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5EBA" w:rsidRDefault="00E73B96">
      <w:pPr>
        <w:pStyle w:val="Heading2"/>
      </w:pPr>
      <w:bookmarkStart w:id="0" w:name="_Toc261344227"/>
      <w:bookmarkStart w:id="1" w:name="_GoBack"/>
      <w:bookmarkEnd w:id="1"/>
      <w:r>
        <w:t>30.2</w:t>
      </w:r>
      <w:r>
        <w:tab/>
        <w:t>Definitions</w:t>
      </w:r>
      <w:bookmarkEnd w:id="0"/>
    </w:p>
    <w:p w:rsidR="00F85EBA" w:rsidRDefault="00E73B96">
      <w:pPr>
        <w:pStyle w:val="Bodypara"/>
      </w:pPr>
      <w:r>
        <w:t>For purposes of Attachment O, capitalized terms shall have the meanings specified below, or in the New York Independent System Operator Agreement or Market Administration and Control Area Services Tariff:</w:t>
      </w:r>
    </w:p>
    <w:p w:rsidR="00F85EBA" w:rsidRDefault="00E73B96">
      <w:pPr>
        <w:pStyle w:val="Definitionhead"/>
      </w:pPr>
      <w:bookmarkStart w:id="2" w:name="_Toc261344228"/>
      <w:r>
        <w:t>Affiliate</w:t>
      </w:r>
      <w:bookmarkEnd w:id="2"/>
    </w:p>
    <w:p w:rsidR="00F85EBA" w:rsidRDefault="00E73B96">
      <w:pPr>
        <w:pStyle w:val="Definition"/>
      </w:pPr>
      <w:r>
        <w:t xml:space="preserve">For purposes of </w:t>
      </w:r>
      <w:r>
        <w:t>Attachment O, “Affiliate” includes both Affiliates, as defined in the ISO Services Tariff and, where appropriate, Affiliated Entities, as defined in the Market Mitigation Measures.</w:t>
      </w:r>
    </w:p>
    <w:p w:rsidR="00F85EBA" w:rsidRDefault="00E73B96">
      <w:pPr>
        <w:pStyle w:val="Definitionhead"/>
      </w:pPr>
      <w:bookmarkStart w:id="3" w:name="_Toc261344229"/>
      <w:r>
        <w:t>Board</w:t>
      </w:r>
      <w:bookmarkEnd w:id="3"/>
    </w:p>
    <w:p w:rsidR="00F85EBA" w:rsidRDefault="00E73B96">
      <w:pPr>
        <w:pStyle w:val="Definition"/>
      </w:pPr>
      <w:r>
        <w:t>“Board” shall mean the Board of Directors of the New York Independent</w:t>
      </w:r>
      <w:r>
        <w:t xml:space="preserve"> System Operator, a not-for-profit </w:t>
      </w:r>
      <w:smartTag w:uri="urn:schemas-microsoft-com:office:smarttags" w:element="place">
        <w:smartTag w:uri="urn:schemas-microsoft-com:office:smarttags" w:element="State">
          <w:r>
            <w:t>New York</w:t>
          </w:r>
        </w:smartTag>
      </w:smartTag>
      <w:r>
        <w:t xml:space="preserve"> corporation.</w:t>
      </w:r>
    </w:p>
    <w:p w:rsidR="00F85EBA" w:rsidRDefault="00E73B96">
      <w:pPr>
        <w:pStyle w:val="Definitionhead"/>
      </w:pPr>
      <w:bookmarkStart w:id="4" w:name="_Toc261344230"/>
      <w:r>
        <w:t>Core Market Monitoring Functions</w:t>
      </w:r>
      <w:bookmarkEnd w:id="4"/>
    </w:p>
    <w:p w:rsidR="00F85EBA" w:rsidRDefault="00E73B96">
      <w:pPr>
        <w:pStyle w:val="Definition"/>
      </w:pPr>
      <w:r>
        <w:t>“Core Market Monitoring Functions” or “Core Functions” shall mean the duties that the FERC determined the Market Monitoring Unit must be responsible for performing in</w:t>
      </w:r>
      <w:r>
        <w:t xml:space="preserve"> Order 719.  The Core Functions are set forth in Section 30.4.5 of Attachment O.</w:t>
      </w:r>
    </w:p>
    <w:p w:rsidR="00F85EBA" w:rsidRDefault="00E73B96">
      <w:pPr>
        <w:pStyle w:val="Definitionhead"/>
      </w:pPr>
      <w:bookmarkStart w:id="5" w:name="_Toc261344231"/>
      <w:r>
        <w:t>Interested Government Agencies</w:t>
      </w:r>
      <w:bookmarkEnd w:id="5"/>
    </w:p>
    <w:p w:rsidR="00F85EBA" w:rsidRDefault="00E73B96">
      <w:pPr>
        <w:pStyle w:val="Definition"/>
      </w:pPr>
      <w:r>
        <w:t>“Interested Government Agencies” shall mean the FERC and the New York Public Service Commission.</w:t>
      </w:r>
    </w:p>
    <w:p w:rsidR="00F85EBA" w:rsidRDefault="00E73B96">
      <w:pPr>
        <w:pStyle w:val="Definitionhead"/>
      </w:pPr>
      <w:bookmarkStart w:id="6" w:name="_Toc261344232"/>
      <w:r>
        <w:t>ISO Market Power Mitigation Measures</w:t>
      </w:r>
      <w:bookmarkEnd w:id="6"/>
    </w:p>
    <w:p w:rsidR="00F85EBA" w:rsidRDefault="00E73B96">
      <w:pPr>
        <w:pStyle w:val="Definition"/>
      </w:pPr>
      <w:r>
        <w:t>“ISO Marke</w:t>
      </w:r>
      <w:r>
        <w:t xml:space="preserve">t Power Mitigation Measures” or “Market Mitigation Measures” shall mean Attachment H to the ISO’s Market Administration and Control Area Services Tariff, or any successor provisions thereto. </w:t>
      </w:r>
    </w:p>
    <w:p w:rsidR="00F85EBA" w:rsidRDefault="00E73B96">
      <w:pPr>
        <w:pStyle w:val="Definitionhead"/>
      </w:pPr>
      <w:bookmarkStart w:id="7" w:name="_Toc261344233"/>
      <w:r>
        <w:t>Market Mitigation and Analysis Department</w:t>
      </w:r>
      <w:bookmarkEnd w:id="7"/>
    </w:p>
    <w:p w:rsidR="00F85EBA" w:rsidRDefault="00E73B96">
      <w:pPr>
        <w:pStyle w:val="Definition"/>
      </w:pPr>
      <w:r>
        <w:t>“Market Mitigation and</w:t>
      </w:r>
      <w:r>
        <w:t xml:space="preserve"> Analysis Department” or “MMA” shall mean a department, internal to the ISO that is responsible for participating in the ISO’s administration of its Tariffs.  The MMA’s duties are described in Section 30.3, below.</w:t>
      </w:r>
    </w:p>
    <w:p w:rsidR="00F85EBA" w:rsidRDefault="00E73B96">
      <w:pPr>
        <w:pStyle w:val="Definitionhead"/>
      </w:pPr>
      <w:bookmarkStart w:id="8" w:name="_Toc261344234"/>
      <w:r>
        <w:lastRenderedPageBreak/>
        <w:t>Market Monitoring Unit</w:t>
      </w:r>
      <w:bookmarkEnd w:id="8"/>
    </w:p>
    <w:p w:rsidR="00F85EBA" w:rsidRDefault="00E73B96">
      <w:pPr>
        <w:pStyle w:val="Definition"/>
      </w:pPr>
      <w:r>
        <w:t xml:space="preserve">“Market Monitoring </w:t>
      </w:r>
      <w:r>
        <w:t>Unit” shall mean the consulting or other professional services firm, or other similar entity, retained by the Board, as specified in Section 30.4.2 of Attachment O, that is responsible for carrying out the Core Market Monitoring Functions and the other fun</w:t>
      </w:r>
      <w:r>
        <w:t>ctions that are assigned to it in Attachment O.  The Market Monitoring Unit shall recommend Tariff and market rule changes, but shall not participate in the administration of the ISO’s Tariffs, except as specifically authorized in Attachment O.</w:t>
      </w:r>
    </w:p>
    <w:p w:rsidR="00F85EBA" w:rsidRDefault="00E73B96">
      <w:pPr>
        <w:pStyle w:val="Definitionhead"/>
      </w:pPr>
      <w:bookmarkStart w:id="9" w:name="_Toc261344235"/>
      <w:r>
        <w:t>Market Part</w:t>
      </w:r>
      <w:r>
        <w:t>y</w:t>
      </w:r>
      <w:bookmarkEnd w:id="9"/>
    </w:p>
    <w:p w:rsidR="00F85EBA" w:rsidRDefault="00E73B96">
      <w:pPr>
        <w:pStyle w:val="Definition"/>
      </w:pPr>
      <w:r>
        <w:t xml:space="preserve">“Market Party” shall mean any person or entity that is a buyer or a seller in, or that makes bids or offers to buy or sell in, or that schedules or seeks to schedule transactions with the ISO in or affecting, any of the New York Electric Markets, or any </w:t>
      </w:r>
      <w:r>
        <w:t>combination of the foregoing.  Under Attachment O and the ISO’s Market Mitigation Measures, Market Parties may be held responsible for the actions of, or inaction by, their Affiliates.</w:t>
      </w:r>
    </w:p>
    <w:p w:rsidR="00F85EBA" w:rsidRDefault="00E73B96">
      <w:pPr>
        <w:pStyle w:val="Definitionhead"/>
      </w:pPr>
      <w:bookmarkStart w:id="10" w:name="_Toc261344236"/>
      <w:r>
        <w:t>Market Violation</w:t>
      </w:r>
      <w:bookmarkEnd w:id="10"/>
    </w:p>
    <w:p w:rsidR="00F85EBA" w:rsidRDefault="00E73B96">
      <w:pPr>
        <w:pStyle w:val="Definition"/>
      </w:pPr>
      <w:r>
        <w:t>“Market Violation” shall mean any of (i) a tariff viol</w:t>
      </w:r>
      <w:r>
        <w:t>ation, (ii) violation of a Commission-accepted or approved order, rule or regulation including, but not limited to, violations of FERC’s Market Behavior Rules, 18 CFR § 35.41, or any successor provisions thereto, (iii) market manipulation (</w:t>
      </w:r>
      <w:r>
        <w:rPr>
          <w:i/>
        </w:rPr>
        <w:t>see</w:t>
      </w:r>
      <w:r>
        <w:t xml:space="preserve"> 18 CFR § 1c.</w:t>
      </w:r>
      <w:r>
        <w:t>2, or any successor provision thereto), or (iv) inappropriate dispatch that creates substantial concerns regarding unnecessary market inefficiencies.</w:t>
      </w:r>
    </w:p>
    <w:p w:rsidR="00F85EBA" w:rsidRDefault="00E73B96">
      <w:pPr>
        <w:pStyle w:val="Definitionhead"/>
      </w:pPr>
      <w:bookmarkStart w:id="11" w:name="_Toc261344237"/>
      <w:smartTag w:uri="urn:schemas-microsoft-com:office:smarttags" w:element="place">
        <w:smartTag w:uri="urn:schemas-microsoft-com:office:smarttags" w:element="State">
          <w:r>
            <w:t>New York</w:t>
          </w:r>
        </w:smartTag>
      </w:smartTag>
      <w:r>
        <w:t xml:space="preserve"> Electric Markets</w:t>
      </w:r>
      <w:bookmarkEnd w:id="11"/>
    </w:p>
    <w:p w:rsidR="00F85EBA" w:rsidRDefault="00E73B96">
      <w:pPr>
        <w:pStyle w:val="Definition"/>
      </w:pPr>
      <w:r>
        <w:t>“New York Electric Markets” shall mean the LBMP Market, the Wholesale Market, an</w:t>
      </w:r>
      <w:r>
        <w:t>y market for the purchase or sale of TCCs, and any other market administered, coordinated or facilitated by, or involving transmission or other services scheduled or otherwise provided by, the ISO.</w:t>
      </w:r>
    </w:p>
    <w:p w:rsidR="00F85EBA" w:rsidRDefault="00E73B96">
      <w:pPr>
        <w:pStyle w:val="Definitionhead"/>
      </w:pPr>
      <w:bookmarkStart w:id="12" w:name="_Toc261344238"/>
      <w:r>
        <w:t>Order 719</w:t>
      </w:r>
      <w:bookmarkEnd w:id="12"/>
    </w:p>
    <w:p w:rsidR="00F85EBA" w:rsidRDefault="00E73B96">
      <w:pPr>
        <w:pStyle w:val="Definition"/>
      </w:pPr>
      <w:r>
        <w:t>“Order 719” shall mean the Order issued by the F</w:t>
      </w:r>
      <w:r>
        <w:t>ERC on October, 17, 2008 in Docket Nos. RM07-19-000 and AD07-7-000, including the regulations adopted by FERC in that Order, as amended by any subsequent orders issued by the FERC or by a Federal court of appeals.</w:t>
      </w:r>
    </w:p>
    <w:p w:rsidR="00F85EBA" w:rsidRDefault="00E73B96">
      <w:pPr>
        <w:pStyle w:val="Definitionhead"/>
      </w:pPr>
      <w:bookmarkStart w:id="13" w:name="_Toc261344239"/>
      <w:r>
        <w:t>Other State Commission</w:t>
      </w:r>
      <w:bookmarkEnd w:id="13"/>
    </w:p>
    <w:p w:rsidR="00F85EBA" w:rsidRDefault="00E73B96">
      <w:pPr>
        <w:pStyle w:val="Definition"/>
      </w:pPr>
      <w:r>
        <w:t>“Other State Commis</w:t>
      </w:r>
      <w:r>
        <w:t xml:space="preserve">sion” shall mean the State regulatory agencies other than the New York Public Service Commission that possess primary jurisdiction over (a) the construction and siting of electric transmission and generating facilities, and/or (b) the regulation of retail </w:t>
      </w:r>
      <w:r>
        <w:t>electric rates, within their respective State.</w:t>
      </w:r>
    </w:p>
    <w:p w:rsidR="00F85EBA" w:rsidRDefault="00E73B96">
      <w:pPr>
        <w:pStyle w:val="Definitionhead"/>
      </w:pPr>
      <w:bookmarkStart w:id="14" w:name="_Toc261344240"/>
      <w:r>
        <w:lastRenderedPageBreak/>
        <w:t>Plan</w:t>
      </w:r>
      <w:bookmarkEnd w:id="14"/>
      <w:r>
        <w:t xml:space="preserve"> (Attachment O)</w:t>
      </w:r>
    </w:p>
    <w:p w:rsidR="00F85EBA" w:rsidRDefault="00E73B96">
      <w:pPr>
        <w:pStyle w:val="Definition"/>
      </w:pPr>
      <w:r>
        <w:t>“Plan” shall mean this ISO Market Monitoring Plan (Attachment O).</w:t>
      </w:r>
    </w:p>
    <w:p w:rsidR="00F85EBA" w:rsidRDefault="00E73B96">
      <w:pPr>
        <w:pStyle w:val="Definitionhead"/>
      </w:pPr>
      <w:bookmarkStart w:id="15" w:name="_Toc261344241"/>
      <w:r>
        <w:t>Protected Information</w:t>
      </w:r>
      <w:bookmarkEnd w:id="15"/>
    </w:p>
    <w:p w:rsidR="00F85EBA" w:rsidRDefault="00E73B96">
      <w:pPr>
        <w:pStyle w:val="Definition"/>
      </w:pPr>
      <w:r>
        <w:t>“Protected Information” shall mean: (a) information that is confidential, proprietary, commercially valuable or competitively sensitive or is a trade secret, (b) information that is Confidential Information under Attachment F to the ISO OATT, (c) informati</w:t>
      </w:r>
      <w:r>
        <w:t>on that the Market Monitoring Unit or the ISO is obligated by tariff, regulation or law to protect, (d) information which, if revealed, would present opportunities for collusion or other anticompetitive conduct, or that could facilitate conduct that is inc</w:t>
      </w:r>
      <w:r>
        <w:t>onsistent with economic efficiency, (e) information relating to ongoing investigations and monitoring activities (including the identity of the person or Market Party that requested or is the subject of an investigation, unless such party consents to discl</w:t>
      </w:r>
      <w:r>
        <w:t>osure), (f) information subject to the attorney-client privilege, the attorney work product doctrine, or concerning pending or threatened litigation, or (g) information that has been designated as such in writing by the party supplying the information to t</w:t>
      </w:r>
      <w:r>
        <w:t xml:space="preserve">he ISO or to its Market Monitoring Unit, or by the ISO or its Market Monitoring Unit, provided that such designation is consistent with the ISO’s tariffs and this Plan. </w:t>
      </w:r>
    </w:p>
    <w:sectPr w:rsidR="00F85EBA">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73B96">
      <w:r>
        <w:separator/>
      </w:r>
    </w:p>
  </w:endnote>
  <w:endnote w:type="continuationSeparator" w:id="0">
    <w:p w:rsidR="00000000" w:rsidRDefault="00E73B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5EBA" w:rsidRDefault="00E73B96">
    <w:pPr>
      <w:jc w:val="right"/>
    </w:pPr>
    <w:r>
      <w:rPr>
        <w:rFonts w:ascii="Arial" w:eastAsia="Arial" w:hAnsi="Arial" w:cs="Arial"/>
        <w:color w:val="000000"/>
        <w:sz w:val="16"/>
      </w:rPr>
      <w:t xml:space="preserve">Effective Date: 6/5/2011 - Docket #: ER11-3312-000 -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5EBA" w:rsidRDefault="00E73B96">
    <w:pPr>
      <w:jc w:val="right"/>
    </w:pPr>
    <w:r>
      <w:rPr>
        <w:rFonts w:ascii="Arial" w:eastAsia="Arial" w:hAnsi="Arial" w:cs="Arial"/>
        <w:color w:val="000000"/>
        <w:sz w:val="16"/>
      </w:rPr>
      <w:t xml:space="preserve">Effective Date: 6/5/2011 - Docket #: ER11-3312-000 -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5EBA" w:rsidRDefault="00E73B96">
    <w:pPr>
      <w:jc w:val="right"/>
    </w:pPr>
    <w:r>
      <w:rPr>
        <w:rFonts w:ascii="Arial" w:eastAsia="Arial" w:hAnsi="Arial" w:cs="Arial"/>
        <w:color w:val="000000"/>
        <w:sz w:val="16"/>
      </w:rPr>
      <w:t xml:space="preserve">Effective Date: 6/5/2011 - Docket #: ER11-3312-000 -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73B96">
      <w:r>
        <w:separator/>
      </w:r>
    </w:p>
  </w:footnote>
  <w:footnote w:type="continuationSeparator" w:id="0">
    <w:p w:rsidR="00000000" w:rsidRDefault="00E73B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5EBA" w:rsidRDefault="00E73B96">
    <w:r>
      <w:rPr>
        <w:rFonts w:ascii="Arial" w:eastAsia="Arial" w:hAnsi="Arial" w:cs="Arial"/>
        <w:color w:val="000000"/>
        <w:sz w:val="16"/>
      </w:rPr>
      <w:t>NYISO Tariffs --</w:t>
    </w:r>
    <w:r>
      <w:rPr>
        <w:rFonts w:ascii="Arial" w:eastAsia="Arial" w:hAnsi="Arial" w:cs="Arial"/>
        <w:color w:val="000000"/>
        <w:sz w:val="16"/>
      </w:rPr>
      <w:t>&gt; Market Administration and Control Area Services Tariff (MST) --&gt; 30 MST Attachment O - Market Monitoring Plan --&gt; 30.2 MST Att O - Definitions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5EBA" w:rsidRDefault="00E73B96">
    <w:r>
      <w:rPr>
        <w:rFonts w:ascii="Arial" w:eastAsia="Arial" w:hAnsi="Arial" w:cs="Arial"/>
        <w:color w:val="000000"/>
        <w:sz w:val="16"/>
      </w:rPr>
      <w:t>NYISO Tariffs --&gt; Market Administration and Control Area Services Tariff (MST) --&gt; 30 MST Attachment O - Market</w:t>
    </w:r>
    <w:r>
      <w:rPr>
        <w:rFonts w:ascii="Arial" w:eastAsia="Arial" w:hAnsi="Arial" w:cs="Arial"/>
        <w:color w:val="000000"/>
        <w:sz w:val="16"/>
      </w:rPr>
      <w:t xml:space="preserve"> Monitoring Plan --&gt; 30.2 MST Att O - Definitions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5EBA" w:rsidRDefault="00E73B96">
    <w:r>
      <w:rPr>
        <w:rFonts w:ascii="Arial" w:eastAsia="Arial" w:hAnsi="Arial" w:cs="Arial"/>
        <w:color w:val="000000"/>
        <w:sz w:val="16"/>
      </w:rPr>
      <w:t>NYISO Tariffs --&gt; Market Administration and Control Area Services Tariff (MS</w:t>
    </w:r>
    <w:r>
      <w:rPr>
        <w:rFonts w:ascii="Arial" w:eastAsia="Arial" w:hAnsi="Arial" w:cs="Arial"/>
        <w:color w:val="000000"/>
        <w:sz w:val="16"/>
      </w:rPr>
      <w:t>T) --&gt; 30 MST Attachment O - Market Monitoring Plan --&gt; 30.2 MST Att O - Definitions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FFFFFFF"/>
    <w:lvl w:ilvl="0">
      <w:start w:val="1"/>
      <w:numFmt w:val="decimal"/>
      <w:lvlText w:val="%1."/>
      <w:legacy w:legacy="1" w:legacySpace="0" w:legacyIndent="720"/>
      <w:lvlJc w:val="left"/>
      <w:pPr>
        <w:ind w:left="720" w:hanging="720"/>
      </w:pPr>
      <w:rPr>
        <w:rFonts w:cs="Times New Roman"/>
      </w:rPr>
    </w:lvl>
    <w:lvl w:ilvl="1">
      <w:start w:val="1"/>
      <w:numFmt w:val="decimal"/>
      <w:lvlText w:val="%1.%2"/>
      <w:legacy w:legacy="1" w:legacySpace="0" w:legacyIndent="720"/>
      <w:lvlJc w:val="left"/>
      <w:pPr>
        <w:ind w:left="1440" w:hanging="720"/>
      </w:pPr>
      <w:rPr>
        <w:rFonts w:cs="Times New Roman"/>
      </w:rPr>
    </w:lvl>
    <w:lvl w:ilvl="2">
      <w:start w:val="1"/>
      <w:numFmt w:val="decimal"/>
      <w:lvlText w:val="%1.%2.%3"/>
      <w:legacy w:legacy="1" w:legacySpace="0" w:legacyIndent="720"/>
      <w:lvlJc w:val="left"/>
      <w:pPr>
        <w:ind w:left="2160" w:hanging="720"/>
      </w:pPr>
      <w:rPr>
        <w:rFonts w:cs="Times New Roman"/>
      </w:rPr>
    </w:lvl>
    <w:lvl w:ilvl="3">
      <w:start w:val="1"/>
      <w:numFmt w:val="lowerLetter"/>
      <w:lvlText w:val="%4)"/>
      <w:legacy w:legacy="1" w:legacySpace="0" w:legacyIndent="720"/>
      <w:lvlJc w:val="left"/>
      <w:pPr>
        <w:ind w:hanging="720"/>
      </w:pPr>
      <w:rPr>
        <w:rFonts w:cs="Times New Roman"/>
      </w:rPr>
    </w:lvl>
    <w:lvl w:ilvl="4">
      <w:start w:val="1"/>
      <w:numFmt w:val="decimal"/>
      <w:lvlText w:val="(%5)"/>
      <w:legacy w:legacy="1" w:legacySpace="0" w:legacyIndent="720"/>
      <w:lvlJc w:val="left"/>
      <w:pPr>
        <w:ind w:left="1440" w:hanging="720"/>
      </w:pPr>
      <w:rPr>
        <w:rFonts w:cs="Times New Roman"/>
      </w:rPr>
    </w:lvl>
    <w:lvl w:ilvl="5">
      <w:start w:val="1"/>
      <w:numFmt w:val="lowerLetter"/>
      <w:lvlText w:val="(%6)"/>
      <w:legacy w:legacy="1" w:legacySpace="0" w:legacyIndent="720"/>
      <w:lvlJc w:val="left"/>
      <w:pPr>
        <w:ind w:hanging="720"/>
      </w:pPr>
      <w:rPr>
        <w:rFonts w:cs="Times New Roman"/>
      </w:rPr>
    </w:lvl>
    <w:lvl w:ilvl="6">
      <w:start w:val="1"/>
      <w:numFmt w:val="lowerRoman"/>
      <w:lvlText w:val="(%7)"/>
      <w:legacy w:legacy="1" w:legacySpace="0" w:legacyIndent="720"/>
      <w:lvlJc w:val="left"/>
      <w:pPr>
        <w:ind w:left="5040" w:hanging="720"/>
      </w:pPr>
      <w:rPr>
        <w:rFonts w:cs="Times New Roman"/>
      </w:rPr>
    </w:lvl>
    <w:lvl w:ilvl="7">
      <w:start w:val="1"/>
      <w:numFmt w:val="lowerLetter"/>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abstractNum w:abstractNumId="1">
    <w:nsid w:val="028144F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nsid w:val="0775374A"/>
    <w:multiLevelType w:val="hybridMultilevel"/>
    <w:tmpl w:val="F5EC19CC"/>
    <w:lvl w:ilvl="0" w:tplc="1F461FF2">
      <w:start w:val="1"/>
      <w:numFmt w:val="bullet"/>
      <w:pStyle w:val="Bulletpara"/>
      <w:lvlText w:val=""/>
      <w:lvlJc w:val="left"/>
      <w:pPr>
        <w:tabs>
          <w:tab w:val="num" w:pos="720"/>
        </w:tabs>
        <w:ind w:left="720" w:hanging="360"/>
      </w:pPr>
      <w:rPr>
        <w:rFonts w:ascii="Symbol" w:hAnsi="Symbol" w:hint="default"/>
      </w:rPr>
    </w:lvl>
    <w:lvl w:ilvl="1" w:tplc="CACCA13E" w:tentative="1">
      <w:start w:val="1"/>
      <w:numFmt w:val="bullet"/>
      <w:lvlText w:val="o"/>
      <w:lvlJc w:val="left"/>
      <w:pPr>
        <w:tabs>
          <w:tab w:val="num" w:pos="1440"/>
        </w:tabs>
        <w:ind w:left="1440" w:hanging="360"/>
      </w:pPr>
      <w:rPr>
        <w:rFonts w:ascii="Courier New" w:hAnsi="Courier New" w:hint="default"/>
      </w:rPr>
    </w:lvl>
    <w:lvl w:ilvl="2" w:tplc="2FD44542" w:tentative="1">
      <w:start w:val="1"/>
      <w:numFmt w:val="bullet"/>
      <w:lvlText w:val=""/>
      <w:lvlJc w:val="left"/>
      <w:pPr>
        <w:tabs>
          <w:tab w:val="num" w:pos="2160"/>
        </w:tabs>
        <w:ind w:left="2160" w:hanging="360"/>
      </w:pPr>
      <w:rPr>
        <w:rFonts w:ascii="Wingdings" w:hAnsi="Wingdings" w:hint="default"/>
      </w:rPr>
    </w:lvl>
    <w:lvl w:ilvl="3" w:tplc="8B163148" w:tentative="1">
      <w:start w:val="1"/>
      <w:numFmt w:val="bullet"/>
      <w:lvlText w:val=""/>
      <w:lvlJc w:val="left"/>
      <w:pPr>
        <w:tabs>
          <w:tab w:val="num" w:pos="2880"/>
        </w:tabs>
        <w:ind w:left="2880" w:hanging="360"/>
      </w:pPr>
      <w:rPr>
        <w:rFonts w:ascii="Symbol" w:hAnsi="Symbol" w:hint="default"/>
      </w:rPr>
    </w:lvl>
    <w:lvl w:ilvl="4" w:tplc="FEEA0488" w:tentative="1">
      <w:start w:val="1"/>
      <w:numFmt w:val="bullet"/>
      <w:lvlText w:val="o"/>
      <w:lvlJc w:val="left"/>
      <w:pPr>
        <w:tabs>
          <w:tab w:val="num" w:pos="3600"/>
        </w:tabs>
        <w:ind w:left="3600" w:hanging="360"/>
      </w:pPr>
      <w:rPr>
        <w:rFonts w:ascii="Courier New" w:hAnsi="Courier New" w:hint="default"/>
      </w:rPr>
    </w:lvl>
    <w:lvl w:ilvl="5" w:tplc="151C35FA" w:tentative="1">
      <w:start w:val="1"/>
      <w:numFmt w:val="bullet"/>
      <w:lvlText w:val=""/>
      <w:lvlJc w:val="left"/>
      <w:pPr>
        <w:tabs>
          <w:tab w:val="num" w:pos="4320"/>
        </w:tabs>
        <w:ind w:left="4320" w:hanging="360"/>
      </w:pPr>
      <w:rPr>
        <w:rFonts w:ascii="Wingdings" w:hAnsi="Wingdings" w:hint="default"/>
      </w:rPr>
    </w:lvl>
    <w:lvl w:ilvl="6" w:tplc="1CA412F2" w:tentative="1">
      <w:start w:val="1"/>
      <w:numFmt w:val="bullet"/>
      <w:lvlText w:val=""/>
      <w:lvlJc w:val="left"/>
      <w:pPr>
        <w:tabs>
          <w:tab w:val="num" w:pos="5040"/>
        </w:tabs>
        <w:ind w:left="5040" w:hanging="360"/>
      </w:pPr>
      <w:rPr>
        <w:rFonts w:ascii="Symbol" w:hAnsi="Symbol" w:hint="default"/>
      </w:rPr>
    </w:lvl>
    <w:lvl w:ilvl="7" w:tplc="3EF21E6A" w:tentative="1">
      <w:start w:val="1"/>
      <w:numFmt w:val="bullet"/>
      <w:lvlText w:val="o"/>
      <w:lvlJc w:val="left"/>
      <w:pPr>
        <w:tabs>
          <w:tab w:val="num" w:pos="5760"/>
        </w:tabs>
        <w:ind w:left="5760" w:hanging="360"/>
      </w:pPr>
      <w:rPr>
        <w:rFonts w:ascii="Courier New" w:hAnsi="Courier New" w:hint="default"/>
      </w:rPr>
    </w:lvl>
    <w:lvl w:ilvl="8" w:tplc="164EF170" w:tentative="1">
      <w:start w:val="1"/>
      <w:numFmt w:val="bullet"/>
      <w:lvlText w:val=""/>
      <w:lvlJc w:val="left"/>
      <w:pPr>
        <w:tabs>
          <w:tab w:val="num" w:pos="6480"/>
        </w:tabs>
        <w:ind w:left="6480" w:hanging="360"/>
      </w:pPr>
      <w:rPr>
        <w:rFonts w:ascii="Wingdings" w:hAnsi="Wingdings" w:hint="default"/>
      </w:rPr>
    </w:lvl>
  </w:abstractNum>
  <w:abstractNum w:abstractNumId="3">
    <w:nsid w:val="0A267C0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nsid w:val="1F47184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nsid w:val="2BCA263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nsid w:val="2C8B0D9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nsid w:val="2CEB796C"/>
    <w:multiLevelType w:val="multilevel"/>
    <w:tmpl w:val="55B46142"/>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cs="Times New Roman" w:hint="default"/>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nsid w:val="32674F8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nsid w:val="372A749B"/>
    <w:multiLevelType w:val="hybridMultilevel"/>
    <w:tmpl w:val="EBD879C0"/>
    <w:lvl w:ilvl="0" w:tplc="8CD65528">
      <w:start w:val="1"/>
      <w:numFmt w:val="lowerRoman"/>
      <w:lvlText w:val="(%1)"/>
      <w:lvlJc w:val="left"/>
      <w:pPr>
        <w:tabs>
          <w:tab w:val="num" w:pos="2448"/>
        </w:tabs>
        <w:ind w:left="2448" w:hanging="648"/>
      </w:pPr>
      <w:rPr>
        <w:rFonts w:cs="Times New Roman" w:hint="default"/>
        <w:b w:val="0"/>
        <w:i w:val="0"/>
        <w:u w:val="none"/>
      </w:rPr>
    </w:lvl>
    <w:lvl w:ilvl="1" w:tplc="62FA6E78" w:tentative="1">
      <w:start w:val="1"/>
      <w:numFmt w:val="lowerLetter"/>
      <w:lvlText w:val="%2."/>
      <w:lvlJc w:val="left"/>
      <w:pPr>
        <w:tabs>
          <w:tab w:val="num" w:pos="1440"/>
        </w:tabs>
        <w:ind w:left="1440" w:hanging="360"/>
      </w:pPr>
      <w:rPr>
        <w:rFonts w:cs="Times New Roman"/>
      </w:rPr>
    </w:lvl>
    <w:lvl w:ilvl="2" w:tplc="573AA32E" w:tentative="1">
      <w:start w:val="1"/>
      <w:numFmt w:val="lowerRoman"/>
      <w:lvlText w:val="%3."/>
      <w:lvlJc w:val="right"/>
      <w:pPr>
        <w:tabs>
          <w:tab w:val="num" w:pos="2160"/>
        </w:tabs>
        <w:ind w:left="2160" w:hanging="180"/>
      </w:pPr>
      <w:rPr>
        <w:rFonts w:cs="Times New Roman"/>
      </w:rPr>
    </w:lvl>
    <w:lvl w:ilvl="3" w:tplc="97FC3A9A" w:tentative="1">
      <w:start w:val="1"/>
      <w:numFmt w:val="decimal"/>
      <w:lvlText w:val="%4."/>
      <w:lvlJc w:val="left"/>
      <w:pPr>
        <w:tabs>
          <w:tab w:val="num" w:pos="2880"/>
        </w:tabs>
        <w:ind w:left="2880" w:hanging="360"/>
      </w:pPr>
      <w:rPr>
        <w:rFonts w:cs="Times New Roman"/>
      </w:rPr>
    </w:lvl>
    <w:lvl w:ilvl="4" w:tplc="B6869F86" w:tentative="1">
      <w:start w:val="1"/>
      <w:numFmt w:val="lowerLetter"/>
      <w:lvlText w:val="%5."/>
      <w:lvlJc w:val="left"/>
      <w:pPr>
        <w:tabs>
          <w:tab w:val="num" w:pos="3600"/>
        </w:tabs>
        <w:ind w:left="3600" w:hanging="360"/>
      </w:pPr>
      <w:rPr>
        <w:rFonts w:cs="Times New Roman"/>
      </w:rPr>
    </w:lvl>
    <w:lvl w:ilvl="5" w:tplc="64708B80" w:tentative="1">
      <w:start w:val="1"/>
      <w:numFmt w:val="lowerRoman"/>
      <w:lvlText w:val="%6."/>
      <w:lvlJc w:val="right"/>
      <w:pPr>
        <w:tabs>
          <w:tab w:val="num" w:pos="4320"/>
        </w:tabs>
        <w:ind w:left="4320" w:hanging="180"/>
      </w:pPr>
      <w:rPr>
        <w:rFonts w:cs="Times New Roman"/>
      </w:rPr>
    </w:lvl>
    <w:lvl w:ilvl="6" w:tplc="2494C694" w:tentative="1">
      <w:start w:val="1"/>
      <w:numFmt w:val="decimal"/>
      <w:lvlText w:val="%7."/>
      <w:lvlJc w:val="left"/>
      <w:pPr>
        <w:tabs>
          <w:tab w:val="num" w:pos="5040"/>
        </w:tabs>
        <w:ind w:left="5040" w:hanging="360"/>
      </w:pPr>
      <w:rPr>
        <w:rFonts w:cs="Times New Roman"/>
      </w:rPr>
    </w:lvl>
    <w:lvl w:ilvl="7" w:tplc="D7465B38" w:tentative="1">
      <w:start w:val="1"/>
      <w:numFmt w:val="lowerLetter"/>
      <w:lvlText w:val="%8."/>
      <w:lvlJc w:val="left"/>
      <w:pPr>
        <w:tabs>
          <w:tab w:val="num" w:pos="5760"/>
        </w:tabs>
        <w:ind w:left="5760" w:hanging="360"/>
      </w:pPr>
      <w:rPr>
        <w:rFonts w:cs="Times New Roman"/>
      </w:rPr>
    </w:lvl>
    <w:lvl w:ilvl="8" w:tplc="FDFAFE72" w:tentative="1">
      <w:start w:val="1"/>
      <w:numFmt w:val="lowerRoman"/>
      <w:lvlText w:val="%9."/>
      <w:lvlJc w:val="right"/>
      <w:pPr>
        <w:tabs>
          <w:tab w:val="num" w:pos="6480"/>
        </w:tabs>
        <w:ind w:left="6480" w:hanging="180"/>
      </w:pPr>
      <w:rPr>
        <w:rFonts w:cs="Times New Roman"/>
      </w:rPr>
    </w:lvl>
  </w:abstractNum>
  <w:abstractNum w:abstractNumId="10">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1">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2">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3">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4">
    <w:nsid w:val="43B538B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5">
    <w:nsid w:val="4623667E"/>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6">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7">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8">
    <w:nsid w:val="4C342490"/>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9">
    <w:nsid w:val="4F496F2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nsid w:val="506A2B64"/>
    <w:multiLevelType w:val="hybridMultilevel"/>
    <w:tmpl w:val="BFF24B80"/>
    <w:lvl w:ilvl="0" w:tplc="34C48F3E">
      <w:start w:val="1"/>
      <w:numFmt w:val="decimal"/>
      <w:lvlText w:val="%1."/>
      <w:lvlJc w:val="left"/>
      <w:pPr>
        <w:tabs>
          <w:tab w:val="num" w:pos="720"/>
        </w:tabs>
        <w:ind w:left="720" w:hanging="360"/>
      </w:pPr>
      <w:rPr>
        <w:rFonts w:cs="Times New Roman"/>
      </w:rPr>
    </w:lvl>
    <w:lvl w:ilvl="1" w:tplc="BE765158" w:tentative="1">
      <w:start w:val="1"/>
      <w:numFmt w:val="lowerLetter"/>
      <w:lvlText w:val="%2."/>
      <w:lvlJc w:val="left"/>
      <w:pPr>
        <w:tabs>
          <w:tab w:val="num" w:pos="1440"/>
        </w:tabs>
        <w:ind w:left="1440" w:hanging="360"/>
      </w:pPr>
      <w:rPr>
        <w:rFonts w:cs="Times New Roman"/>
      </w:rPr>
    </w:lvl>
    <w:lvl w:ilvl="2" w:tplc="0312401C" w:tentative="1">
      <w:start w:val="1"/>
      <w:numFmt w:val="lowerRoman"/>
      <w:lvlText w:val="%3."/>
      <w:lvlJc w:val="right"/>
      <w:pPr>
        <w:tabs>
          <w:tab w:val="num" w:pos="2160"/>
        </w:tabs>
        <w:ind w:left="2160" w:hanging="180"/>
      </w:pPr>
      <w:rPr>
        <w:rFonts w:cs="Times New Roman"/>
      </w:rPr>
    </w:lvl>
    <w:lvl w:ilvl="3" w:tplc="F6B2AEE0" w:tentative="1">
      <w:start w:val="1"/>
      <w:numFmt w:val="decimal"/>
      <w:lvlText w:val="%4."/>
      <w:lvlJc w:val="left"/>
      <w:pPr>
        <w:tabs>
          <w:tab w:val="num" w:pos="2880"/>
        </w:tabs>
        <w:ind w:left="2880" w:hanging="360"/>
      </w:pPr>
      <w:rPr>
        <w:rFonts w:cs="Times New Roman"/>
      </w:rPr>
    </w:lvl>
    <w:lvl w:ilvl="4" w:tplc="382673EA" w:tentative="1">
      <w:start w:val="1"/>
      <w:numFmt w:val="lowerLetter"/>
      <w:lvlText w:val="%5."/>
      <w:lvlJc w:val="left"/>
      <w:pPr>
        <w:tabs>
          <w:tab w:val="num" w:pos="3600"/>
        </w:tabs>
        <w:ind w:left="3600" w:hanging="360"/>
      </w:pPr>
      <w:rPr>
        <w:rFonts w:cs="Times New Roman"/>
      </w:rPr>
    </w:lvl>
    <w:lvl w:ilvl="5" w:tplc="32043180" w:tentative="1">
      <w:start w:val="1"/>
      <w:numFmt w:val="lowerRoman"/>
      <w:lvlText w:val="%6."/>
      <w:lvlJc w:val="right"/>
      <w:pPr>
        <w:tabs>
          <w:tab w:val="num" w:pos="4320"/>
        </w:tabs>
        <w:ind w:left="4320" w:hanging="180"/>
      </w:pPr>
      <w:rPr>
        <w:rFonts w:cs="Times New Roman"/>
      </w:rPr>
    </w:lvl>
    <w:lvl w:ilvl="6" w:tplc="65C009DA" w:tentative="1">
      <w:start w:val="1"/>
      <w:numFmt w:val="decimal"/>
      <w:lvlText w:val="%7."/>
      <w:lvlJc w:val="left"/>
      <w:pPr>
        <w:tabs>
          <w:tab w:val="num" w:pos="5040"/>
        </w:tabs>
        <w:ind w:left="5040" w:hanging="360"/>
      </w:pPr>
      <w:rPr>
        <w:rFonts w:cs="Times New Roman"/>
      </w:rPr>
    </w:lvl>
    <w:lvl w:ilvl="7" w:tplc="39A24952" w:tentative="1">
      <w:start w:val="1"/>
      <w:numFmt w:val="lowerLetter"/>
      <w:lvlText w:val="%8."/>
      <w:lvlJc w:val="left"/>
      <w:pPr>
        <w:tabs>
          <w:tab w:val="num" w:pos="5760"/>
        </w:tabs>
        <w:ind w:left="5760" w:hanging="360"/>
      </w:pPr>
      <w:rPr>
        <w:rFonts w:cs="Times New Roman"/>
      </w:rPr>
    </w:lvl>
    <w:lvl w:ilvl="8" w:tplc="3E549EDA" w:tentative="1">
      <w:start w:val="1"/>
      <w:numFmt w:val="lowerRoman"/>
      <w:lvlText w:val="%9."/>
      <w:lvlJc w:val="right"/>
      <w:pPr>
        <w:tabs>
          <w:tab w:val="num" w:pos="6480"/>
        </w:tabs>
        <w:ind w:left="6480" w:hanging="180"/>
      </w:pPr>
      <w:rPr>
        <w:rFonts w:cs="Times New Roman"/>
      </w:rPr>
    </w:lvl>
  </w:abstractNum>
  <w:abstractNum w:abstractNumId="21">
    <w:nsid w:val="52D1603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2">
    <w:nsid w:val="556D74A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3">
    <w:nsid w:val="56C74AD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4">
    <w:nsid w:val="5AE0078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nsid w:val="6181686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nsid w:val="671739E9"/>
    <w:multiLevelType w:val="hybridMultilevel"/>
    <w:tmpl w:val="B29C98A0"/>
    <w:lvl w:ilvl="0" w:tplc="A5180596">
      <w:start w:val="1"/>
      <w:numFmt w:val="bullet"/>
      <w:lvlText w:val=""/>
      <w:lvlJc w:val="left"/>
      <w:pPr>
        <w:tabs>
          <w:tab w:val="num" w:pos="5760"/>
        </w:tabs>
        <w:ind w:left="5760" w:hanging="360"/>
      </w:pPr>
      <w:rPr>
        <w:rFonts w:ascii="Symbol" w:hAnsi="Symbol" w:hint="default"/>
        <w:color w:val="auto"/>
        <w:u w:val="none"/>
      </w:rPr>
    </w:lvl>
    <w:lvl w:ilvl="1" w:tplc="9E968F38" w:tentative="1">
      <w:start w:val="1"/>
      <w:numFmt w:val="bullet"/>
      <w:lvlText w:val="o"/>
      <w:lvlJc w:val="left"/>
      <w:pPr>
        <w:tabs>
          <w:tab w:val="num" w:pos="3600"/>
        </w:tabs>
        <w:ind w:left="3600" w:hanging="360"/>
      </w:pPr>
      <w:rPr>
        <w:rFonts w:ascii="Courier New" w:hAnsi="Courier New" w:hint="default"/>
      </w:rPr>
    </w:lvl>
    <w:lvl w:ilvl="2" w:tplc="E244C7E8" w:tentative="1">
      <w:start w:val="1"/>
      <w:numFmt w:val="bullet"/>
      <w:lvlText w:val=""/>
      <w:lvlJc w:val="left"/>
      <w:pPr>
        <w:tabs>
          <w:tab w:val="num" w:pos="4320"/>
        </w:tabs>
        <w:ind w:left="4320" w:hanging="360"/>
      </w:pPr>
      <w:rPr>
        <w:rFonts w:ascii="Wingdings" w:hAnsi="Wingdings" w:hint="default"/>
      </w:rPr>
    </w:lvl>
    <w:lvl w:ilvl="3" w:tplc="C298BB6C">
      <w:start w:val="1"/>
      <w:numFmt w:val="bullet"/>
      <w:lvlText w:val=""/>
      <w:lvlJc w:val="left"/>
      <w:pPr>
        <w:tabs>
          <w:tab w:val="num" w:pos="5040"/>
        </w:tabs>
        <w:ind w:left="5040" w:hanging="360"/>
      </w:pPr>
      <w:rPr>
        <w:rFonts w:ascii="Symbol" w:hAnsi="Symbol" w:hint="default"/>
      </w:rPr>
    </w:lvl>
    <w:lvl w:ilvl="4" w:tplc="A52E7898" w:tentative="1">
      <w:start w:val="1"/>
      <w:numFmt w:val="bullet"/>
      <w:lvlText w:val="o"/>
      <w:lvlJc w:val="left"/>
      <w:pPr>
        <w:tabs>
          <w:tab w:val="num" w:pos="5760"/>
        </w:tabs>
        <w:ind w:left="5760" w:hanging="360"/>
      </w:pPr>
      <w:rPr>
        <w:rFonts w:ascii="Courier New" w:hAnsi="Courier New" w:hint="default"/>
      </w:rPr>
    </w:lvl>
    <w:lvl w:ilvl="5" w:tplc="D3EEECDE" w:tentative="1">
      <w:start w:val="1"/>
      <w:numFmt w:val="bullet"/>
      <w:lvlText w:val=""/>
      <w:lvlJc w:val="left"/>
      <w:pPr>
        <w:tabs>
          <w:tab w:val="num" w:pos="6480"/>
        </w:tabs>
        <w:ind w:left="6480" w:hanging="360"/>
      </w:pPr>
      <w:rPr>
        <w:rFonts w:ascii="Wingdings" w:hAnsi="Wingdings" w:hint="default"/>
      </w:rPr>
    </w:lvl>
    <w:lvl w:ilvl="6" w:tplc="936059F4" w:tentative="1">
      <w:start w:val="1"/>
      <w:numFmt w:val="bullet"/>
      <w:lvlText w:val=""/>
      <w:lvlJc w:val="left"/>
      <w:pPr>
        <w:tabs>
          <w:tab w:val="num" w:pos="7200"/>
        </w:tabs>
        <w:ind w:left="7200" w:hanging="360"/>
      </w:pPr>
      <w:rPr>
        <w:rFonts w:ascii="Symbol" w:hAnsi="Symbol" w:hint="default"/>
      </w:rPr>
    </w:lvl>
    <w:lvl w:ilvl="7" w:tplc="63BEEF64" w:tentative="1">
      <w:start w:val="1"/>
      <w:numFmt w:val="bullet"/>
      <w:lvlText w:val="o"/>
      <w:lvlJc w:val="left"/>
      <w:pPr>
        <w:tabs>
          <w:tab w:val="num" w:pos="7920"/>
        </w:tabs>
        <w:ind w:left="7920" w:hanging="360"/>
      </w:pPr>
      <w:rPr>
        <w:rFonts w:ascii="Courier New" w:hAnsi="Courier New" w:hint="default"/>
      </w:rPr>
    </w:lvl>
    <w:lvl w:ilvl="8" w:tplc="57466C44" w:tentative="1">
      <w:start w:val="1"/>
      <w:numFmt w:val="bullet"/>
      <w:lvlText w:val=""/>
      <w:lvlJc w:val="left"/>
      <w:pPr>
        <w:tabs>
          <w:tab w:val="num" w:pos="8640"/>
        </w:tabs>
        <w:ind w:left="8640" w:hanging="360"/>
      </w:pPr>
      <w:rPr>
        <w:rFonts w:ascii="Wingdings" w:hAnsi="Wingdings" w:hint="default"/>
      </w:rPr>
    </w:lvl>
  </w:abstractNum>
  <w:abstractNum w:abstractNumId="27">
    <w:nsid w:val="6C12412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8">
    <w:nsid w:val="6C6C4BCD"/>
    <w:multiLevelType w:val="hybridMultilevel"/>
    <w:tmpl w:val="D486CF1A"/>
    <w:lvl w:ilvl="0" w:tplc="611E1888">
      <w:start w:val="1"/>
      <w:numFmt w:val="decimal"/>
      <w:lvlText w:val="(%1)"/>
      <w:lvlJc w:val="left"/>
      <w:pPr>
        <w:tabs>
          <w:tab w:val="num" w:pos="2520"/>
        </w:tabs>
        <w:ind w:left="2520" w:hanging="720"/>
      </w:pPr>
      <w:rPr>
        <w:rFonts w:cs="Times New Roman" w:hint="default"/>
      </w:rPr>
    </w:lvl>
    <w:lvl w:ilvl="1" w:tplc="71D47034">
      <w:start w:val="1"/>
      <w:numFmt w:val="lowerRoman"/>
      <w:lvlText w:val="(%2)"/>
      <w:lvlJc w:val="left"/>
      <w:pPr>
        <w:tabs>
          <w:tab w:val="num" w:pos="1800"/>
        </w:tabs>
        <w:ind w:left="1800" w:hanging="720"/>
      </w:pPr>
      <w:rPr>
        <w:rFonts w:cs="Times New Roman" w:hint="default"/>
        <w:b w:val="0"/>
      </w:rPr>
    </w:lvl>
    <w:lvl w:ilvl="2" w:tplc="0EE27252">
      <w:start w:val="1"/>
      <w:numFmt w:val="decimal"/>
      <w:lvlText w:val="(%3)"/>
      <w:lvlJc w:val="right"/>
      <w:pPr>
        <w:tabs>
          <w:tab w:val="num" w:pos="2160"/>
        </w:tabs>
        <w:ind w:left="2160" w:hanging="180"/>
      </w:pPr>
      <w:rPr>
        <w:rFonts w:ascii="Times New Roman" w:eastAsia="Times New Roman" w:hAnsi="Times New Roman" w:cs="Times New Roman"/>
        <w:b w:val="0"/>
      </w:rPr>
    </w:lvl>
    <w:lvl w:ilvl="3" w:tplc="34FAD4E2">
      <w:start w:val="1"/>
      <w:numFmt w:val="lowerRoman"/>
      <w:lvlText w:val="(%4)"/>
      <w:lvlJc w:val="left"/>
      <w:pPr>
        <w:tabs>
          <w:tab w:val="num" w:pos="2520"/>
        </w:tabs>
        <w:ind w:left="2880" w:hanging="360"/>
      </w:pPr>
      <w:rPr>
        <w:rFonts w:cs="Times New Roman" w:hint="default"/>
        <w:b w:val="0"/>
      </w:rPr>
    </w:lvl>
    <w:lvl w:ilvl="4" w:tplc="7B6446F2" w:tentative="1">
      <w:start w:val="1"/>
      <w:numFmt w:val="lowerLetter"/>
      <w:lvlText w:val="%5."/>
      <w:lvlJc w:val="left"/>
      <w:pPr>
        <w:tabs>
          <w:tab w:val="num" w:pos="3600"/>
        </w:tabs>
        <w:ind w:left="3600" w:hanging="360"/>
      </w:pPr>
      <w:rPr>
        <w:rFonts w:cs="Times New Roman"/>
      </w:rPr>
    </w:lvl>
    <w:lvl w:ilvl="5" w:tplc="157C7642" w:tentative="1">
      <w:start w:val="1"/>
      <w:numFmt w:val="lowerRoman"/>
      <w:lvlText w:val="%6."/>
      <w:lvlJc w:val="right"/>
      <w:pPr>
        <w:tabs>
          <w:tab w:val="num" w:pos="4320"/>
        </w:tabs>
        <w:ind w:left="4320" w:hanging="180"/>
      </w:pPr>
      <w:rPr>
        <w:rFonts w:cs="Times New Roman"/>
      </w:rPr>
    </w:lvl>
    <w:lvl w:ilvl="6" w:tplc="5F14F094" w:tentative="1">
      <w:start w:val="1"/>
      <w:numFmt w:val="decimal"/>
      <w:lvlText w:val="%7."/>
      <w:lvlJc w:val="left"/>
      <w:pPr>
        <w:tabs>
          <w:tab w:val="num" w:pos="5040"/>
        </w:tabs>
        <w:ind w:left="5040" w:hanging="360"/>
      </w:pPr>
      <w:rPr>
        <w:rFonts w:cs="Times New Roman"/>
      </w:rPr>
    </w:lvl>
    <w:lvl w:ilvl="7" w:tplc="1FF433F4" w:tentative="1">
      <w:start w:val="1"/>
      <w:numFmt w:val="lowerLetter"/>
      <w:lvlText w:val="%8."/>
      <w:lvlJc w:val="left"/>
      <w:pPr>
        <w:tabs>
          <w:tab w:val="num" w:pos="5760"/>
        </w:tabs>
        <w:ind w:left="5760" w:hanging="360"/>
      </w:pPr>
      <w:rPr>
        <w:rFonts w:cs="Times New Roman"/>
      </w:rPr>
    </w:lvl>
    <w:lvl w:ilvl="8" w:tplc="7B1EC6E8" w:tentative="1">
      <w:start w:val="1"/>
      <w:numFmt w:val="lowerRoman"/>
      <w:lvlText w:val="%9."/>
      <w:lvlJc w:val="right"/>
      <w:pPr>
        <w:tabs>
          <w:tab w:val="num" w:pos="6480"/>
        </w:tabs>
        <w:ind w:left="6480" w:hanging="180"/>
      </w:pPr>
      <w:rPr>
        <w:rFonts w:cs="Times New Roman"/>
      </w:rPr>
    </w:lvl>
  </w:abstractNum>
  <w:abstractNum w:abstractNumId="29">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0">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1">
    <w:nsid w:val="74A4092C"/>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2">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abstractNum w:abstractNumId="33">
    <w:nsid w:val="76723868"/>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4">
    <w:nsid w:val="76EE4C3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5">
    <w:nsid w:val="782150F0"/>
    <w:multiLevelType w:val="multilevel"/>
    <w:tmpl w:val="568EFD74"/>
    <w:lvl w:ilvl="0">
      <w:start w:val="6"/>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792"/>
        </w:tabs>
        <w:ind w:left="792" w:hanging="432"/>
      </w:pPr>
      <w:rPr>
        <w:rFonts w:cs="Times New Roman" w:hint="default"/>
        <w:u w:val="none"/>
      </w:rPr>
    </w:lvl>
    <w:lvl w:ilvl="2">
      <w:start w:val="1"/>
      <w:numFmt w:val="decimal"/>
      <w:lvlText w:val="%1.%2.%3."/>
      <w:lvlJc w:val="left"/>
      <w:pPr>
        <w:tabs>
          <w:tab w:val="num" w:pos="1800"/>
        </w:tabs>
        <w:ind w:left="1224" w:hanging="504"/>
      </w:pPr>
      <w:rPr>
        <w:rFonts w:cs="Times New Roman" w:hint="default"/>
      </w:rPr>
    </w:lvl>
    <w:lvl w:ilvl="3">
      <w:start w:val="4"/>
      <w:numFmt w:val="decimal"/>
      <w:lvlText w:val="%1.%2.%3.%4."/>
      <w:lvlJc w:val="left"/>
      <w:pPr>
        <w:tabs>
          <w:tab w:val="num" w:pos="252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2"/>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504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num w:numId="1">
    <w:abstractNumId w:val="0"/>
  </w:num>
  <w:num w:numId="2">
    <w:abstractNumId w:val="20"/>
  </w:num>
  <w:num w:numId="3">
    <w:abstractNumId w:val="0"/>
    <w:lvlOverride w:ilvl="0">
      <w:startOverride w:val="7"/>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4">
    <w:abstractNumId w:val="35"/>
  </w:num>
  <w:num w:numId="5">
    <w:abstractNumId w:val="0"/>
  </w:num>
  <w:num w:numId="6">
    <w:abstractNumId w:val="28"/>
  </w:num>
  <w:num w:numId="7">
    <w:abstractNumId w:val="7"/>
  </w:num>
  <w:num w:numId="8">
    <w:abstractNumId w:val="5"/>
  </w:num>
  <w:num w:numId="9">
    <w:abstractNumId w:val="23"/>
  </w:num>
  <w:num w:numId="10">
    <w:abstractNumId w:val="21"/>
  </w:num>
  <w:num w:numId="11">
    <w:abstractNumId w:val="4"/>
  </w:num>
  <w:num w:numId="12">
    <w:abstractNumId w:val="25"/>
  </w:num>
  <w:num w:numId="13">
    <w:abstractNumId w:val="8"/>
  </w:num>
  <w:num w:numId="14">
    <w:abstractNumId w:val="22"/>
  </w:num>
  <w:num w:numId="15">
    <w:abstractNumId w:val="18"/>
  </w:num>
  <w:num w:numId="16">
    <w:abstractNumId w:val="15"/>
  </w:num>
  <w:num w:numId="17">
    <w:abstractNumId w:val="14"/>
  </w:num>
  <w:num w:numId="18">
    <w:abstractNumId w:val="6"/>
  </w:num>
  <w:num w:numId="19">
    <w:abstractNumId w:val="19"/>
  </w:num>
  <w:num w:numId="20">
    <w:abstractNumId w:val="1"/>
  </w:num>
  <w:num w:numId="21">
    <w:abstractNumId w:val="33"/>
  </w:num>
  <w:num w:numId="22">
    <w:abstractNumId w:val="24"/>
  </w:num>
  <w:num w:numId="23">
    <w:abstractNumId w:val="27"/>
  </w:num>
  <w:num w:numId="24">
    <w:abstractNumId w:val="3"/>
  </w:num>
  <w:num w:numId="25">
    <w:abstractNumId w:val="34"/>
  </w:num>
  <w:num w:numId="26">
    <w:abstractNumId w:val="31"/>
  </w:num>
  <w:num w:numId="27">
    <w:abstractNumId w:val="32"/>
  </w:num>
  <w:num w:numId="28">
    <w:abstractNumId w:val="11"/>
  </w:num>
  <w:num w:numId="29">
    <w:abstractNumId w:val="12"/>
  </w:num>
  <w:num w:numId="30">
    <w:abstractNumId w:val="29"/>
  </w:num>
  <w:num w:numId="31">
    <w:abstractNumId w:val="10"/>
  </w:num>
  <w:num w:numId="32">
    <w:abstractNumId w:val="30"/>
  </w:num>
  <w:num w:numId="33">
    <w:abstractNumId w:val="17"/>
  </w:num>
  <w:num w:numId="34">
    <w:abstractNumId w:val="16"/>
  </w:num>
  <w:num w:numId="35">
    <w:abstractNumId w:val="13"/>
  </w:num>
  <w:num w:numId="36">
    <w:abstractNumId w:val="2"/>
  </w:num>
  <w:num w:numId="37">
    <w:abstractNumId w:val="9"/>
  </w:num>
  <w:num w:numId="3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85EBA"/>
    <w:rsid w:val="00E73B96"/>
    <w:rsid w:val="00F85EBA"/>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semiHidden="1" w:unhideWhenUsed="1" w:qFormat="1"/>
    <w:lsdException w:name="footnote reference" w:uiPriority="99"/>
    <w:lsdException w:name="page number" w:uiPriority="99"/>
    <w:lsdException w:name="Title" w:uiPriority="99" w:qFormat="1"/>
    <w:lsdException w:name="Default Paragraph Font" w:uiPriority="1"/>
    <w:lsdException w:name="Subtitle" w:qFormat="1"/>
    <w:lsdException w:name="Date" w:uiPriority="99"/>
    <w:lsdException w:name="Hyperlink" w:uiPriority="99"/>
    <w:lsdException w:name="FollowedHyperlink" w:uiPriority="99"/>
    <w:lsdException w:name="Strong" w:qFormat="1"/>
    <w:lsdException w:name="Emphasis" w:qFormat="1"/>
    <w:lsdException w:name="Document Map"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link w:val="Heading1Char"/>
    <w:uiPriority w:val="99"/>
    <w:qFormat/>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pPr>
      <w:keepNext/>
      <w:spacing w:line="480" w:lineRule="auto"/>
      <w:ind w:left="1440" w:right="-90" w:hanging="720"/>
      <w:outlineLvl w:val="4"/>
    </w:pPr>
    <w:rPr>
      <w:b/>
    </w:rPr>
  </w:style>
  <w:style w:type="paragraph" w:styleId="Heading6">
    <w:name w:val="heading 6"/>
    <w:basedOn w:val="Normal"/>
    <w:next w:val="Normal"/>
    <w:link w:val="Heading6Char"/>
    <w:uiPriority w:val="99"/>
    <w:qFormat/>
    <w:pPr>
      <w:keepNext/>
      <w:spacing w:line="480" w:lineRule="auto"/>
      <w:ind w:left="1080" w:right="-90" w:hanging="360"/>
      <w:outlineLvl w:val="5"/>
    </w:pPr>
    <w:rPr>
      <w:b/>
    </w:rPr>
  </w:style>
  <w:style w:type="paragraph" w:styleId="Heading7">
    <w:name w:val="heading 7"/>
    <w:basedOn w:val="Normal"/>
    <w:next w:val="Normal"/>
    <w:link w:val="Heading7Char"/>
    <w:uiPriority w:val="99"/>
    <w:qFormat/>
    <w:pPr>
      <w:keepNext/>
      <w:spacing w:line="480" w:lineRule="auto"/>
      <w:ind w:left="720" w:right="630"/>
      <w:outlineLvl w:val="6"/>
    </w:pPr>
    <w:rPr>
      <w:b/>
    </w:rPr>
  </w:style>
  <w:style w:type="paragraph" w:styleId="Heading8">
    <w:name w:val="heading 8"/>
    <w:basedOn w:val="Normal"/>
    <w:next w:val="Normal"/>
    <w:link w:val="Heading8Char"/>
    <w:uiPriority w:val="99"/>
    <w:qFormat/>
    <w:pPr>
      <w:keepNext/>
      <w:spacing w:line="480" w:lineRule="auto"/>
      <w:ind w:left="720" w:right="-90"/>
      <w:outlineLvl w:val="7"/>
    </w:pPr>
    <w:rPr>
      <w:b/>
    </w:rPr>
  </w:style>
  <w:style w:type="paragraph" w:styleId="Heading9">
    <w:name w:val="heading 9"/>
    <w:basedOn w:val="Normal"/>
    <w:next w:val="Normal"/>
    <w:link w:val="Heading9Char"/>
    <w:uiPriority w:val="99"/>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Pr>
      <w:b/>
      <w:sz w:val="24"/>
      <w:szCs w:val="24"/>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uiPriority w:val="99"/>
    <w:rPr>
      <w:rFonts w:cs="Times New Roman"/>
    </w:rPr>
  </w:style>
  <w:style w:type="paragraph" w:customStyle="1" w:styleId="Definitionhead">
    <w:name w:val="Definition head"/>
    <w:basedOn w:val="subhead"/>
    <w:uiPriority w:val="99"/>
    <w:pPr>
      <w:spacing w:after="0"/>
      <w:ind w:left="0"/>
    </w:pPr>
  </w:style>
  <w:style w:type="paragraph" w:customStyle="1" w:styleId="subhead">
    <w:name w:val="subhead"/>
    <w:basedOn w:val="Heading4"/>
    <w:uiPriority w:val="99"/>
    <w:pPr>
      <w:tabs>
        <w:tab w:val="clear" w:pos="1800"/>
      </w:tabs>
      <w:ind w:left="720" w:firstLine="0"/>
    </w:pPr>
  </w:style>
  <w:style w:type="paragraph" w:styleId="FootnoteText">
    <w:name w:val="footnote text"/>
    <w:basedOn w:val="Normal"/>
    <w:link w:val="FootnoteTextChar"/>
    <w:uiPriority w:val="99"/>
    <w:semiHidden/>
    <w:pPr>
      <w:jc w:val="both"/>
    </w:pPr>
    <w:rPr>
      <w:sz w:val="20"/>
    </w:rPr>
  </w:style>
  <w:style w:type="character" w:styleId="FootnoteReference">
    <w:name w:val="footnote reference"/>
    <w:basedOn w:val="DefaultParagraphFont"/>
    <w:uiPriority w:val="99"/>
    <w:semiHidden/>
    <w:rPr>
      <w:rFonts w:cs="Times New Roman"/>
    </w:rPr>
  </w:style>
  <w:style w:type="paragraph" w:styleId="Header">
    <w:name w:val="header"/>
    <w:basedOn w:val="Normal"/>
    <w:link w:val="HeaderChar"/>
    <w:uiPriority w:val="99"/>
    <w:pPr>
      <w:tabs>
        <w:tab w:val="center" w:pos="4680"/>
        <w:tab w:val="right" w:pos="9360"/>
      </w:tabs>
    </w:pPr>
  </w:style>
  <w:style w:type="paragraph" w:styleId="Title">
    <w:name w:val="Title"/>
    <w:basedOn w:val="Normal"/>
    <w:link w:val="TitleChar"/>
    <w:uiPriority w:val="99"/>
    <w:qFormat/>
    <w:pPr>
      <w:spacing w:after="240"/>
      <w:jc w:val="center"/>
    </w:pPr>
    <w:rPr>
      <w:rFonts w:cs="Arial"/>
      <w:bCs/>
      <w:szCs w:val="32"/>
    </w:rPr>
  </w:style>
  <w:style w:type="character" w:styleId="FollowedHyperlink">
    <w:name w:val="FollowedHyperlink"/>
    <w:basedOn w:val="DefaultParagraphFont"/>
    <w:uiPriority w:val="99"/>
    <w:rPr>
      <w:rFonts w:cs="Times New Roman"/>
      <w:color w:val="800080"/>
      <w:u w:val="single"/>
    </w:rPr>
  </w:style>
  <w:style w:type="paragraph" w:customStyle="1" w:styleId="Definition">
    <w:name w:val="Definition"/>
    <w:basedOn w:val="Normal"/>
    <w:uiPriority w:val="99"/>
    <w:pPr>
      <w:spacing w:before="240" w:after="240"/>
    </w:pPr>
  </w:style>
  <w:style w:type="paragraph" w:customStyle="1" w:styleId="Definitionindent">
    <w:name w:val="Definition indent"/>
    <w:basedOn w:val="Definition"/>
    <w:uiPriority w:val="99"/>
    <w:pPr>
      <w:spacing w:before="120" w:after="120"/>
      <w:ind w:left="720"/>
    </w:pPr>
  </w:style>
  <w:style w:type="paragraph" w:customStyle="1" w:styleId="Bodypara">
    <w:name w:val="Body para"/>
    <w:basedOn w:val="Normal"/>
    <w:uiPriority w:val="99"/>
    <w:pPr>
      <w:spacing w:line="480" w:lineRule="auto"/>
      <w:ind w:firstLine="720"/>
    </w:pPr>
  </w:style>
  <w:style w:type="paragraph" w:customStyle="1" w:styleId="alphapara">
    <w:name w:val="alpha para"/>
    <w:basedOn w:val="Bodypara"/>
    <w:link w:val="alphaparaChar"/>
    <w:uiPriority w:val="99"/>
    <w:pPr>
      <w:ind w:left="1440" w:hanging="720"/>
    </w:pPr>
  </w:style>
  <w:style w:type="paragraph" w:styleId="Date">
    <w:name w:val="Date"/>
    <w:basedOn w:val="Normal"/>
    <w:next w:val="Normal"/>
    <w:link w:val="DateChar"/>
    <w:uiPriority w:val="99"/>
  </w:style>
  <w:style w:type="paragraph" w:customStyle="1" w:styleId="TOCHeading1">
    <w:name w:val="TOC Heading1"/>
    <w:basedOn w:val="Normal"/>
    <w:uiPriority w:val="99"/>
    <w:pPr>
      <w:spacing w:before="240" w:after="240"/>
    </w:pPr>
    <w:rPr>
      <w:b/>
    </w:rPr>
  </w:style>
  <w:style w:type="paragraph" w:styleId="DocumentMap">
    <w:name w:val="Document Map"/>
    <w:basedOn w:val="Normal"/>
    <w:link w:val="DocumentMapChar"/>
    <w:uiPriority w:val="99"/>
    <w:semiHidden/>
    <w:pPr>
      <w:shd w:val="clear" w:color="auto" w:fill="000080"/>
    </w:pPr>
    <w:rPr>
      <w:rFonts w:ascii="Tahoma" w:hAnsi="Tahoma" w:cs="Tahoma"/>
      <w:sz w:val="20"/>
    </w:rPr>
  </w:style>
  <w:style w:type="paragraph" w:customStyle="1" w:styleId="Footers">
    <w:name w:val="Footers"/>
    <w:basedOn w:val="Heading1"/>
    <w:uiPriority w:val="99"/>
    <w:pPr>
      <w:tabs>
        <w:tab w:val="left" w:pos="1440"/>
        <w:tab w:val="left" w:pos="7020"/>
        <w:tab w:val="right" w:pos="9360"/>
      </w:tabs>
    </w:pPr>
    <w:rPr>
      <w:b w:val="0"/>
      <w:sz w:val="20"/>
    </w:rPr>
  </w:style>
  <w:style w:type="paragraph" w:customStyle="1" w:styleId="alphaheading">
    <w:name w:val="alpha heading"/>
    <w:basedOn w:val="Normal"/>
    <w:uiPriority w:val="99"/>
    <w:pPr>
      <w:keepNext/>
      <w:tabs>
        <w:tab w:val="left" w:pos="1440"/>
      </w:tabs>
      <w:spacing w:before="240" w:after="240"/>
      <w:ind w:left="1440" w:hanging="720"/>
    </w:pPr>
    <w:rPr>
      <w:b/>
    </w:rPr>
  </w:style>
  <w:style w:type="paragraph" w:customStyle="1" w:styleId="romannumeralpara">
    <w:name w:val="roman numeral para"/>
    <w:basedOn w:val="Normal"/>
    <w:uiPriority w:val="99"/>
    <w:pPr>
      <w:spacing w:line="480" w:lineRule="auto"/>
      <w:ind w:left="1440" w:hanging="720"/>
    </w:pPr>
  </w:style>
  <w:style w:type="paragraph" w:customStyle="1" w:styleId="Bulletpara">
    <w:name w:val="Bullet para"/>
    <w:basedOn w:val="Normal"/>
    <w:uiPriority w:val="99"/>
    <w:pPr>
      <w:numPr>
        <w:numId w:val="36"/>
      </w:numPr>
      <w:tabs>
        <w:tab w:val="left" w:pos="900"/>
      </w:tabs>
      <w:spacing w:before="120" w:after="120"/>
    </w:pPr>
  </w:style>
  <w:style w:type="paragraph" w:styleId="TOC1">
    <w:name w:val="toc 1"/>
    <w:basedOn w:val="Normal"/>
    <w:next w:val="Normal"/>
    <w:uiPriority w:val="99"/>
    <w:semiHidden/>
  </w:style>
  <w:style w:type="paragraph" w:customStyle="1" w:styleId="Tarifftitle">
    <w:name w:val="Tariff title"/>
    <w:basedOn w:val="Normal"/>
    <w:uiPriority w:val="99"/>
    <w:rPr>
      <w:b/>
      <w:sz w:val="28"/>
      <w:szCs w:val="28"/>
    </w:rPr>
  </w:style>
  <w:style w:type="paragraph" w:styleId="TOC2">
    <w:name w:val="toc 2"/>
    <w:basedOn w:val="Normal"/>
    <w:next w:val="Normal"/>
    <w:uiPriority w:val="99"/>
    <w:semiHidden/>
    <w:pPr>
      <w:ind w:left="240"/>
    </w:pPr>
  </w:style>
  <w:style w:type="character" w:styleId="Hyperlink">
    <w:name w:val="Hyperlink"/>
    <w:basedOn w:val="DefaultParagraphFont"/>
    <w:uiPriority w:val="99"/>
    <w:rPr>
      <w:rFonts w:cs="Times New Roman"/>
      <w:color w:val="0000FF"/>
      <w:u w:val="single"/>
    </w:rPr>
  </w:style>
  <w:style w:type="paragraph" w:styleId="TOC3">
    <w:name w:val="toc 3"/>
    <w:basedOn w:val="Normal"/>
    <w:next w:val="Normal"/>
    <w:uiPriority w:val="99"/>
    <w:semiHidden/>
    <w:pPr>
      <w:ind w:left="480"/>
    </w:pPr>
  </w:style>
  <w:style w:type="paragraph" w:styleId="TOC4">
    <w:name w:val="toc 4"/>
    <w:basedOn w:val="Normal"/>
    <w:next w:val="Normal"/>
    <w:uiPriority w:val="99"/>
    <w:semiHidden/>
    <w:pPr>
      <w:ind w:left="720"/>
    </w:pPr>
  </w:style>
  <w:style w:type="paragraph" w:customStyle="1" w:styleId="Level1">
    <w:name w:val="Level 1"/>
    <w:basedOn w:val="Normal"/>
    <w:uiPriority w:val="99"/>
    <w:pPr>
      <w:ind w:left="1890" w:hanging="720"/>
    </w:p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Heading1Char">
    <w:name w:val="Heading 1 Char"/>
    <w:basedOn w:val="DefaultParagraphFont"/>
    <w:link w:val="Heading1"/>
    <w:uiPriority w:val="99"/>
    <w:locked/>
    <w:rPr>
      <w:b/>
      <w:sz w:val="24"/>
      <w:szCs w:val="24"/>
    </w:rPr>
  </w:style>
  <w:style w:type="character" w:customStyle="1" w:styleId="Heading2Char">
    <w:name w:val="Heading 2 Char"/>
    <w:basedOn w:val="DefaultParagraphFont"/>
    <w:link w:val="Heading2"/>
    <w:uiPriority w:val="99"/>
    <w:locked/>
    <w:rPr>
      <w:b/>
      <w:sz w:val="24"/>
      <w:szCs w:val="24"/>
    </w:rPr>
  </w:style>
  <w:style w:type="character" w:customStyle="1" w:styleId="Heading4Char">
    <w:name w:val="Heading 4 Char"/>
    <w:basedOn w:val="DefaultParagraphFont"/>
    <w:link w:val="Heading4"/>
    <w:uiPriority w:val="99"/>
    <w:locked/>
    <w:rPr>
      <w:b/>
      <w:sz w:val="24"/>
      <w:szCs w:val="24"/>
    </w:rPr>
  </w:style>
  <w:style w:type="character" w:customStyle="1" w:styleId="Heading5Char">
    <w:name w:val="Heading 5 Char"/>
    <w:basedOn w:val="DefaultParagraphFont"/>
    <w:link w:val="Heading5"/>
    <w:uiPriority w:val="99"/>
    <w:locked/>
    <w:rPr>
      <w:b/>
      <w:sz w:val="24"/>
      <w:szCs w:val="24"/>
    </w:rPr>
  </w:style>
  <w:style w:type="character" w:customStyle="1" w:styleId="Heading6Char">
    <w:name w:val="Heading 6 Char"/>
    <w:basedOn w:val="DefaultParagraphFont"/>
    <w:link w:val="Heading6"/>
    <w:uiPriority w:val="99"/>
    <w:locked/>
    <w:rPr>
      <w:b/>
      <w:sz w:val="24"/>
      <w:szCs w:val="24"/>
    </w:rPr>
  </w:style>
  <w:style w:type="character" w:customStyle="1" w:styleId="Heading7Char">
    <w:name w:val="Heading 7 Char"/>
    <w:basedOn w:val="DefaultParagraphFont"/>
    <w:link w:val="Heading7"/>
    <w:uiPriority w:val="99"/>
    <w:locked/>
    <w:rPr>
      <w:b/>
      <w:sz w:val="24"/>
      <w:szCs w:val="24"/>
    </w:rPr>
  </w:style>
  <w:style w:type="character" w:customStyle="1" w:styleId="Heading8Char">
    <w:name w:val="Heading 8 Char"/>
    <w:basedOn w:val="DefaultParagraphFont"/>
    <w:link w:val="Heading8"/>
    <w:uiPriority w:val="99"/>
    <w:locked/>
    <w:rPr>
      <w:b/>
      <w:sz w:val="24"/>
      <w:szCs w:val="24"/>
    </w:rPr>
  </w:style>
  <w:style w:type="character" w:customStyle="1" w:styleId="Heading9Char">
    <w:name w:val="Heading 9 Char"/>
    <w:basedOn w:val="DefaultParagraphFont"/>
    <w:link w:val="Heading9"/>
    <w:uiPriority w:val="99"/>
    <w:locked/>
    <w:rPr>
      <w:b/>
      <w:sz w:val="24"/>
      <w:szCs w:val="24"/>
    </w:rPr>
  </w:style>
  <w:style w:type="character" w:customStyle="1" w:styleId="FooterChar">
    <w:name w:val="Footer Char"/>
    <w:basedOn w:val="DefaultParagraphFont"/>
    <w:link w:val="Footer"/>
    <w:uiPriority w:val="99"/>
    <w:locked/>
    <w:rPr>
      <w:sz w:val="24"/>
      <w:szCs w:val="24"/>
    </w:rPr>
  </w:style>
  <w:style w:type="character" w:customStyle="1" w:styleId="FootnoteTextChar">
    <w:name w:val="Footnote Text Char"/>
    <w:basedOn w:val="DefaultParagraphFont"/>
    <w:link w:val="FootnoteText"/>
    <w:uiPriority w:val="99"/>
    <w:semiHidden/>
    <w:locked/>
    <w:rPr>
      <w:szCs w:val="24"/>
    </w:rPr>
  </w:style>
  <w:style w:type="character" w:customStyle="1" w:styleId="HeaderChar">
    <w:name w:val="Header Char"/>
    <w:basedOn w:val="DefaultParagraphFont"/>
    <w:link w:val="Header"/>
    <w:uiPriority w:val="99"/>
    <w:locked/>
    <w:rPr>
      <w:sz w:val="24"/>
      <w:szCs w:val="24"/>
    </w:rPr>
  </w:style>
  <w:style w:type="character" w:customStyle="1" w:styleId="TitleChar">
    <w:name w:val="Title Char"/>
    <w:basedOn w:val="DefaultParagraphFont"/>
    <w:link w:val="Title"/>
    <w:uiPriority w:val="99"/>
    <w:locked/>
    <w:rPr>
      <w:rFonts w:cs="Arial"/>
      <w:bCs/>
      <w:sz w:val="24"/>
      <w:szCs w:val="32"/>
    </w:rPr>
  </w:style>
  <w:style w:type="character" w:customStyle="1" w:styleId="DateChar">
    <w:name w:val="Date Char"/>
    <w:basedOn w:val="DefaultParagraphFont"/>
    <w:link w:val="Date"/>
    <w:uiPriority w:val="99"/>
    <w:locked/>
    <w:rPr>
      <w:sz w:val="24"/>
      <w:szCs w:val="24"/>
    </w:rPr>
  </w:style>
  <w:style w:type="character" w:customStyle="1" w:styleId="DocumentMapChar">
    <w:name w:val="Document Map Char"/>
    <w:basedOn w:val="DefaultParagraphFont"/>
    <w:link w:val="DocumentMap"/>
    <w:uiPriority w:val="99"/>
    <w:semiHidden/>
    <w:locked/>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character" w:customStyle="1" w:styleId="alphaparaChar">
    <w:name w:val="alpha para Char"/>
    <w:basedOn w:val="DefaultParagraphFont"/>
    <w:link w:val="alphapara"/>
    <w:uiPriority w:val="99"/>
    <w:locked/>
    <w:rPr>
      <w:sz w:val="24"/>
      <w:szCs w:val="24"/>
    </w:rPr>
  </w:style>
  <w:style w:type="paragraph" w:styleId="Revision">
    <w:name w:val="Revision"/>
    <w:hidden/>
    <w:uiPriority w:val="99"/>
    <w:semiHidden/>
    <w:rPr>
      <w:rFonts w:ascii="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773</Words>
  <Characters>4408</Characters>
  <Application>Microsoft Office Word</Application>
  <DocSecurity>4</DocSecurity>
  <Lines>36</Lines>
  <Paragraphs>10</Paragraphs>
  <ScaleCrop>false</ScaleCrop>
  <HeadingPairs>
    <vt:vector size="2" baseType="variant">
      <vt:variant>
        <vt:lpstr>Title</vt:lpstr>
      </vt:variant>
      <vt:variant>
        <vt:i4>1</vt:i4>
      </vt:variant>
    </vt:vector>
  </HeadingPairs>
  <TitlesOfParts>
    <vt:vector size="1" baseType="lpstr">
      <vt:lpstr>30</vt:lpstr>
    </vt:vector>
  </TitlesOfParts>
  <Company/>
  <LinksUpToDate>false</LinksUpToDate>
  <CharactersWithSpaces>5171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30</dc:title>
  <cp:lastModifiedBy/>
  <cp:revision>1</cp:revision>
  <cp:lastPrinted>2010-03-10T14:35:00Z</cp:lastPrinted>
  <dcterms:created xsi:type="dcterms:W3CDTF">2019-09-09T19:25:00Z</dcterms:created>
  <dcterms:modified xsi:type="dcterms:W3CDTF">2019-09-09T19:25:00Z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ies>
</file>