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1F65A5">
      <w:pPr>
        <w:pStyle w:val="Heading2"/>
      </w:pPr>
      <w:bookmarkStart w:id="0" w:name="_Toc261446010"/>
      <w:r>
        <w:t>2.18</w:t>
      </w:r>
      <w:r>
        <w:tab/>
        <w:t>Definitions - R</w:t>
      </w:r>
      <w:bookmarkEnd w:id="0"/>
    </w:p>
    <w:p w:rsidR="00CE15EA" w:rsidRDefault="001F65A5">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1F65A5">
      <w:pPr>
        <w:pStyle w:val="Definition"/>
      </w:pPr>
      <w:r>
        <w:rPr>
          <w:b/>
        </w:rPr>
        <w:t>RCRR TCC</w:t>
      </w:r>
      <w:r>
        <w:t xml:space="preserve">: </w:t>
      </w:r>
      <w:r>
        <w:t xml:space="preserve"> </w:t>
      </w:r>
      <w:r>
        <w:t>A zone-to-zone TCC created when a Transmission Owner with a RCRR exercises its right to convert the RCRR into a TCC pursuant to Section 19.5.4 of Attachme</w:t>
      </w:r>
      <w:r>
        <w:t>nt M of the ISO OATT.</w:t>
      </w:r>
    </w:p>
    <w:p w:rsidR="00CE15EA" w:rsidRDefault="001F65A5">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1F65A5">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1F65A5">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1F65A5">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1F65A5">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1F65A5">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1F65A5">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1F65A5">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1F65A5">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1F65A5">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1F65A5">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1F65A5">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1F65A5">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1F65A5">
      <w:pPr>
        <w:pStyle w:val="Definition"/>
      </w:pPr>
      <w:r>
        <w:rPr>
          <w:b/>
        </w:rPr>
        <w:t>Reference Month</w:t>
      </w:r>
      <w:r w:rsidRPr="001171DA">
        <w:t>:</w:t>
      </w:r>
      <w:r>
        <w:t xml:space="preserve">  For purposes of the Net Benefits Test, the calendar month that is twelve months prior to the Study Month. </w:t>
      </w:r>
    </w:p>
    <w:p w:rsidR="00CE15EA" w:rsidRDefault="001F65A5">
      <w:pPr>
        <w:pStyle w:val="Definition"/>
      </w:pPr>
      <w:bookmarkStart w:id="20" w:name="_DV_M207"/>
      <w:bookmarkEnd w:id="20"/>
      <w:r>
        <w:rPr>
          <w:b/>
        </w:rPr>
        <w:t>Regulation Capacity</w:t>
      </w:r>
      <w:r w:rsidRPr="001171DA">
        <w:t xml:space="preserve">: </w:t>
      </w:r>
      <w:r>
        <w:t xml:space="preserve"> The Energy or Demand Reduction capability, measured in MW, </w:t>
      </w:r>
      <w:r>
        <w:t>that a Regulation Service provider offers and/or which it is scheduled to provide for Regulation Service.</w:t>
      </w:r>
    </w:p>
    <w:p w:rsidR="00CE15EA" w:rsidRDefault="001F65A5">
      <w:pPr>
        <w:pStyle w:val="Definition"/>
      </w:pPr>
      <w:r>
        <w:rPr>
          <w:b/>
        </w:rPr>
        <w:lastRenderedPageBreak/>
        <w:t>Regulation Capacity Market Price</w:t>
      </w:r>
      <w:r w:rsidRPr="001171DA">
        <w:t>:</w:t>
      </w:r>
      <w:r>
        <w:t xml:space="preserve"> </w:t>
      </w:r>
      <w:r>
        <w:t xml:space="preserve"> </w:t>
      </w:r>
      <w:r>
        <w:t>The price for Regulation Capacity determined by the ISO pursuant to section 15.3 of this Services Tariff.</w:t>
      </w:r>
    </w:p>
    <w:p w:rsidR="00CE15EA" w:rsidRDefault="001F65A5">
      <w:pPr>
        <w:pStyle w:val="Definition"/>
      </w:pPr>
      <w:r>
        <w:rPr>
          <w:b/>
        </w:rPr>
        <w:t>Regulatio</w:t>
      </w:r>
      <w:r>
        <w:rPr>
          <w:b/>
        </w:rPr>
        <w:t>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w:t>
      </w:r>
      <w:r>
        <w:rPr>
          <w:color w:val="000000"/>
        </w:rPr>
        <w:t>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1F65A5">
      <w:pPr>
        <w:pStyle w:val="Definition"/>
      </w:pPr>
      <w:r>
        <w:rPr>
          <w:b/>
        </w:rPr>
        <w:t>Regulation Movement</w:t>
      </w:r>
      <w:r w:rsidRPr="001171DA">
        <w:t xml:space="preserve">: </w:t>
      </w:r>
      <w:r w:rsidRPr="001171DA">
        <w:t xml:space="preserve"> </w:t>
      </w:r>
      <w:r>
        <w:t xml:space="preserve">The absolute value of the change </w:t>
      </w:r>
      <w:r>
        <w:t xml:space="preserve">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1F65A5">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1F65A5">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w:t>
      </w:r>
      <w:r>
        <w:t xml:space="preserve">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w:t>
      </w:r>
      <w:r>
        <w:t xml:space="preserve">ber of Regulation Movement MW instructed by AGC in each hour.  </w:t>
      </w:r>
      <w:bookmarkStart w:id="21" w:name="_DV_M304"/>
      <w:bookmarkEnd w:id="21"/>
    </w:p>
    <w:p w:rsidR="00CE15EA" w:rsidRDefault="001F65A5">
      <w:pPr>
        <w:pStyle w:val="Definition"/>
        <w:rPr>
          <w:b/>
        </w:rPr>
      </w:pPr>
      <w:r>
        <w:rPr>
          <w:b/>
        </w:rPr>
        <w:t>Regulation Movement Response Rate</w:t>
      </w:r>
      <w:r>
        <w:t xml:space="preserve">: </w:t>
      </w:r>
      <w:r>
        <w:t xml:space="preserve"> </w:t>
      </w:r>
      <w:r>
        <w:t>The amount of Regulation Movement a Regulation Service provider is capable of delivering in six seconds which shall not be less than, but can be equal to or</w:t>
      </w:r>
      <w:r>
        <w:t xml:space="preserve"> </w:t>
      </w:r>
      <w:r>
        <w:rPr>
          <w:iCs/>
        </w:rPr>
        <w:t>greater</w:t>
      </w:r>
      <w:r>
        <w:t xml:space="preserve"> than, the Regulation Capacity Response Rate equivalent.</w:t>
      </w:r>
      <w:r>
        <w:rPr>
          <w:b/>
        </w:rPr>
        <w:t xml:space="preserve"> </w:t>
      </w:r>
    </w:p>
    <w:p w:rsidR="00CE15EA" w:rsidRDefault="001F65A5">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w:t>
      </w:r>
      <w:r>
        <w:t xml:space="preserve">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w:t>
      </w:r>
      <w:r>
        <w:t>e Regulation Service requirement or target level shall be for MW of Regulation Capacity.</w:t>
      </w:r>
    </w:p>
    <w:p w:rsidR="00CE15EA" w:rsidRDefault="001F65A5">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w:t>
      </w:r>
      <w:r>
        <w:rPr>
          <w:iCs/>
        </w:rPr>
        <w:t xml:space="preserve">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w:t>
      </w:r>
      <w:r>
        <w:rPr>
          <w:iCs/>
        </w:rPr>
        <w:t xml:space="preserve"> Regulation Service shall be used to calculate Regulation Service payments under Rate Schedule 3 of this ISO Services Tariff.  </w:t>
      </w:r>
    </w:p>
    <w:p w:rsidR="00CE15EA" w:rsidRDefault="001F65A5">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w:t>
      </w:r>
      <w:r>
        <w:rPr>
          <w:bCs/>
          <w:iCs/>
        </w:rPr>
        <w:t>ulation Service under Section 15.3.6 of Rate Schedule 3 to this ISO Services Tariff.</w:t>
      </w:r>
    </w:p>
    <w:p w:rsidR="00CE15EA" w:rsidRDefault="001F65A5">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w:t>
      </w:r>
      <w:r>
        <w:rPr>
          <w:bCs/>
          <w:iCs/>
        </w:rPr>
        <w:t>ule 3 to this ISO Services Tariff.</w:t>
      </w:r>
    </w:p>
    <w:p w:rsidR="00CE15EA" w:rsidRDefault="001F65A5">
      <w:pPr>
        <w:pStyle w:val="Definition"/>
      </w:pPr>
      <w:r>
        <w:rPr>
          <w:b/>
        </w:rPr>
        <w:t>Reliability</w:t>
      </w:r>
      <w:r>
        <w:t xml:space="preserve"> </w:t>
      </w:r>
      <w:r>
        <w:rPr>
          <w:b/>
        </w:rPr>
        <w:t>Rules</w:t>
      </w:r>
      <w:bookmarkStart w:id="22" w:name="_DV_M79"/>
      <w:bookmarkEnd w:id="22"/>
      <w:r>
        <w:t xml:space="preserve">: </w:t>
      </w:r>
      <w:r>
        <w:t xml:space="preserve"> </w:t>
      </w:r>
      <w:r>
        <w:t xml:space="preserve">Those rules, standards, procedures and protocols developed and promulgated by the NYSRC, including Local Reliability Rules, in accordance with NERC, NPCC, FERC, PSC </w:t>
      </w:r>
      <w:bookmarkStart w:id="23" w:name="_DV_M80"/>
      <w:bookmarkEnd w:id="23"/>
      <w:r>
        <w:t>and NRC standards, rules and regulat</w:t>
      </w:r>
      <w:r>
        <w:t>ions and other criteria and pursuant to the NYSRC Agreement.</w:t>
      </w:r>
    </w:p>
    <w:p w:rsidR="002F2AC0" w:rsidRPr="00F640A9" w:rsidRDefault="001F65A5"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1F65A5">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1F65A5">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1F65A5">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1F65A5">
      <w:pPr>
        <w:pStyle w:val="Definition"/>
      </w:pPr>
      <w:r>
        <w:rPr>
          <w:b/>
        </w:rPr>
        <w:t>Residual</w:t>
      </w:r>
      <w:r>
        <w:rPr>
          <w:b/>
          <w:bCs/>
        </w:rPr>
        <w:t xml:space="preserve"> Capacity Reservation Right (“RCRR”)</w:t>
      </w:r>
      <w:r w:rsidRPr="001171DA">
        <w:rPr>
          <w:bCs/>
        </w:rPr>
        <w:t xml:space="preserve">: </w:t>
      </w:r>
      <w:r w:rsidRPr="001171DA">
        <w:rPr>
          <w:bCs/>
        </w:rPr>
        <w:t xml:space="preserve"> </w:t>
      </w:r>
      <w:r>
        <w:t>A megawatt of transmission Capacity from one Load</w:t>
      </w:r>
      <w:r>
        <w:t xml:space="preserve"> Zone to an electrically contiguous Load Zone, each of which is internal to the NYCA, that may be converted into an RCRR TCC by a Transmission Owner allocated the RCRR pursuant to Section 19.5 of Attachment M of the ISO OATT.</w:t>
      </w:r>
    </w:p>
    <w:p w:rsidR="00CE15EA" w:rsidRDefault="001F65A5">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1F65A5">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1F65A5">
      <w:pPr>
        <w:pStyle w:val="Definitionindent"/>
      </w:pPr>
      <w:r>
        <w:t xml:space="preserve">The TCCs associated with </w:t>
      </w:r>
      <w:r>
        <w:rPr>
          <w:iCs/>
        </w:rPr>
        <w:t>Residual T</w:t>
      </w:r>
      <w:r>
        <w:rPr>
          <w:iCs/>
        </w:rPr>
        <w:t xml:space="preserve">ransmission Capacity </w:t>
      </w:r>
      <w:r>
        <w:t xml:space="preserve">cannot be accurately determined until the Centralized TCC Auction is conducted.  </w:t>
      </w:r>
    </w:p>
    <w:p w:rsidR="00CE15EA" w:rsidRDefault="001F65A5">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1F65A5">
      <w:pPr>
        <w:pStyle w:val="Definitionindent"/>
      </w:pPr>
      <w:r>
        <w:t>GTR is the transmission capacity asso</w:t>
      </w:r>
      <w:r>
        <w:t>ciated with Grandfathered Rights.</w:t>
      </w:r>
    </w:p>
    <w:p w:rsidR="00CE15EA" w:rsidRDefault="001F65A5">
      <w:pPr>
        <w:pStyle w:val="Definitionindent"/>
      </w:pPr>
      <w:r>
        <w:t>GTCC is the transmission capacity associated with Grandfathered TCCs.</w:t>
      </w:r>
    </w:p>
    <w:p w:rsidR="00CE15EA" w:rsidRDefault="001F65A5">
      <w:pPr>
        <w:pStyle w:val="Definitionindent"/>
      </w:pPr>
      <w:r>
        <w:t>ETCNL is the transmission capacity associated with Existing Transmission Capacity for Native Load.</w:t>
      </w:r>
    </w:p>
    <w:p w:rsidR="00CE15EA" w:rsidRDefault="001F65A5">
      <w:pPr>
        <w:pStyle w:val="Definitionindent"/>
      </w:pPr>
      <w:r>
        <w:t>TRM is the Transmission Reliability Margin.</w:t>
      </w:r>
    </w:p>
    <w:p w:rsidR="00CE15EA" w:rsidRDefault="001F65A5">
      <w:pPr>
        <w:pStyle w:val="Definitionindent"/>
        <w:rPr>
          <w:b/>
          <w:bCs/>
        </w:rPr>
      </w:pPr>
      <w:r>
        <w:t>CBM is th</w:t>
      </w:r>
      <w:r>
        <w:t>e Capacity Benefit Margin.</w:t>
      </w:r>
    </w:p>
    <w:p w:rsidR="00CE15EA" w:rsidRDefault="001F65A5">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w:t>
      </w:r>
      <w:r>
        <w:t xml:space="preserve"> BTM:NG</w:t>
      </w:r>
      <w:r>
        <w:t xml:space="preserve"> Resource,</w:t>
      </w:r>
      <w:r>
        <w:t xml:space="preserve"> Demand Side Resource or Control Area System Resource.</w:t>
      </w:r>
    </w:p>
    <w:p w:rsidR="00CE15EA" w:rsidRDefault="001F65A5">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notifica</w:t>
      </w:r>
      <w:r>
        <w:t xml:space="preserve">tion and other requirements as set forth in this Services Tariff and in the ISO Procedures. </w:t>
      </w:r>
    </w:p>
    <w:p w:rsidR="00CE15EA" w:rsidRDefault="001F65A5">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Zones other than </w:t>
      </w:r>
      <w:r>
        <w:t>LBMP Load Zones G, H, I, J and K.</w:t>
      </w:r>
    </w:p>
    <w:p w:rsidR="002F2AC0" w:rsidRPr="00630AC2" w:rsidRDefault="001F65A5"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w:t>
      </w:r>
      <w:r w:rsidRPr="00F076D7">
        <w:rPr>
          <w:rFonts w:eastAsia="Calibri"/>
        </w:rPr>
        <w:t>age.</w:t>
      </w:r>
    </w:p>
    <w:p w:rsidR="001C50E2" w:rsidRPr="001C50E2" w:rsidRDefault="001F65A5" w:rsidP="001C50E2">
      <w:pPr>
        <w:pStyle w:val="Definition"/>
        <w:spacing w:before="120" w:after="120"/>
        <w:rPr>
          <w:b/>
          <w:bCs/>
        </w:rPr>
      </w:pPr>
      <w:r w:rsidRPr="000231F1">
        <w:rPr>
          <w:b/>
          <w:bCs/>
        </w:rPr>
        <w:t>RMR Agreement</w:t>
      </w:r>
      <w:r w:rsidRPr="000231F1">
        <w:rPr>
          <w:bCs/>
        </w:rPr>
        <w:t xml:space="preserve">:  shall have the meaning specified in Section </w:t>
      </w:r>
      <w:r>
        <w:rPr>
          <w:bCs/>
        </w:rPr>
        <w:t>1.18</w:t>
      </w:r>
      <w:r w:rsidRPr="000231F1">
        <w:rPr>
          <w:bCs/>
        </w:rPr>
        <w:t xml:space="preserve"> of the ISO’s Open Access Transmission Tariff.</w:t>
      </w:r>
      <w:r>
        <w:rPr>
          <w:b/>
          <w:bCs/>
        </w:rPr>
        <w:t xml:space="preserve"> </w:t>
      </w:r>
    </w:p>
    <w:p w:rsidR="001C50E2" w:rsidRPr="001C50E2" w:rsidRDefault="001F65A5" w:rsidP="001C50E2">
      <w:pPr>
        <w:pStyle w:val="Definition"/>
        <w:spacing w:before="120" w:after="120"/>
        <w:rPr>
          <w:bCs/>
        </w:rPr>
      </w:pPr>
      <w:r>
        <w:rPr>
          <w:b/>
          <w:bCs/>
        </w:rPr>
        <w:t>RMR Avoidable Costs</w:t>
      </w:r>
      <w:r w:rsidRPr="000231F1">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D90D4D" w:rsidRDefault="001F65A5">
      <w:pPr>
        <w:pStyle w:val="Definition"/>
        <w:spacing w:before="120" w:after="120"/>
        <w:rPr>
          <w:b/>
        </w:rPr>
      </w:pPr>
      <w:r w:rsidRPr="000231F1">
        <w:rPr>
          <w:b/>
          <w:bCs/>
        </w:rPr>
        <w:t>RMR Generator</w:t>
      </w:r>
      <w:r w:rsidRPr="000231F1">
        <w:rPr>
          <w:bCs/>
        </w:rPr>
        <w:t>:  shall</w:t>
      </w:r>
      <w:r w:rsidRPr="000231F1">
        <w:rPr>
          <w:bCs/>
        </w:rPr>
        <w:t xml:space="preserve"> have the meaning specified in Section </w:t>
      </w:r>
      <w:r>
        <w:rPr>
          <w:bCs/>
        </w:rPr>
        <w:t>1.18</w:t>
      </w:r>
      <w:r w:rsidRPr="000231F1">
        <w:rPr>
          <w:bCs/>
        </w:rPr>
        <w:t xml:space="preserve"> of the ISO’s Open Access Transmission Tariff.</w:t>
      </w:r>
    </w:p>
    <w:p w:rsidR="00CE15EA" w:rsidRDefault="001F65A5">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A9" w:rsidRDefault="001C34A9" w:rsidP="001C34A9">
      <w:r>
        <w:separator/>
      </w:r>
    </w:p>
  </w:endnote>
  <w:endnote w:type="continuationSeparator" w:id="0">
    <w:p w:rsidR="001C34A9" w:rsidRDefault="001C34A9" w:rsidP="001C3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A9" w:rsidRDefault="001F65A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1C34A9">
      <w:rPr>
        <w:rFonts w:ascii="Arial" w:eastAsia="Arial" w:hAnsi="Arial" w:cs="Arial"/>
        <w:color w:val="000000"/>
        <w:sz w:val="16"/>
      </w:rPr>
      <w:fldChar w:fldCharType="begin"/>
    </w:r>
    <w:r>
      <w:rPr>
        <w:rFonts w:ascii="Arial" w:eastAsia="Arial" w:hAnsi="Arial" w:cs="Arial"/>
        <w:color w:val="000000"/>
        <w:sz w:val="16"/>
      </w:rPr>
      <w:instrText>PAGE</w:instrText>
    </w:r>
    <w:r w:rsidR="001C34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A9" w:rsidRDefault="001F65A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1C34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34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A9" w:rsidRDefault="001F65A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1C34A9">
      <w:rPr>
        <w:rFonts w:ascii="Arial" w:eastAsia="Arial" w:hAnsi="Arial" w:cs="Arial"/>
        <w:color w:val="000000"/>
        <w:sz w:val="16"/>
      </w:rPr>
      <w:fldChar w:fldCharType="begin"/>
    </w:r>
    <w:r>
      <w:rPr>
        <w:rFonts w:ascii="Arial" w:eastAsia="Arial" w:hAnsi="Arial" w:cs="Arial"/>
        <w:color w:val="000000"/>
        <w:sz w:val="16"/>
      </w:rPr>
      <w:instrText>PAGE</w:instrText>
    </w:r>
    <w:r w:rsidR="001C34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A9" w:rsidRDefault="001C34A9" w:rsidP="001C34A9">
      <w:r>
        <w:separator/>
      </w:r>
    </w:p>
  </w:footnote>
  <w:footnote w:type="continuationSeparator" w:id="0">
    <w:p w:rsidR="001C34A9" w:rsidRDefault="001C34A9" w:rsidP="001C3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A9" w:rsidRDefault="001F65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A9" w:rsidRDefault="001F65A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A9" w:rsidRDefault="001F65A5">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5BE9A7C">
      <w:start w:val="1"/>
      <w:numFmt w:val="bullet"/>
      <w:pStyle w:val="Bulletpara"/>
      <w:lvlText w:val=""/>
      <w:lvlJc w:val="left"/>
      <w:pPr>
        <w:tabs>
          <w:tab w:val="num" w:pos="720"/>
        </w:tabs>
        <w:ind w:left="720" w:hanging="360"/>
      </w:pPr>
      <w:rPr>
        <w:rFonts w:ascii="Symbol" w:hAnsi="Symbol" w:hint="default"/>
      </w:rPr>
    </w:lvl>
    <w:lvl w:ilvl="1" w:tplc="11CAB3E4" w:tentative="1">
      <w:start w:val="1"/>
      <w:numFmt w:val="bullet"/>
      <w:lvlText w:val="o"/>
      <w:lvlJc w:val="left"/>
      <w:pPr>
        <w:tabs>
          <w:tab w:val="num" w:pos="1440"/>
        </w:tabs>
        <w:ind w:left="1440" w:hanging="360"/>
      </w:pPr>
      <w:rPr>
        <w:rFonts w:ascii="Courier New" w:hAnsi="Courier New" w:hint="default"/>
      </w:rPr>
    </w:lvl>
    <w:lvl w:ilvl="2" w:tplc="E84406DA" w:tentative="1">
      <w:start w:val="1"/>
      <w:numFmt w:val="bullet"/>
      <w:lvlText w:val=""/>
      <w:lvlJc w:val="left"/>
      <w:pPr>
        <w:tabs>
          <w:tab w:val="num" w:pos="2160"/>
        </w:tabs>
        <w:ind w:left="2160" w:hanging="360"/>
      </w:pPr>
      <w:rPr>
        <w:rFonts w:ascii="Wingdings" w:hAnsi="Wingdings" w:hint="default"/>
      </w:rPr>
    </w:lvl>
    <w:lvl w:ilvl="3" w:tplc="1F30CA46" w:tentative="1">
      <w:start w:val="1"/>
      <w:numFmt w:val="bullet"/>
      <w:lvlText w:val=""/>
      <w:lvlJc w:val="left"/>
      <w:pPr>
        <w:tabs>
          <w:tab w:val="num" w:pos="2880"/>
        </w:tabs>
        <w:ind w:left="2880" w:hanging="360"/>
      </w:pPr>
      <w:rPr>
        <w:rFonts w:ascii="Symbol" w:hAnsi="Symbol" w:hint="default"/>
      </w:rPr>
    </w:lvl>
    <w:lvl w:ilvl="4" w:tplc="737602CC" w:tentative="1">
      <w:start w:val="1"/>
      <w:numFmt w:val="bullet"/>
      <w:lvlText w:val="o"/>
      <w:lvlJc w:val="left"/>
      <w:pPr>
        <w:tabs>
          <w:tab w:val="num" w:pos="3600"/>
        </w:tabs>
        <w:ind w:left="3600" w:hanging="360"/>
      </w:pPr>
      <w:rPr>
        <w:rFonts w:ascii="Courier New" w:hAnsi="Courier New" w:hint="default"/>
      </w:rPr>
    </w:lvl>
    <w:lvl w:ilvl="5" w:tplc="BD1EA6EE" w:tentative="1">
      <w:start w:val="1"/>
      <w:numFmt w:val="bullet"/>
      <w:lvlText w:val=""/>
      <w:lvlJc w:val="left"/>
      <w:pPr>
        <w:tabs>
          <w:tab w:val="num" w:pos="4320"/>
        </w:tabs>
        <w:ind w:left="4320" w:hanging="360"/>
      </w:pPr>
      <w:rPr>
        <w:rFonts w:ascii="Wingdings" w:hAnsi="Wingdings" w:hint="default"/>
      </w:rPr>
    </w:lvl>
    <w:lvl w:ilvl="6" w:tplc="9F24B152" w:tentative="1">
      <w:start w:val="1"/>
      <w:numFmt w:val="bullet"/>
      <w:lvlText w:val=""/>
      <w:lvlJc w:val="left"/>
      <w:pPr>
        <w:tabs>
          <w:tab w:val="num" w:pos="5040"/>
        </w:tabs>
        <w:ind w:left="5040" w:hanging="360"/>
      </w:pPr>
      <w:rPr>
        <w:rFonts w:ascii="Symbol" w:hAnsi="Symbol" w:hint="default"/>
      </w:rPr>
    </w:lvl>
    <w:lvl w:ilvl="7" w:tplc="2EB41514" w:tentative="1">
      <w:start w:val="1"/>
      <w:numFmt w:val="bullet"/>
      <w:lvlText w:val="o"/>
      <w:lvlJc w:val="left"/>
      <w:pPr>
        <w:tabs>
          <w:tab w:val="num" w:pos="5760"/>
        </w:tabs>
        <w:ind w:left="5760" w:hanging="360"/>
      </w:pPr>
      <w:rPr>
        <w:rFonts w:ascii="Courier New" w:hAnsi="Courier New" w:hint="default"/>
      </w:rPr>
    </w:lvl>
    <w:lvl w:ilvl="8" w:tplc="1FB4B97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91AFF12">
      <w:start w:val="1"/>
      <w:numFmt w:val="lowerRoman"/>
      <w:lvlText w:val="(%1)"/>
      <w:lvlJc w:val="left"/>
      <w:pPr>
        <w:tabs>
          <w:tab w:val="num" w:pos="2448"/>
        </w:tabs>
        <w:ind w:left="2448" w:hanging="648"/>
      </w:pPr>
      <w:rPr>
        <w:rFonts w:cs="Times New Roman" w:hint="default"/>
        <w:b w:val="0"/>
        <w:i w:val="0"/>
        <w:u w:val="none"/>
      </w:rPr>
    </w:lvl>
    <w:lvl w:ilvl="1" w:tplc="1374D0D2" w:tentative="1">
      <w:start w:val="1"/>
      <w:numFmt w:val="lowerLetter"/>
      <w:lvlText w:val="%2."/>
      <w:lvlJc w:val="left"/>
      <w:pPr>
        <w:tabs>
          <w:tab w:val="num" w:pos="1440"/>
        </w:tabs>
        <w:ind w:left="1440" w:hanging="360"/>
      </w:pPr>
      <w:rPr>
        <w:rFonts w:cs="Times New Roman"/>
      </w:rPr>
    </w:lvl>
    <w:lvl w:ilvl="2" w:tplc="C0DA07B6" w:tentative="1">
      <w:start w:val="1"/>
      <w:numFmt w:val="lowerRoman"/>
      <w:lvlText w:val="%3."/>
      <w:lvlJc w:val="right"/>
      <w:pPr>
        <w:tabs>
          <w:tab w:val="num" w:pos="2160"/>
        </w:tabs>
        <w:ind w:left="2160" w:hanging="180"/>
      </w:pPr>
      <w:rPr>
        <w:rFonts w:cs="Times New Roman"/>
      </w:rPr>
    </w:lvl>
    <w:lvl w:ilvl="3" w:tplc="0A26C178" w:tentative="1">
      <w:start w:val="1"/>
      <w:numFmt w:val="decimal"/>
      <w:lvlText w:val="%4."/>
      <w:lvlJc w:val="left"/>
      <w:pPr>
        <w:tabs>
          <w:tab w:val="num" w:pos="2880"/>
        </w:tabs>
        <w:ind w:left="2880" w:hanging="360"/>
      </w:pPr>
      <w:rPr>
        <w:rFonts w:cs="Times New Roman"/>
      </w:rPr>
    </w:lvl>
    <w:lvl w:ilvl="4" w:tplc="9A9E058A" w:tentative="1">
      <w:start w:val="1"/>
      <w:numFmt w:val="lowerLetter"/>
      <w:lvlText w:val="%5."/>
      <w:lvlJc w:val="left"/>
      <w:pPr>
        <w:tabs>
          <w:tab w:val="num" w:pos="3600"/>
        </w:tabs>
        <w:ind w:left="3600" w:hanging="360"/>
      </w:pPr>
      <w:rPr>
        <w:rFonts w:cs="Times New Roman"/>
      </w:rPr>
    </w:lvl>
    <w:lvl w:ilvl="5" w:tplc="FCEEE7AA" w:tentative="1">
      <w:start w:val="1"/>
      <w:numFmt w:val="lowerRoman"/>
      <w:lvlText w:val="%6."/>
      <w:lvlJc w:val="right"/>
      <w:pPr>
        <w:tabs>
          <w:tab w:val="num" w:pos="4320"/>
        </w:tabs>
        <w:ind w:left="4320" w:hanging="180"/>
      </w:pPr>
      <w:rPr>
        <w:rFonts w:cs="Times New Roman"/>
      </w:rPr>
    </w:lvl>
    <w:lvl w:ilvl="6" w:tplc="21D8C40A" w:tentative="1">
      <w:start w:val="1"/>
      <w:numFmt w:val="decimal"/>
      <w:lvlText w:val="%7."/>
      <w:lvlJc w:val="left"/>
      <w:pPr>
        <w:tabs>
          <w:tab w:val="num" w:pos="5040"/>
        </w:tabs>
        <w:ind w:left="5040" w:hanging="360"/>
      </w:pPr>
      <w:rPr>
        <w:rFonts w:cs="Times New Roman"/>
      </w:rPr>
    </w:lvl>
    <w:lvl w:ilvl="7" w:tplc="5B54F896" w:tentative="1">
      <w:start w:val="1"/>
      <w:numFmt w:val="lowerLetter"/>
      <w:lvlText w:val="%8."/>
      <w:lvlJc w:val="left"/>
      <w:pPr>
        <w:tabs>
          <w:tab w:val="num" w:pos="5760"/>
        </w:tabs>
        <w:ind w:left="5760" w:hanging="360"/>
      </w:pPr>
      <w:rPr>
        <w:rFonts w:cs="Times New Roman"/>
      </w:rPr>
    </w:lvl>
    <w:lvl w:ilvl="8" w:tplc="579C50D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EF0D1CC">
      <w:start w:val="1"/>
      <w:numFmt w:val="decimal"/>
      <w:lvlText w:val="%1."/>
      <w:lvlJc w:val="left"/>
      <w:pPr>
        <w:tabs>
          <w:tab w:val="num" w:pos="720"/>
        </w:tabs>
        <w:ind w:left="720" w:hanging="360"/>
      </w:pPr>
      <w:rPr>
        <w:rFonts w:cs="Times New Roman"/>
      </w:rPr>
    </w:lvl>
    <w:lvl w:ilvl="1" w:tplc="0C4877AA" w:tentative="1">
      <w:start w:val="1"/>
      <w:numFmt w:val="lowerLetter"/>
      <w:lvlText w:val="%2."/>
      <w:lvlJc w:val="left"/>
      <w:pPr>
        <w:tabs>
          <w:tab w:val="num" w:pos="1440"/>
        </w:tabs>
        <w:ind w:left="1440" w:hanging="360"/>
      </w:pPr>
      <w:rPr>
        <w:rFonts w:cs="Times New Roman"/>
      </w:rPr>
    </w:lvl>
    <w:lvl w:ilvl="2" w:tplc="435A2328" w:tentative="1">
      <w:start w:val="1"/>
      <w:numFmt w:val="lowerRoman"/>
      <w:lvlText w:val="%3."/>
      <w:lvlJc w:val="right"/>
      <w:pPr>
        <w:tabs>
          <w:tab w:val="num" w:pos="2160"/>
        </w:tabs>
        <w:ind w:left="2160" w:hanging="180"/>
      </w:pPr>
      <w:rPr>
        <w:rFonts w:cs="Times New Roman"/>
      </w:rPr>
    </w:lvl>
    <w:lvl w:ilvl="3" w:tplc="2A6A9D54" w:tentative="1">
      <w:start w:val="1"/>
      <w:numFmt w:val="decimal"/>
      <w:lvlText w:val="%4."/>
      <w:lvlJc w:val="left"/>
      <w:pPr>
        <w:tabs>
          <w:tab w:val="num" w:pos="2880"/>
        </w:tabs>
        <w:ind w:left="2880" w:hanging="360"/>
      </w:pPr>
      <w:rPr>
        <w:rFonts w:cs="Times New Roman"/>
      </w:rPr>
    </w:lvl>
    <w:lvl w:ilvl="4" w:tplc="19C89690" w:tentative="1">
      <w:start w:val="1"/>
      <w:numFmt w:val="lowerLetter"/>
      <w:lvlText w:val="%5."/>
      <w:lvlJc w:val="left"/>
      <w:pPr>
        <w:tabs>
          <w:tab w:val="num" w:pos="3600"/>
        </w:tabs>
        <w:ind w:left="3600" w:hanging="360"/>
      </w:pPr>
      <w:rPr>
        <w:rFonts w:cs="Times New Roman"/>
      </w:rPr>
    </w:lvl>
    <w:lvl w:ilvl="5" w:tplc="9A308F28" w:tentative="1">
      <w:start w:val="1"/>
      <w:numFmt w:val="lowerRoman"/>
      <w:lvlText w:val="%6."/>
      <w:lvlJc w:val="right"/>
      <w:pPr>
        <w:tabs>
          <w:tab w:val="num" w:pos="4320"/>
        </w:tabs>
        <w:ind w:left="4320" w:hanging="180"/>
      </w:pPr>
      <w:rPr>
        <w:rFonts w:cs="Times New Roman"/>
      </w:rPr>
    </w:lvl>
    <w:lvl w:ilvl="6" w:tplc="6422020A" w:tentative="1">
      <w:start w:val="1"/>
      <w:numFmt w:val="decimal"/>
      <w:lvlText w:val="%7."/>
      <w:lvlJc w:val="left"/>
      <w:pPr>
        <w:tabs>
          <w:tab w:val="num" w:pos="5040"/>
        </w:tabs>
        <w:ind w:left="5040" w:hanging="360"/>
      </w:pPr>
      <w:rPr>
        <w:rFonts w:cs="Times New Roman"/>
      </w:rPr>
    </w:lvl>
    <w:lvl w:ilvl="7" w:tplc="948A19F0" w:tentative="1">
      <w:start w:val="1"/>
      <w:numFmt w:val="lowerLetter"/>
      <w:lvlText w:val="%8."/>
      <w:lvlJc w:val="left"/>
      <w:pPr>
        <w:tabs>
          <w:tab w:val="num" w:pos="5760"/>
        </w:tabs>
        <w:ind w:left="5760" w:hanging="360"/>
      </w:pPr>
      <w:rPr>
        <w:rFonts w:cs="Times New Roman"/>
      </w:rPr>
    </w:lvl>
    <w:lvl w:ilvl="8" w:tplc="7D0E143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4DA667A">
      <w:start w:val="1"/>
      <w:numFmt w:val="bullet"/>
      <w:lvlText w:val=""/>
      <w:lvlJc w:val="left"/>
      <w:pPr>
        <w:tabs>
          <w:tab w:val="num" w:pos="5760"/>
        </w:tabs>
        <w:ind w:left="5760" w:hanging="360"/>
      </w:pPr>
      <w:rPr>
        <w:rFonts w:ascii="Symbol" w:hAnsi="Symbol" w:hint="default"/>
        <w:color w:val="auto"/>
        <w:u w:val="none"/>
      </w:rPr>
    </w:lvl>
    <w:lvl w:ilvl="1" w:tplc="E47060DE" w:tentative="1">
      <w:start w:val="1"/>
      <w:numFmt w:val="bullet"/>
      <w:lvlText w:val="o"/>
      <w:lvlJc w:val="left"/>
      <w:pPr>
        <w:tabs>
          <w:tab w:val="num" w:pos="3600"/>
        </w:tabs>
        <w:ind w:left="3600" w:hanging="360"/>
      </w:pPr>
      <w:rPr>
        <w:rFonts w:ascii="Courier New" w:hAnsi="Courier New" w:hint="default"/>
      </w:rPr>
    </w:lvl>
    <w:lvl w:ilvl="2" w:tplc="C29426E4" w:tentative="1">
      <w:start w:val="1"/>
      <w:numFmt w:val="bullet"/>
      <w:lvlText w:val=""/>
      <w:lvlJc w:val="left"/>
      <w:pPr>
        <w:tabs>
          <w:tab w:val="num" w:pos="4320"/>
        </w:tabs>
        <w:ind w:left="4320" w:hanging="360"/>
      </w:pPr>
      <w:rPr>
        <w:rFonts w:ascii="Wingdings" w:hAnsi="Wingdings" w:hint="default"/>
      </w:rPr>
    </w:lvl>
    <w:lvl w:ilvl="3" w:tplc="7B0E5630">
      <w:start w:val="1"/>
      <w:numFmt w:val="bullet"/>
      <w:lvlText w:val=""/>
      <w:lvlJc w:val="left"/>
      <w:pPr>
        <w:tabs>
          <w:tab w:val="num" w:pos="5040"/>
        </w:tabs>
        <w:ind w:left="5040" w:hanging="360"/>
      </w:pPr>
      <w:rPr>
        <w:rFonts w:ascii="Symbol" w:hAnsi="Symbol" w:hint="default"/>
      </w:rPr>
    </w:lvl>
    <w:lvl w:ilvl="4" w:tplc="E1BEE0E6" w:tentative="1">
      <w:start w:val="1"/>
      <w:numFmt w:val="bullet"/>
      <w:lvlText w:val="o"/>
      <w:lvlJc w:val="left"/>
      <w:pPr>
        <w:tabs>
          <w:tab w:val="num" w:pos="5760"/>
        </w:tabs>
        <w:ind w:left="5760" w:hanging="360"/>
      </w:pPr>
      <w:rPr>
        <w:rFonts w:ascii="Courier New" w:hAnsi="Courier New" w:hint="default"/>
      </w:rPr>
    </w:lvl>
    <w:lvl w:ilvl="5" w:tplc="7E1EDB64" w:tentative="1">
      <w:start w:val="1"/>
      <w:numFmt w:val="bullet"/>
      <w:lvlText w:val=""/>
      <w:lvlJc w:val="left"/>
      <w:pPr>
        <w:tabs>
          <w:tab w:val="num" w:pos="6480"/>
        </w:tabs>
        <w:ind w:left="6480" w:hanging="360"/>
      </w:pPr>
      <w:rPr>
        <w:rFonts w:ascii="Wingdings" w:hAnsi="Wingdings" w:hint="default"/>
      </w:rPr>
    </w:lvl>
    <w:lvl w:ilvl="6" w:tplc="20BAC052" w:tentative="1">
      <w:start w:val="1"/>
      <w:numFmt w:val="bullet"/>
      <w:lvlText w:val=""/>
      <w:lvlJc w:val="left"/>
      <w:pPr>
        <w:tabs>
          <w:tab w:val="num" w:pos="7200"/>
        </w:tabs>
        <w:ind w:left="7200" w:hanging="360"/>
      </w:pPr>
      <w:rPr>
        <w:rFonts w:ascii="Symbol" w:hAnsi="Symbol" w:hint="default"/>
      </w:rPr>
    </w:lvl>
    <w:lvl w:ilvl="7" w:tplc="A43AE0BE" w:tentative="1">
      <w:start w:val="1"/>
      <w:numFmt w:val="bullet"/>
      <w:lvlText w:val="o"/>
      <w:lvlJc w:val="left"/>
      <w:pPr>
        <w:tabs>
          <w:tab w:val="num" w:pos="7920"/>
        </w:tabs>
        <w:ind w:left="7920" w:hanging="360"/>
      </w:pPr>
      <w:rPr>
        <w:rFonts w:ascii="Courier New" w:hAnsi="Courier New" w:hint="default"/>
      </w:rPr>
    </w:lvl>
    <w:lvl w:ilvl="8" w:tplc="81D2BAC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E1CC92C">
      <w:start w:val="1"/>
      <w:numFmt w:val="decimal"/>
      <w:lvlText w:val="(%1)"/>
      <w:lvlJc w:val="left"/>
      <w:pPr>
        <w:tabs>
          <w:tab w:val="num" w:pos="2520"/>
        </w:tabs>
        <w:ind w:left="2520" w:hanging="720"/>
      </w:pPr>
      <w:rPr>
        <w:rFonts w:cs="Times New Roman" w:hint="default"/>
      </w:rPr>
    </w:lvl>
    <w:lvl w:ilvl="1" w:tplc="271E1A06">
      <w:start w:val="1"/>
      <w:numFmt w:val="lowerRoman"/>
      <w:lvlText w:val="(%2)"/>
      <w:lvlJc w:val="left"/>
      <w:pPr>
        <w:tabs>
          <w:tab w:val="num" w:pos="1800"/>
        </w:tabs>
        <w:ind w:left="1800" w:hanging="720"/>
      </w:pPr>
      <w:rPr>
        <w:rFonts w:cs="Times New Roman" w:hint="default"/>
        <w:b w:val="0"/>
      </w:rPr>
    </w:lvl>
    <w:lvl w:ilvl="2" w:tplc="9CCCE2FC">
      <w:start w:val="1"/>
      <w:numFmt w:val="decimal"/>
      <w:lvlText w:val="(%3)"/>
      <w:lvlJc w:val="right"/>
      <w:pPr>
        <w:tabs>
          <w:tab w:val="num" w:pos="2160"/>
        </w:tabs>
        <w:ind w:left="2160" w:hanging="180"/>
      </w:pPr>
      <w:rPr>
        <w:rFonts w:ascii="Times New Roman" w:eastAsia="Times New Roman" w:hAnsi="Times New Roman" w:cs="Times New Roman"/>
        <w:b w:val="0"/>
      </w:rPr>
    </w:lvl>
    <w:lvl w:ilvl="3" w:tplc="848A299A">
      <w:start w:val="1"/>
      <w:numFmt w:val="lowerRoman"/>
      <w:lvlText w:val="(%4)"/>
      <w:lvlJc w:val="left"/>
      <w:pPr>
        <w:tabs>
          <w:tab w:val="num" w:pos="2520"/>
        </w:tabs>
        <w:ind w:left="2880" w:hanging="360"/>
      </w:pPr>
      <w:rPr>
        <w:rFonts w:cs="Times New Roman" w:hint="default"/>
        <w:b w:val="0"/>
      </w:rPr>
    </w:lvl>
    <w:lvl w:ilvl="4" w:tplc="874CE8B4" w:tentative="1">
      <w:start w:val="1"/>
      <w:numFmt w:val="lowerLetter"/>
      <w:lvlText w:val="%5."/>
      <w:lvlJc w:val="left"/>
      <w:pPr>
        <w:tabs>
          <w:tab w:val="num" w:pos="3600"/>
        </w:tabs>
        <w:ind w:left="3600" w:hanging="360"/>
      </w:pPr>
      <w:rPr>
        <w:rFonts w:cs="Times New Roman"/>
      </w:rPr>
    </w:lvl>
    <w:lvl w:ilvl="5" w:tplc="E038542E" w:tentative="1">
      <w:start w:val="1"/>
      <w:numFmt w:val="lowerRoman"/>
      <w:lvlText w:val="%6."/>
      <w:lvlJc w:val="right"/>
      <w:pPr>
        <w:tabs>
          <w:tab w:val="num" w:pos="4320"/>
        </w:tabs>
        <w:ind w:left="4320" w:hanging="180"/>
      </w:pPr>
      <w:rPr>
        <w:rFonts w:cs="Times New Roman"/>
      </w:rPr>
    </w:lvl>
    <w:lvl w:ilvl="6" w:tplc="C5525AE4" w:tentative="1">
      <w:start w:val="1"/>
      <w:numFmt w:val="decimal"/>
      <w:lvlText w:val="%7."/>
      <w:lvlJc w:val="left"/>
      <w:pPr>
        <w:tabs>
          <w:tab w:val="num" w:pos="5040"/>
        </w:tabs>
        <w:ind w:left="5040" w:hanging="360"/>
      </w:pPr>
      <w:rPr>
        <w:rFonts w:cs="Times New Roman"/>
      </w:rPr>
    </w:lvl>
    <w:lvl w:ilvl="7" w:tplc="60F65B66" w:tentative="1">
      <w:start w:val="1"/>
      <w:numFmt w:val="lowerLetter"/>
      <w:lvlText w:val="%8."/>
      <w:lvlJc w:val="left"/>
      <w:pPr>
        <w:tabs>
          <w:tab w:val="num" w:pos="5760"/>
        </w:tabs>
        <w:ind w:left="5760" w:hanging="360"/>
      </w:pPr>
      <w:rPr>
        <w:rFonts w:cs="Times New Roman"/>
      </w:rPr>
    </w:lvl>
    <w:lvl w:ilvl="8" w:tplc="F0A0C85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C34A9"/>
    <w:rsid w:val="001C34A9"/>
    <w:rsid w:val="001F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02835D-F214-49EE-874D-630399EC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1971</Words>
  <Characters>11237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2016-12-21T20:26:00Z</dcterms:created>
  <dcterms:modified xsi:type="dcterms:W3CDTF">2016-12-21T20:26:00Z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