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46" w:rsidRDefault="00BE1A7E" w:rsidP="00F83543">
      <w:pPr>
        <w:pStyle w:val="Heading2"/>
      </w:pPr>
      <w:bookmarkStart w:id="0" w:name="_Toc260339113"/>
      <w:bookmarkStart w:id="1" w:name="_Toc262653064"/>
      <w:r>
        <w:t>ATTACHMENT S - APPENDIX ONE</w:t>
      </w:r>
      <w:bookmarkEnd w:id="0"/>
      <w:r>
        <w:t xml:space="preserve"> – Allocation of Overage Cost</w:t>
      </w:r>
      <w:bookmarkEnd w:id="1"/>
    </w:p>
    <w:p w:rsidR="00042F46" w:rsidRPr="00F83543" w:rsidRDefault="00BE1A7E" w:rsidP="00F83543">
      <w:pPr>
        <w:pStyle w:val="Bodypara"/>
        <w:rPr>
          <w:b/>
          <w:bCs/>
          <w:w w:val="0"/>
        </w:rPr>
      </w:pPr>
      <w:bookmarkStart w:id="2" w:name="_DV_C388"/>
      <w:r>
        <w:rPr>
          <w:w w:val="0"/>
        </w:rPr>
        <w:t>An Example of the Allocation of Overage Cost Among</w:t>
      </w:r>
      <w:bookmarkEnd w:id="2"/>
      <w:r>
        <w:rPr>
          <w:w w:val="0"/>
        </w:rPr>
        <w:t xml:space="preserve"> </w:t>
      </w:r>
      <w:bookmarkStart w:id="3" w:name="_DV_C389"/>
      <w:r>
        <w:rPr>
          <w:w w:val="0"/>
        </w:rPr>
        <w:t xml:space="preserve">Class Year Developers, in Accordance with Section </w:t>
      </w:r>
      <w:r w:rsidRPr="000F5DF7">
        <w:rPr>
          <w:w w:val="0"/>
        </w:rPr>
        <w:t>2</w:t>
      </w:r>
      <w:r>
        <w:rPr>
          <w:w w:val="0"/>
        </w:rPr>
        <w:t>5.6.2 of Attachment S</w:t>
      </w:r>
      <w:bookmarkStart w:id="4" w:name="_DV_C390"/>
      <w:bookmarkEnd w:id="3"/>
      <w:r>
        <w:rPr>
          <w:w w:val="0"/>
        </w:rPr>
        <w:t>:</w:t>
      </w:r>
    </w:p>
    <w:p w:rsidR="00042F46" w:rsidRDefault="00BE1A7E" w:rsidP="00F83543">
      <w:pPr>
        <w:pStyle w:val="Bulletpara"/>
      </w:pPr>
      <w:bookmarkStart w:id="5" w:name="_DV_C391"/>
      <w:bookmarkEnd w:id="4"/>
      <w:r>
        <w:t>There are five Developer projects in Class Year 200X.</w:t>
      </w:r>
      <w:bookmarkStart w:id="6" w:name="_DV_C393"/>
      <w:bookmarkEnd w:id="5"/>
    </w:p>
    <w:p w:rsidR="00042F46" w:rsidRDefault="00BE1A7E" w:rsidP="00F83543">
      <w:pPr>
        <w:pStyle w:val="Bulletpara"/>
      </w:pPr>
      <w:r>
        <w:t xml:space="preserve">The Annual </w:t>
      </w:r>
      <w:r>
        <w:t>Transmission Reliability Assessment (“ATRA”) determines that 10 System Upgrade Facilities (“SUFs”) are needed to reliably interconnect the Class Year 200X projects, at a total cost of $30 million.</w:t>
      </w:r>
      <w:bookmarkStart w:id="7" w:name="_DV_C395"/>
      <w:bookmarkEnd w:id="6"/>
    </w:p>
    <w:p w:rsidR="00042F46" w:rsidRDefault="00BE1A7E" w:rsidP="00F83543">
      <w:pPr>
        <w:pStyle w:val="Bulletpara"/>
      </w:pPr>
      <w:r>
        <w:t>The Annual Transmission Baseline Assessment (“ATBA”) determ</w:t>
      </w:r>
      <w:r>
        <w:t>ines that 7 SUFs would be needed to meet reliability standards without the Class Year 200X projects, at a total cost of $20 million.  (Note:  The ATBA may have included some generic “projects” identical to or similar to some of the Class Year 200X projects</w:t>
      </w:r>
      <w:r>
        <w:t>, but not necessarily.  Also, some of the SUFs identified by the ATBA may be the same as those identified in the ATRA, but not necessarily.)</w:t>
      </w:r>
      <w:bookmarkEnd w:id="7"/>
    </w:p>
    <w:p w:rsidR="00042F46" w:rsidRDefault="00BE1A7E" w:rsidP="00F83543">
      <w:pPr>
        <w:pStyle w:val="Numberpara"/>
        <w:rPr>
          <w:w w:val="0"/>
        </w:rPr>
      </w:pPr>
      <w:bookmarkStart w:id="8" w:name="_DV_C396"/>
      <w:r>
        <w:rPr>
          <w:w w:val="0"/>
        </w:rPr>
        <w:t>(1)</w:t>
      </w:r>
      <w:r>
        <w:rPr>
          <w:w w:val="0"/>
        </w:rPr>
        <w:tab/>
        <w:t>The total cost of ATRA SUFs allocated to the Transmission Owners (“TOs”) is equal to the total cost of the ATBA</w:t>
      </w:r>
      <w:r>
        <w:rPr>
          <w:w w:val="0"/>
        </w:rPr>
        <w:t xml:space="preserve"> SUFs ($20 million).</w:t>
      </w:r>
      <w:bookmarkStart w:id="9" w:name="_DV_C397"/>
      <w:bookmarkEnd w:id="8"/>
    </w:p>
    <w:p w:rsidR="00042F46" w:rsidRDefault="00BE1A7E" w:rsidP="00F83543">
      <w:pPr>
        <w:pStyle w:val="Numberpara"/>
      </w:pPr>
      <w:r>
        <w:rPr>
          <w:w w:val="0"/>
        </w:rPr>
        <w:t>(2)</w:t>
      </w:r>
      <w:r>
        <w:rPr>
          <w:w w:val="0"/>
        </w:rPr>
        <w:tab/>
        <w:t>The total cost of ATRA SUFs allocated to the Developers, the Overage Cost, is the net of the total cost of the ATRA vs. ATBA SUFs ($30 million - $20 million = $10 million).</w:t>
      </w:r>
      <w:bookmarkEnd w:id="9"/>
    </w:p>
    <w:p w:rsidR="00042F46" w:rsidRPr="00C84EAE" w:rsidRDefault="00BE1A7E" w:rsidP="00F83543">
      <w:pPr>
        <w:pStyle w:val="Numberpara"/>
        <w:rPr>
          <w:bCs/>
          <w:color w:val="000000"/>
          <w:w w:val="0"/>
        </w:rPr>
      </w:pPr>
      <w:bookmarkStart w:id="10" w:name="_DV_C398"/>
      <w:r>
        <w:t>(3)</w:t>
      </w:r>
      <w:r>
        <w:tab/>
        <w:t>The ratio of the Overage Cost to the total cost of ATR</w:t>
      </w:r>
      <w:r>
        <w:t xml:space="preserve">A SUFs, the Overage Cost Percentage, is used to </w:t>
      </w:r>
      <w:r w:rsidRPr="00F83543">
        <w:rPr>
          <w:w w:val="0"/>
        </w:rPr>
        <w:t>compute</w:t>
      </w:r>
      <w:r>
        <w:t xml:space="preserve"> the Developers’ cost allocations for each ATRA SUF.</w:t>
      </w:r>
      <w:bookmarkStart w:id="11" w:name="_DV_C399"/>
      <w:bookmarkEnd w:id="10"/>
      <w:r>
        <w:t xml:space="preserve"> </w:t>
      </w:r>
      <w:r>
        <w:rPr>
          <w:color w:val="000000"/>
          <w:w w:val="0"/>
        </w:rPr>
        <w:t>In this example, the Overage Cost Percentage, the ratio, = $10 million/$30 million = 1/3 (The Developers pay 1/3 the cost of each ATRA SUF).</w:t>
      </w:r>
      <w:bookmarkStart w:id="12" w:name="_DV_C400"/>
      <w:bookmarkEnd w:id="11"/>
      <w:r w:rsidRPr="00C84EAE">
        <w:rPr>
          <w:color w:val="000000"/>
          <w:w w:val="0"/>
        </w:rPr>
        <w:t xml:space="preserve"> </w:t>
      </w:r>
      <w:r w:rsidRPr="00C84EAE">
        <w:rPr>
          <w:bCs/>
          <w:color w:val="000000"/>
          <w:w w:val="0"/>
        </w:rPr>
        <w:t xml:space="preserve">Assume </w:t>
      </w:r>
      <w:r w:rsidRPr="00C84EAE">
        <w:rPr>
          <w:bCs/>
          <w:color w:val="000000"/>
          <w:w w:val="0"/>
        </w:rPr>
        <w:t>the cost of one of the ATRA SUFs (SUF#1) is $3 million.  The Developers’ share of the cost of that SUF = 1/3 x $3 million = $1 million.</w:t>
      </w:r>
      <w:bookmarkStart w:id="13" w:name="_DV_C401"/>
      <w:bookmarkEnd w:id="12"/>
    </w:p>
    <w:p w:rsidR="00433D80" w:rsidRDefault="00BE1A7E" w:rsidP="00433D80">
      <w:pPr>
        <w:pStyle w:val="Numberpara"/>
        <w:rPr>
          <w:w w:val="0"/>
        </w:rPr>
      </w:pPr>
      <w:r>
        <w:rPr>
          <w:w w:val="0"/>
        </w:rPr>
        <w:t>(4)</w:t>
      </w:r>
      <w:r>
        <w:rPr>
          <w:w w:val="0"/>
        </w:rPr>
        <w:tab/>
        <w:t xml:space="preserve">The Developers’ share of the cost of each ATRA SUF is allocated among all the Developers that have at least a </w:t>
      </w:r>
      <w:r>
        <w:rPr>
          <w:i/>
          <w:iCs/>
          <w:w w:val="0"/>
        </w:rPr>
        <w:t>de min</w:t>
      </w:r>
      <w:r>
        <w:rPr>
          <w:i/>
          <w:iCs/>
          <w:w w:val="0"/>
        </w:rPr>
        <w:t>imus</w:t>
      </w:r>
      <w:r>
        <w:rPr>
          <w:w w:val="0"/>
        </w:rPr>
        <w:t xml:space="preserve"> impact causing the need for that SUF.</w:t>
      </w:r>
      <w:bookmarkStart w:id="14" w:name="_DV_C402"/>
      <w:bookmarkEnd w:id="13"/>
      <w:r>
        <w:rPr>
          <w:w w:val="0"/>
        </w:rPr>
        <w:t xml:space="preserve">  </w:t>
      </w:r>
    </w:p>
    <w:p w:rsidR="00042F46" w:rsidRDefault="00BE1A7E" w:rsidP="00433D80">
      <w:pPr>
        <w:pStyle w:val="Numberpara"/>
        <w:ind w:left="720" w:firstLine="0"/>
        <w:rPr>
          <w:w w:val="0"/>
        </w:rPr>
      </w:pPr>
      <w:r>
        <w:rPr>
          <w:w w:val="0"/>
        </w:rPr>
        <w:tab/>
        <w:t xml:space="preserve">In this example, the ATRA determines that 3 of the 5 Class Year 200X projects </w:t>
      </w:r>
      <w:r>
        <w:rPr>
          <w:w w:val="0"/>
        </w:rPr>
        <w:lastRenderedPageBreak/>
        <w:t xml:space="preserve">have at least a </w:t>
      </w:r>
      <w:r>
        <w:rPr>
          <w:i/>
          <w:iCs/>
          <w:w w:val="0"/>
        </w:rPr>
        <w:t>de minimus</w:t>
      </w:r>
      <w:r>
        <w:rPr>
          <w:w w:val="0"/>
        </w:rPr>
        <w:t xml:space="preserve"> impact causing the need for SUF#1.</w:t>
      </w:r>
      <w:bookmarkStart w:id="15" w:name="_DV_C403"/>
      <w:bookmarkEnd w:id="14"/>
    </w:p>
    <w:p w:rsidR="00433D80" w:rsidRDefault="00BE1A7E" w:rsidP="00F83543">
      <w:pPr>
        <w:pStyle w:val="Numberpara"/>
        <w:rPr>
          <w:w w:val="0"/>
        </w:rPr>
      </w:pPr>
      <w:r>
        <w:rPr>
          <w:w w:val="0"/>
        </w:rPr>
        <w:t>(5)</w:t>
      </w:r>
      <w:r>
        <w:rPr>
          <w:w w:val="0"/>
        </w:rPr>
        <w:tab/>
        <w:t>The Developers’ cost of an ATRA SUF is allocated to each Developer</w:t>
      </w:r>
      <w:r>
        <w:rPr>
          <w:w w:val="0"/>
        </w:rPr>
        <w:t xml:space="preserve"> that has at least a </w:t>
      </w:r>
      <w:r>
        <w:rPr>
          <w:i/>
          <w:iCs/>
          <w:w w:val="0"/>
        </w:rPr>
        <w:t>de minimus</w:t>
      </w:r>
      <w:r>
        <w:rPr>
          <w:w w:val="0"/>
        </w:rPr>
        <w:t xml:space="preserve"> impact in accordance with the Contribution Percentage, or ratio of that Developer’s measured impact, its electrical </w:t>
      </w:r>
      <w:r w:rsidRPr="00F83543">
        <w:rPr>
          <w:w w:val="0"/>
        </w:rPr>
        <w:t>contribution</w:t>
      </w:r>
      <w:r>
        <w:rPr>
          <w:w w:val="0"/>
        </w:rPr>
        <w:t xml:space="preserve">, to the sum of the measured impact of all the Developers that have at least a </w:t>
      </w:r>
      <w:r>
        <w:rPr>
          <w:i/>
          <w:iCs/>
          <w:w w:val="0"/>
        </w:rPr>
        <w:t>de minimus</w:t>
      </w:r>
      <w:r>
        <w:rPr>
          <w:w w:val="0"/>
        </w:rPr>
        <w:t xml:space="preserve"> impact</w:t>
      </w:r>
      <w:r>
        <w:rPr>
          <w:w w:val="0"/>
        </w:rPr>
        <w:t>.</w:t>
      </w:r>
      <w:bookmarkEnd w:id="15"/>
      <w:r>
        <w:rPr>
          <w:w w:val="0"/>
        </w:rPr>
        <w:t xml:space="preserve"> </w:t>
      </w:r>
      <w:bookmarkStart w:id="16" w:name="_DV_C406"/>
      <w:r>
        <w:rPr>
          <w:w w:val="0"/>
        </w:rPr>
        <w:t xml:space="preserve"> </w:t>
      </w:r>
    </w:p>
    <w:p w:rsidR="00042F46" w:rsidRDefault="00BE1A7E" w:rsidP="00433D80">
      <w:pPr>
        <w:pStyle w:val="Numberpara"/>
        <w:ind w:left="720" w:firstLine="0"/>
        <w:rPr>
          <w:sz w:val="20"/>
          <w:u w:val="double"/>
        </w:rPr>
      </w:pPr>
      <w:r>
        <w:rPr>
          <w:w w:val="0"/>
        </w:rPr>
        <w:tab/>
        <w:t>In this example, the measured impacts of the three projects are 200, 300, and 500 amps, respectively.  Thus the pro rata shares of the projects’ cost of SUF#1 are $200K, $300K, and $500K, respectively.</w:t>
      </w:r>
      <w:bookmarkEnd w:id="16"/>
    </w:p>
    <w:p w:rsidR="00042F46" w:rsidRDefault="00BE1A7E">
      <w:pPr>
        <w:pStyle w:val="EndnoteText"/>
        <w:tabs>
          <w:tab w:val="left" w:pos="1440"/>
          <w:tab w:val="left" w:pos="6480"/>
          <w:tab w:val="right" w:pos="9270"/>
        </w:tabs>
      </w:pPr>
    </w:p>
    <w:p w:rsidR="00042F46" w:rsidRDefault="00BE1A7E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 w:rsidR="00042F46" w:rsidSect="00F87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FC1" w:rsidRDefault="00F87FC1" w:rsidP="00F87FC1">
      <w:r>
        <w:separator/>
      </w:r>
    </w:p>
  </w:endnote>
  <w:endnote w:type="continuationSeparator" w:id="0">
    <w:p w:rsidR="00F87FC1" w:rsidRDefault="00F87FC1" w:rsidP="00F8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C1" w:rsidRDefault="00BE1A7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87FC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87FC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C1" w:rsidRDefault="00BE1A7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87FC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87FC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C1" w:rsidRDefault="00BE1A7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87FC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87FC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FC1" w:rsidRDefault="00F87FC1" w:rsidP="00F87FC1">
      <w:r>
        <w:separator/>
      </w:r>
    </w:p>
  </w:footnote>
  <w:footnote w:type="continuationSeparator" w:id="0">
    <w:p w:rsidR="00F87FC1" w:rsidRDefault="00F87FC1" w:rsidP="00F87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C1" w:rsidRDefault="00BE1A7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OATT Att S Appendix One - Allocation of Overage Cost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C1" w:rsidRDefault="00BE1A7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</w:t>
    </w:r>
    <w:r>
      <w:rPr>
        <w:rFonts w:ascii="Arial" w:eastAsia="Arial" w:hAnsi="Arial" w:cs="Arial"/>
        <w:color w:val="000000"/>
        <w:sz w:val="16"/>
      </w:rPr>
      <w:t>&gt; 25 OATT Attachment S - Rules To Allocate Responsibility For --&gt; OATT Att S Appendix One - Allocation of Overage Cost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C1" w:rsidRDefault="00BE1A7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25 OATT Attachment S - Rules To Allocate Responsibility For --&gt; OATT Att S Appendix One - Allocation of Overage Cost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374A"/>
    <w:multiLevelType w:val="hybridMultilevel"/>
    <w:tmpl w:val="F5EC19CC"/>
    <w:lvl w:ilvl="0" w:tplc="75BE783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4A0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741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24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AB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4A8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C7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4A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023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7B0859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342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169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C5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66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1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E5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E1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D4E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C1CC273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EB4AE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CE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AE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23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1C9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50B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4D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780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5C0D3440"/>
    <w:multiLevelType w:val="hybridMultilevel"/>
    <w:tmpl w:val="7138F9EC"/>
    <w:lvl w:ilvl="0" w:tplc="CAB08030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F04217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96FE04F0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B450D544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2AF09866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340A9D6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16EB23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91E2008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A0EABC1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671739E9"/>
    <w:multiLevelType w:val="hybridMultilevel"/>
    <w:tmpl w:val="B29C98A0"/>
    <w:lvl w:ilvl="0" w:tplc="70A613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2A6D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ABE2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384ED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40674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302F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11421E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AF6787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AAEEE7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0F6AD9"/>
    <w:multiLevelType w:val="hybridMultilevel"/>
    <w:tmpl w:val="A9B40E98"/>
    <w:lvl w:ilvl="0" w:tplc="C374B9D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2327386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60086FF4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6D2A429A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6CAC6FFA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481E2E16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542C9EDC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D9B815EE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994EBE0A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0"/>
  </w:num>
  <w:num w:numId="5">
    <w:abstractNumId w:val="16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14"/>
  </w:num>
  <w:num w:numId="11">
    <w:abstractNumId w:val="9"/>
  </w:num>
  <w:num w:numId="12">
    <w:abstractNumId w:val="8"/>
  </w:num>
  <w:num w:numId="13">
    <w:abstractNumId w:val="7"/>
  </w:num>
  <w:num w:numId="14">
    <w:abstractNumId w:val="1"/>
  </w:num>
  <w:num w:numId="15">
    <w:abstractNumId w:val="3"/>
  </w:num>
  <w:num w:numId="16">
    <w:abstractNumId w:val="1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F87FC1"/>
    <w:rsid w:val="00BE1A7E"/>
    <w:rsid w:val="00F8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510F9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10F9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3510F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510F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10F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510F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510F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510F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510F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3510F9"/>
    <w:rPr>
      <w:b/>
      <w:snapToGrid w:val="0"/>
      <w:sz w:val="24"/>
      <w:lang w:val="en-US" w:eastAsia="en-US" w:bidi="ar-SA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rsid w:val="003510F9"/>
    <w:pPr>
      <w:ind w:left="1440" w:hanging="720"/>
    </w:pPr>
  </w:style>
  <w:style w:type="paragraph" w:customStyle="1" w:styleId="Bodypara">
    <w:name w:val="Body para"/>
    <w:basedOn w:val="Normal"/>
    <w:link w:val="BodyparaChar"/>
    <w:rsid w:val="003510F9"/>
    <w:pPr>
      <w:spacing w:line="480" w:lineRule="auto"/>
      <w:ind w:firstLine="720"/>
    </w:pPr>
  </w:style>
  <w:style w:type="paragraph" w:styleId="Header">
    <w:name w:val="header"/>
    <w:basedOn w:val="Normal"/>
    <w:rsid w:val="003510F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noteText">
    <w:name w:val="footnote text"/>
    <w:basedOn w:val="Normal"/>
    <w:semiHidden/>
    <w:rsid w:val="00F87FC1"/>
    <w:pPr>
      <w:spacing w:after="240"/>
      <w:ind w:firstLine="720"/>
    </w:pPr>
  </w:style>
  <w:style w:type="character" w:customStyle="1" w:styleId="BodyparaChar">
    <w:name w:val="Body para Char"/>
    <w:basedOn w:val="DefaultParagraphFont"/>
    <w:link w:val="Bodypara"/>
    <w:rsid w:val="003510F9"/>
    <w:rPr>
      <w:snapToGrid w:val="0"/>
      <w:sz w:val="24"/>
    </w:rPr>
  </w:style>
  <w:style w:type="character" w:styleId="FootnoteReference">
    <w:name w:val="footnote reference"/>
    <w:semiHidden/>
    <w:rsid w:val="003510F9"/>
  </w:style>
  <w:style w:type="paragraph" w:styleId="Footer">
    <w:name w:val="footer"/>
    <w:basedOn w:val="Normal"/>
    <w:rsid w:val="003510F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16787C"/>
    <w:pPr>
      <w:ind w:left="1890" w:hanging="720"/>
    </w:pPr>
  </w:style>
  <w:style w:type="paragraph" w:styleId="EndnoteText">
    <w:name w:val="endnote text"/>
    <w:basedOn w:val="Normal"/>
    <w:semiHidden/>
    <w:rsid w:val="00F87FC1"/>
    <w:rPr>
      <w:sz w:val="20"/>
    </w:rPr>
  </w:style>
  <w:style w:type="character" w:styleId="EndnoteReference">
    <w:name w:val="endnote reference"/>
    <w:basedOn w:val="DefaultParagraphFont"/>
    <w:semiHidden/>
    <w:rsid w:val="00F87FC1"/>
    <w:rPr>
      <w:vertAlign w:val="superscript"/>
    </w:rPr>
  </w:style>
  <w:style w:type="character" w:styleId="CommentReference">
    <w:name w:val="annotation reference"/>
    <w:basedOn w:val="DefaultParagraphFont"/>
    <w:semiHidden/>
    <w:rsid w:val="003510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510F9"/>
    <w:rPr>
      <w:sz w:val="20"/>
    </w:rPr>
  </w:style>
  <w:style w:type="character" w:styleId="PageNumber">
    <w:name w:val="page number"/>
    <w:basedOn w:val="DefaultParagraphFont"/>
    <w:rsid w:val="003510F9"/>
  </w:style>
  <w:style w:type="paragraph" w:styleId="TOC1">
    <w:name w:val="toc 1"/>
    <w:basedOn w:val="Normal"/>
    <w:next w:val="Normal"/>
    <w:semiHidden/>
    <w:rsid w:val="003510F9"/>
  </w:style>
  <w:style w:type="paragraph" w:styleId="TOC2">
    <w:name w:val="toc 2"/>
    <w:basedOn w:val="Normal"/>
    <w:next w:val="Normal"/>
    <w:semiHidden/>
    <w:rsid w:val="003510F9"/>
    <w:pPr>
      <w:ind w:left="240"/>
    </w:pPr>
  </w:style>
  <w:style w:type="paragraph" w:styleId="TOC3">
    <w:name w:val="toc 3"/>
    <w:basedOn w:val="Normal"/>
    <w:next w:val="Normal"/>
    <w:semiHidden/>
    <w:rsid w:val="003510F9"/>
    <w:pPr>
      <w:ind w:left="480"/>
    </w:pPr>
  </w:style>
  <w:style w:type="paragraph" w:styleId="TOC4">
    <w:name w:val="toc 4"/>
    <w:basedOn w:val="Normal"/>
    <w:next w:val="Normal"/>
    <w:semiHidden/>
    <w:rsid w:val="003510F9"/>
    <w:pPr>
      <w:ind w:left="720"/>
    </w:pPr>
  </w:style>
  <w:style w:type="paragraph" w:styleId="TOC5">
    <w:name w:val="toc 5"/>
    <w:basedOn w:val="Normal"/>
    <w:next w:val="Normal"/>
    <w:semiHidden/>
    <w:rsid w:val="003510F9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3510F9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3510F9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3510F9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3510F9"/>
    <w:pPr>
      <w:widowControl/>
      <w:ind w:left="1920"/>
    </w:pPr>
    <w:rPr>
      <w:snapToGrid/>
      <w:szCs w:val="24"/>
    </w:rPr>
  </w:style>
  <w:style w:type="paragraph" w:customStyle="1" w:styleId="Footers">
    <w:name w:val="Footers"/>
    <w:basedOn w:val="Heading1"/>
    <w:rsid w:val="003510F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rsid w:val="003510F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3510F9"/>
    <w:pPr>
      <w:spacing w:before="120" w:after="120"/>
      <w:ind w:left="720"/>
    </w:pPr>
  </w:style>
  <w:style w:type="paragraph" w:customStyle="1" w:styleId="TOCheading">
    <w:name w:val="TOC heading"/>
    <w:basedOn w:val="Normal"/>
    <w:rsid w:val="003510F9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3510F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510F9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3510F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3510F9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3510F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3510F9"/>
    <w:pPr>
      <w:widowControl/>
      <w:numPr>
        <w:numId w:val="1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3510F9"/>
    <w:rPr>
      <w:b/>
      <w:sz w:val="28"/>
      <w:szCs w:val="28"/>
    </w:rPr>
  </w:style>
  <w:style w:type="character" w:styleId="Hyperlink">
    <w:name w:val="Hyperlink"/>
    <w:basedOn w:val="DefaultParagraphFont"/>
    <w:rsid w:val="003510F9"/>
    <w:rPr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rsid w:val="003510F9"/>
    <w:pPr>
      <w:widowControl/>
    </w:pPr>
  </w:style>
  <w:style w:type="character" w:customStyle="1" w:styleId="alphaparaChar">
    <w:name w:val="alpha para Char"/>
    <w:basedOn w:val="BodyparaChar"/>
    <w:link w:val="alphapara"/>
    <w:rsid w:val="00EF357E"/>
  </w:style>
  <w:style w:type="character" w:customStyle="1" w:styleId="NumberparaChar">
    <w:name w:val="Number para Char"/>
    <w:basedOn w:val="alphaparaChar"/>
    <w:link w:val="Numberpara"/>
    <w:rsid w:val="00963CB1"/>
  </w:style>
  <w:style w:type="character" w:customStyle="1" w:styleId="Heading1Char">
    <w:name w:val="Heading 1 Char"/>
    <w:basedOn w:val="DefaultParagraphFont"/>
    <w:link w:val="Heading1"/>
    <w:rsid w:val="003510F9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3510F9"/>
    <w:rPr>
      <w:b/>
      <w:snapToGrid w:val="0"/>
      <w:sz w:val="24"/>
    </w:rPr>
  </w:style>
  <w:style w:type="paragraph" w:customStyle="1" w:styleId="a">
    <w:name w:val="_"/>
    <w:basedOn w:val="Normal"/>
    <w:rsid w:val="003510F9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3510F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510F9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3510F9"/>
  </w:style>
  <w:style w:type="paragraph" w:styleId="BodyTextIndent">
    <w:name w:val="Body Text Indent"/>
    <w:aliases w:val="bi"/>
    <w:basedOn w:val="Normal"/>
    <w:link w:val="BodyTextIndentChar"/>
    <w:rsid w:val="003510F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3510F9"/>
    <w:rPr>
      <w:snapToGrid w:val="0"/>
      <w:sz w:val="24"/>
    </w:rPr>
  </w:style>
  <w:style w:type="table" w:styleId="TableGrid">
    <w:name w:val="Table Grid"/>
    <w:basedOn w:val="TableNormal"/>
    <w:rsid w:val="0035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/>
  <cp:revision>1</cp:revision>
  <cp:lastPrinted>2010-05-26T23:00:00Z</cp:lastPrinted>
  <dcterms:created xsi:type="dcterms:W3CDTF">2017-03-23T23:32:00Z</dcterms:created>
  <dcterms:modified xsi:type="dcterms:W3CDTF">2017-03-23T23:32:00Z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