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9F0" w:rsidRDefault="004F5245">
      <w:pPr>
        <w:pStyle w:val="Title"/>
      </w:pPr>
      <w:r>
        <w:t>UNEXECUTED</w:t>
      </w:r>
    </w:p>
    <w:p w:rsidR="009602AC" w:rsidRDefault="004F5245">
      <w:pPr>
        <w:pStyle w:val="Title"/>
      </w:pPr>
      <w:r>
        <w:t>TCR MINIMUM OIL BURN AGREEMENT</w:t>
      </w:r>
    </w:p>
    <w:p w:rsidR="009602AC" w:rsidRDefault="004F5245">
      <w:pPr>
        <w:pStyle w:val="Title"/>
      </w:pPr>
      <w:r>
        <w:t>PURSUANT TO nyiso MARKET ADMINISTRATION AND CONTROL AREA SERVICES TARIFF</w:t>
      </w:r>
      <w:r>
        <w:br/>
      </w:r>
    </w:p>
    <w:p w:rsidR="009602AC" w:rsidRDefault="004F5245">
      <w:pPr>
        <w:pStyle w:val="BodyText05SS"/>
      </w:pPr>
      <w:r>
        <w:t xml:space="preserve">THIS AGREEMENT (“TCR Minimum Oil Burn Agreement”) is made and entered into this </w:t>
      </w:r>
      <w:r>
        <w:t xml:space="preserve"> </w:t>
      </w:r>
      <w:r>
        <w:t xml:space="preserve"> </w:t>
      </w:r>
      <w:r>
        <w:t xml:space="preserve">  </w:t>
      </w:r>
      <w:r>
        <w:t>day of</w:t>
      </w:r>
      <w:r>
        <w:t xml:space="preserve">     2</w:t>
      </w:r>
      <w:r>
        <w:t>01</w:t>
      </w:r>
      <w:r>
        <w:t>4</w:t>
      </w:r>
      <w:r>
        <w:t>, by and between TC Ravenswood, LLC (“TC</w:t>
      </w:r>
      <w:r>
        <w:t xml:space="preserve"> Ravenswood” or “TCR”), and New York Independent System Operator, Inc. (“NYISO” each individually a “Party” and collectively, “Parties”), pursuant to the following recitals and representations:</w:t>
      </w:r>
    </w:p>
    <w:p w:rsidR="009602AC" w:rsidRDefault="004F5245">
      <w:pPr>
        <w:spacing w:after="360"/>
        <w:jc w:val="center"/>
        <w:rPr>
          <w:b/>
          <w:bCs/>
        </w:rPr>
      </w:pPr>
      <w:r>
        <w:rPr>
          <w:b/>
          <w:bCs/>
        </w:rPr>
        <w:t>RECITALS</w:t>
      </w:r>
    </w:p>
    <w:p w:rsidR="009602AC" w:rsidRDefault="004F5245">
      <w:pPr>
        <w:pStyle w:val="BodyText"/>
        <w:spacing w:after="360"/>
      </w:pPr>
      <w:r>
        <w:rPr>
          <w:b/>
          <w:bCs/>
        </w:rPr>
        <w:t>WHEREAS</w:t>
      </w:r>
      <w:r>
        <w:t xml:space="preserve">, NYISO operates the </w:t>
      </w:r>
      <w:smartTag w:uri="urn:schemas-microsoft-com:office:smarttags" w:element="PlaceName">
        <w:r>
          <w:t>New York</w:t>
        </w:r>
      </w:smartTag>
      <w:r>
        <w:t xml:space="preserve"> </w:t>
      </w:r>
      <w:smartTag w:uri="urn:schemas-microsoft-com:office:smarttags" w:element="PlaceType">
        <w:r>
          <w:t>State</w:t>
        </w:r>
      </w:smartTag>
      <w:r>
        <w:t>’s high vol</w:t>
      </w:r>
      <w:r>
        <w:t xml:space="preserve">tage transmission grid and administers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’s organized wholesale electricity markets; and </w:t>
      </w:r>
    </w:p>
    <w:p w:rsidR="009602AC" w:rsidRDefault="004F5245">
      <w:pPr>
        <w:pStyle w:val="BodyText"/>
        <w:spacing w:after="360"/>
      </w:pPr>
      <w:r>
        <w:rPr>
          <w:b/>
        </w:rPr>
        <w:t>WHEREAS</w:t>
      </w:r>
      <w:r>
        <w:t>, TCR is obligated by New York State Reliability Council (“NYSRC”)  Local Reliability Rule I-R3 to burn an alternate fuel pursuant to procedures es</w:t>
      </w:r>
      <w:r>
        <w:t>tablished by Consolidated Edison Company of New York, Inc. (“Con Edison”); and</w:t>
      </w:r>
    </w:p>
    <w:p w:rsidR="009602AC" w:rsidRDefault="004F5245">
      <w:pPr>
        <w:pStyle w:val="BodyText"/>
        <w:spacing w:after="360"/>
      </w:pPr>
      <w:r>
        <w:rPr>
          <w:b/>
        </w:rPr>
        <w:t xml:space="preserve">WHEREAS, </w:t>
      </w:r>
      <w:r>
        <w:t>the Parties have agreed to enter into this TCR Minimum Oil Burn Agreement pursuant to the provisions of the NYISO’s Market Administration and Control Area Services Tari</w:t>
      </w:r>
      <w:r>
        <w:t xml:space="preserve">ff (“Services Tariff”); and </w:t>
      </w:r>
    </w:p>
    <w:p w:rsidR="009602AC" w:rsidRDefault="004F5245">
      <w:pPr>
        <w:pStyle w:val="BodyText"/>
        <w:spacing w:after="360"/>
      </w:pPr>
      <w:r>
        <w:rPr>
          <w:b/>
          <w:bCs/>
        </w:rPr>
        <w:t>WHEREAS</w:t>
      </w:r>
      <w:r>
        <w:t>, the Parties have agreed to enter into this TCR Minimum Oil Burn Agreement for the purpose of memorializing the facilities to be used by and compensation to be paid to TCR to be ready to burn and for burning an alternat</w:t>
      </w:r>
      <w:r>
        <w:t>e fuel pursuant to NYSRC Rule I-R3 for the term specified herein;</w:t>
      </w:r>
    </w:p>
    <w:p w:rsidR="009602AC" w:rsidRDefault="004F5245">
      <w:pPr>
        <w:pStyle w:val="BodyText"/>
        <w:spacing w:after="360"/>
      </w:pPr>
      <w:r>
        <w:rPr>
          <w:b/>
        </w:rPr>
        <w:t xml:space="preserve">NOW, THEREFORE, </w:t>
      </w:r>
      <w:r>
        <w:t>in consideration of, and subject to FERC acceptance and the mutual covenants contained herein, it is agreed:</w:t>
      </w:r>
    </w:p>
    <w:p w:rsidR="009602AC" w:rsidRDefault="004F5245">
      <w:pPr>
        <w:pStyle w:val="Heading1"/>
        <w:tabs>
          <w:tab w:val="left" w:pos="1980"/>
        </w:tabs>
      </w:pPr>
      <w:r>
        <w:rPr>
          <w:rStyle w:val="StyleHeading112ptUnderlineChar"/>
        </w:rPr>
        <w:t>Scope of Agreement</w:t>
      </w:r>
      <w:r>
        <w:t>.  This TCR Minimum Oil Burn Agreement is enter</w:t>
      </w:r>
      <w:r>
        <w:t>ed into pursuant to the authority granted by the Federal Energy Regulatory Commission (“Commission” or “FERC") in Section 4.1.9 of the NYISO’s Market Administration and Control Area Services Tariff (“Services Tariff”) for the purpose of memorializing the f</w:t>
      </w:r>
      <w:r>
        <w:t>acilities to be used by and  compensation to be paid to TC Ravenswood for being ready to burn, and for burning, an alternate fuel pursuant to NYSRC Local Reliability Rule I-R3 and Con Edison’s procedures for operating its system in accordance with Rule I-R</w:t>
      </w:r>
      <w:r>
        <w:t>3 as required by the NYSRC (“Minimum Oil Compliance ”) for the term specified herein.  Pursuant to NYSRC Rul</w:t>
      </w:r>
      <w:r>
        <w:t xml:space="preserve">e I-R3, Minimum Oil Compliance </w:t>
      </w:r>
      <w:r>
        <w:t>shall be provided by TC Ravenswood when Zone J loads reach certain predetermined levels.  The NYISO shall pay TC Rave</w:t>
      </w:r>
      <w:r>
        <w:t xml:space="preserve">nswood certain costs incurred by </w:t>
      </w:r>
      <w:r>
        <w:lastRenderedPageBreak/>
        <w:t>TC Ravenswood that are associated with its procurement, delivery and storage of fuel oil for Minimum Oil Compliance, as set forth in Sections 3 and 4 hereof.  The NYISO shall recover those costs from the Loads in Load Zones</w:t>
      </w:r>
      <w:r>
        <w:t xml:space="preserve"> H, I and J (the “Con Edison Transmission District”) in accordance with Section 5.</w:t>
      </w:r>
    </w:p>
    <w:p w:rsidR="009602AC" w:rsidRDefault="004F5245">
      <w:pPr>
        <w:pStyle w:val="Heading1"/>
        <w:keepNext w:val="0"/>
      </w:pPr>
      <w:r>
        <w:rPr>
          <w:rStyle w:val="StyleHeading112ptUnderlineChar"/>
        </w:rPr>
        <w:t>Effective Date/Term of Agreement</w:t>
      </w:r>
      <w:r>
        <w:t>.  This TCR Minimum Oil Burn Agreement shall become effective on May 1, 201</w:t>
      </w:r>
      <w:r>
        <w:t xml:space="preserve">4, shall remain effective for </w:t>
      </w:r>
      <w:r>
        <w:t>three years through April 30, 201</w:t>
      </w:r>
      <w:r>
        <w:t>7</w:t>
      </w:r>
      <w:r>
        <w:t xml:space="preserve">, </w:t>
      </w:r>
      <w:r>
        <w:t>and sha</w:t>
      </w:r>
      <w:r>
        <w:t xml:space="preserve">ll be applicable to </w:t>
      </w:r>
      <w:r>
        <w:t>three separate service periods</w:t>
      </w:r>
      <w:r>
        <w:t xml:space="preserve"> (“Capability </w:t>
      </w:r>
      <w:r>
        <w:t>Years”) as follows:</w:t>
      </w:r>
    </w:p>
    <w:p w:rsidR="009602AC" w:rsidRDefault="004F5245">
      <w:r>
        <w:t>Initial Capability Year</w:t>
      </w:r>
      <w:r>
        <w:tab/>
      </w:r>
      <w:r>
        <w:tab/>
        <w:t>May 1, 201</w:t>
      </w:r>
      <w:r>
        <w:t>4</w:t>
      </w:r>
      <w:r>
        <w:t xml:space="preserve"> through April 30, </w:t>
      </w:r>
      <w:r>
        <w:t>201</w:t>
      </w:r>
      <w:r>
        <w:t>5</w:t>
      </w:r>
    </w:p>
    <w:p w:rsidR="009602AC" w:rsidRDefault="004F5245">
      <w:r>
        <w:t>Second Capability Year</w:t>
      </w:r>
      <w:r>
        <w:tab/>
        <w:t>May 1, 201</w:t>
      </w:r>
      <w:r>
        <w:t>5</w:t>
      </w:r>
      <w:r>
        <w:t xml:space="preserve"> through April 30, 201</w:t>
      </w:r>
      <w:r>
        <w:t>6</w:t>
      </w:r>
    </w:p>
    <w:p w:rsidR="009602AC" w:rsidRDefault="004F5245">
      <w:r>
        <w:t>Third Capability Year</w:t>
      </w:r>
      <w:r>
        <w:tab/>
      </w:r>
      <w:r>
        <w:tab/>
        <w:t>May 1, 201</w:t>
      </w:r>
      <w:r>
        <w:t>6</w:t>
      </w:r>
      <w:r>
        <w:t xml:space="preserve"> through Apri</w:t>
      </w:r>
      <w:r>
        <w:t>l 30, 201</w:t>
      </w:r>
      <w:r>
        <w:t>7</w:t>
      </w:r>
    </w:p>
    <w:p w:rsidR="009602AC" w:rsidRDefault="004F5245"/>
    <w:p w:rsidR="009602AC" w:rsidRDefault="004F5245">
      <w:pPr>
        <w:pStyle w:val="Heading1"/>
      </w:pPr>
      <w:r>
        <w:rPr>
          <w:rStyle w:val="StyleHeading112ptUnderlineChar"/>
        </w:rPr>
        <w:t>Costs Per Capability Year</w:t>
      </w:r>
      <w:r>
        <w:t xml:space="preserve">.  </w:t>
      </w:r>
    </w:p>
    <w:p w:rsidR="009602AC" w:rsidRDefault="004F5245">
      <w:pPr>
        <w:pStyle w:val="Heading4"/>
      </w:pPr>
      <w:r>
        <w:rPr>
          <w:u w:val="single"/>
        </w:rPr>
        <w:t>Predetermined Costs</w:t>
      </w:r>
      <w:r>
        <w:t>.  The NYISO shall pay to TC Ravenswood the amounts indicated below (“Predetermined Costs”) in five monthly installments for the relevant Capability Year, which reflect: (i) a portion of the costs</w:t>
      </w:r>
      <w:r>
        <w:t xml:space="preserve"> to lease one and one half (1½) off-site storage tanks which the Parties understand will provide approximately </w:t>
      </w:r>
      <w:r w:rsidRPr="009134AF">
        <w:rPr>
          <w:color w:val="000000"/>
        </w:rPr>
        <w:t>240,000</w:t>
      </w:r>
      <w:r>
        <w:t xml:space="preserve"> barrels of working capacity of 0.30 percent Sulfur No. 6 fuel oil (“Fuel Oil”) storage; (ii) a portion of the costs TC Ravenswood incurs </w:t>
      </w:r>
      <w:r>
        <w:t xml:space="preserve">to lease one large time-chartered barge, which the Parties understand will provide approximately </w:t>
      </w:r>
      <w:r>
        <w:t>4</w:t>
      </w:r>
      <w:r>
        <w:t xml:space="preserve">0,000 barrels of working capacity of Fuel Oil transportation, and the Lemon Creek dockside storage barge or an equivalent replacement of approximately 50,000 </w:t>
      </w:r>
      <w:r>
        <w:t>barrels of working capacity; (iii) a charge for the use of on-site storage tanks at the Ravenswood Facility; and (iv) certain ancillary  fuel oil  fees (</w:t>
      </w:r>
      <w:r>
        <w:rPr>
          <w:i/>
        </w:rPr>
        <w:t>e.g</w:t>
      </w:r>
      <w:r>
        <w:t>., labor, barge heating, tank heating, booming, testing, taxes, and carrying charges ).  The NYISO s</w:t>
      </w:r>
      <w:r>
        <w:t xml:space="preserve">hall pay TC Ravenswood for Predetermined Costs irrespective of the costs actually incurred by TC Ravenswood or the amount of Fuel Oil burned in each Capability Year:  </w:t>
      </w:r>
    </w:p>
    <w:p w:rsidR="009602AC" w:rsidRDefault="004F5245">
      <w:r>
        <w:t>Initial Capability Year</w:t>
      </w:r>
      <w:r>
        <w:tab/>
      </w:r>
      <w:r>
        <w:tab/>
      </w:r>
      <w:r>
        <w:t>$3,</w:t>
      </w:r>
      <w:r>
        <w:t xml:space="preserve">607,243 </w:t>
      </w:r>
    </w:p>
    <w:p w:rsidR="009602AC" w:rsidRDefault="004F5245">
      <w:r>
        <w:t>Second Capability Year</w:t>
      </w:r>
      <w:r>
        <w:tab/>
      </w:r>
      <w:r>
        <w:t>$3,607,243</w:t>
      </w:r>
    </w:p>
    <w:p w:rsidR="009602AC" w:rsidRDefault="004F5245">
      <w:r>
        <w:t xml:space="preserve">Third Capability </w:t>
      </w:r>
      <w:r>
        <w:t>Year</w:t>
      </w:r>
      <w:r>
        <w:tab/>
      </w:r>
      <w:r>
        <w:tab/>
      </w:r>
      <w:r>
        <w:t>$3,607,243</w:t>
      </w:r>
    </w:p>
    <w:p w:rsidR="009602AC" w:rsidRDefault="004F5245">
      <w:pPr>
        <w:rPr>
          <w:sz w:val="28"/>
          <w:szCs w:val="28"/>
        </w:rPr>
      </w:pPr>
    </w:p>
    <w:p w:rsidR="009602AC" w:rsidRDefault="004F5245">
      <w:r>
        <w:t>TC Ravenswood shall have no claim for additional payments and neither the NYISO nor its customers shall have a claim for a refund or abatement if TC Ravenswood’s actual costs associated with any of the items identified in this Section 3.A</w:t>
      </w:r>
      <w:r>
        <w:t xml:space="preserve"> are more or less, respectively, than the Predetermined Costs set forth herein.</w:t>
      </w:r>
    </w:p>
    <w:p w:rsidR="009602AC" w:rsidRDefault="004F5245">
      <w:r>
        <w:rPr>
          <w:color w:val="1F497D"/>
        </w:rPr>
        <w:br/>
      </w:r>
    </w:p>
    <w:p w:rsidR="009602AC" w:rsidRDefault="004F5245">
      <w:pPr>
        <w:pStyle w:val="Heading4"/>
      </w:pPr>
      <w:r>
        <w:rPr>
          <w:u w:val="single"/>
        </w:rPr>
        <w:t>Costs Per Barrel</w:t>
      </w:r>
      <w:r>
        <w:t xml:space="preserve">.  In addition to the payment of predetermined costs established in Section 3.A, the NYISO shall pay to TC Ravenswood:  (i) the commodity costs  of  Fuel Oil </w:t>
      </w:r>
      <w:r>
        <w:t>burned</w:t>
      </w:r>
      <w:r>
        <w:rPr>
          <w:sz w:val="28"/>
          <w:szCs w:val="28"/>
        </w:rPr>
        <w:t xml:space="preserve"> </w:t>
      </w:r>
      <w:r>
        <w:t>in compliance with I-R3 to the extent they exceed the commodity costs of burning natural gas as provided in Section 4.1.9 of the NYISO Services Tariff  including applicable taxes and emission allowance</w:t>
      </w:r>
      <w:r>
        <w:rPr>
          <w:b/>
        </w:rPr>
        <w:t xml:space="preserve"> </w:t>
      </w:r>
      <w:r>
        <w:t>fees not included in TCR’s reference bid; and (</w:t>
      </w:r>
      <w:r>
        <w:t>ii) operations and maintenance (“O&amp;M”) expenses, which shall be calculated by multiplying a fixed rate defined for each Capability Year times the number of barrels of Fuel Oil burned in each month to provide Minimum Oil Service.  The rates for O&amp;M expenses</w:t>
      </w:r>
      <w:r>
        <w:t xml:space="preserve"> under this TCR Minimum Oil Burn Agreement are as follows:</w:t>
      </w:r>
    </w:p>
    <w:p w:rsidR="009602AC" w:rsidRDefault="004F5245">
      <w:r>
        <w:t>Initial Capability Year</w:t>
      </w:r>
      <w:r>
        <w:tab/>
      </w:r>
      <w:r>
        <w:tab/>
        <w:t>$0.</w:t>
      </w:r>
      <w:r>
        <w:t>45</w:t>
      </w:r>
      <w:r>
        <w:t>/bbl</w:t>
      </w:r>
    </w:p>
    <w:p w:rsidR="009602AC" w:rsidRDefault="004F5245">
      <w:r>
        <w:t>Second Capability Year</w:t>
      </w:r>
      <w:r>
        <w:tab/>
        <w:t>$0.45/bbl</w:t>
      </w:r>
    </w:p>
    <w:p w:rsidR="009602AC" w:rsidRDefault="004F5245">
      <w:r>
        <w:t>Third Capability Year</w:t>
      </w:r>
      <w:r>
        <w:tab/>
      </w:r>
      <w:r>
        <w:tab/>
        <w:t>$0.45/bbl</w:t>
      </w:r>
    </w:p>
    <w:p w:rsidR="009134AF" w:rsidRDefault="004F5245">
      <w:pPr>
        <w:rPr>
          <w:b/>
        </w:rPr>
      </w:pPr>
    </w:p>
    <w:p w:rsidR="009602AC" w:rsidRDefault="004F5245">
      <w:pPr>
        <w:pStyle w:val="Heading1"/>
      </w:pPr>
      <w:r>
        <w:rPr>
          <w:b/>
        </w:rPr>
        <w:t xml:space="preserve"> </w:t>
      </w:r>
      <w:r>
        <w:rPr>
          <w:rStyle w:val="StyleHeading112ptUnderlineChar"/>
        </w:rPr>
        <w:t>Additional Spot Barge Costs</w:t>
      </w:r>
      <w:r>
        <w:t xml:space="preserve">.  In the event that TC Ravenswood determines during the term of this TCR Minimum Oil Burn Agreement that additional Fuel Oil must be obtained </w:t>
      </w:r>
      <w:r>
        <w:rPr>
          <w:i/>
        </w:rPr>
        <w:t>via</w:t>
      </w:r>
      <w:r>
        <w:t xml:space="preserve"> a spot barge for any fuel oil usage at the Ravenswood site, TC Ravenswood will provide the NYISO and Con Edis</w:t>
      </w:r>
      <w:r>
        <w:t>on with as much notice as possible and the NYISO shall pay to TC Ravenswood one-third of the costs of such barge in the billing cycle following TC Ravenswood’s submittal of an appropriate invoice.</w:t>
      </w:r>
    </w:p>
    <w:p w:rsidR="009602AC" w:rsidRDefault="004F5245">
      <w:pPr>
        <w:pStyle w:val="Heading1"/>
        <w:keepNext w:val="0"/>
      </w:pPr>
      <w:r>
        <w:rPr>
          <w:rStyle w:val="StyleHeading112ptUnderlineChar"/>
        </w:rPr>
        <w:t>Billing Arrangements</w:t>
      </w:r>
      <w:r>
        <w:t>.  The NYISO shall pay to TC Ravenswood</w:t>
      </w:r>
      <w:r>
        <w:t>, through the billing procedures set forth in the NYISO’s Services Tariff, the appropriate monthly share of the Predetermined Costs for the months May through September for the relevant Capability Year commencing with May 201</w:t>
      </w:r>
      <w:r>
        <w:t>4</w:t>
      </w:r>
      <w:r>
        <w:t xml:space="preserve">  and shall allocate such paym</w:t>
      </w:r>
      <w:r>
        <w:t xml:space="preserve">ent through the billing procedures set forth in the NYISO’s Services Tariff to all load withdrawals, other than withdrawals to support third party station power, in the Con Edison Transmission District (Load Zones H, I and J) based on load ratio shares </w:t>
      </w:r>
      <w:r>
        <w:rPr>
          <w:bCs w:val="0"/>
        </w:rPr>
        <w:t>for</w:t>
      </w:r>
      <w:r>
        <w:t xml:space="preserve"> each Load Serving Entity (“LSE”) for the month for which the payment is made.  All other costs to be paid pursuant to this TCR Minimum Oil Burn Agreement shall be billed to the NYISO by TC Ravenswood as soon as reasonably practicable after they are incurr</w:t>
      </w:r>
      <w:r>
        <w:t>ed, paid by the NYISO in accordance with the billing procedures set forth in the NYISO Services Tariff  and allocated to all load withdrawals, other than withdrawals to support third party station power, in the Con Edison Transmission District based on loa</w:t>
      </w:r>
      <w:r>
        <w:t xml:space="preserve">d ratio shares </w:t>
      </w:r>
      <w:r>
        <w:rPr>
          <w:bCs w:val="0"/>
        </w:rPr>
        <w:t>for</w:t>
      </w:r>
      <w:r>
        <w:t xml:space="preserve"> each LSE for the month for which the payment is made.  </w:t>
      </w:r>
    </w:p>
    <w:p w:rsidR="009602AC" w:rsidRDefault="004F5245">
      <w:pPr>
        <w:pStyle w:val="Heading1"/>
        <w:keepNext w:val="0"/>
      </w:pPr>
      <w:r>
        <w:rPr>
          <w:rStyle w:val="StyleHeading112ptUnderlineChar"/>
        </w:rPr>
        <w:t>Termination/Amendment</w:t>
      </w:r>
      <w:r>
        <w:t>.  This TCR Minimum Oil Burn Agreement s</w:t>
      </w:r>
      <w:r>
        <w:t>hall terminate on April 30, 2015</w:t>
      </w:r>
      <w:r>
        <w:t>.  The NYISO and TC Ravenswood will use reasonable commercial efforts to enter into anot</w:t>
      </w:r>
      <w:r>
        <w:t>her agreement and file it with the Commission at least six months prior to the termination date.  As part of this effort, TC Ravenswood and the NYISO shall work together to negotiate an amendment or replacement agreement which shall define the terms and co</w:t>
      </w:r>
      <w:r>
        <w:t xml:space="preserve">nditions applicable to the subsequent Capability Year(s) using the Commission’s Dispute Resolution Service as necessary, pursuant to Section 4.1.9 of the NYISO Services Tariff.  To the extent confidential materials are adequately protected, Con Edison and </w:t>
      </w:r>
      <w:r>
        <w:t>the NYPSC will be included in the discussions.  Upon filing of such an amendment or replacement agreement, the Parties shall request an effective date for the amendment or agreement of May 1, 201</w:t>
      </w:r>
      <w:r>
        <w:t>7</w:t>
      </w:r>
      <w:r>
        <w:t xml:space="preserve">. </w:t>
      </w:r>
    </w:p>
    <w:p w:rsidR="009602AC" w:rsidRDefault="004F5245">
      <w:pPr>
        <w:pStyle w:val="BodyText"/>
        <w:ind w:left="720"/>
      </w:pPr>
      <w:r>
        <w:t>In the event the Parties are unable to reach agreement at</w:t>
      </w:r>
      <w:r>
        <w:t xml:space="preserve"> least four months prior to April 30, 201</w:t>
      </w:r>
      <w:r>
        <w:t>7</w:t>
      </w:r>
      <w:r>
        <w:t>, the Parties may file an unexecuted agreement for the Commission’s review, resolution of open issues and acceptance of one binding agreement pursuant to Section 4.1.9 of the NYISO Services Tariff.  The Parties sha</w:t>
      </w:r>
      <w:r>
        <w:t>ll retain all rights under the Federal Power Act, as applicable, under Section 4.1.9 of the NYISO Services Tariff, and under all other provisions in the NYISO Services Tariff to the extent applicable.</w:t>
      </w:r>
    </w:p>
    <w:p w:rsidR="009602AC" w:rsidRDefault="004F5245">
      <w:pPr>
        <w:pStyle w:val="Heading1"/>
        <w:keepNext w:val="0"/>
      </w:pPr>
      <w:r>
        <w:rPr>
          <w:rStyle w:val="StyleHeading112ptUnderlineChar"/>
        </w:rPr>
        <w:t>Primary Jurisdiction</w:t>
      </w:r>
      <w:r>
        <w:t>.  This TCR Minimum Oil Burn Agreem</w:t>
      </w:r>
      <w:r>
        <w:t>ent is entered into pursuant to Section 4.1.9 of the NYISO Services Tariff and all terms and conditions of this TCR Minimum Oil Burn Agreement are entered into pursuant to the rates, terms, and conditions of the  NYISO Services Tariff on file with the Comm</w:t>
      </w:r>
      <w:r>
        <w:t>ission, including the limitation of liability and indemnification provisions of the NYISO Services Tariff, except that, to the extent Section 4.1.9 of the NYISO Services Tariff may be modified prior to the Termination Date of this TCR Minimum Oil Burn Agre</w:t>
      </w:r>
      <w:r>
        <w:t>ement, as such date may be extended by subsequent amendment or replacement, this TCR Minimum Oil Burn Agreement shall remain in full force and effect. The Parties agree that the Commission shall have primary jurisdiction over any dispute arising under this</w:t>
      </w:r>
      <w:r>
        <w:t xml:space="preserve"> TCR Minimum Oil Burn Agreement and that they will not institute any civil action related to this TCR Minimum Oil Burn Agreement without first seeking Commission relief.</w:t>
      </w:r>
      <w:r>
        <w:rPr>
          <w:rStyle w:val="StyleHeading112ptUnderlineChar"/>
          <w:u w:val="none"/>
        </w:rPr>
        <w:t xml:space="preserve">  The NYISO shall have no liability in excess of any amount found due and owing in a fi</w:t>
      </w:r>
      <w:r>
        <w:rPr>
          <w:rStyle w:val="StyleHeading112ptUnderlineChar"/>
          <w:u w:val="none"/>
        </w:rPr>
        <w:t xml:space="preserve">nal Commission order after judicial review.  </w:t>
      </w:r>
      <w:r>
        <w:t>Pursuant to the provisions of Section 4.1.9 of the NYISO Services Tariff, the NYISO shall file subsequent agreements, including amendments and modifications to currently effective TCR Minimum Oil Burn Agreement,</w:t>
      </w:r>
      <w:r>
        <w:t xml:space="preserve"> with the Commission and seek Commission approval of the agreement.  The TCR Minimum Oil Burn Agreement and any subsequent amendment, extension or new agreement pursuant to Section 4.1.9 shall be subject to the “public interest” standard </w:t>
      </w:r>
      <w:r>
        <w:rPr>
          <w:b/>
        </w:rPr>
        <w:t>of</w:t>
      </w:r>
      <w:r>
        <w:t xml:space="preserve"> review set fort</w:t>
      </w:r>
      <w:r>
        <w:t xml:space="preserve">h in </w:t>
      </w:r>
      <w:r>
        <w:rPr>
          <w:i/>
        </w:rPr>
        <w:t>United Gas Pipe Line Co. v. Mobile Gas Service Corp</w:t>
      </w:r>
      <w:r>
        <w:t>.</w:t>
      </w:r>
      <w:r>
        <w:rPr>
          <w:rStyle w:val="FootnoteReference"/>
        </w:rPr>
        <w:footnoteReference w:id="1"/>
      </w:r>
      <w:r>
        <w:t xml:space="preserve"> and </w:t>
      </w:r>
      <w:r>
        <w:rPr>
          <w:i/>
        </w:rPr>
        <w:t>Federal Power Commission v. Sierra Pacific Power Co</w:t>
      </w:r>
      <w:r>
        <w:t>.</w:t>
      </w:r>
      <w:r>
        <w:rPr>
          <w:rStyle w:val="FootnoteReference"/>
        </w:rPr>
        <w:footnoteReference w:id="2"/>
      </w:r>
      <w:r>
        <w:t xml:space="preserve"> (“Mobile Sierra doctrine”) to the full extent legally permissible.</w:t>
      </w:r>
      <w:r>
        <w:rPr>
          <w:rStyle w:val="FootnoteReference"/>
        </w:rPr>
        <w:footnoteReference w:id="3"/>
      </w:r>
      <w:r>
        <w:t xml:space="preserve">     </w:t>
      </w:r>
    </w:p>
    <w:p w:rsidR="009602AC" w:rsidRDefault="004F5245">
      <w:pPr>
        <w:pStyle w:val="Heading1"/>
        <w:keepNext w:val="0"/>
      </w:pPr>
      <w:r>
        <w:rPr>
          <w:rStyle w:val="StyleHeading112ptUnderlineChar"/>
        </w:rPr>
        <w:t xml:space="preserve">Limitation on Liability and Indemnification.  </w:t>
      </w:r>
      <w:r>
        <w:t>The provisions of Se</w:t>
      </w:r>
      <w:r>
        <w:t>rvices Tariff Section 12.3, Limitation on Liability, and Section 12.4, Indemnification are expressly incorporated by reference into this TCR Minimum Oil Burn Agreement.</w:t>
      </w:r>
    </w:p>
    <w:p w:rsidR="009602AC" w:rsidRDefault="004F5245">
      <w:pPr>
        <w:pStyle w:val="Heading1"/>
        <w:keepNext w:val="0"/>
      </w:pPr>
      <w:r>
        <w:rPr>
          <w:rStyle w:val="StyleHeading112ptUnderlineChar"/>
        </w:rPr>
        <w:t>Law of Agreement</w:t>
      </w:r>
      <w:r>
        <w:t>.  The interpretation and performance of this TCR Minimum Oil Burn Agre</w:t>
      </w:r>
      <w:r>
        <w:t xml:space="preserve">ement shall be in accordance with and controlled by the laws of the State of </w:t>
      </w:r>
      <w:smartTag w:uri="urn:schemas-microsoft-com:office:smarttags" w:element="place">
        <w:smartTag w:uri="urn:schemas-microsoft-com:office:smarttags" w:element="State">
          <w:r>
            <w:t>New York</w:t>
          </w:r>
        </w:smartTag>
      </w:smartTag>
      <w:r>
        <w:t xml:space="preserve"> and without regard to doctrines governing choice of law.</w:t>
      </w:r>
    </w:p>
    <w:p w:rsidR="009602AC" w:rsidRDefault="004F5245">
      <w:pPr>
        <w:pStyle w:val="Heading1"/>
        <w:keepNext w:val="0"/>
      </w:pPr>
      <w:r>
        <w:rPr>
          <w:rStyle w:val="StyleHeading112ptUnderlineChar"/>
        </w:rPr>
        <w:t>Regulation</w:t>
      </w:r>
      <w:r>
        <w:t>.  This TCR Minimum Oil Burn Agreement shall be subject to all applicable and lawful governmental statu</w:t>
      </w:r>
      <w:r>
        <w:t>tes, orders, rules and regulations and is contingent upon the receipt and continuation of all necessary approvals or authorizations from the Commission upon terms acceptable to TC Ravenswood and the NYISO.  This TCR Minimum Oil Burn Agreement shall be void</w:t>
      </w:r>
      <w:r>
        <w:t xml:space="preserve"> and of no force and effect if such Commission approval is not so obtained or continued.  The Parties hereto shall cooperate to obtain or continue all necessary approvals or authorizations, but no Party shall be liable to any other party for failure to obt</w:t>
      </w:r>
      <w:r>
        <w:t>ain or continue such approvals or authorizations.</w:t>
      </w:r>
    </w:p>
    <w:p w:rsidR="009602AC" w:rsidRDefault="004F5245">
      <w:pPr>
        <w:pStyle w:val="Heading1"/>
      </w:pPr>
      <w:r>
        <w:rPr>
          <w:rStyle w:val="StyleHeading112ptUnderlineChar"/>
        </w:rPr>
        <w:t>Authority</w:t>
      </w:r>
      <w:r>
        <w:t xml:space="preserve">.  Each Party represents that it has full power and authority to enter into and perform this TCR Minimum Oil Burn Agreement and the person signing this TCR Minimum Oil Burn Agreement on behalf of </w:t>
      </w:r>
      <w:r>
        <w:t>each party has been properly authorized and empowered to sign this TCR Minimum Oil Burn Agreement.</w:t>
      </w:r>
    </w:p>
    <w:p w:rsidR="009602AC" w:rsidRDefault="004F5245">
      <w:pPr>
        <w:pStyle w:val="Heading1"/>
      </w:pPr>
      <w:r>
        <w:rPr>
          <w:rStyle w:val="StyleHeading112ptUnderlineChar"/>
        </w:rPr>
        <w:t>Binding Effect</w:t>
      </w:r>
      <w:r>
        <w:t>.  This TCR Minimum Oil Burn Agreement shall be binding upon the Parties hereto, their administrators, successors and assigns.</w:t>
      </w:r>
    </w:p>
    <w:p w:rsidR="009602AC" w:rsidRDefault="004F5245">
      <w:pPr>
        <w:pStyle w:val="Heading1"/>
      </w:pPr>
      <w:r>
        <w:rPr>
          <w:rStyle w:val="StyleHeading112ptUnderlineChar"/>
        </w:rPr>
        <w:t>Headings</w:t>
      </w:r>
      <w:r>
        <w:t>.  The h</w:t>
      </w:r>
      <w:r>
        <w:t>eadings used in this TCR Minimum Oil Burn Agreement are for convenience only and shall not be construed as a part of the TCR Minimum Oil Burn Agreement or as a limitation on the scope of the particular paragraphs to which they refer.</w:t>
      </w:r>
    </w:p>
    <w:p w:rsidR="009602AC" w:rsidRDefault="004F5245">
      <w:pPr>
        <w:pStyle w:val="Heading1"/>
      </w:pPr>
      <w:r>
        <w:rPr>
          <w:rStyle w:val="StyleHeading112ptUnderlineChar"/>
        </w:rPr>
        <w:t>Notices</w:t>
      </w:r>
      <w:r>
        <w:t>.  Any notice o</w:t>
      </w:r>
      <w:r>
        <w:t>r request made to or by either Party regarding this TCR Minimum Oil Burn Agreement to the representatives of the other as indicated below:</w:t>
      </w:r>
    </w:p>
    <w:p w:rsidR="009602AC" w:rsidRDefault="004F5245">
      <w:pPr>
        <w:pStyle w:val="Heading1"/>
        <w:numPr>
          <w:ilvl w:val="0"/>
          <w:numId w:val="0"/>
        </w:numPr>
        <w:ind w:left="720"/>
        <w:rPr>
          <w:b/>
        </w:rPr>
      </w:pPr>
      <w:r>
        <w:rPr>
          <w:b/>
        </w:rPr>
        <w:t>TC Ravenswood</w:t>
      </w:r>
    </w:p>
    <w:tbl>
      <w:tblPr>
        <w:tblW w:w="0" w:type="auto"/>
        <w:tblLook w:val="01E0"/>
      </w:tblPr>
      <w:tblGrid>
        <w:gridCol w:w="4788"/>
        <w:gridCol w:w="4788"/>
      </w:tblGrid>
      <w:tr w:rsidR="00A97AE3">
        <w:trPr>
          <w:trHeight w:val="1070"/>
        </w:trPr>
        <w:tc>
          <w:tcPr>
            <w:tcW w:w="4788" w:type="dxa"/>
          </w:tcPr>
          <w:p w:rsidR="009602AC" w:rsidRDefault="004F5245">
            <w:pPr>
              <w:keepNext/>
              <w:tabs>
                <w:tab w:val="left" w:pos="720"/>
              </w:tabs>
              <w:ind w:left="720"/>
            </w:pPr>
            <w:r>
              <w:t>Kristine Delkus</w:t>
            </w:r>
          </w:p>
          <w:p w:rsidR="009602AC" w:rsidRDefault="004F5245">
            <w:pPr>
              <w:keepNext/>
              <w:tabs>
                <w:tab w:val="left" w:pos="720"/>
              </w:tabs>
              <w:ind w:left="720"/>
            </w:pPr>
            <w:r>
              <w:t>TransCanada Corporation</w:t>
            </w:r>
          </w:p>
          <w:p w:rsidR="009602AC" w:rsidRDefault="004F5245">
            <w:pPr>
              <w:keepNext/>
              <w:tabs>
                <w:tab w:val="left" w:pos="720"/>
              </w:tabs>
              <w:ind w:left="720"/>
            </w:pPr>
            <w:r>
              <w:t>450 1st Street SW</w:t>
            </w:r>
          </w:p>
          <w:p w:rsidR="009602AC" w:rsidRDefault="004F5245">
            <w:pPr>
              <w:keepNext/>
              <w:tabs>
                <w:tab w:val="left" w:pos="720"/>
              </w:tabs>
              <w:ind w:left="720"/>
              <w:rPr>
                <w:lang w:val="fr-FR"/>
              </w:rPr>
            </w:pPr>
            <w:r>
              <w:rPr>
                <w:lang w:val="fr-FR"/>
              </w:rPr>
              <w:t>Canada, T2P 5H1</w:t>
            </w:r>
          </w:p>
          <w:p w:rsidR="009602AC" w:rsidRDefault="004F5245">
            <w:pPr>
              <w:keepNext/>
              <w:tabs>
                <w:tab w:val="left" w:pos="720"/>
              </w:tabs>
              <w:ind w:left="720"/>
              <w:rPr>
                <w:lang w:val="fr-FR"/>
              </w:rPr>
            </w:pPr>
            <w:r>
              <w:rPr>
                <w:lang w:val="fr-FR"/>
              </w:rPr>
              <w:t>Tel: (403) 920-2161</w:t>
            </w:r>
          </w:p>
          <w:p w:rsidR="009602AC" w:rsidRDefault="004F5245">
            <w:pPr>
              <w:keepNext/>
              <w:tabs>
                <w:tab w:val="left" w:pos="720"/>
              </w:tabs>
              <w:ind w:left="720"/>
              <w:rPr>
                <w:lang w:val="fr-FR"/>
              </w:rPr>
            </w:pPr>
            <w:r>
              <w:rPr>
                <w:lang w:val="fr-FR"/>
              </w:rPr>
              <w:t>Fax: (403</w:t>
            </w:r>
            <w:r>
              <w:rPr>
                <w:lang w:val="fr-FR"/>
              </w:rPr>
              <w:t>) 920-2392</w:t>
            </w:r>
          </w:p>
          <w:p w:rsidR="009602AC" w:rsidRDefault="004F5245">
            <w:pPr>
              <w:keepNext/>
              <w:tabs>
                <w:tab w:val="left" w:pos="720"/>
              </w:tabs>
              <w:ind w:left="720"/>
              <w:rPr>
                <w:lang w:val="fr-FR"/>
              </w:rPr>
            </w:pPr>
            <w:r>
              <w:rPr>
                <w:lang w:val="fr-FR"/>
              </w:rPr>
              <w:t>Email: us_regulatory_law@transcanada.com</w:t>
            </w:r>
          </w:p>
          <w:p w:rsidR="009602AC" w:rsidRDefault="004F5245">
            <w:pPr>
              <w:keepNext/>
              <w:tabs>
                <w:tab w:val="left" w:pos="720"/>
              </w:tabs>
              <w:ind w:left="720"/>
              <w:rPr>
                <w:lang w:val="fr-FR"/>
              </w:rPr>
            </w:pPr>
            <w:r>
              <w:rPr>
                <w:lang w:val="fr-FR"/>
              </w:rPr>
              <w:br/>
              <w:t>James M. D’Andrea</w:t>
            </w:r>
          </w:p>
          <w:p w:rsidR="009602AC" w:rsidRDefault="004F5245">
            <w:pPr>
              <w:keepNext/>
              <w:tabs>
                <w:tab w:val="left" w:pos="720"/>
              </w:tabs>
              <w:ind w:left="720"/>
              <w:rPr>
                <w:lang w:val="fr-FR"/>
              </w:rPr>
            </w:pPr>
            <w:r>
              <w:rPr>
                <w:lang w:val="fr-FR"/>
              </w:rPr>
              <w:t>TransCanada Services USA Inc.</w:t>
            </w:r>
          </w:p>
          <w:p w:rsidR="009602AC" w:rsidRDefault="004F5245">
            <w:pPr>
              <w:keepNext/>
              <w:tabs>
                <w:tab w:val="left" w:pos="720"/>
              </w:tabs>
              <w:ind w:left="720"/>
            </w:pPr>
            <w:r>
              <w:t>532 Broadhollow Road, Suite 139</w:t>
            </w:r>
          </w:p>
          <w:p w:rsidR="009602AC" w:rsidRDefault="004F5245">
            <w:pPr>
              <w:keepNext/>
              <w:tabs>
                <w:tab w:val="left" w:pos="720"/>
              </w:tabs>
              <w:ind w:left="720"/>
            </w:pPr>
            <w:r>
              <w:t xml:space="preserve">Melville, NY  11747 </w:t>
            </w:r>
          </w:p>
          <w:p w:rsidR="009602AC" w:rsidRDefault="004F5245">
            <w:pPr>
              <w:keepNext/>
              <w:tabs>
                <w:tab w:val="left" w:pos="720"/>
              </w:tabs>
              <w:ind w:left="720"/>
            </w:pPr>
            <w:r>
              <w:t>Tel:   (508) 667-3282</w:t>
            </w:r>
          </w:p>
          <w:p w:rsidR="009602AC" w:rsidRDefault="004F5245">
            <w:pPr>
              <w:keepNext/>
              <w:tabs>
                <w:tab w:val="left" w:pos="720"/>
              </w:tabs>
              <w:ind w:left="720"/>
            </w:pPr>
            <w:r>
              <w:t>Fax:  (631) 501-5250</w:t>
            </w:r>
          </w:p>
          <w:p w:rsidR="009602AC" w:rsidRDefault="004F5245">
            <w:pPr>
              <w:keepNext/>
              <w:tabs>
                <w:tab w:val="left" w:pos="720"/>
              </w:tabs>
              <w:ind w:left="720"/>
            </w:pPr>
            <w:r>
              <w:t>Email: jim_dandrea@transcanada.com</w:t>
            </w:r>
          </w:p>
        </w:tc>
        <w:tc>
          <w:tcPr>
            <w:tcW w:w="4788" w:type="dxa"/>
            <w:tcBorders>
              <w:left w:val="nil"/>
            </w:tcBorders>
          </w:tcPr>
          <w:p w:rsidR="009602AC" w:rsidRDefault="004F5245">
            <w:pPr>
              <w:pStyle w:val="TableText"/>
              <w:keepNext/>
              <w:tabs>
                <w:tab w:val="left" w:pos="720"/>
              </w:tabs>
              <w:ind w:left="252"/>
            </w:pPr>
            <w:r>
              <w:t>Kenneth L. Wiseman</w:t>
            </w:r>
          </w:p>
          <w:p w:rsidR="009602AC" w:rsidRDefault="004F5245">
            <w:pPr>
              <w:pStyle w:val="TableText"/>
              <w:keepNext/>
              <w:tabs>
                <w:tab w:val="left" w:pos="720"/>
              </w:tabs>
              <w:ind w:left="252"/>
            </w:pPr>
            <w:r>
              <w:t xml:space="preserve">Mark </w:t>
            </w:r>
            <w:r>
              <w:t>F. Sundback</w:t>
            </w:r>
          </w:p>
          <w:p w:rsidR="009602AC" w:rsidRDefault="004F5245">
            <w:pPr>
              <w:pStyle w:val="TableText"/>
              <w:keepNext/>
              <w:tabs>
                <w:tab w:val="left" w:pos="720"/>
              </w:tabs>
              <w:ind w:left="252"/>
              <w:rPr>
                <w:lang w:val="fr-FR"/>
              </w:rPr>
            </w:pPr>
            <w:r>
              <w:rPr>
                <w:lang w:val="fr-FR"/>
              </w:rPr>
              <w:t>Jennifer L. Spina</w:t>
            </w:r>
          </w:p>
          <w:p w:rsidR="009602AC" w:rsidRDefault="004F5245">
            <w:pPr>
              <w:pStyle w:val="TableText"/>
              <w:keepNext/>
              <w:tabs>
                <w:tab w:val="left" w:pos="720"/>
              </w:tabs>
              <w:ind w:left="252"/>
              <w:rPr>
                <w:lang w:val="fr-FR"/>
              </w:rPr>
            </w:pPr>
            <w:r>
              <w:rPr>
                <w:lang w:val="fr-FR"/>
              </w:rPr>
              <w:t>Lisa M. Purdy</w:t>
            </w:r>
          </w:p>
          <w:p w:rsidR="009602AC" w:rsidRDefault="004F5245">
            <w:pPr>
              <w:pStyle w:val="TableText"/>
              <w:keepNext/>
              <w:tabs>
                <w:tab w:val="left" w:pos="720"/>
              </w:tabs>
              <w:ind w:left="252"/>
            </w:pPr>
            <w:r>
              <w:t>Andrews Kurth LLP</w:t>
            </w:r>
          </w:p>
          <w:p w:rsidR="009602AC" w:rsidRDefault="004F5245">
            <w:pPr>
              <w:pStyle w:val="TableText"/>
              <w:keepNext/>
              <w:tabs>
                <w:tab w:val="left" w:pos="720"/>
              </w:tabs>
              <w:ind w:left="252"/>
            </w:pPr>
            <w:r>
              <w:t>1350 I Street, NW</w:t>
            </w:r>
          </w:p>
          <w:p w:rsidR="009602AC" w:rsidRDefault="004F5245">
            <w:pPr>
              <w:pStyle w:val="TableText"/>
              <w:keepNext/>
              <w:tabs>
                <w:tab w:val="left" w:pos="720"/>
              </w:tabs>
              <w:ind w:left="252"/>
            </w:pPr>
            <w:r>
              <w:t>Suite 1100</w:t>
            </w:r>
          </w:p>
          <w:p w:rsidR="009602AC" w:rsidRDefault="004F5245">
            <w:pPr>
              <w:pStyle w:val="TableText"/>
              <w:keepNext/>
              <w:tabs>
                <w:tab w:val="left" w:pos="720"/>
              </w:tabs>
              <w:ind w:left="252"/>
            </w:pPr>
            <w:r>
              <w:t>Washington, DC 20005</w:t>
            </w:r>
          </w:p>
          <w:p w:rsidR="009602AC" w:rsidRDefault="004F5245">
            <w:pPr>
              <w:pStyle w:val="TableText"/>
              <w:keepNext/>
              <w:tabs>
                <w:tab w:val="left" w:pos="720"/>
              </w:tabs>
              <w:ind w:left="252"/>
            </w:pPr>
            <w:r>
              <w:t xml:space="preserve">Tel: </w:t>
            </w:r>
            <w:r>
              <w:rPr>
                <w:szCs w:val="17"/>
              </w:rPr>
              <w:t>(202) 662-2700</w:t>
            </w:r>
          </w:p>
          <w:p w:rsidR="009602AC" w:rsidRDefault="004F5245">
            <w:pPr>
              <w:pStyle w:val="TableText"/>
              <w:keepNext/>
              <w:tabs>
                <w:tab w:val="left" w:pos="720"/>
              </w:tabs>
              <w:ind w:left="252"/>
            </w:pPr>
            <w:r>
              <w:t xml:space="preserve">Fax: </w:t>
            </w:r>
            <w:r>
              <w:rPr>
                <w:szCs w:val="17"/>
              </w:rPr>
              <w:t>(202) 662-2739</w:t>
            </w:r>
            <w:r>
              <w:t xml:space="preserve">  </w:t>
            </w:r>
          </w:p>
          <w:p w:rsidR="009602AC" w:rsidRDefault="004F5245">
            <w:pPr>
              <w:pStyle w:val="TableText"/>
              <w:keepNext/>
              <w:tabs>
                <w:tab w:val="left" w:pos="720"/>
              </w:tabs>
              <w:ind w:left="252"/>
            </w:pPr>
            <w:r>
              <w:t>Email: kwiseman@andrewskurth.com</w:t>
            </w:r>
          </w:p>
          <w:p w:rsidR="009602AC" w:rsidRDefault="004F5245">
            <w:pPr>
              <w:pStyle w:val="TableText"/>
              <w:keepNext/>
              <w:tabs>
                <w:tab w:val="left" w:pos="720"/>
              </w:tabs>
              <w:ind w:left="252"/>
            </w:pPr>
            <w:r>
              <w:t>Email: msundback@andrewskurth.com</w:t>
            </w:r>
          </w:p>
          <w:p w:rsidR="009602AC" w:rsidRDefault="004F5245">
            <w:pPr>
              <w:pStyle w:val="BodyText05DS"/>
              <w:keepNext/>
              <w:tabs>
                <w:tab w:val="left" w:pos="720"/>
              </w:tabs>
              <w:spacing w:line="240" w:lineRule="auto"/>
              <w:ind w:left="259" w:firstLine="0"/>
            </w:pPr>
            <w:r>
              <w:t>Email: jspina@andrewskurth.com</w:t>
            </w:r>
          </w:p>
          <w:p w:rsidR="009602AC" w:rsidRDefault="004F5245">
            <w:pPr>
              <w:pStyle w:val="BodyText05DS"/>
              <w:keepNext/>
              <w:tabs>
                <w:tab w:val="left" w:pos="720"/>
              </w:tabs>
              <w:spacing w:line="240" w:lineRule="auto"/>
              <w:ind w:left="259" w:firstLine="0"/>
            </w:pPr>
            <w:r>
              <w:t>Emai</w:t>
            </w:r>
            <w:r>
              <w:t>l: lpurdy@andrewskurth.com</w:t>
            </w:r>
          </w:p>
        </w:tc>
      </w:tr>
    </w:tbl>
    <w:p w:rsidR="009602AC" w:rsidRDefault="004F5245"/>
    <w:p w:rsidR="009602AC" w:rsidRDefault="004F5245">
      <w:pPr>
        <w:ind w:firstLine="720"/>
        <w:rPr>
          <w:b/>
        </w:rPr>
      </w:pPr>
      <w:r>
        <w:rPr>
          <w:b/>
        </w:rPr>
        <w:t>The NYISO</w:t>
      </w:r>
    </w:p>
    <w:p w:rsidR="009602AC" w:rsidRDefault="004F5245">
      <w:pPr>
        <w:ind w:firstLine="720"/>
        <w:rPr>
          <w:b/>
        </w:rPr>
      </w:pPr>
    </w:p>
    <w:p w:rsidR="009602AC" w:rsidRDefault="004F5245">
      <w:pPr>
        <w:pStyle w:val="BodyText"/>
        <w:tabs>
          <w:tab w:val="left" w:pos="1440"/>
        </w:tabs>
        <w:spacing w:after="0"/>
        <w:ind w:firstLine="720"/>
      </w:pPr>
      <w:r>
        <w:t>New York Independent System Operator, Inc.</w:t>
      </w:r>
    </w:p>
    <w:p w:rsidR="009602AC" w:rsidRDefault="004F5245">
      <w:pPr>
        <w:pStyle w:val="BodyText"/>
        <w:tabs>
          <w:tab w:val="left" w:pos="1440"/>
        </w:tabs>
        <w:spacing w:after="0"/>
        <w:ind w:firstLine="720"/>
      </w:pPr>
      <w:r>
        <w:t>Mollie Lampi</w:t>
      </w:r>
      <w:r>
        <w:tab/>
      </w:r>
    </w:p>
    <w:p w:rsidR="009602AC" w:rsidRDefault="004F5245">
      <w:pPr>
        <w:pStyle w:val="BodyText"/>
        <w:tabs>
          <w:tab w:val="left" w:pos="1440"/>
        </w:tabs>
        <w:spacing w:after="0"/>
        <w:ind w:firstLine="720"/>
      </w:pPr>
      <w:r>
        <w:t>NYISO Assistant General Counsel</w:t>
      </w:r>
    </w:p>
    <w:p w:rsidR="009602AC" w:rsidRDefault="004F5245">
      <w:pPr>
        <w:pStyle w:val="BodyText"/>
        <w:tabs>
          <w:tab w:val="left" w:pos="1440"/>
        </w:tabs>
        <w:spacing w:after="0"/>
        <w:ind w:firstLine="720"/>
      </w:pPr>
      <w:smartTag w:uri="urn:schemas-microsoft-com:office:smarttags" w:element="address">
        <w:smartTag w:uri="urn:schemas-microsoft-com:office:smarttags" w:element="Street">
          <w:r>
            <w:t>10 Krey Boulevard</w:t>
          </w:r>
        </w:smartTag>
      </w:smartTag>
    </w:p>
    <w:p w:rsidR="009602AC" w:rsidRDefault="004F5245">
      <w:pPr>
        <w:pStyle w:val="BodyText"/>
        <w:tabs>
          <w:tab w:val="left" w:pos="1440"/>
        </w:tabs>
        <w:spacing w:after="0"/>
        <w:ind w:firstLine="720"/>
      </w:pPr>
      <w:smartTag w:uri="urn:schemas-microsoft-com:office:smarttags" w:element="place">
        <w:smartTag w:uri="urn:schemas-microsoft-com:office:smarttags" w:element="City">
          <w:r>
            <w:t>Rensselaer</w:t>
          </w:r>
        </w:smartTag>
        <w:r>
          <w:t xml:space="preserve">, </w:t>
        </w:r>
        <w:smartTag w:uri="urn:schemas-microsoft-com:office:smarttags" w:element="State">
          <w:r>
            <w:t>NY</w:t>
          </w:r>
        </w:smartTag>
        <w:r>
          <w:t xml:space="preserve"> </w:t>
        </w:r>
        <w:smartTag w:uri="urn:schemas-microsoft-com:office:smarttags" w:element="PostalCode">
          <w:r>
            <w:t>12144</w:t>
          </w:r>
        </w:smartTag>
      </w:smartTag>
    </w:p>
    <w:p w:rsidR="009602AC" w:rsidRDefault="004F5245">
      <w:pPr>
        <w:pStyle w:val="BodyText"/>
        <w:tabs>
          <w:tab w:val="left" w:pos="1440"/>
        </w:tabs>
        <w:spacing w:after="0"/>
        <w:ind w:firstLine="720"/>
      </w:pPr>
      <w:r>
        <w:t>Tel:  (518) 356-7530</w:t>
      </w:r>
    </w:p>
    <w:p w:rsidR="009602AC" w:rsidRDefault="004F5245">
      <w:r>
        <w:tab/>
        <w:t>Fax: (518) 356- 7678</w:t>
      </w:r>
    </w:p>
    <w:p w:rsidR="009602AC" w:rsidRDefault="004F5245">
      <w:r>
        <w:tab/>
        <w:t>Email: mlampi@nyiso.com</w:t>
      </w:r>
    </w:p>
    <w:p w:rsidR="009602AC" w:rsidRDefault="004F5245"/>
    <w:p w:rsidR="009602AC" w:rsidRDefault="004F5245">
      <w:pPr>
        <w:jc w:val="both"/>
      </w:pPr>
      <w:r>
        <w:tab/>
        <w:t>Section 15.</w:t>
      </w:r>
      <w:r>
        <w:tab/>
      </w:r>
      <w:r>
        <w:rPr>
          <w:u w:val="single"/>
        </w:rPr>
        <w:t xml:space="preserve">Force </w:t>
      </w:r>
      <w:r>
        <w:rPr>
          <w:u w:val="single"/>
        </w:rPr>
        <w:t>Majeure and New Regulations.</w:t>
      </w:r>
      <w:r>
        <w:rPr>
          <w:u w:val="single"/>
        </w:rPr>
        <w:tab/>
      </w:r>
      <w:r>
        <w:tab/>
        <w:t>In the event there is an occurrence resulting from an Act of God, act of war, act of public enemies, rulers or people, or stoppage or restraint of labor or trade from whatsoever cause, or riot or civil commotion that prevent e</w:t>
      </w:r>
      <w:r>
        <w:t>ither Party from performing in accordance with the TCR Minimum Oil Burn Agreement, or there is a material non-FERC jurisdictional regulatory change that materially alters the ability of TCR to provide Minimum Oil Service, Minimum Oil Service ceases to be r</w:t>
      </w:r>
      <w:r>
        <w:t>equired pursuant to NYSRC Local Reliability Rule I-R3 or Con Edison’s procedures for operating its system in accordance with Rule I-R3, the Ravenswood Facility is out of service or is facing an outage, or there is any other event that materially reduces TC</w:t>
      </w:r>
      <w:r>
        <w:t>R’s ability to provide Minimum Oil Service, or the need for such service, TCR will exercise commercially reasonable efforts to reduce the Predetermined Costs and other costs payable under this TCR Minimum Oil Burn Agreement including</w:t>
      </w:r>
      <w:r>
        <w:rPr>
          <w:b/>
        </w:rPr>
        <w:t>,</w:t>
      </w:r>
      <w:r>
        <w:t xml:space="preserve"> to the extent practic</w:t>
      </w:r>
      <w:r>
        <w:t>able</w:t>
      </w:r>
      <w:r>
        <w:rPr>
          <w:b/>
          <w:u w:val="single"/>
        </w:rPr>
        <w:t>,</w:t>
      </w:r>
      <w:r>
        <w:t xml:space="preserve"> to attempt to renegotiate the terms and conditions of the storage and transportation agreements with TCR’s suppliers, to reflect the then current needs of the Parties.  Amounts payable hereunder will be reduced by the amount of any such avoidable cos</w:t>
      </w:r>
      <w:r>
        <w:t>ts with the intent of keeping TCR in a comparable economic position.</w:t>
      </w:r>
    </w:p>
    <w:p w:rsidR="009602AC" w:rsidRDefault="004F5245">
      <w:pPr>
        <w:jc w:val="both"/>
      </w:pPr>
    </w:p>
    <w:p w:rsidR="009602AC" w:rsidRDefault="004F5245">
      <w:pPr>
        <w:ind w:firstLine="720"/>
        <w:jc w:val="both"/>
      </w:pPr>
      <w:r>
        <w:rPr>
          <w:bCs/>
        </w:rPr>
        <w:t>Section 16.</w:t>
      </w:r>
      <w:r>
        <w:rPr>
          <w:bCs/>
        </w:rPr>
        <w:tab/>
      </w:r>
      <w:r>
        <w:rPr>
          <w:bCs/>
          <w:u w:val="single"/>
        </w:rPr>
        <w:t>Signatures.</w:t>
      </w:r>
      <w:r>
        <w:rPr>
          <w:bCs/>
        </w:rPr>
        <w:tab/>
      </w:r>
      <w:r>
        <w:rPr>
          <w:bCs/>
        </w:rPr>
        <w:tab/>
        <w:t>Signatures may occur by counterparts.  Such signatures</w:t>
      </w:r>
      <w:r>
        <w:t xml:space="preserve"> shall have the same effect as if all signatures were on the same document.</w:t>
      </w:r>
    </w:p>
    <w:p w:rsidR="009602AC" w:rsidRDefault="004F5245">
      <w:r>
        <w:t xml:space="preserve"> </w:t>
      </w:r>
    </w:p>
    <w:p w:rsidR="009602AC" w:rsidRDefault="004F5245">
      <w:pPr>
        <w:jc w:val="both"/>
      </w:pPr>
      <w:r>
        <w:t>IN WITNESS WHEREOF, the Parti</w:t>
      </w:r>
      <w:r>
        <w:t>es hereto have caused this TCR Minimum Oil Burn Agreement to be executed by their duly authorized officers, and copies delivered to each Party, to become effective as of the Effective Date identified herein.</w:t>
      </w:r>
    </w:p>
    <w:p w:rsidR="009602AC" w:rsidRDefault="004F5245">
      <w:pPr>
        <w:jc w:val="both"/>
      </w:pPr>
    </w:p>
    <w:p w:rsidR="009602AC" w:rsidRDefault="004F5245">
      <w:pPr>
        <w:tabs>
          <w:tab w:val="left" w:pos="3960"/>
          <w:tab w:val="left" w:pos="4320"/>
          <w:tab w:val="left" w:pos="9000"/>
        </w:tabs>
        <w:rPr>
          <w:u w:val="single"/>
        </w:rPr>
      </w:pPr>
    </w:p>
    <w:tbl>
      <w:tblPr>
        <w:tblW w:w="0" w:type="auto"/>
        <w:tblLook w:val="04A0"/>
      </w:tblPr>
      <w:tblGrid>
        <w:gridCol w:w="4788"/>
        <w:gridCol w:w="4788"/>
      </w:tblGrid>
      <w:tr w:rsidR="00A97AE3">
        <w:tc>
          <w:tcPr>
            <w:tcW w:w="4788" w:type="dxa"/>
          </w:tcPr>
          <w:p w:rsidR="009602AC" w:rsidRDefault="004F5245">
            <w:pPr>
              <w:rPr>
                <w:b/>
              </w:rPr>
            </w:pPr>
            <w:r>
              <w:rPr>
                <w:b/>
              </w:rPr>
              <w:t>New York Independent System Operator, Inc.</w:t>
            </w:r>
          </w:p>
          <w:p w:rsidR="009602AC" w:rsidRDefault="004F5245">
            <w:pPr>
              <w:rPr>
                <w:b/>
              </w:rPr>
            </w:pPr>
          </w:p>
          <w:p w:rsidR="009602AC" w:rsidRDefault="004F5245">
            <w:pPr>
              <w:rPr>
                <w:b/>
              </w:rPr>
            </w:pPr>
          </w:p>
          <w:p w:rsidR="009602AC" w:rsidRDefault="004F5245">
            <w:r>
              <w:t>_____________________________________</w:t>
            </w:r>
          </w:p>
          <w:p w:rsidR="009602AC" w:rsidRDefault="004F5245">
            <w:pPr>
              <w:tabs>
                <w:tab w:val="left" w:pos="3960"/>
                <w:tab w:val="left" w:pos="4320"/>
                <w:tab w:val="left" w:pos="9000"/>
              </w:tabs>
              <w:rPr>
                <w:u w:val="single"/>
              </w:rPr>
            </w:pPr>
          </w:p>
        </w:tc>
        <w:tc>
          <w:tcPr>
            <w:tcW w:w="4788" w:type="dxa"/>
          </w:tcPr>
          <w:p w:rsidR="009602AC" w:rsidRDefault="004F5245">
            <w:pPr>
              <w:rPr>
                <w:b/>
                <w:iCs/>
              </w:rPr>
            </w:pPr>
            <w:r>
              <w:rPr>
                <w:b/>
                <w:iCs/>
              </w:rPr>
              <w:t>TC Ravenswood, LLC</w:t>
            </w:r>
          </w:p>
          <w:p w:rsidR="009602AC" w:rsidRDefault="004F5245"/>
          <w:p w:rsidR="009602AC" w:rsidRDefault="004F5245"/>
          <w:p w:rsidR="009602AC" w:rsidRDefault="004F5245"/>
          <w:p w:rsidR="009602AC" w:rsidRDefault="004F5245">
            <w:r>
              <w:t>___________________________</w:t>
            </w:r>
          </w:p>
          <w:p w:rsidR="009602AC" w:rsidRDefault="004F5245"/>
          <w:p w:rsidR="009602AC" w:rsidRDefault="004F5245"/>
          <w:p w:rsidR="009602AC" w:rsidRDefault="004F5245">
            <w:pPr>
              <w:rPr>
                <w:u w:val="single"/>
              </w:rPr>
            </w:pPr>
          </w:p>
        </w:tc>
      </w:tr>
      <w:tr w:rsidR="00A97AE3">
        <w:tc>
          <w:tcPr>
            <w:tcW w:w="4788" w:type="dxa"/>
          </w:tcPr>
          <w:p w:rsidR="009602AC" w:rsidRDefault="004F5245">
            <w:pPr>
              <w:rPr>
                <w:lang w:val="en-CA"/>
              </w:rPr>
            </w:pPr>
            <w:r>
              <w:rPr>
                <w:lang w:val="en-CA"/>
              </w:rPr>
              <w:t>Robert E. Fernandez, Esq.</w:t>
            </w:r>
          </w:p>
          <w:p w:rsidR="009602AC" w:rsidRDefault="004F5245">
            <w:pPr>
              <w:rPr>
                <w:lang w:val="en-CA"/>
              </w:rPr>
            </w:pPr>
            <w:r>
              <w:rPr>
                <w:lang w:val="en-CA"/>
              </w:rPr>
              <w:t>General Counsel</w:t>
            </w:r>
          </w:p>
          <w:p w:rsidR="009602AC" w:rsidRDefault="004F5245">
            <w:pPr>
              <w:rPr>
                <w:lang w:val="en-CA"/>
              </w:rPr>
            </w:pPr>
            <w:r>
              <w:rPr>
                <w:lang w:val="en-CA"/>
              </w:rPr>
              <w:t>NYISO</w:t>
            </w:r>
          </w:p>
          <w:p w:rsidR="009602AC" w:rsidRDefault="004F5245">
            <w:pPr>
              <w:rPr>
                <w:lang w:val="en-CA"/>
              </w:rPr>
            </w:pPr>
            <w:smartTag w:uri="urn:schemas-microsoft-com:office:smarttags" w:element="address">
              <w:smartTag w:uri="urn:schemas-microsoft-com:office:smarttags" w:element="Street">
                <w:r>
                  <w:rPr>
                    <w:lang w:val="en-CA"/>
                  </w:rPr>
                  <w:t>10 Krey Boulevard</w:t>
                </w:r>
              </w:smartTag>
            </w:smartTag>
          </w:p>
          <w:p w:rsidR="009602AC" w:rsidRDefault="004F5245">
            <w:smartTag w:uri="urn:schemas-microsoft-com:office:smarttags" w:element="place">
              <w:smartTag w:uri="urn:schemas-microsoft-com:office:smarttags" w:element="City">
                <w:r>
                  <w:t>Rensselaer</w:t>
                </w:r>
              </w:smartTag>
              <w:r>
                <w:t xml:space="preserve">, </w:t>
              </w:r>
              <w:smartTag w:uri="urn:schemas-microsoft-com:office:smarttags" w:element="State">
                <w:r>
                  <w:t>NY</w:t>
                </w:r>
              </w:smartTag>
              <w:r>
                <w:t xml:space="preserve">  </w:t>
              </w:r>
              <w:smartTag w:uri="urn:schemas-microsoft-com:office:smarttags" w:element="PostalCode">
                <w:r>
                  <w:t>12144</w:t>
                </w:r>
              </w:smartTag>
            </w:smartTag>
          </w:p>
          <w:p w:rsidR="009602AC" w:rsidRDefault="004F5245">
            <w:r>
              <w:t>Telephone:  (518) 356-6220</w:t>
            </w:r>
          </w:p>
          <w:p w:rsidR="009602AC" w:rsidRDefault="004F5245">
            <w:r>
              <w:t xml:space="preserve">Email: </w:t>
            </w:r>
            <w:hyperlink r:id="rId7" w:history="1">
              <w:r>
                <w:rPr>
                  <w:rStyle w:val="Hyperlink"/>
                </w:rPr>
                <w:t>rfernandez@nyiso.com</w:t>
              </w:r>
            </w:hyperlink>
          </w:p>
          <w:p w:rsidR="009602AC" w:rsidRDefault="004F5245">
            <w:pPr>
              <w:rPr>
                <w:i/>
              </w:rPr>
            </w:pPr>
          </w:p>
          <w:p w:rsidR="009602AC" w:rsidRDefault="004F5245">
            <w:pPr>
              <w:rPr>
                <w:i/>
              </w:rPr>
            </w:pPr>
            <w:r>
              <w:rPr>
                <w:i/>
              </w:rPr>
              <w:t>Counsel to New York Independent System Operator, Inc.</w:t>
            </w:r>
          </w:p>
        </w:tc>
        <w:tc>
          <w:tcPr>
            <w:tcW w:w="4788" w:type="dxa"/>
          </w:tcPr>
          <w:p w:rsidR="009602AC" w:rsidRDefault="004F5245">
            <w:pPr>
              <w:rPr>
                <w:lang w:val="en-CA"/>
              </w:rPr>
            </w:pPr>
            <w:r>
              <w:rPr>
                <w:lang w:val="en-CA"/>
              </w:rPr>
              <w:t>William C. Taylor</w:t>
            </w:r>
          </w:p>
          <w:p w:rsidR="009602AC" w:rsidRDefault="004F5245">
            <w:pPr>
              <w:rPr>
                <w:lang w:val="en-CA"/>
              </w:rPr>
            </w:pPr>
            <w:r>
              <w:rPr>
                <w:lang w:val="en-CA"/>
              </w:rPr>
              <w:t>Vice President</w:t>
            </w:r>
          </w:p>
          <w:p w:rsidR="009602AC" w:rsidRDefault="004F5245">
            <w:pPr>
              <w:rPr>
                <w:lang w:val="en-CA"/>
              </w:rPr>
            </w:pPr>
            <w:r>
              <w:rPr>
                <w:lang w:val="en-CA"/>
              </w:rPr>
              <w:t>Mike Hachey</w:t>
            </w:r>
          </w:p>
          <w:p w:rsidR="009602AC" w:rsidRDefault="004F5245">
            <w:pPr>
              <w:rPr>
                <w:lang w:val="en-CA"/>
              </w:rPr>
            </w:pPr>
            <w:r>
              <w:rPr>
                <w:lang w:val="en-CA"/>
              </w:rPr>
              <w:t>Director</w:t>
            </w:r>
          </w:p>
          <w:p w:rsidR="009602AC" w:rsidRDefault="004F5245">
            <w:pPr>
              <w:rPr>
                <w:lang w:val="en-CA"/>
              </w:rPr>
            </w:pPr>
            <w:r>
              <w:rPr>
                <w:lang w:val="en-CA"/>
              </w:rPr>
              <w:t>TC Ravenswood Services, Corp.</w:t>
            </w:r>
          </w:p>
          <w:p w:rsidR="009602AC" w:rsidRDefault="004F5245">
            <w:pPr>
              <w:rPr>
                <w:lang w:val="en-CA"/>
              </w:rPr>
            </w:pPr>
            <w:r>
              <w:rPr>
                <w:lang w:val="en-CA"/>
              </w:rPr>
              <w:t>110 Turnpike Road, Suite 203</w:t>
            </w:r>
          </w:p>
          <w:p w:rsidR="009602AC" w:rsidRDefault="004F5245">
            <w:pPr>
              <w:rPr>
                <w:lang w:val="en-CA"/>
              </w:rPr>
            </w:pPr>
            <w:r>
              <w:rPr>
                <w:lang w:val="en-CA"/>
              </w:rPr>
              <w:t>Westborough, MA 01581</w:t>
            </w:r>
          </w:p>
          <w:p w:rsidR="009602AC" w:rsidRDefault="004F5245">
            <w:pPr>
              <w:rPr>
                <w:iCs/>
                <w:lang w:val="en-CA"/>
              </w:rPr>
            </w:pPr>
            <w:r>
              <w:rPr>
                <w:iCs/>
                <w:lang w:val="en-CA"/>
              </w:rPr>
              <w:t>Telephone: (508) 871-1855</w:t>
            </w:r>
          </w:p>
          <w:p w:rsidR="009602AC" w:rsidRDefault="004F5245">
            <w:pPr>
              <w:rPr>
                <w:iCs/>
                <w:lang w:val="en-CA"/>
              </w:rPr>
            </w:pPr>
            <w:r>
              <w:rPr>
                <w:iCs/>
                <w:lang w:val="en-CA"/>
              </w:rPr>
              <w:t>Telephone: (508)</w:t>
            </w:r>
            <w:r>
              <w:rPr>
                <w:iCs/>
                <w:lang w:val="en-CA"/>
              </w:rPr>
              <w:t xml:space="preserve"> 871-1852</w:t>
            </w:r>
          </w:p>
          <w:p w:rsidR="009602AC" w:rsidRDefault="004F5245">
            <w:pPr>
              <w:rPr>
                <w:lang w:val="en-CA"/>
              </w:rPr>
            </w:pPr>
            <w:r>
              <w:rPr>
                <w:iCs/>
                <w:lang w:val="en-CA"/>
              </w:rPr>
              <w:t xml:space="preserve">Email: </w:t>
            </w:r>
            <w:hyperlink r:id="rId8" w:history="1">
              <w:r>
                <w:rPr>
                  <w:rStyle w:val="Hyperlink"/>
                  <w:color w:val="auto"/>
                  <w:lang w:val="en-CA"/>
                </w:rPr>
                <w:t>bill_taylor@transcanada.com</w:t>
              </w:r>
            </w:hyperlink>
          </w:p>
          <w:p w:rsidR="009602AC" w:rsidRDefault="00A97AE3">
            <w:pPr>
              <w:rPr>
                <w:lang w:val="en-CA"/>
              </w:rPr>
            </w:pPr>
            <w:hyperlink r:id="rId9" w:history="1">
              <w:r w:rsidR="004F5245">
                <w:rPr>
                  <w:rStyle w:val="Hyperlink"/>
                  <w:lang w:val="en-CA"/>
                </w:rPr>
                <w:t>mike_hachey@transcanada.com</w:t>
              </w:r>
            </w:hyperlink>
          </w:p>
          <w:p w:rsidR="009602AC" w:rsidRDefault="004F5245">
            <w:pPr>
              <w:rPr>
                <w:lang w:val="en-CA"/>
              </w:rPr>
            </w:pPr>
          </w:p>
          <w:p w:rsidR="009602AC" w:rsidRDefault="004F5245">
            <w:pPr>
              <w:rPr>
                <w:iCs/>
                <w:lang w:val="en-CA"/>
              </w:rPr>
            </w:pPr>
          </w:p>
          <w:p w:rsidR="009602AC" w:rsidRDefault="004F5245">
            <w:pPr>
              <w:rPr>
                <w:i/>
                <w:u w:val="single"/>
              </w:rPr>
            </w:pPr>
            <w:r>
              <w:rPr>
                <w:i/>
              </w:rPr>
              <w:t xml:space="preserve">Vice President </w:t>
            </w:r>
            <w:r>
              <w:rPr>
                <w:i/>
                <w:lang w:val="en-CA"/>
              </w:rPr>
              <w:t>TC Ravenswood Services, Corp</w:t>
            </w:r>
          </w:p>
        </w:tc>
      </w:tr>
    </w:tbl>
    <w:p w:rsidR="00D22D1F" w:rsidRDefault="004F5245">
      <w:pPr>
        <w:pStyle w:val="BodyTextHeading"/>
      </w:pPr>
    </w:p>
    <w:sectPr w:rsidR="00D22D1F" w:rsidSect="00A97AE3">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AE3" w:rsidRDefault="00A97AE3" w:rsidP="00A97AE3">
      <w:r>
        <w:separator/>
      </w:r>
    </w:p>
  </w:endnote>
  <w:endnote w:type="continuationSeparator" w:id="0">
    <w:p w:rsidR="00A97AE3" w:rsidRDefault="00A97AE3" w:rsidP="00A97A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AE3" w:rsidRDefault="004F5245">
    <w:pPr>
      <w:jc w:val="right"/>
      <w:rPr>
        <w:rFonts w:ascii="Arial" w:eastAsia="Arial" w:hAnsi="Arial" w:cs="Arial"/>
        <w:color w:val="000000"/>
        <w:sz w:val="16"/>
      </w:rPr>
    </w:pPr>
    <w:r>
      <w:rPr>
        <w:rFonts w:ascii="Arial" w:eastAsia="Arial" w:hAnsi="Arial" w:cs="Arial"/>
        <w:color w:val="000000"/>
        <w:sz w:val="16"/>
      </w:rPr>
      <w:t xml:space="preserve">Effective Date: 5/1/2014 - Docket #: ER14-1822-001 - Page </w:t>
    </w:r>
    <w:r w:rsidR="00A97AE3">
      <w:rPr>
        <w:rFonts w:ascii="Arial" w:eastAsia="Arial" w:hAnsi="Arial" w:cs="Arial"/>
        <w:color w:val="000000"/>
        <w:sz w:val="16"/>
      </w:rPr>
      <w:fldChar w:fldCharType="begin"/>
    </w:r>
    <w:r>
      <w:rPr>
        <w:rFonts w:ascii="Arial" w:eastAsia="Arial" w:hAnsi="Arial" w:cs="Arial"/>
        <w:color w:val="000000"/>
        <w:sz w:val="16"/>
      </w:rPr>
      <w:instrText>PAGE</w:instrText>
    </w:r>
    <w:r w:rsidR="00A97AE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AE3" w:rsidRDefault="004F5245">
    <w:pPr>
      <w:jc w:val="right"/>
      <w:rPr>
        <w:rFonts w:ascii="Arial" w:eastAsia="Arial" w:hAnsi="Arial" w:cs="Arial"/>
        <w:color w:val="000000"/>
        <w:sz w:val="16"/>
      </w:rPr>
    </w:pPr>
    <w:r>
      <w:rPr>
        <w:rFonts w:ascii="Arial" w:eastAsia="Arial" w:hAnsi="Arial" w:cs="Arial"/>
        <w:color w:val="000000"/>
        <w:sz w:val="16"/>
      </w:rPr>
      <w:t xml:space="preserve">Effective Date: 5/1/2014 - Docket #: ER14-1822-001 - Page </w:t>
    </w:r>
    <w:r w:rsidR="00A97AE3">
      <w:rPr>
        <w:rFonts w:ascii="Arial" w:eastAsia="Arial" w:hAnsi="Arial" w:cs="Arial"/>
        <w:color w:val="000000"/>
        <w:sz w:val="16"/>
      </w:rPr>
      <w:fldChar w:fldCharType="begin"/>
    </w:r>
    <w:r>
      <w:rPr>
        <w:rFonts w:ascii="Arial" w:eastAsia="Arial" w:hAnsi="Arial" w:cs="Arial"/>
        <w:color w:val="000000"/>
        <w:sz w:val="16"/>
      </w:rPr>
      <w:instrText>PAGE</w:instrText>
    </w:r>
    <w:r w:rsidR="00A97AE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AE3" w:rsidRDefault="004F5245">
    <w:pPr>
      <w:jc w:val="right"/>
      <w:rPr>
        <w:rFonts w:ascii="Arial" w:eastAsia="Arial" w:hAnsi="Arial" w:cs="Arial"/>
        <w:color w:val="000000"/>
        <w:sz w:val="16"/>
      </w:rPr>
    </w:pPr>
    <w:r>
      <w:rPr>
        <w:rFonts w:ascii="Arial" w:eastAsia="Arial" w:hAnsi="Arial" w:cs="Arial"/>
        <w:color w:val="000000"/>
        <w:sz w:val="16"/>
      </w:rPr>
      <w:t xml:space="preserve">Effective Date: 5/1/2014 - Docket </w:t>
    </w:r>
    <w:r>
      <w:rPr>
        <w:rFonts w:ascii="Arial" w:eastAsia="Arial" w:hAnsi="Arial" w:cs="Arial"/>
        <w:color w:val="000000"/>
        <w:sz w:val="16"/>
      </w:rPr>
      <w:t xml:space="preserve">#: ER14-1822-001 - Page </w:t>
    </w:r>
    <w:r w:rsidR="00A97AE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97AE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F9F" w:rsidRDefault="004F5245">
      <w:r>
        <w:separator/>
      </w:r>
    </w:p>
  </w:footnote>
  <w:footnote w:type="continuationSeparator" w:id="0">
    <w:p w:rsidR="00A31F9F" w:rsidRDefault="004F5245">
      <w:r>
        <w:continuationSeparator/>
      </w:r>
    </w:p>
  </w:footnote>
  <w:footnote w:id="1">
    <w:p w:rsidR="009602AC" w:rsidRDefault="004F5245">
      <w:pPr>
        <w:pStyle w:val="FootnoteText"/>
      </w:pPr>
      <w:r>
        <w:rPr>
          <w:rStyle w:val="FootnoteReference"/>
        </w:rPr>
        <w:footnoteRef/>
      </w:r>
      <w:r>
        <w:t xml:space="preserve"> 350 </w:t>
      </w:r>
      <w:smartTag w:uri="urn:schemas-microsoft-com:office:smarttags" w:element="place">
        <w:smartTag w:uri="urn:schemas-microsoft-com:office:smarttags" w:element="country-region">
          <w:r>
            <w:t>U.S.</w:t>
          </w:r>
        </w:smartTag>
      </w:smartTag>
      <w:r>
        <w:t xml:space="preserve"> 332 (1956).</w:t>
      </w:r>
    </w:p>
  </w:footnote>
  <w:footnote w:id="2">
    <w:p w:rsidR="009602AC" w:rsidRDefault="004F5245">
      <w:pPr>
        <w:pStyle w:val="FootnoteText"/>
      </w:pPr>
      <w:r>
        <w:rPr>
          <w:rStyle w:val="FootnoteReference"/>
        </w:rPr>
        <w:footnoteRef/>
      </w:r>
      <w:r>
        <w:t xml:space="preserve"> 350 </w:t>
      </w:r>
      <w:smartTag w:uri="urn:schemas-microsoft-com:office:smarttags" w:element="place">
        <w:smartTag w:uri="urn:schemas-microsoft-com:office:smarttags" w:element="country-region">
          <w:r>
            <w:t>U.S.</w:t>
          </w:r>
        </w:smartTag>
      </w:smartTag>
      <w:r>
        <w:t xml:space="preserve"> 348 (1956).</w:t>
      </w:r>
    </w:p>
  </w:footnote>
  <w:footnote w:id="3">
    <w:p w:rsidR="009602AC" w:rsidRDefault="004F5245">
      <w:pPr>
        <w:pStyle w:val="FootnoteText"/>
      </w:pPr>
      <w:r>
        <w:rPr>
          <w:rStyle w:val="FootnoteReference"/>
        </w:rPr>
        <w:footnoteRef/>
      </w:r>
      <w:r>
        <w:t xml:space="preserve"> </w:t>
      </w:r>
      <w:r>
        <w:rPr>
          <w:i/>
        </w:rPr>
        <w:t>Morgan Stanley Capital Group Inc. v. Public Utility District No. 1</w:t>
      </w:r>
      <w:r>
        <w:t xml:space="preserve">, 128 S. Ct. 2733 (2008); </w:t>
      </w:r>
      <w:r>
        <w:rPr>
          <w:i/>
        </w:rPr>
        <w:t xml:space="preserve">NRG Power Marketing LLC v. </w:t>
      </w:r>
      <w:smartTag w:uri="urn:schemas-microsoft-com:office:smarttags" w:element="State">
        <w:r>
          <w:rPr>
            <w:i/>
          </w:rPr>
          <w:t>Maine</w:t>
        </w:r>
      </w:smartTag>
      <w:r>
        <w:rPr>
          <w:i/>
        </w:rPr>
        <w:t xml:space="preserve"> Public Utilities Commission</w:t>
      </w:r>
      <w:r>
        <w:t xml:space="preserve">, 130 </w:t>
      </w:r>
      <w:smartTag w:uri="urn:schemas-microsoft-com:office:smarttags" w:element="place">
        <w:r>
          <w:t>S. Ct.</w:t>
        </w:r>
      </w:smartTag>
      <w:r>
        <w:t xml:space="preserve"> 693 (2010; </w:t>
      </w:r>
      <w:r>
        <w:rPr>
          <w:i/>
        </w:rPr>
        <w:t>Dominion Transmission Inc. v. FERC</w:t>
      </w:r>
      <w:r>
        <w:t>, 533 F.3d 845 (2008).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AE3" w:rsidRDefault="004F5245">
    <w:pPr>
      <w:rPr>
        <w:rFonts w:ascii="Arial" w:eastAsia="Arial" w:hAnsi="Arial" w:cs="Arial"/>
        <w:color w:val="000000"/>
        <w:sz w:val="16"/>
      </w:rPr>
    </w:pPr>
    <w:r>
      <w:rPr>
        <w:rFonts w:ascii="Arial" w:eastAsia="Arial" w:hAnsi="Arial" w:cs="Arial"/>
        <w:color w:val="000000"/>
        <w:sz w:val="16"/>
      </w:rPr>
      <w:t>NYISO Agreements --&gt; Service Agreements --&gt; NYISO TCR Unexecuted Minimum Oil Burn Agreement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AE3" w:rsidRDefault="004F5245">
    <w:pPr>
      <w:rPr>
        <w:rFonts w:ascii="Arial" w:eastAsia="Arial" w:hAnsi="Arial" w:cs="Arial"/>
        <w:color w:val="000000"/>
        <w:sz w:val="16"/>
      </w:rPr>
    </w:pPr>
    <w:r>
      <w:rPr>
        <w:rFonts w:ascii="Arial" w:eastAsia="Arial" w:hAnsi="Arial" w:cs="Arial"/>
        <w:color w:val="000000"/>
        <w:sz w:val="16"/>
      </w:rPr>
      <w:t>NYISO Agreements --&gt; Service Agreements --&gt; NYISO TCR Unexecuted Minimum Oil Burn Agreement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AE3" w:rsidRDefault="004F5245">
    <w:pPr>
      <w:rPr>
        <w:rFonts w:ascii="Arial" w:eastAsia="Arial" w:hAnsi="Arial" w:cs="Arial"/>
        <w:color w:val="000000"/>
        <w:sz w:val="16"/>
      </w:rPr>
    </w:pPr>
    <w:r>
      <w:rPr>
        <w:rFonts w:ascii="Arial" w:eastAsia="Arial" w:hAnsi="Arial" w:cs="Arial"/>
        <w:color w:val="000000"/>
        <w:sz w:val="16"/>
      </w:rPr>
      <w:t>NYISO Agreements --&gt; Service Agreements --&gt; NYISO TCR Unexecuted Minimum Oil Burn Agreement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0E36"/>
    <w:multiLevelType w:val="multilevel"/>
    <w:tmpl w:val="E91A1F7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
    <w:nsid w:val="0BAF6B2A"/>
    <w:multiLevelType w:val="multilevel"/>
    <w:tmpl w:val="B92A0D4C"/>
    <w:lvl w:ilvl="0">
      <w:start w:val="1"/>
      <w:numFmt w:val="decimal"/>
      <w:lvlText w:val="Section %1."/>
      <w:lvlJc w:val="left"/>
      <w:pPr>
        <w:tabs>
          <w:tab w:val="num" w:pos="720"/>
        </w:tabs>
        <w:ind w:left="0" w:firstLine="720"/>
      </w:pPr>
      <w:rPr>
        <w:rFonts w:hint="default"/>
        <w:vanish w:val="0"/>
        <w:sz w:val="24"/>
        <w:szCs w:val="24"/>
        <w:u w:val="none"/>
      </w:rPr>
    </w:lvl>
    <w:lvl w:ilvl="1">
      <w:start w:val="1"/>
      <w:numFmt w:val="decimal"/>
      <w:isLgl/>
      <w:lvlText w:val="%1.%2"/>
      <w:lvlJc w:val="left"/>
      <w:pPr>
        <w:tabs>
          <w:tab w:val="num" w:pos="720"/>
        </w:tabs>
        <w:ind w:left="0" w:firstLine="1440"/>
      </w:pPr>
      <w:rPr>
        <w:rFonts w:hint="default"/>
        <w:vanish w:val="0"/>
        <w:u w:val="none"/>
      </w:rPr>
    </w:lvl>
    <w:lvl w:ilvl="2">
      <w:start w:val="1"/>
      <w:numFmt w:val="lowerRoman"/>
      <w:lvlText w:val="(%3)"/>
      <w:lvlJc w:val="left"/>
      <w:pPr>
        <w:tabs>
          <w:tab w:val="num" w:pos="2160"/>
        </w:tabs>
        <w:ind w:left="0" w:firstLine="2160"/>
      </w:pPr>
      <w:rPr>
        <w:rFonts w:hint="default"/>
        <w:b w:val="0"/>
        <w:i w:val="0"/>
        <w:vanish w:val="0"/>
        <w:u w:val="none"/>
      </w:rPr>
    </w:lvl>
    <w:lvl w:ilvl="3">
      <w:start w:val="1"/>
      <w:numFmt w:val="upperLetter"/>
      <w:lvlText w:val="%4."/>
      <w:lvlJc w:val="left"/>
      <w:pPr>
        <w:tabs>
          <w:tab w:val="num" w:pos="2880"/>
        </w:tabs>
        <w:ind w:left="0" w:firstLine="2160"/>
      </w:pPr>
      <w:rPr>
        <w:rFonts w:hint="default"/>
        <w:b w:val="0"/>
        <w:i w:val="0"/>
        <w:vanish w:val="0"/>
        <w:u w:val="none"/>
      </w:rPr>
    </w:lvl>
    <w:lvl w:ilvl="4">
      <w:start w:val="1"/>
      <w:numFmt w:val="decimal"/>
      <w:lvlText w:val="%5."/>
      <w:lvlJc w:val="left"/>
      <w:pPr>
        <w:tabs>
          <w:tab w:val="num" w:pos="3600"/>
        </w:tabs>
        <w:ind w:left="0" w:firstLine="2880"/>
      </w:pPr>
      <w:rPr>
        <w:rFonts w:hint="default"/>
        <w:vanish w:val="0"/>
        <w:u w:val="none"/>
      </w:rPr>
    </w:lvl>
    <w:lvl w:ilvl="5">
      <w:start w:val="1"/>
      <w:numFmt w:val="lowerLetter"/>
      <w:lvlRestart w:val="0"/>
      <w:lvlText w:val="(%6)"/>
      <w:lvlJc w:val="left"/>
      <w:pPr>
        <w:tabs>
          <w:tab w:val="num" w:pos="4320"/>
        </w:tabs>
        <w:ind w:left="0" w:firstLine="3600"/>
      </w:pPr>
      <w:rPr>
        <w:rFonts w:hint="default"/>
        <w:vanish w:val="0"/>
        <w:u w:val="none"/>
      </w:rPr>
    </w:lvl>
    <w:lvl w:ilvl="6">
      <w:start w:val="1"/>
      <w:numFmt w:val="lowerRoman"/>
      <w:lvlText w:val="(%7)"/>
      <w:lvlJc w:val="left"/>
      <w:pPr>
        <w:tabs>
          <w:tab w:val="num" w:pos="5040"/>
        </w:tabs>
        <w:ind w:left="0" w:firstLine="4320"/>
      </w:pPr>
      <w:rPr>
        <w:rFonts w:hint="default"/>
        <w:vanish w:val="0"/>
        <w:u w:val="none"/>
      </w:rPr>
    </w:lvl>
    <w:lvl w:ilvl="7">
      <w:start w:val="1"/>
      <w:numFmt w:val="lowerLetter"/>
      <w:lvlText w:val="%8."/>
      <w:lvlJc w:val="left"/>
      <w:pPr>
        <w:tabs>
          <w:tab w:val="num" w:pos="5760"/>
        </w:tabs>
        <w:ind w:left="0" w:firstLine="5040"/>
      </w:pPr>
      <w:rPr>
        <w:rFonts w:hint="default"/>
        <w:vanish w:val="0"/>
        <w:u w:val="none"/>
      </w:rPr>
    </w:lvl>
    <w:lvl w:ilvl="8">
      <w:start w:val="1"/>
      <w:numFmt w:val="lowerRoman"/>
      <w:lvlText w:val="%9."/>
      <w:lvlJc w:val="left"/>
      <w:pPr>
        <w:tabs>
          <w:tab w:val="num" w:pos="6480"/>
        </w:tabs>
        <w:ind w:left="0" w:firstLine="5760"/>
      </w:pPr>
      <w:rPr>
        <w:rFonts w:hint="default"/>
        <w:vanish w:val="0"/>
        <w:u w:val="none"/>
      </w:rPr>
    </w:lvl>
  </w:abstractNum>
  <w:abstractNum w:abstractNumId="2">
    <w:nsid w:val="0E312D66"/>
    <w:multiLevelType w:val="multilevel"/>
    <w:tmpl w:val="5E5440BA"/>
    <w:lvl w:ilvl="0">
      <w:start w:val="1"/>
      <w:numFmt w:val="decimal"/>
      <w:lvlText w:val="%1."/>
      <w:lvlJc w:val="left"/>
      <w:pPr>
        <w:tabs>
          <w:tab w:val="num" w:pos="720"/>
        </w:tabs>
        <w:ind w:left="0" w:firstLine="0"/>
      </w:pPr>
      <w:rPr>
        <w:rFonts w:hint="default"/>
        <w:vanish w:val="0"/>
        <w:u w:val="none"/>
      </w:rPr>
    </w:lvl>
    <w:lvl w:ilvl="1">
      <w:start w:val="1"/>
      <w:numFmt w:val="decimal"/>
      <w:isLgl/>
      <w:lvlText w:val="%1.%2"/>
      <w:lvlJc w:val="left"/>
      <w:pPr>
        <w:tabs>
          <w:tab w:val="num" w:pos="720"/>
        </w:tabs>
        <w:ind w:left="0" w:firstLine="1440"/>
      </w:pPr>
      <w:rPr>
        <w:rFonts w:hint="default"/>
        <w:vanish w:val="0"/>
        <w:u w:val="none"/>
      </w:rPr>
    </w:lvl>
    <w:lvl w:ilvl="2">
      <w:start w:val="1"/>
      <w:numFmt w:val="none"/>
      <w:isLgl/>
      <w:lvlText w:val="(i)"/>
      <w:lvlJc w:val="left"/>
      <w:pPr>
        <w:tabs>
          <w:tab w:val="num" w:pos="2160"/>
        </w:tabs>
        <w:ind w:left="0" w:firstLine="2160"/>
      </w:pPr>
      <w:rPr>
        <w:rFonts w:hint="default"/>
        <w:b w:val="0"/>
        <w:i w:val="0"/>
        <w:vanish w:val="0"/>
        <w:u w:val="none"/>
      </w:rPr>
    </w:lvl>
    <w:lvl w:ilvl="3">
      <w:start w:val="1"/>
      <w:numFmt w:val="upperLetter"/>
      <w:lvlText w:val="%4."/>
      <w:lvlJc w:val="left"/>
      <w:pPr>
        <w:tabs>
          <w:tab w:val="num" w:pos="2880"/>
        </w:tabs>
        <w:ind w:left="0" w:firstLine="2160"/>
      </w:pPr>
      <w:rPr>
        <w:rFonts w:hint="default"/>
        <w:b w:val="0"/>
        <w:i w:val="0"/>
        <w:vanish w:val="0"/>
        <w:u w:val="none"/>
      </w:rPr>
    </w:lvl>
    <w:lvl w:ilvl="4">
      <w:start w:val="1"/>
      <w:numFmt w:val="decimal"/>
      <w:lvlText w:val="%5."/>
      <w:lvlJc w:val="left"/>
      <w:pPr>
        <w:tabs>
          <w:tab w:val="num" w:pos="3600"/>
        </w:tabs>
        <w:ind w:left="0" w:firstLine="2880"/>
      </w:pPr>
      <w:rPr>
        <w:rFonts w:hint="default"/>
        <w:vanish w:val="0"/>
        <w:u w:val="none"/>
      </w:rPr>
    </w:lvl>
    <w:lvl w:ilvl="5">
      <w:start w:val="1"/>
      <w:numFmt w:val="lowerLetter"/>
      <w:lvlRestart w:val="0"/>
      <w:lvlText w:val="(%6)"/>
      <w:lvlJc w:val="left"/>
      <w:pPr>
        <w:tabs>
          <w:tab w:val="num" w:pos="4320"/>
        </w:tabs>
        <w:ind w:left="0" w:firstLine="3600"/>
      </w:pPr>
      <w:rPr>
        <w:rFonts w:hint="default"/>
        <w:vanish w:val="0"/>
        <w:u w:val="none"/>
      </w:rPr>
    </w:lvl>
    <w:lvl w:ilvl="6">
      <w:start w:val="1"/>
      <w:numFmt w:val="lowerRoman"/>
      <w:lvlText w:val="(%7)"/>
      <w:lvlJc w:val="left"/>
      <w:pPr>
        <w:tabs>
          <w:tab w:val="num" w:pos="5040"/>
        </w:tabs>
        <w:ind w:left="0" w:firstLine="4320"/>
      </w:pPr>
      <w:rPr>
        <w:rFonts w:hint="default"/>
        <w:vanish w:val="0"/>
        <w:u w:val="none"/>
      </w:rPr>
    </w:lvl>
    <w:lvl w:ilvl="7">
      <w:start w:val="1"/>
      <w:numFmt w:val="lowerLetter"/>
      <w:lvlText w:val="%8."/>
      <w:lvlJc w:val="left"/>
      <w:pPr>
        <w:tabs>
          <w:tab w:val="num" w:pos="5760"/>
        </w:tabs>
        <w:ind w:left="0" w:firstLine="5040"/>
      </w:pPr>
      <w:rPr>
        <w:rFonts w:hint="default"/>
        <w:vanish w:val="0"/>
        <w:u w:val="none"/>
      </w:rPr>
    </w:lvl>
    <w:lvl w:ilvl="8">
      <w:start w:val="1"/>
      <w:numFmt w:val="lowerRoman"/>
      <w:lvlText w:val="%9."/>
      <w:lvlJc w:val="left"/>
      <w:pPr>
        <w:tabs>
          <w:tab w:val="num" w:pos="6480"/>
        </w:tabs>
        <w:ind w:left="0" w:firstLine="5760"/>
      </w:pPr>
      <w:rPr>
        <w:rFonts w:hint="default"/>
        <w:vanish w:val="0"/>
        <w:u w:val="none"/>
      </w:rPr>
    </w:lvl>
  </w:abstractNum>
  <w:abstractNum w:abstractNumId="3">
    <w:nsid w:val="0FEB5AA8"/>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4">
    <w:nsid w:val="262509D3"/>
    <w:multiLevelType w:val="multilevel"/>
    <w:tmpl w:val="D00E50A6"/>
    <w:lvl w:ilvl="0">
      <w:start w:val="1"/>
      <w:numFmt w:val="decimal"/>
      <w:lvlText w:val="%1."/>
      <w:lvlJc w:val="left"/>
      <w:pPr>
        <w:tabs>
          <w:tab w:val="num" w:pos="720"/>
        </w:tabs>
        <w:ind w:left="0" w:firstLine="0"/>
      </w:pPr>
      <w:rPr>
        <w:rFonts w:hint="default"/>
        <w:vanish w:val="0"/>
        <w:u w:val="none"/>
      </w:rPr>
    </w:lvl>
    <w:lvl w:ilvl="1">
      <w:start w:val="1"/>
      <w:numFmt w:val="decimal"/>
      <w:isLgl/>
      <w:lvlText w:val="%1.%2"/>
      <w:lvlJc w:val="left"/>
      <w:pPr>
        <w:tabs>
          <w:tab w:val="num" w:pos="720"/>
        </w:tabs>
        <w:ind w:left="0" w:firstLine="1440"/>
      </w:pPr>
      <w:rPr>
        <w:rFonts w:hint="default"/>
        <w:vanish w:val="0"/>
        <w:u w:val="none"/>
      </w:rPr>
    </w:lvl>
    <w:lvl w:ilvl="2">
      <w:start w:val="1"/>
      <w:numFmt w:val="upperLetter"/>
      <w:isLgl/>
      <w:lvlText w:val="%1.%2.%3"/>
      <w:lvlJc w:val="left"/>
      <w:pPr>
        <w:tabs>
          <w:tab w:val="num" w:pos="2160"/>
        </w:tabs>
        <w:ind w:left="0" w:firstLine="1440"/>
      </w:pPr>
      <w:rPr>
        <w:rFonts w:hint="default"/>
        <w:b w:val="0"/>
        <w:i w:val="0"/>
        <w:vanish w:val="0"/>
        <w:u w:val="none"/>
      </w:rPr>
    </w:lvl>
    <w:lvl w:ilvl="3">
      <w:start w:val="1"/>
      <w:numFmt w:val="upperLetter"/>
      <w:lvlText w:val="%4."/>
      <w:lvlJc w:val="left"/>
      <w:pPr>
        <w:tabs>
          <w:tab w:val="num" w:pos="2880"/>
        </w:tabs>
        <w:ind w:left="0" w:firstLine="2160"/>
      </w:pPr>
      <w:rPr>
        <w:rFonts w:hint="default"/>
        <w:b w:val="0"/>
        <w:i w:val="0"/>
        <w:vanish w:val="0"/>
        <w:u w:val="none"/>
      </w:rPr>
    </w:lvl>
    <w:lvl w:ilvl="4">
      <w:start w:val="1"/>
      <w:numFmt w:val="decimal"/>
      <w:lvlText w:val="%5."/>
      <w:lvlJc w:val="left"/>
      <w:pPr>
        <w:tabs>
          <w:tab w:val="num" w:pos="3600"/>
        </w:tabs>
        <w:ind w:left="0" w:firstLine="2880"/>
      </w:pPr>
      <w:rPr>
        <w:rFonts w:hint="default"/>
        <w:vanish w:val="0"/>
        <w:u w:val="none"/>
      </w:rPr>
    </w:lvl>
    <w:lvl w:ilvl="5">
      <w:start w:val="1"/>
      <w:numFmt w:val="lowerLetter"/>
      <w:lvlRestart w:val="0"/>
      <w:lvlText w:val="(%6)"/>
      <w:lvlJc w:val="left"/>
      <w:pPr>
        <w:tabs>
          <w:tab w:val="num" w:pos="4320"/>
        </w:tabs>
        <w:ind w:left="0" w:firstLine="3600"/>
      </w:pPr>
      <w:rPr>
        <w:rFonts w:hint="default"/>
        <w:vanish w:val="0"/>
        <w:u w:val="none"/>
      </w:rPr>
    </w:lvl>
    <w:lvl w:ilvl="6">
      <w:start w:val="1"/>
      <w:numFmt w:val="lowerRoman"/>
      <w:lvlText w:val="(%7)"/>
      <w:lvlJc w:val="left"/>
      <w:pPr>
        <w:tabs>
          <w:tab w:val="num" w:pos="5040"/>
        </w:tabs>
        <w:ind w:left="0" w:firstLine="4320"/>
      </w:pPr>
      <w:rPr>
        <w:rFonts w:hint="default"/>
        <w:vanish w:val="0"/>
        <w:u w:val="none"/>
      </w:rPr>
    </w:lvl>
    <w:lvl w:ilvl="7">
      <w:start w:val="1"/>
      <w:numFmt w:val="lowerLetter"/>
      <w:lvlText w:val="%8."/>
      <w:lvlJc w:val="left"/>
      <w:pPr>
        <w:tabs>
          <w:tab w:val="num" w:pos="5760"/>
        </w:tabs>
        <w:ind w:left="0" w:firstLine="5040"/>
      </w:pPr>
      <w:rPr>
        <w:rFonts w:hint="default"/>
        <w:vanish w:val="0"/>
        <w:u w:val="none"/>
      </w:rPr>
    </w:lvl>
    <w:lvl w:ilvl="8">
      <w:start w:val="1"/>
      <w:numFmt w:val="lowerRoman"/>
      <w:lvlText w:val="%9."/>
      <w:lvlJc w:val="left"/>
      <w:pPr>
        <w:tabs>
          <w:tab w:val="num" w:pos="6480"/>
        </w:tabs>
        <w:ind w:left="0" w:firstLine="5760"/>
      </w:pPr>
      <w:rPr>
        <w:rFonts w:hint="default"/>
        <w:vanish w:val="0"/>
        <w:u w:val="none"/>
      </w:rPr>
    </w:lvl>
  </w:abstractNum>
  <w:abstractNum w:abstractNumId="5">
    <w:nsid w:val="2A291458"/>
    <w:multiLevelType w:val="multilevel"/>
    <w:tmpl w:val="55C0F82C"/>
    <w:lvl w:ilvl="0">
      <w:start w:val="1"/>
      <w:numFmt w:val="decimal"/>
      <w:lvlText w:val="%1."/>
      <w:lvlJc w:val="left"/>
      <w:pPr>
        <w:tabs>
          <w:tab w:val="num" w:pos="720"/>
        </w:tabs>
        <w:ind w:left="0" w:firstLine="720"/>
      </w:pPr>
      <w:rPr>
        <w:rFonts w:hint="default"/>
        <w:vanish w:val="0"/>
        <w:u w:val="none"/>
      </w:rPr>
    </w:lvl>
    <w:lvl w:ilvl="1">
      <w:start w:val="1"/>
      <w:numFmt w:val="decimal"/>
      <w:isLgl/>
      <w:lvlText w:val="%1.%2"/>
      <w:lvlJc w:val="left"/>
      <w:pPr>
        <w:tabs>
          <w:tab w:val="num" w:pos="720"/>
        </w:tabs>
        <w:ind w:left="0" w:firstLine="1440"/>
      </w:pPr>
      <w:rPr>
        <w:rFonts w:hint="default"/>
        <w:vanish w:val="0"/>
        <w:u w:val="none"/>
      </w:rPr>
    </w:lvl>
    <w:lvl w:ilvl="2">
      <w:start w:val="1"/>
      <w:numFmt w:val="lowerRoman"/>
      <w:lvlText w:val="(%3)"/>
      <w:lvlJc w:val="left"/>
      <w:pPr>
        <w:tabs>
          <w:tab w:val="num" w:pos="2160"/>
        </w:tabs>
        <w:ind w:left="0" w:firstLine="2160"/>
      </w:pPr>
      <w:rPr>
        <w:rFonts w:hint="default"/>
        <w:b w:val="0"/>
        <w:i w:val="0"/>
        <w:vanish w:val="0"/>
        <w:u w:val="none"/>
      </w:rPr>
    </w:lvl>
    <w:lvl w:ilvl="3">
      <w:start w:val="1"/>
      <w:numFmt w:val="upperLetter"/>
      <w:lvlText w:val="%4."/>
      <w:lvlJc w:val="left"/>
      <w:pPr>
        <w:tabs>
          <w:tab w:val="num" w:pos="2880"/>
        </w:tabs>
        <w:ind w:left="0" w:firstLine="2160"/>
      </w:pPr>
      <w:rPr>
        <w:rFonts w:hint="default"/>
        <w:b w:val="0"/>
        <w:i w:val="0"/>
        <w:vanish w:val="0"/>
        <w:u w:val="none"/>
      </w:rPr>
    </w:lvl>
    <w:lvl w:ilvl="4">
      <w:start w:val="1"/>
      <w:numFmt w:val="decimal"/>
      <w:lvlText w:val="%5."/>
      <w:lvlJc w:val="left"/>
      <w:pPr>
        <w:tabs>
          <w:tab w:val="num" w:pos="3600"/>
        </w:tabs>
        <w:ind w:left="0" w:firstLine="2880"/>
      </w:pPr>
      <w:rPr>
        <w:rFonts w:hint="default"/>
        <w:vanish w:val="0"/>
        <w:u w:val="none"/>
      </w:rPr>
    </w:lvl>
    <w:lvl w:ilvl="5">
      <w:start w:val="1"/>
      <w:numFmt w:val="lowerLetter"/>
      <w:lvlRestart w:val="0"/>
      <w:lvlText w:val="(%6)"/>
      <w:lvlJc w:val="left"/>
      <w:pPr>
        <w:tabs>
          <w:tab w:val="num" w:pos="4320"/>
        </w:tabs>
        <w:ind w:left="0" w:firstLine="3600"/>
      </w:pPr>
      <w:rPr>
        <w:rFonts w:hint="default"/>
        <w:vanish w:val="0"/>
        <w:u w:val="none"/>
      </w:rPr>
    </w:lvl>
    <w:lvl w:ilvl="6">
      <w:start w:val="1"/>
      <w:numFmt w:val="lowerRoman"/>
      <w:lvlText w:val="(%7)"/>
      <w:lvlJc w:val="left"/>
      <w:pPr>
        <w:tabs>
          <w:tab w:val="num" w:pos="5040"/>
        </w:tabs>
        <w:ind w:left="0" w:firstLine="4320"/>
      </w:pPr>
      <w:rPr>
        <w:rFonts w:hint="default"/>
        <w:vanish w:val="0"/>
        <w:u w:val="none"/>
      </w:rPr>
    </w:lvl>
    <w:lvl w:ilvl="7">
      <w:start w:val="1"/>
      <w:numFmt w:val="lowerLetter"/>
      <w:lvlText w:val="%8."/>
      <w:lvlJc w:val="left"/>
      <w:pPr>
        <w:tabs>
          <w:tab w:val="num" w:pos="5760"/>
        </w:tabs>
        <w:ind w:left="0" w:firstLine="5040"/>
      </w:pPr>
      <w:rPr>
        <w:rFonts w:hint="default"/>
        <w:vanish w:val="0"/>
        <w:u w:val="none"/>
      </w:rPr>
    </w:lvl>
    <w:lvl w:ilvl="8">
      <w:start w:val="1"/>
      <w:numFmt w:val="lowerRoman"/>
      <w:lvlText w:val="%9."/>
      <w:lvlJc w:val="left"/>
      <w:pPr>
        <w:tabs>
          <w:tab w:val="num" w:pos="6480"/>
        </w:tabs>
        <w:ind w:left="0" w:firstLine="5760"/>
      </w:pPr>
      <w:rPr>
        <w:rFonts w:hint="default"/>
        <w:vanish w:val="0"/>
        <w:u w:val="none"/>
      </w:rPr>
    </w:lvl>
  </w:abstractNum>
  <w:abstractNum w:abstractNumId="6">
    <w:nsid w:val="2A373242"/>
    <w:multiLevelType w:val="multilevel"/>
    <w:tmpl w:val="1B68D63E"/>
    <w:lvl w:ilvl="0">
      <w:start w:val="1"/>
      <w:numFmt w:val="decimal"/>
      <w:lvlText w:val="Section %1."/>
      <w:lvlJc w:val="left"/>
      <w:pPr>
        <w:tabs>
          <w:tab w:val="num" w:pos="720"/>
        </w:tabs>
        <w:ind w:left="0" w:firstLine="0"/>
      </w:pPr>
      <w:rPr>
        <w:rFonts w:hint="default"/>
        <w:vanish w:val="0"/>
        <w:u w:val="none"/>
      </w:rPr>
    </w:lvl>
    <w:lvl w:ilvl="1">
      <w:start w:val="1"/>
      <w:numFmt w:val="lowerLetter"/>
      <w:lvlText w:val="%2."/>
      <w:lvlJc w:val="left"/>
      <w:pPr>
        <w:tabs>
          <w:tab w:val="num" w:pos="2160"/>
        </w:tabs>
        <w:ind w:left="2160" w:hanging="720"/>
      </w:pPr>
      <w:rPr>
        <w:rFonts w:hint="default"/>
        <w:vanish w:val="0"/>
        <w:u w:val="none"/>
      </w:rPr>
    </w:lvl>
    <w:lvl w:ilvl="2">
      <w:start w:val="1"/>
      <w:numFmt w:val="lowerRoman"/>
      <w:lvlText w:val="%3."/>
      <w:lvlJc w:val="left"/>
      <w:pPr>
        <w:tabs>
          <w:tab w:val="num" w:pos="2880"/>
        </w:tabs>
        <w:ind w:left="2880" w:hanging="720"/>
      </w:pPr>
      <w:rPr>
        <w:rFonts w:hint="default"/>
        <w:vanish w:val="0"/>
        <w:u w:val="none"/>
      </w:rPr>
    </w:lvl>
    <w:lvl w:ilvl="3">
      <w:start w:val="1"/>
      <w:numFmt w:val="lowerLetter"/>
      <w:lvlText w:val="%4)"/>
      <w:lvlJc w:val="left"/>
      <w:pPr>
        <w:tabs>
          <w:tab w:val="num" w:pos="3600"/>
        </w:tabs>
        <w:ind w:left="3600" w:hanging="720"/>
      </w:pPr>
      <w:rPr>
        <w:rFonts w:hint="default"/>
        <w:vanish w:val="0"/>
        <w:u w:val="none"/>
      </w:rPr>
    </w:lvl>
    <w:lvl w:ilvl="4">
      <w:start w:val="1"/>
      <w:numFmt w:val="lowerRoman"/>
      <w:lvlText w:val="%5)"/>
      <w:lvlJc w:val="left"/>
      <w:pPr>
        <w:tabs>
          <w:tab w:val="num" w:pos="4320"/>
        </w:tabs>
        <w:ind w:left="4320" w:hanging="720"/>
      </w:pPr>
      <w:rPr>
        <w:rFonts w:hint="default"/>
        <w:vanish w:val="0"/>
        <w:u w:val="none"/>
      </w:rPr>
    </w:lvl>
    <w:lvl w:ilvl="5">
      <w:start w:val="1"/>
      <w:numFmt w:val="lowerLetter"/>
      <w:lvlRestart w:val="0"/>
      <w:lvlText w:val="(%6)"/>
      <w:lvlJc w:val="left"/>
      <w:pPr>
        <w:tabs>
          <w:tab w:val="num" w:pos="5040"/>
        </w:tabs>
        <w:ind w:left="5040" w:hanging="720"/>
      </w:pPr>
      <w:rPr>
        <w:rFonts w:hint="default"/>
        <w:vanish w:val="0"/>
        <w:u w:val="none"/>
      </w:rPr>
    </w:lvl>
    <w:lvl w:ilvl="6">
      <w:start w:val="1"/>
      <w:numFmt w:val="upperRoman"/>
      <w:lvlText w:val="%7."/>
      <w:lvlJc w:val="left"/>
      <w:pPr>
        <w:tabs>
          <w:tab w:val="num" w:pos="2160"/>
        </w:tabs>
        <w:ind w:left="2160" w:hanging="720"/>
      </w:pPr>
      <w:rPr>
        <w:rFonts w:hint="default"/>
        <w:vanish w:val="0"/>
        <w:u w:val="none"/>
      </w:rPr>
    </w:lvl>
    <w:lvl w:ilvl="7">
      <w:start w:val="1"/>
      <w:numFmt w:val="upperLetter"/>
      <w:lvlText w:val="%8."/>
      <w:lvlJc w:val="left"/>
      <w:pPr>
        <w:tabs>
          <w:tab w:val="num" w:pos="2880"/>
        </w:tabs>
        <w:ind w:left="2880" w:hanging="720"/>
      </w:pPr>
      <w:rPr>
        <w:rFonts w:hint="default"/>
        <w:vanish w:val="0"/>
        <w:u w:val="none"/>
      </w:rPr>
    </w:lvl>
    <w:lvl w:ilvl="8">
      <w:start w:val="1"/>
      <w:numFmt w:val="decimal"/>
      <w:lvlText w:val="%9."/>
      <w:lvlJc w:val="left"/>
      <w:pPr>
        <w:tabs>
          <w:tab w:val="num" w:pos="3600"/>
        </w:tabs>
        <w:ind w:left="3600" w:hanging="720"/>
      </w:pPr>
      <w:rPr>
        <w:rFonts w:hint="default"/>
        <w:vanish w:val="0"/>
        <w:u w:val="none"/>
      </w:rPr>
    </w:lvl>
  </w:abstractNum>
  <w:abstractNum w:abstractNumId="7">
    <w:nsid w:val="2B4E0907"/>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8">
    <w:nsid w:val="3109618C"/>
    <w:multiLevelType w:val="multilevel"/>
    <w:tmpl w:val="1E9A52E2"/>
    <w:lvl w:ilvl="0">
      <w:start w:val="1"/>
      <w:numFmt w:val="decimal"/>
      <w:lvlText w:val="Section %1."/>
      <w:lvlJc w:val="left"/>
      <w:pPr>
        <w:tabs>
          <w:tab w:val="num" w:pos="720"/>
        </w:tabs>
        <w:ind w:left="0" w:firstLine="720"/>
      </w:pPr>
      <w:rPr>
        <w:rFonts w:ascii="Times New Roman" w:hAnsi="Times New Roman" w:hint="default"/>
        <w:b w:val="0"/>
        <w:i w:val="0"/>
        <w:vanish w:val="0"/>
        <w:sz w:val="24"/>
        <w:szCs w:val="24"/>
        <w:u w:val="none"/>
      </w:rPr>
    </w:lvl>
    <w:lvl w:ilvl="1">
      <w:start w:val="1"/>
      <w:numFmt w:val="decimal"/>
      <w:isLgl/>
      <w:lvlText w:val="%1.%2"/>
      <w:lvlJc w:val="left"/>
      <w:pPr>
        <w:tabs>
          <w:tab w:val="num" w:pos="720"/>
        </w:tabs>
        <w:ind w:left="0" w:firstLine="1440"/>
      </w:pPr>
      <w:rPr>
        <w:rFonts w:hint="default"/>
        <w:vanish w:val="0"/>
        <w:u w:val="none"/>
      </w:rPr>
    </w:lvl>
    <w:lvl w:ilvl="2">
      <w:start w:val="1"/>
      <w:numFmt w:val="lowerRoman"/>
      <w:lvlText w:val="(%3)"/>
      <w:lvlJc w:val="left"/>
      <w:pPr>
        <w:tabs>
          <w:tab w:val="num" w:pos="2160"/>
        </w:tabs>
        <w:ind w:left="0" w:firstLine="2160"/>
      </w:pPr>
      <w:rPr>
        <w:rFonts w:hint="default"/>
        <w:b w:val="0"/>
        <w:i w:val="0"/>
        <w:vanish w:val="0"/>
        <w:u w:val="none"/>
      </w:rPr>
    </w:lvl>
    <w:lvl w:ilvl="3">
      <w:start w:val="1"/>
      <w:numFmt w:val="upperLetter"/>
      <w:lvlText w:val="%4."/>
      <w:lvlJc w:val="left"/>
      <w:pPr>
        <w:tabs>
          <w:tab w:val="num" w:pos="2880"/>
        </w:tabs>
        <w:ind w:left="0" w:firstLine="2160"/>
      </w:pPr>
      <w:rPr>
        <w:rFonts w:hint="default"/>
        <w:b w:val="0"/>
        <w:i w:val="0"/>
        <w:vanish w:val="0"/>
        <w:u w:val="none"/>
      </w:rPr>
    </w:lvl>
    <w:lvl w:ilvl="4">
      <w:start w:val="1"/>
      <w:numFmt w:val="decimal"/>
      <w:lvlText w:val="%5."/>
      <w:lvlJc w:val="left"/>
      <w:pPr>
        <w:tabs>
          <w:tab w:val="num" w:pos="3600"/>
        </w:tabs>
        <w:ind w:left="0" w:firstLine="2880"/>
      </w:pPr>
      <w:rPr>
        <w:rFonts w:hint="default"/>
        <w:vanish w:val="0"/>
        <w:u w:val="none"/>
      </w:rPr>
    </w:lvl>
    <w:lvl w:ilvl="5">
      <w:start w:val="1"/>
      <w:numFmt w:val="lowerLetter"/>
      <w:lvlRestart w:val="0"/>
      <w:lvlText w:val="(%6)"/>
      <w:lvlJc w:val="left"/>
      <w:pPr>
        <w:tabs>
          <w:tab w:val="num" w:pos="4320"/>
        </w:tabs>
        <w:ind w:left="0" w:firstLine="3600"/>
      </w:pPr>
      <w:rPr>
        <w:rFonts w:hint="default"/>
        <w:vanish w:val="0"/>
        <w:u w:val="none"/>
      </w:rPr>
    </w:lvl>
    <w:lvl w:ilvl="6">
      <w:start w:val="1"/>
      <w:numFmt w:val="lowerRoman"/>
      <w:lvlText w:val="(%7)"/>
      <w:lvlJc w:val="left"/>
      <w:pPr>
        <w:tabs>
          <w:tab w:val="num" w:pos="5040"/>
        </w:tabs>
        <w:ind w:left="0" w:firstLine="4320"/>
      </w:pPr>
      <w:rPr>
        <w:rFonts w:hint="default"/>
        <w:vanish w:val="0"/>
        <w:u w:val="none"/>
      </w:rPr>
    </w:lvl>
    <w:lvl w:ilvl="7">
      <w:start w:val="1"/>
      <w:numFmt w:val="lowerLetter"/>
      <w:lvlText w:val="%8."/>
      <w:lvlJc w:val="left"/>
      <w:pPr>
        <w:tabs>
          <w:tab w:val="num" w:pos="5760"/>
        </w:tabs>
        <w:ind w:left="0" w:firstLine="5040"/>
      </w:pPr>
      <w:rPr>
        <w:rFonts w:hint="default"/>
        <w:vanish w:val="0"/>
        <w:u w:val="none"/>
      </w:rPr>
    </w:lvl>
    <w:lvl w:ilvl="8">
      <w:start w:val="1"/>
      <w:numFmt w:val="lowerRoman"/>
      <w:lvlText w:val="%9."/>
      <w:lvlJc w:val="left"/>
      <w:pPr>
        <w:tabs>
          <w:tab w:val="num" w:pos="6480"/>
        </w:tabs>
        <w:ind w:left="0" w:firstLine="5760"/>
      </w:pPr>
      <w:rPr>
        <w:rFonts w:hint="default"/>
        <w:vanish w:val="0"/>
        <w:u w:val="none"/>
      </w:rPr>
    </w:lvl>
  </w:abstractNum>
  <w:abstractNum w:abstractNumId="9">
    <w:nsid w:val="319D1572"/>
    <w:multiLevelType w:val="multilevel"/>
    <w:tmpl w:val="D8C0B7DC"/>
    <w:lvl w:ilvl="0">
      <w:start w:val="1"/>
      <w:numFmt w:val="decimal"/>
      <w:lvlText w:val="Section %1."/>
      <w:lvlJc w:val="left"/>
      <w:pPr>
        <w:tabs>
          <w:tab w:val="num" w:pos="1440"/>
        </w:tabs>
        <w:ind w:left="1440" w:hanging="720"/>
      </w:pPr>
      <w:rPr>
        <w:rFonts w:hint="default"/>
        <w:vanish w:val="0"/>
        <w:u w:val="none"/>
      </w:rPr>
    </w:lvl>
    <w:lvl w:ilvl="1">
      <w:start w:val="1"/>
      <w:numFmt w:val="lowerLetter"/>
      <w:lvlText w:val="%2."/>
      <w:lvlJc w:val="left"/>
      <w:pPr>
        <w:tabs>
          <w:tab w:val="num" w:pos="2160"/>
        </w:tabs>
        <w:ind w:left="2160" w:hanging="720"/>
      </w:pPr>
      <w:rPr>
        <w:rFonts w:hint="default"/>
        <w:vanish w:val="0"/>
        <w:u w:val="none"/>
      </w:rPr>
    </w:lvl>
    <w:lvl w:ilvl="2">
      <w:start w:val="1"/>
      <w:numFmt w:val="lowerRoman"/>
      <w:lvlText w:val="%3."/>
      <w:lvlJc w:val="left"/>
      <w:pPr>
        <w:tabs>
          <w:tab w:val="num" w:pos="2880"/>
        </w:tabs>
        <w:ind w:left="2880" w:hanging="720"/>
      </w:pPr>
      <w:rPr>
        <w:rFonts w:hint="default"/>
        <w:vanish w:val="0"/>
        <w:u w:val="none"/>
      </w:rPr>
    </w:lvl>
    <w:lvl w:ilvl="3">
      <w:start w:val="1"/>
      <w:numFmt w:val="lowerLetter"/>
      <w:lvlText w:val="%4)"/>
      <w:lvlJc w:val="left"/>
      <w:pPr>
        <w:tabs>
          <w:tab w:val="num" w:pos="3600"/>
        </w:tabs>
        <w:ind w:left="3600" w:hanging="720"/>
      </w:pPr>
      <w:rPr>
        <w:rFonts w:hint="default"/>
        <w:vanish w:val="0"/>
        <w:u w:val="none"/>
      </w:rPr>
    </w:lvl>
    <w:lvl w:ilvl="4">
      <w:start w:val="1"/>
      <w:numFmt w:val="lowerRoman"/>
      <w:lvlText w:val="%5)"/>
      <w:lvlJc w:val="left"/>
      <w:pPr>
        <w:tabs>
          <w:tab w:val="num" w:pos="4320"/>
        </w:tabs>
        <w:ind w:left="4320" w:hanging="720"/>
      </w:pPr>
      <w:rPr>
        <w:rFonts w:hint="default"/>
        <w:vanish w:val="0"/>
        <w:u w:val="none"/>
      </w:rPr>
    </w:lvl>
    <w:lvl w:ilvl="5">
      <w:start w:val="1"/>
      <w:numFmt w:val="lowerLetter"/>
      <w:lvlRestart w:val="0"/>
      <w:lvlText w:val="(%6)"/>
      <w:lvlJc w:val="left"/>
      <w:pPr>
        <w:tabs>
          <w:tab w:val="num" w:pos="5040"/>
        </w:tabs>
        <w:ind w:left="5040" w:hanging="720"/>
      </w:pPr>
      <w:rPr>
        <w:rFonts w:hint="default"/>
        <w:vanish w:val="0"/>
        <w:u w:val="none"/>
      </w:rPr>
    </w:lvl>
    <w:lvl w:ilvl="6">
      <w:start w:val="1"/>
      <w:numFmt w:val="upperRoman"/>
      <w:lvlText w:val="%7."/>
      <w:lvlJc w:val="left"/>
      <w:pPr>
        <w:tabs>
          <w:tab w:val="num" w:pos="2160"/>
        </w:tabs>
        <w:ind w:left="2160" w:hanging="720"/>
      </w:pPr>
      <w:rPr>
        <w:rFonts w:hint="default"/>
        <w:vanish w:val="0"/>
        <w:u w:val="none"/>
      </w:rPr>
    </w:lvl>
    <w:lvl w:ilvl="7">
      <w:start w:val="1"/>
      <w:numFmt w:val="upperLetter"/>
      <w:lvlText w:val="%8."/>
      <w:lvlJc w:val="left"/>
      <w:pPr>
        <w:tabs>
          <w:tab w:val="num" w:pos="2880"/>
        </w:tabs>
        <w:ind w:left="2880" w:hanging="720"/>
      </w:pPr>
      <w:rPr>
        <w:rFonts w:hint="default"/>
        <w:vanish w:val="0"/>
        <w:u w:val="none"/>
      </w:rPr>
    </w:lvl>
    <w:lvl w:ilvl="8">
      <w:start w:val="1"/>
      <w:numFmt w:val="decimal"/>
      <w:lvlText w:val="%9."/>
      <w:lvlJc w:val="left"/>
      <w:pPr>
        <w:tabs>
          <w:tab w:val="num" w:pos="3600"/>
        </w:tabs>
        <w:ind w:left="3600" w:hanging="720"/>
      </w:pPr>
      <w:rPr>
        <w:rFonts w:hint="default"/>
        <w:vanish w:val="0"/>
        <w:u w:val="none"/>
      </w:rPr>
    </w:lvl>
  </w:abstractNum>
  <w:abstractNum w:abstractNumId="10">
    <w:nsid w:val="4DED2FD8"/>
    <w:multiLevelType w:val="multilevel"/>
    <w:tmpl w:val="59BE3FBA"/>
    <w:lvl w:ilvl="0">
      <w:start w:val="1"/>
      <w:numFmt w:val="decimal"/>
      <w:lvlText w:val="%1."/>
      <w:lvlJc w:val="left"/>
      <w:pPr>
        <w:tabs>
          <w:tab w:val="num" w:pos="720"/>
        </w:tabs>
        <w:ind w:left="0" w:firstLine="0"/>
      </w:pPr>
      <w:rPr>
        <w:rFonts w:hint="default"/>
        <w:vanish w:val="0"/>
        <w:u w:val="none"/>
      </w:rPr>
    </w:lvl>
    <w:lvl w:ilvl="1">
      <w:start w:val="1"/>
      <w:numFmt w:val="decimal"/>
      <w:isLgl/>
      <w:lvlText w:val="%1.%2"/>
      <w:lvlJc w:val="left"/>
      <w:pPr>
        <w:tabs>
          <w:tab w:val="num" w:pos="1440"/>
        </w:tabs>
        <w:ind w:left="0" w:firstLine="720"/>
      </w:pPr>
      <w:rPr>
        <w:rFonts w:hint="default"/>
        <w:vanish w:val="0"/>
        <w:u w:val="none"/>
      </w:rPr>
    </w:lvl>
    <w:lvl w:ilvl="2">
      <w:start w:val="1"/>
      <w:numFmt w:val="upperLetter"/>
      <w:isLgl/>
      <w:lvlText w:val="%1.%2.%3"/>
      <w:lvlJc w:val="left"/>
      <w:pPr>
        <w:tabs>
          <w:tab w:val="num" w:pos="2160"/>
        </w:tabs>
        <w:ind w:left="0" w:firstLine="1440"/>
      </w:pPr>
      <w:rPr>
        <w:rFonts w:hint="default"/>
        <w:b w:val="0"/>
        <w:i w:val="0"/>
        <w:vanish w:val="0"/>
        <w:u w:val="none"/>
      </w:rPr>
    </w:lvl>
    <w:lvl w:ilvl="3">
      <w:start w:val="1"/>
      <w:numFmt w:val="upperLetter"/>
      <w:lvlText w:val="%4."/>
      <w:lvlJc w:val="left"/>
      <w:pPr>
        <w:tabs>
          <w:tab w:val="num" w:pos="2880"/>
        </w:tabs>
        <w:ind w:left="0" w:firstLine="2160"/>
      </w:pPr>
      <w:rPr>
        <w:rFonts w:hint="default"/>
        <w:b w:val="0"/>
        <w:i w:val="0"/>
        <w:vanish w:val="0"/>
        <w:u w:val="none"/>
      </w:rPr>
    </w:lvl>
    <w:lvl w:ilvl="4">
      <w:start w:val="1"/>
      <w:numFmt w:val="decimal"/>
      <w:lvlText w:val="%5."/>
      <w:lvlJc w:val="left"/>
      <w:pPr>
        <w:tabs>
          <w:tab w:val="num" w:pos="3600"/>
        </w:tabs>
        <w:ind w:left="0" w:firstLine="2880"/>
      </w:pPr>
      <w:rPr>
        <w:rFonts w:hint="default"/>
        <w:vanish w:val="0"/>
        <w:u w:val="none"/>
      </w:rPr>
    </w:lvl>
    <w:lvl w:ilvl="5">
      <w:start w:val="1"/>
      <w:numFmt w:val="lowerLetter"/>
      <w:lvlRestart w:val="0"/>
      <w:lvlText w:val="(%6)"/>
      <w:lvlJc w:val="left"/>
      <w:pPr>
        <w:tabs>
          <w:tab w:val="num" w:pos="4320"/>
        </w:tabs>
        <w:ind w:left="0" w:firstLine="3600"/>
      </w:pPr>
      <w:rPr>
        <w:rFonts w:hint="default"/>
        <w:vanish w:val="0"/>
        <w:u w:val="none"/>
      </w:rPr>
    </w:lvl>
    <w:lvl w:ilvl="6">
      <w:start w:val="1"/>
      <w:numFmt w:val="lowerRoman"/>
      <w:lvlText w:val="(%7)"/>
      <w:lvlJc w:val="left"/>
      <w:pPr>
        <w:tabs>
          <w:tab w:val="num" w:pos="5040"/>
        </w:tabs>
        <w:ind w:left="0" w:firstLine="4320"/>
      </w:pPr>
      <w:rPr>
        <w:rFonts w:hint="default"/>
        <w:vanish w:val="0"/>
        <w:u w:val="none"/>
      </w:rPr>
    </w:lvl>
    <w:lvl w:ilvl="7">
      <w:start w:val="1"/>
      <w:numFmt w:val="lowerLetter"/>
      <w:lvlText w:val="%8."/>
      <w:lvlJc w:val="left"/>
      <w:pPr>
        <w:tabs>
          <w:tab w:val="num" w:pos="5760"/>
        </w:tabs>
        <w:ind w:left="0" w:firstLine="5040"/>
      </w:pPr>
      <w:rPr>
        <w:rFonts w:hint="default"/>
        <w:vanish w:val="0"/>
        <w:u w:val="none"/>
      </w:rPr>
    </w:lvl>
    <w:lvl w:ilvl="8">
      <w:start w:val="1"/>
      <w:numFmt w:val="lowerRoman"/>
      <w:lvlText w:val="%9."/>
      <w:lvlJc w:val="left"/>
      <w:pPr>
        <w:tabs>
          <w:tab w:val="num" w:pos="6480"/>
        </w:tabs>
        <w:ind w:left="0" w:firstLine="5760"/>
      </w:pPr>
      <w:rPr>
        <w:rFonts w:hint="default"/>
        <w:vanish w:val="0"/>
        <w:u w:val="none"/>
      </w:rPr>
    </w:lvl>
  </w:abstractNum>
  <w:abstractNum w:abstractNumId="11">
    <w:nsid w:val="57CD1470"/>
    <w:multiLevelType w:val="multilevel"/>
    <w:tmpl w:val="3056C73A"/>
    <w:lvl w:ilvl="0">
      <w:start w:val="1"/>
      <w:numFmt w:val="decimal"/>
      <w:lvlText w:val="%1."/>
      <w:lvlJc w:val="left"/>
      <w:pPr>
        <w:tabs>
          <w:tab w:val="num" w:pos="720"/>
        </w:tabs>
        <w:ind w:left="0" w:firstLine="0"/>
      </w:pPr>
      <w:rPr>
        <w:rFonts w:hint="default"/>
        <w:vanish w:val="0"/>
        <w:u w:val="none"/>
      </w:rPr>
    </w:lvl>
    <w:lvl w:ilvl="1">
      <w:start w:val="1"/>
      <w:numFmt w:val="decimal"/>
      <w:isLgl/>
      <w:lvlText w:val="%1.%2"/>
      <w:lvlJc w:val="left"/>
      <w:pPr>
        <w:tabs>
          <w:tab w:val="num" w:pos="720"/>
        </w:tabs>
        <w:ind w:left="0" w:firstLine="1440"/>
      </w:pPr>
      <w:rPr>
        <w:rFonts w:hint="default"/>
        <w:vanish w:val="0"/>
        <w:u w:val="none"/>
      </w:rPr>
    </w:lvl>
    <w:lvl w:ilvl="2">
      <w:start w:val="1"/>
      <w:numFmt w:val="none"/>
      <w:isLgl/>
      <w:lvlText w:val="(i)"/>
      <w:lvlJc w:val="left"/>
      <w:pPr>
        <w:tabs>
          <w:tab w:val="num" w:pos="2160"/>
        </w:tabs>
        <w:ind w:left="0" w:firstLine="1440"/>
      </w:pPr>
      <w:rPr>
        <w:rFonts w:hint="default"/>
        <w:b w:val="0"/>
        <w:i w:val="0"/>
        <w:vanish w:val="0"/>
        <w:u w:val="none"/>
      </w:rPr>
    </w:lvl>
    <w:lvl w:ilvl="3">
      <w:start w:val="1"/>
      <w:numFmt w:val="upperLetter"/>
      <w:lvlText w:val="%4."/>
      <w:lvlJc w:val="left"/>
      <w:pPr>
        <w:tabs>
          <w:tab w:val="num" w:pos="2880"/>
        </w:tabs>
        <w:ind w:left="0" w:firstLine="2160"/>
      </w:pPr>
      <w:rPr>
        <w:rFonts w:hint="default"/>
        <w:b w:val="0"/>
        <w:i w:val="0"/>
        <w:vanish w:val="0"/>
        <w:u w:val="none"/>
      </w:rPr>
    </w:lvl>
    <w:lvl w:ilvl="4">
      <w:start w:val="1"/>
      <w:numFmt w:val="decimal"/>
      <w:lvlText w:val="%5."/>
      <w:lvlJc w:val="left"/>
      <w:pPr>
        <w:tabs>
          <w:tab w:val="num" w:pos="3600"/>
        </w:tabs>
        <w:ind w:left="0" w:firstLine="2880"/>
      </w:pPr>
      <w:rPr>
        <w:rFonts w:hint="default"/>
        <w:vanish w:val="0"/>
        <w:u w:val="none"/>
      </w:rPr>
    </w:lvl>
    <w:lvl w:ilvl="5">
      <w:start w:val="1"/>
      <w:numFmt w:val="lowerLetter"/>
      <w:lvlRestart w:val="0"/>
      <w:lvlText w:val="(%6)"/>
      <w:lvlJc w:val="left"/>
      <w:pPr>
        <w:tabs>
          <w:tab w:val="num" w:pos="4320"/>
        </w:tabs>
        <w:ind w:left="0" w:firstLine="3600"/>
      </w:pPr>
      <w:rPr>
        <w:rFonts w:hint="default"/>
        <w:vanish w:val="0"/>
        <w:u w:val="none"/>
      </w:rPr>
    </w:lvl>
    <w:lvl w:ilvl="6">
      <w:start w:val="1"/>
      <w:numFmt w:val="lowerRoman"/>
      <w:lvlText w:val="(%7)"/>
      <w:lvlJc w:val="left"/>
      <w:pPr>
        <w:tabs>
          <w:tab w:val="num" w:pos="5040"/>
        </w:tabs>
        <w:ind w:left="0" w:firstLine="4320"/>
      </w:pPr>
      <w:rPr>
        <w:rFonts w:hint="default"/>
        <w:vanish w:val="0"/>
        <w:u w:val="none"/>
      </w:rPr>
    </w:lvl>
    <w:lvl w:ilvl="7">
      <w:start w:val="1"/>
      <w:numFmt w:val="lowerLetter"/>
      <w:lvlText w:val="%8."/>
      <w:lvlJc w:val="left"/>
      <w:pPr>
        <w:tabs>
          <w:tab w:val="num" w:pos="5760"/>
        </w:tabs>
        <w:ind w:left="0" w:firstLine="5040"/>
      </w:pPr>
      <w:rPr>
        <w:rFonts w:hint="default"/>
        <w:vanish w:val="0"/>
        <w:u w:val="none"/>
      </w:rPr>
    </w:lvl>
    <w:lvl w:ilvl="8">
      <w:start w:val="1"/>
      <w:numFmt w:val="lowerRoman"/>
      <w:lvlText w:val="%9."/>
      <w:lvlJc w:val="left"/>
      <w:pPr>
        <w:tabs>
          <w:tab w:val="num" w:pos="6480"/>
        </w:tabs>
        <w:ind w:left="0" w:firstLine="5760"/>
      </w:pPr>
      <w:rPr>
        <w:rFonts w:hint="default"/>
        <w:vanish w:val="0"/>
        <w:u w:val="none"/>
      </w:rPr>
    </w:lvl>
  </w:abstractNum>
  <w:abstractNum w:abstractNumId="12">
    <w:nsid w:val="606E1603"/>
    <w:multiLevelType w:val="multilevel"/>
    <w:tmpl w:val="AD88E71E"/>
    <w:lvl w:ilvl="0">
      <w:start w:val="1"/>
      <w:numFmt w:val="decimal"/>
      <w:lvlText w:val="%1."/>
      <w:lvlJc w:val="left"/>
      <w:pPr>
        <w:tabs>
          <w:tab w:val="num" w:pos="720"/>
        </w:tabs>
        <w:ind w:left="0" w:firstLine="720"/>
      </w:pPr>
      <w:rPr>
        <w:rFonts w:hint="default"/>
        <w:vanish w:val="0"/>
        <w:u w:val="none"/>
      </w:rPr>
    </w:lvl>
    <w:lvl w:ilvl="1">
      <w:start w:val="1"/>
      <w:numFmt w:val="decimal"/>
      <w:isLgl/>
      <w:lvlText w:val="%1.%2"/>
      <w:lvlJc w:val="left"/>
      <w:pPr>
        <w:tabs>
          <w:tab w:val="num" w:pos="720"/>
        </w:tabs>
        <w:ind w:left="0" w:firstLine="1440"/>
      </w:pPr>
      <w:rPr>
        <w:rFonts w:hint="default"/>
        <w:vanish w:val="0"/>
        <w:u w:val="none"/>
      </w:rPr>
    </w:lvl>
    <w:lvl w:ilvl="2">
      <w:start w:val="1"/>
      <w:numFmt w:val="none"/>
      <w:isLgl/>
      <w:lvlText w:val="(i)"/>
      <w:lvlJc w:val="left"/>
      <w:pPr>
        <w:tabs>
          <w:tab w:val="num" w:pos="2160"/>
        </w:tabs>
        <w:ind w:left="0" w:firstLine="2160"/>
      </w:pPr>
      <w:rPr>
        <w:rFonts w:hint="default"/>
        <w:b w:val="0"/>
        <w:i w:val="0"/>
        <w:vanish w:val="0"/>
        <w:u w:val="none"/>
      </w:rPr>
    </w:lvl>
    <w:lvl w:ilvl="3">
      <w:start w:val="1"/>
      <w:numFmt w:val="upperLetter"/>
      <w:lvlText w:val="%4."/>
      <w:lvlJc w:val="left"/>
      <w:pPr>
        <w:tabs>
          <w:tab w:val="num" w:pos="2880"/>
        </w:tabs>
        <w:ind w:left="0" w:firstLine="2160"/>
      </w:pPr>
      <w:rPr>
        <w:rFonts w:hint="default"/>
        <w:b w:val="0"/>
        <w:i w:val="0"/>
        <w:vanish w:val="0"/>
        <w:u w:val="none"/>
      </w:rPr>
    </w:lvl>
    <w:lvl w:ilvl="4">
      <w:start w:val="1"/>
      <w:numFmt w:val="decimal"/>
      <w:lvlText w:val="%5."/>
      <w:lvlJc w:val="left"/>
      <w:pPr>
        <w:tabs>
          <w:tab w:val="num" w:pos="3600"/>
        </w:tabs>
        <w:ind w:left="0" w:firstLine="2880"/>
      </w:pPr>
      <w:rPr>
        <w:rFonts w:hint="default"/>
        <w:vanish w:val="0"/>
        <w:u w:val="none"/>
      </w:rPr>
    </w:lvl>
    <w:lvl w:ilvl="5">
      <w:start w:val="1"/>
      <w:numFmt w:val="lowerLetter"/>
      <w:lvlRestart w:val="0"/>
      <w:lvlText w:val="(%6)"/>
      <w:lvlJc w:val="left"/>
      <w:pPr>
        <w:tabs>
          <w:tab w:val="num" w:pos="4320"/>
        </w:tabs>
        <w:ind w:left="0" w:firstLine="3600"/>
      </w:pPr>
      <w:rPr>
        <w:rFonts w:hint="default"/>
        <w:vanish w:val="0"/>
        <w:u w:val="none"/>
      </w:rPr>
    </w:lvl>
    <w:lvl w:ilvl="6">
      <w:start w:val="1"/>
      <w:numFmt w:val="lowerRoman"/>
      <w:lvlText w:val="(%7)"/>
      <w:lvlJc w:val="left"/>
      <w:pPr>
        <w:tabs>
          <w:tab w:val="num" w:pos="5040"/>
        </w:tabs>
        <w:ind w:left="0" w:firstLine="4320"/>
      </w:pPr>
      <w:rPr>
        <w:rFonts w:hint="default"/>
        <w:vanish w:val="0"/>
        <w:u w:val="none"/>
      </w:rPr>
    </w:lvl>
    <w:lvl w:ilvl="7">
      <w:start w:val="1"/>
      <w:numFmt w:val="lowerLetter"/>
      <w:lvlText w:val="%8."/>
      <w:lvlJc w:val="left"/>
      <w:pPr>
        <w:tabs>
          <w:tab w:val="num" w:pos="5760"/>
        </w:tabs>
        <w:ind w:left="0" w:firstLine="5040"/>
      </w:pPr>
      <w:rPr>
        <w:rFonts w:hint="default"/>
        <w:vanish w:val="0"/>
        <w:u w:val="none"/>
      </w:rPr>
    </w:lvl>
    <w:lvl w:ilvl="8">
      <w:start w:val="1"/>
      <w:numFmt w:val="lowerRoman"/>
      <w:lvlText w:val="%9."/>
      <w:lvlJc w:val="left"/>
      <w:pPr>
        <w:tabs>
          <w:tab w:val="num" w:pos="6480"/>
        </w:tabs>
        <w:ind w:left="0" w:firstLine="5760"/>
      </w:pPr>
      <w:rPr>
        <w:rFonts w:hint="default"/>
        <w:vanish w:val="0"/>
        <w:u w:val="none"/>
      </w:rPr>
    </w:lvl>
  </w:abstractNum>
  <w:abstractNum w:abstractNumId="13">
    <w:nsid w:val="62326CF2"/>
    <w:multiLevelType w:val="multilevel"/>
    <w:tmpl w:val="23BC305A"/>
    <w:lvl w:ilvl="0">
      <w:start w:val="1"/>
      <w:numFmt w:val="decimal"/>
      <w:lvlText w:val="Section %1."/>
      <w:lvlJc w:val="left"/>
      <w:pPr>
        <w:tabs>
          <w:tab w:val="num" w:pos="720"/>
        </w:tabs>
        <w:ind w:left="0" w:firstLine="720"/>
      </w:pPr>
      <w:rPr>
        <w:rFonts w:ascii="Times New Roman" w:hAnsi="Times New Roman" w:hint="default"/>
        <w:b w:val="0"/>
        <w:i w:val="0"/>
        <w:vanish w:val="0"/>
        <w:sz w:val="24"/>
        <w:szCs w:val="24"/>
        <w:u w:val="none"/>
      </w:rPr>
    </w:lvl>
    <w:lvl w:ilvl="1">
      <w:start w:val="1"/>
      <w:numFmt w:val="decimal"/>
      <w:isLgl/>
      <w:lvlText w:val="%1.%2"/>
      <w:lvlJc w:val="left"/>
      <w:pPr>
        <w:tabs>
          <w:tab w:val="num" w:pos="720"/>
        </w:tabs>
        <w:ind w:left="0" w:firstLine="1440"/>
      </w:pPr>
      <w:rPr>
        <w:rFonts w:hint="default"/>
        <w:vanish w:val="0"/>
        <w:u w:val="none"/>
      </w:rPr>
    </w:lvl>
    <w:lvl w:ilvl="2">
      <w:start w:val="1"/>
      <w:numFmt w:val="lowerRoman"/>
      <w:lvlText w:val="(%3)"/>
      <w:lvlJc w:val="left"/>
      <w:pPr>
        <w:tabs>
          <w:tab w:val="num" w:pos="2160"/>
        </w:tabs>
        <w:ind w:left="0" w:firstLine="2160"/>
      </w:pPr>
      <w:rPr>
        <w:rFonts w:hint="default"/>
        <w:b w:val="0"/>
        <w:i w:val="0"/>
        <w:vanish w:val="0"/>
        <w:u w:val="none"/>
      </w:rPr>
    </w:lvl>
    <w:lvl w:ilvl="3">
      <w:start w:val="1"/>
      <w:numFmt w:val="upperLetter"/>
      <w:lvlText w:val="%4."/>
      <w:lvlJc w:val="left"/>
      <w:pPr>
        <w:tabs>
          <w:tab w:val="num" w:pos="720"/>
        </w:tabs>
        <w:ind w:left="0" w:firstLine="1440"/>
      </w:pPr>
      <w:rPr>
        <w:rFonts w:hint="default"/>
        <w:b w:val="0"/>
        <w:i w:val="0"/>
        <w:vanish w:val="0"/>
        <w:u w:val="none"/>
      </w:rPr>
    </w:lvl>
    <w:lvl w:ilvl="4">
      <w:start w:val="1"/>
      <w:numFmt w:val="decimal"/>
      <w:lvlText w:val="%5."/>
      <w:lvlJc w:val="left"/>
      <w:pPr>
        <w:tabs>
          <w:tab w:val="num" w:pos="3600"/>
        </w:tabs>
        <w:ind w:left="0" w:firstLine="2880"/>
      </w:pPr>
      <w:rPr>
        <w:rFonts w:hint="default"/>
        <w:vanish w:val="0"/>
        <w:u w:val="none"/>
      </w:rPr>
    </w:lvl>
    <w:lvl w:ilvl="5">
      <w:start w:val="1"/>
      <w:numFmt w:val="lowerLetter"/>
      <w:lvlRestart w:val="0"/>
      <w:lvlText w:val="(%6)"/>
      <w:lvlJc w:val="left"/>
      <w:pPr>
        <w:tabs>
          <w:tab w:val="num" w:pos="4320"/>
        </w:tabs>
        <w:ind w:left="0" w:firstLine="3600"/>
      </w:pPr>
      <w:rPr>
        <w:rFonts w:hint="default"/>
        <w:vanish w:val="0"/>
        <w:u w:val="none"/>
      </w:rPr>
    </w:lvl>
    <w:lvl w:ilvl="6">
      <w:start w:val="1"/>
      <w:numFmt w:val="lowerRoman"/>
      <w:lvlText w:val="(%7)"/>
      <w:lvlJc w:val="left"/>
      <w:pPr>
        <w:tabs>
          <w:tab w:val="num" w:pos="5040"/>
        </w:tabs>
        <w:ind w:left="0" w:firstLine="4320"/>
      </w:pPr>
      <w:rPr>
        <w:rFonts w:hint="default"/>
        <w:vanish w:val="0"/>
        <w:u w:val="none"/>
      </w:rPr>
    </w:lvl>
    <w:lvl w:ilvl="7">
      <w:start w:val="1"/>
      <w:numFmt w:val="lowerLetter"/>
      <w:lvlText w:val="%8."/>
      <w:lvlJc w:val="left"/>
      <w:pPr>
        <w:tabs>
          <w:tab w:val="num" w:pos="5760"/>
        </w:tabs>
        <w:ind w:left="0" w:firstLine="5040"/>
      </w:pPr>
      <w:rPr>
        <w:rFonts w:hint="default"/>
        <w:vanish w:val="0"/>
        <w:u w:val="none"/>
      </w:rPr>
    </w:lvl>
    <w:lvl w:ilvl="8">
      <w:start w:val="1"/>
      <w:numFmt w:val="lowerRoman"/>
      <w:lvlText w:val="%9."/>
      <w:lvlJc w:val="left"/>
      <w:pPr>
        <w:tabs>
          <w:tab w:val="num" w:pos="6480"/>
        </w:tabs>
        <w:ind w:left="0" w:firstLine="5760"/>
      </w:pPr>
      <w:rPr>
        <w:rFonts w:hint="default"/>
        <w:vanish w:val="0"/>
        <w:u w:val="none"/>
      </w:rPr>
    </w:lvl>
  </w:abstractNum>
  <w:abstractNum w:abstractNumId="14">
    <w:nsid w:val="65327644"/>
    <w:multiLevelType w:val="multilevel"/>
    <w:tmpl w:val="23BC305A"/>
    <w:lvl w:ilvl="0">
      <w:start w:val="1"/>
      <w:numFmt w:val="decimal"/>
      <w:pStyle w:val="Heading1"/>
      <w:lvlText w:val="Section %1."/>
      <w:lvlJc w:val="left"/>
      <w:pPr>
        <w:tabs>
          <w:tab w:val="num" w:pos="1530"/>
        </w:tabs>
        <w:ind w:left="810" w:firstLine="720"/>
      </w:pPr>
      <w:rPr>
        <w:rFonts w:ascii="Times New Roman" w:hAnsi="Times New Roman" w:hint="default"/>
        <w:b w:val="0"/>
        <w:i w:val="0"/>
        <w:vanish w:val="0"/>
        <w:sz w:val="24"/>
        <w:szCs w:val="24"/>
        <w:u w:val="none"/>
      </w:rPr>
    </w:lvl>
    <w:lvl w:ilvl="1">
      <w:start w:val="1"/>
      <w:numFmt w:val="decimal"/>
      <w:pStyle w:val="Heading2"/>
      <w:isLgl/>
      <w:lvlText w:val="%1.%2"/>
      <w:lvlJc w:val="left"/>
      <w:pPr>
        <w:tabs>
          <w:tab w:val="num" w:pos="720"/>
        </w:tabs>
        <w:ind w:left="0" w:firstLine="1440"/>
      </w:pPr>
      <w:rPr>
        <w:rFonts w:hint="default"/>
        <w:vanish w:val="0"/>
        <w:u w:val="none"/>
      </w:rPr>
    </w:lvl>
    <w:lvl w:ilvl="2">
      <w:start w:val="1"/>
      <w:numFmt w:val="lowerRoman"/>
      <w:pStyle w:val="Heading3"/>
      <w:lvlText w:val="(%3)"/>
      <w:lvlJc w:val="left"/>
      <w:pPr>
        <w:tabs>
          <w:tab w:val="num" w:pos="2160"/>
        </w:tabs>
        <w:ind w:left="0" w:firstLine="2160"/>
      </w:pPr>
      <w:rPr>
        <w:rFonts w:hint="default"/>
        <w:b w:val="0"/>
        <w:i w:val="0"/>
        <w:vanish w:val="0"/>
        <w:u w:val="none"/>
      </w:rPr>
    </w:lvl>
    <w:lvl w:ilvl="3">
      <w:start w:val="1"/>
      <w:numFmt w:val="upperLetter"/>
      <w:pStyle w:val="Heading4"/>
      <w:lvlText w:val="%4."/>
      <w:lvlJc w:val="left"/>
      <w:pPr>
        <w:tabs>
          <w:tab w:val="num" w:pos="720"/>
        </w:tabs>
        <w:ind w:left="0" w:firstLine="1440"/>
      </w:pPr>
      <w:rPr>
        <w:rFonts w:hint="default"/>
        <w:b w:val="0"/>
        <w:i w:val="0"/>
        <w:vanish w:val="0"/>
        <w:u w:val="none"/>
      </w:rPr>
    </w:lvl>
    <w:lvl w:ilvl="4">
      <w:start w:val="1"/>
      <w:numFmt w:val="decimal"/>
      <w:pStyle w:val="Heading5"/>
      <w:lvlText w:val="%5."/>
      <w:lvlJc w:val="left"/>
      <w:pPr>
        <w:tabs>
          <w:tab w:val="num" w:pos="3600"/>
        </w:tabs>
        <w:ind w:left="0" w:firstLine="2880"/>
      </w:pPr>
      <w:rPr>
        <w:rFonts w:hint="default"/>
        <w:vanish w:val="0"/>
        <w:u w:val="none"/>
      </w:rPr>
    </w:lvl>
    <w:lvl w:ilvl="5">
      <w:start w:val="1"/>
      <w:numFmt w:val="lowerLetter"/>
      <w:lvlRestart w:val="0"/>
      <w:pStyle w:val="Heading6"/>
      <w:lvlText w:val="(%6)"/>
      <w:lvlJc w:val="left"/>
      <w:pPr>
        <w:tabs>
          <w:tab w:val="num" w:pos="4320"/>
        </w:tabs>
        <w:ind w:left="0" w:firstLine="3600"/>
      </w:pPr>
      <w:rPr>
        <w:rFonts w:hint="default"/>
        <w:vanish w:val="0"/>
        <w:u w:val="none"/>
      </w:rPr>
    </w:lvl>
    <w:lvl w:ilvl="6">
      <w:start w:val="1"/>
      <w:numFmt w:val="lowerRoman"/>
      <w:pStyle w:val="Heading7"/>
      <w:lvlText w:val="(%7)"/>
      <w:lvlJc w:val="left"/>
      <w:pPr>
        <w:tabs>
          <w:tab w:val="num" w:pos="5040"/>
        </w:tabs>
        <w:ind w:left="0" w:firstLine="4320"/>
      </w:pPr>
      <w:rPr>
        <w:rFonts w:hint="default"/>
        <w:vanish w:val="0"/>
        <w:u w:val="none"/>
      </w:rPr>
    </w:lvl>
    <w:lvl w:ilvl="7">
      <w:start w:val="1"/>
      <w:numFmt w:val="lowerLetter"/>
      <w:pStyle w:val="Heading8"/>
      <w:lvlText w:val="%8."/>
      <w:lvlJc w:val="left"/>
      <w:pPr>
        <w:tabs>
          <w:tab w:val="num" w:pos="5760"/>
        </w:tabs>
        <w:ind w:left="0" w:firstLine="5040"/>
      </w:pPr>
      <w:rPr>
        <w:rFonts w:hint="default"/>
        <w:vanish w:val="0"/>
        <w:u w:val="none"/>
      </w:rPr>
    </w:lvl>
    <w:lvl w:ilvl="8">
      <w:start w:val="1"/>
      <w:numFmt w:val="lowerRoman"/>
      <w:pStyle w:val="Heading9"/>
      <w:lvlText w:val="%9."/>
      <w:lvlJc w:val="left"/>
      <w:pPr>
        <w:tabs>
          <w:tab w:val="num" w:pos="6480"/>
        </w:tabs>
        <w:ind w:left="0" w:firstLine="5760"/>
      </w:pPr>
      <w:rPr>
        <w:rFonts w:hint="default"/>
        <w:vanish w:val="0"/>
        <w:u w:val="none"/>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7"/>
  </w:num>
  <w:num w:numId="16">
    <w:abstractNumId w:val="3"/>
  </w:num>
  <w:num w:numId="17">
    <w:abstractNumId w:val="0"/>
  </w:num>
  <w:num w:numId="18">
    <w:abstractNumId w:val="9"/>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0"/>
  </w:num>
  <w:num w:numId="29">
    <w:abstractNumId w:val="4"/>
  </w:num>
  <w:num w:numId="30">
    <w:abstractNumId w:val="11"/>
  </w:num>
  <w:num w:numId="31">
    <w:abstractNumId w:val="2"/>
  </w:num>
  <w:num w:numId="32">
    <w:abstractNumId w:val="12"/>
  </w:num>
  <w:num w:numId="33">
    <w:abstractNumId w:val="5"/>
  </w:num>
  <w:num w:numId="34">
    <w:abstractNumId w:val="1"/>
  </w:num>
  <w:num w:numId="35">
    <w:abstractNumId w:val="8"/>
  </w:num>
  <w:num w:numId="36">
    <w:abstractNumId w:val="13"/>
  </w:num>
  <w:num w:numId="37">
    <w:abstractNumId w:val="14"/>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removePersonalInformation/>
  <w:hideSpellingErrors/>
  <w:hideGrammaticalErrors/>
  <w:proofState w:spelling="clean"/>
  <w:stylePaneFormatFilter w:val="3801"/>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97AE3"/>
    <w:rsid w:val="004F5245"/>
    <w:rsid w:val="00A97AE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7AE3"/>
    <w:rPr>
      <w:sz w:val="24"/>
      <w:szCs w:val="24"/>
    </w:rPr>
  </w:style>
  <w:style w:type="paragraph" w:styleId="Heading1">
    <w:name w:val="heading 1"/>
    <w:basedOn w:val="Heading"/>
    <w:next w:val="Normal"/>
    <w:link w:val="Heading1Char"/>
    <w:qFormat/>
    <w:rsid w:val="00A97AE3"/>
    <w:pPr>
      <w:keepNext/>
      <w:numPr>
        <w:numId w:val="27"/>
      </w:numPr>
      <w:spacing w:before="0" w:after="240"/>
      <w:outlineLvl w:val="0"/>
    </w:pPr>
    <w:rPr>
      <w:bCs/>
      <w:kern w:val="24"/>
      <w:szCs w:val="24"/>
    </w:rPr>
  </w:style>
  <w:style w:type="paragraph" w:styleId="Heading2">
    <w:name w:val="heading 2"/>
    <w:basedOn w:val="Heading"/>
    <w:next w:val="Normal"/>
    <w:qFormat/>
    <w:rsid w:val="00A97AE3"/>
    <w:pPr>
      <w:numPr>
        <w:ilvl w:val="1"/>
        <w:numId w:val="27"/>
      </w:numPr>
      <w:spacing w:before="0" w:after="240"/>
      <w:outlineLvl w:val="1"/>
    </w:pPr>
    <w:rPr>
      <w:bCs/>
      <w:iCs/>
      <w:kern w:val="24"/>
      <w:sz w:val="20"/>
      <w:szCs w:val="24"/>
    </w:rPr>
  </w:style>
  <w:style w:type="paragraph" w:styleId="Heading3">
    <w:name w:val="heading 3"/>
    <w:basedOn w:val="Heading"/>
    <w:next w:val="Normal"/>
    <w:qFormat/>
    <w:rsid w:val="00A97AE3"/>
    <w:pPr>
      <w:numPr>
        <w:ilvl w:val="2"/>
        <w:numId w:val="27"/>
      </w:numPr>
      <w:spacing w:before="0" w:after="240"/>
      <w:outlineLvl w:val="2"/>
    </w:pPr>
    <w:rPr>
      <w:bCs/>
      <w:kern w:val="24"/>
      <w:sz w:val="20"/>
      <w:szCs w:val="24"/>
    </w:rPr>
  </w:style>
  <w:style w:type="paragraph" w:styleId="Heading4">
    <w:name w:val="heading 4"/>
    <w:basedOn w:val="Heading"/>
    <w:next w:val="Normal"/>
    <w:qFormat/>
    <w:rsid w:val="00A97AE3"/>
    <w:pPr>
      <w:numPr>
        <w:ilvl w:val="3"/>
        <w:numId w:val="27"/>
      </w:numPr>
      <w:spacing w:before="0" w:after="240"/>
      <w:outlineLvl w:val="3"/>
    </w:pPr>
    <w:rPr>
      <w:bCs/>
      <w:kern w:val="24"/>
      <w:szCs w:val="24"/>
    </w:rPr>
  </w:style>
  <w:style w:type="paragraph" w:styleId="Heading5">
    <w:name w:val="heading 5"/>
    <w:basedOn w:val="Heading"/>
    <w:next w:val="Normal"/>
    <w:qFormat/>
    <w:rsid w:val="00A97AE3"/>
    <w:pPr>
      <w:numPr>
        <w:ilvl w:val="4"/>
        <w:numId w:val="27"/>
      </w:numPr>
      <w:spacing w:before="0" w:after="240"/>
      <w:outlineLvl w:val="4"/>
    </w:pPr>
    <w:rPr>
      <w:bCs/>
      <w:iCs/>
      <w:kern w:val="24"/>
      <w:szCs w:val="24"/>
    </w:rPr>
  </w:style>
  <w:style w:type="paragraph" w:styleId="Heading6">
    <w:name w:val="heading 6"/>
    <w:basedOn w:val="Heading"/>
    <w:next w:val="Normal"/>
    <w:qFormat/>
    <w:rsid w:val="00A97AE3"/>
    <w:pPr>
      <w:numPr>
        <w:ilvl w:val="5"/>
        <w:numId w:val="27"/>
      </w:numPr>
      <w:spacing w:before="0" w:after="240"/>
      <w:outlineLvl w:val="5"/>
    </w:pPr>
    <w:rPr>
      <w:bCs/>
      <w:kern w:val="24"/>
      <w:szCs w:val="24"/>
    </w:rPr>
  </w:style>
  <w:style w:type="paragraph" w:styleId="Heading7">
    <w:name w:val="heading 7"/>
    <w:basedOn w:val="Heading"/>
    <w:next w:val="Normal"/>
    <w:qFormat/>
    <w:rsid w:val="00A97AE3"/>
    <w:pPr>
      <w:numPr>
        <w:ilvl w:val="6"/>
        <w:numId w:val="27"/>
      </w:numPr>
      <w:spacing w:before="0" w:after="240"/>
      <w:outlineLvl w:val="6"/>
    </w:pPr>
    <w:rPr>
      <w:kern w:val="24"/>
      <w:szCs w:val="24"/>
    </w:rPr>
  </w:style>
  <w:style w:type="paragraph" w:styleId="Heading8">
    <w:name w:val="heading 8"/>
    <w:basedOn w:val="Heading"/>
    <w:next w:val="Normal"/>
    <w:qFormat/>
    <w:rsid w:val="00A97AE3"/>
    <w:pPr>
      <w:numPr>
        <w:ilvl w:val="7"/>
        <w:numId w:val="27"/>
      </w:numPr>
      <w:spacing w:before="0" w:after="240"/>
      <w:outlineLvl w:val="7"/>
    </w:pPr>
    <w:rPr>
      <w:iCs/>
      <w:kern w:val="24"/>
      <w:szCs w:val="24"/>
    </w:rPr>
  </w:style>
  <w:style w:type="paragraph" w:styleId="Heading9">
    <w:name w:val="heading 9"/>
    <w:basedOn w:val="Heading"/>
    <w:next w:val="Normal"/>
    <w:qFormat/>
    <w:rsid w:val="00A97AE3"/>
    <w:pPr>
      <w:numPr>
        <w:ilvl w:val="8"/>
        <w:numId w:val="27"/>
      </w:numPr>
      <w:spacing w:before="0" w:after="240"/>
      <w:outlineLvl w:val="8"/>
    </w:pPr>
    <w:rPr>
      <w:kern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link w:val="HeadingChar"/>
    <w:rsid w:val="00A97AE3"/>
    <w:pPr>
      <w:spacing w:before="240"/>
      <w:jc w:val="both"/>
    </w:pPr>
    <w:rPr>
      <w:szCs w:val="20"/>
    </w:rPr>
  </w:style>
  <w:style w:type="paragraph" w:styleId="BlockText">
    <w:name w:val="Block Text"/>
    <w:basedOn w:val="Normal"/>
    <w:rsid w:val="00A97AE3"/>
    <w:pPr>
      <w:spacing w:after="240"/>
      <w:ind w:left="1440" w:right="1440"/>
      <w:jc w:val="both"/>
    </w:pPr>
  </w:style>
  <w:style w:type="paragraph" w:styleId="BodyText">
    <w:name w:val="Body Text"/>
    <w:basedOn w:val="Normal"/>
    <w:rsid w:val="00A97AE3"/>
    <w:pPr>
      <w:spacing w:after="240"/>
      <w:jc w:val="both"/>
    </w:pPr>
  </w:style>
  <w:style w:type="paragraph" w:customStyle="1" w:styleId="BodyText0DS">
    <w:name w:val="Body Text 0&quot; DS"/>
    <w:basedOn w:val="Normal"/>
    <w:rsid w:val="00A97AE3"/>
    <w:pPr>
      <w:spacing w:line="480" w:lineRule="auto"/>
      <w:jc w:val="both"/>
    </w:pPr>
  </w:style>
  <w:style w:type="paragraph" w:customStyle="1" w:styleId="BodyText05DS">
    <w:name w:val="Body Text 0.5&quot; DS"/>
    <w:basedOn w:val="Normal"/>
    <w:rsid w:val="00A97AE3"/>
    <w:pPr>
      <w:spacing w:line="480" w:lineRule="auto"/>
      <w:ind w:firstLine="720"/>
      <w:jc w:val="both"/>
    </w:pPr>
  </w:style>
  <w:style w:type="paragraph" w:styleId="TOC1">
    <w:name w:val="toc 1"/>
    <w:basedOn w:val="Normal"/>
    <w:next w:val="Normal"/>
    <w:semiHidden/>
    <w:rsid w:val="00A97AE3"/>
    <w:pPr>
      <w:spacing w:before="120" w:after="120"/>
    </w:pPr>
  </w:style>
  <w:style w:type="paragraph" w:customStyle="1" w:styleId="BodyText05SS">
    <w:name w:val="Body Text 0.5&quot; SS"/>
    <w:basedOn w:val="Normal"/>
    <w:rsid w:val="00A97AE3"/>
    <w:pPr>
      <w:spacing w:after="240"/>
      <w:ind w:firstLine="720"/>
      <w:jc w:val="both"/>
    </w:pPr>
  </w:style>
  <w:style w:type="paragraph" w:styleId="TOC2">
    <w:name w:val="toc 2"/>
    <w:basedOn w:val="Normal"/>
    <w:next w:val="Normal"/>
    <w:semiHidden/>
    <w:rsid w:val="00A97AE3"/>
    <w:pPr>
      <w:ind w:left="240"/>
    </w:pPr>
  </w:style>
  <w:style w:type="paragraph" w:styleId="TOC3">
    <w:name w:val="toc 3"/>
    <w:basedOn w:val="Normal"/>
    <w:next w:val="Normal"/>
    <w:semiHidden/>
    <w:rsid w:val="00A97AE3"/>
    <w:pPr>
      <w:ind w:left="480"/>
    </w:pPr>
  </w:style>
  <w:style w:type="paragraph" w:styleId="Header">
    <w:name w:val="header"/>
    <w:basedOn w:val="Normal"/>
    <w:rsid w:val="00A97AE3"/>
    <w:pPr>
      <w:tabs>
        <w:tab w:val="center" w:pos="4680"/>
        <w:tab w:val="right" w:pos="9360"/>
      </w:tabs>
    </w:pPr>
  </w:style>
  <w:style w:type="paragraph" w:styleId="Footer">
    <w:name w:val="footer"/>
    <w:basedOn w:val="Normal"/>
    <w:rsid w:val="00A97AE3"/>
    <w:pPr>
      <w:tabs>
        <w:tab w:val="center" w:pos="4680"/>
        <w:tab w:val="right" w:pos="9360"/>
      </w:tabs>
    </w:pPr>
  </w:style>
  <w:style w:type="character" w:styleId="PageNumber">
    <w:name w:val="page number"/>
    <w:basedOn w:val="DefaultParagraphFont"/>
    <w:rsid w:val="00A97AE3"/>
    <w:rPr>
      <w:rFonts w:ascii="Times New Roman" w:hAnsi="Times New Roman" w:cs="Times New Roman"/>
    </w:rPr>
  </w:style>
  <w:style w:type="paragraph" w:customStyle="1" w:styleId="BodyText1DS">
    <w:name w:val="Body Text 1&quot; DS"/>
    <w:basedOn w:val="Normal"/>
    <w:rsid w:val="00A97AE3"/>
    <w:pPr>
      <w:spacing w:line="480" w:lineRule="auto"/>
      <w:ind w:firstLine="1440"/>
      <w:jc w:val="both"/>
    </w:pPr>
  </w:style>
  <w:style w:type="paragraph" w:customStyle="1" w:styleId="BodyText1SS">
    <w:name w:val="Body Text 1&quot; SS"/>
    <w:basedOn w:val="Normal"/>
    <w:rsid w:val="00A97AE3"/>
    <w:pPr>
      <w:spacing w:after="240"/>
      <w:ind w:firstLine="1440"/>
      <w:jc w:val="both"/>
    </w:pPr>
  </w:style>
  <w:style w:type="paragraph" w:styleId="BodyTextFirstIndent">
    <w:name w:val="Body Text First Indent"/>
    <w:basedOn w:val="BodyText"/>
    <w:rsid w:val="00A97AE3"/>
    <w:pPr>
      <w:ind w:firstLine="1440"/>
    </w:pPr>
  </w:style>
  <w:style w:type="paragraph" w:customStyle="1" w:styleId="BodyTextHanging5SS">
    <w:name w:val="Body Text Hanging .5&quot; SS"/>
    <w:basedOn w:val="Normal"/>
    <w:rsid w:val="00A97AE3"/>
    <w:pPr>
      <w:spacing w:after="240"/>
      <w:ind w:left="720" w:hanging="720"/>
      <w:jc w:val="both"/>
    </w:pPr>
  </w:style>
  <w:style w:type="paragraph" w:customStyle="1" w:styleId="BodyTextIndent0">
    <w:name w:val="Body Text Indent 0&quot;"/>
    <w:basedOn w:val="Normal"/>
    <w:rsid w:val="00A97AE3"/>
    <w:pPr>
      <w:spacing w:after="240"/>
      <w:ind w:left="720"/>
      <w:jc w:val="both"/>
    </w:pPr>
  </w:style>
  <w:style w:type="paragraph" w:customStyle="1" w:styleId="BodyTextIndent05">
    <w:name w:val="Body Text Indent 0.5&quot;"/>
    <w:basedOn w:val="Normal"/>
    <w:rsid w:val="00A97AE3"/>
    <w:pPr>
      <w:spacing w:after="240"/>
      <w:ind w:left="720" w:firstLine="720"/>
      <w:jc w:val="both"/>
    </w:pPr>
  </w:style>
  <w:style w:type="paragraph" w:customStyle="1" w:styleId="BodyTextIndent1">
    <w:name w:val="Body Text Indent 1&quot;"/>
    <w:basedOn w:val="Normal"/>
    <w:rsid w:val="00A97AE3"/>
    <w:pPr>
      <w:spacing w:after="240"/>
      <w:ind w:left="720" w:firstLine="1440"/>
      <w:jc w:val="both"/>
    </w:pPr>
  </w:style>
  <w:style w:type="paragraph" w:customStyle="1" w:styleId="Quote5">
    <w:name w:val="Quote .5&quot;"/>
    <w:basedOn w:val="Normal"/>
    <w:rsid w:val="00A97AE3"/>
    <w:pPr>
      <w:spacing w:after="240"/>
      <w:ind w:left="720" w:right="720"/>
      <w:jc w:val="both"/>
    </w:pPr>
  </w:style>
  <w:style w:type="paragraph" w:customStyle="1" w:styleId="Quote1">
    <w:name w:val="Quote 1&quot;"/>
    <w:basedOn w:val="Normal"/>
    <w:rsid w:val="00A97AE3"/>
    <w:pPr>
      <w:spacing w:after="240"/>
      <w:ind w:left="1440" w:right="1440"/>
      <w:jc w:val="both"/>
    </w:pPr>
  </w:style>
  <w:style w:type="character" w:customStyle="1" w:styleId="Bold">
    <w:name w:val="Bold"/>
    <w:basedOn w:val="DefaultParagraphFont"/>
    <w:rsid w:val="00A97AE3"/>
    <w:rPr>
      <w:rFonts w:ascii="Times New Roman" w:hAnsi="Times New Roman" w:cs="Times New Roman"/>
      <w:b/>
    </w:rPr>
  </w:style>
  <w:style w:type="character" w:customStyle="1" w:styleId="BoldItalic">
    <w:name w:val="Bold Italic"/>
    <w:basedOn w:val="DefaultParagraphFont"/>
    <w:rsid w:val="00A97AE3"/>
    <w:rPr>
      <w:rFonts w:ascii="Times New Roman" w:hAnsi="Times New Roman" w:cs="Times New Roman"/>
      <w:b/>
      <w:i/>
    </w:rPr>
  </w:style>
  <w:style w:type="character" w:customStyle="1" w:styleId="BoldItalicUnderline">
    <w:name w:val="Bold Italic Underline"/>
    <w:basedOn w:val="DefaultParagraphFont"/>
    <w:rsid w:val="00A97AE3"/>
    <w:rPr>
      <w:rFonts w:ascii="Times New Roman" w:hAnsi="Times New Roman" w:cs="Times New Roman"/>
      <w:b/>
      <w:i/>
      <w:u w:val="single"/>
    </w:rPr>
  </w:style>
  <w:style w:type="character" w:customStyle="1" w:styleId="BoldUnderline">
    <w:name w:val="Bold Underline"/>
    <w:basedOn w:val="DefaultParagraphFont"/>
    <w:rsid w:val="00A97AE3"/>
    <w:rPr>
      <w:rFonts w:ascii="Times New Roman" w:hAnsi="Times New Roman" w:cs="Times New Roman"/>
      <w:b/>
      <w:u w:val="single"/>
    </w:rPr>
  </w:style>
  <w:style w:type="paragraph" w:styleId="Date">
    <w:name w:val="Date"/>
    <w:basedOn w:val="Normal"/>
    <w:next w:val="Normal"/>
    <w:rsid w:val="00A97AE3"/>
    <w:pPr>
      <w:spacing w:before="640" w:after="680"/>
      <w:jc w:val="center"/>
    </w:pPr>
  </w:style>
  <w:style w:type="character" w:customStyle="1" w:styleId="DblUnderline">
    <w:name w:val="Dbl Underline"/>
    <w:basedOn w:val="DefaultParagraphFont"/>
    <w:rsid w:val="00A97AE3"/>
    <w:rPr>
      <w:rFonts w:ascii="Times New Roman" w:hAnsi="Times New Roman" w:cs="Times New Roman"/>
      <w:u w:val="double"/>
    </w:rPr>
  </w:style>
  <w:style w:type="paragraph" w:styleId="FootnoteText">
    <w:name w:val="footnote text"/>
    <w:aliases w:val=" Char, Char Char,Footnote Text Char,Footnote Text Char Char Char,Footnote Text Char1 Char,fn Char,ft Char Char,ft Char1"/>
    <w:basedOn w:val="Normal"/>
    <w:rsid w:val="00A97AE3"/>
    <w:pPr>
      <w:tabs>
        <w:tab w:val="left" w:pos="432"/>
      </w:tabs>
      <w:spacing w:after="200"/>
      <w:ind w:left="432" w:hanging="432"/>
      <w:jc w:val="both"/>
    </w:pPr>
    <w:rPr>
      <w:sz w:val="20"/>
      <w:szCs w:val="20"/>
    </w:rPr>
  </w:style>
  <w:style w:type="character" w:customStyle="1" w:styleId="Italic">
    <w:name w:val="Italic"/>
    <w:basedOn w:val="DefaultParagraphFont"/>
    <w:rsid w:val="00A97AE3"/>
    <w:rPr>
      <w:rFonts w:ascii="Times New Roman" w:hAnsi="Times New Roman" w:cs="Times New Roman"/>
      <w:i/>
    </w:rPr>
  </w:style>
  <w:style w:type="paragraph" w:customStyle="1" w:styleId="Notice">
    <w:name w:val="Notice"/>
    <w:basedOn w:val="Normal"/>
    <w:rsid w:val="00A97AE3"/>
    <w:pPr>
      <w:spacing w:after="240"/>
      <w:ind w:left="3600" w:hanging="2160"/>
    </w:pPr>
  </w:style>
  <w:style w:type="paragraph" w:styleId="PlainText">
    <w:name w:val="Plain Text"/>
    <w:basedOn w:val="Normal"/>
    <w:rsid w:val="00A97AE3"/>
    <w:rPr>
      <w:szCs w:val="20"/>
    </w:rPr>
  </w:style>
  <w:style w:type="paragraph" w:styleId="Signature">
    <w:name w:val="Signature"/>
    <w:aliases w:val="s"/>
    <w:basedOn w:val="Normal"/>
    <w:rsid w:val="00A97AE3"/>
    <w:pPr>
      <w:keepNext/>
      <w:tabs>
        <w:tab w:val="left" w:pos="4680"/>
        <w:tab w:val="right" w:leader="underscore" w:pos="9360"/>
      </w:tabs>
      <w:spacing w:after="600"/>
      <w:ind w:left="4320"/>
    </w:pPr>
  </w:style>
  <w:style w:type="paragraph" w:customStyle="1" w:styleId="TableHeading">
    <w:name w:val="Table Heading"/>
    <w:basedOn w:val="Normal"/>
    <w:rsid w:val="00A97AE3"/>
    <w:pPr>
      <w:jc w:val="center"/>
    </w:pPr>
    <w:rPr>
      <w:b/>
    </w:rPr>
  </w:style>
  <w:style w:type="paragraph" w:customStyle="1" w:styleId="TableText">
    <w:name w:val="Table Text"/>
    <w:basedOn w:val="Normal"/>
    <w:rsid w:val="00A97AE3"/>
  </w:style>
  <w:style w:type="paragraph" w:styleId="Title">
    <w:name w:val="Title"/>
    <w:basedOn w:val="Normal"/>
    <w:next w:val="BodyText1SS"/>
    <w:qFormat/>
    <w:rsid w:val="00A97AE3"/>
    <w:pPr>
      <w:keepNext/>
      <w:spacing w:after="240"/>
      <w:jc w:val="center"/>
    </w:pPr>
    <w:rPr>
      <w:b/>
      <w:bCs/>
      <w:caps/>
      <w:szCs w:val="32"/>
    </w:rPr>
  </w:style>
  <w:style w:type="paragraph" w:customStyle="1" w:styleId="TitleBoldLeft">
    <w:name w:val="Title Bold Left"/>
    <w:basedOn w:val="Normal"/>
    <w:next w:val="BodyText"/>
    <w:rsid w:val="00A97AE3"/>
    <w:pPr>
      <w:keepNext/>
      <w:spacing w:after="240"/>
    </w:pPr>
    <w:rPr>
      <w:b/>
    </w:rPr>
  </w:style>
  <w:style w:type="character" w:customStyle="1" w:styleId="Underline">
    <w:name w:val="Underline"/>
    <w:basedOn w:val="DefaultParagraphFont"/>
    <w:rsid w:val="00A97AE3"/>
    <w:rPr>
      <w:rFonts w:ascii="Times New Roman" w:hAnsi="Times New Roman" w:cs="Times New Roman"/>
      <w:u w:val="single"/>
    </w:rPr>
  </w:style>
  <w:style w:type="character" w:customStyle="1" w:styleId="DocID">
    <w:name w:val="DocID"/>
    <w:basedOn w:val="DefaultParagraphFont"/>
    <w:rsid w:val="00A97AE3"/>
    <w:rPr>
      <w:rFonts w:ascii="Times New Roman" w:hAnsi="Times New Roman" w:cs="Times New Roman"/>
      <w:sz w:val="16"/>
    </w:rPr>
  </w:style>
  <w:style w:type="paragraph" w:styleId="TOC4">
    <w:name w:val="toc 4"/>
    <w:basedOn w:val="Normal"/>
    <w:next w:val="Normal"/>
    <w:semiHidden/>
    <w:rsid w:val="00A97AE3"/>
    <w:pPr>
      <w:ind w:left="720"/>
    </w:pPr>
  </w:style>
  <w:style w:type="paragraph" w:styleId="TOC5">
    <w:name w:val="toc 5"/>
    <w:basedOn w:val="Normal"/>
    <w:next w:val="Normal"/>
    <w:semiHidden/>
    <w:rsid w:val="00A97AE3"/>
    <w:pPr>
      <w:ind w:left="960"/>
    </w:pPr>
  </w:style>
  <w:style w:type="paragraph" w:styleId="TOC6">
    <w:name w:val="toc 6"/>
    <w:basedOn w:val="Normal"/>
    <w:next w:val="Normal"/>
    <w:semiHidden/>
    <w:rsid w:val="00A97AE3"/>
    <w:pPr>
      <w:ind w:left="1200"/>
    </w:pPr>
  </w:style>
  <w:style w:type="paragraph" w:styleId="TOC7">
    <w:name w:val="toc 7"/>
    <w:basedOn w:val="Normal"/>
    <w:next w:val="Normal"/>
    <w:semiHidden/>
    <w:rsid w:val="00A97AE3"/>
    <w:pPr>
      <w:ind w:left="1440"/>
    </w:pPr>
  </w:style>
  <w:style w:type="paragraph" w:styleId="TOC8">
    <w:name w:val="toc 8"/>
    <w:basedOn w:val="Normal"/>
    <w:next w:val="Normal"/>
    <w:semiHidden/>
    <w:rsid w:val="00A97AE3"/>
    <w:pPr>
      <w:ind w:left="1680"/>
    </w:pPr>
  </w:style>
  <w:style w:type="paragraph" w:styleId="TOC9">
    <w:name w:val="toc 9"/>
    <w:basedOn w:val="Normal"/>
    <w:next w:val="Normal"/>
    <w:semiHidden/>
    <w:rsid w:val="00A97AE3"/>
    <w:pPr>
      <w:ind w:left="1920"/>
    </w:pPr>
  </w:style>
  <w:style w:type="paragraph" w:customStyle="1" w:styleId="DocIDPara">
    <w:name w:val="DocIDPara"/>
    <w:rsid w:val="00A97AE3"/>
  </w:style>
  <w:style w:type="table" w:styleId="TableGrid">
    <w:name w:val="Table Grid"/>
    <w:basedOn w:val="TableNormal"/>
    <w:rsid w:val="00A97A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Heading">
    <w:name w:val="Body Text Heading"/>
    <w:basedOn w:val="BodyText"/>
    <w:rsid w:val="00A97AE3"/>
    <w:pPr>
      <w:spacing w:after="0"/>
      <w:jc w:val="left"/>
    </w:pPr>
    <w:rPr>
      <w:sz w:val="20"/>
      <w:szCs w:val="20"/>
    </w:rPr>
  </w:style>
  <w:style w:type="paragraph" w:customStyle="1" w:styleId="BodyTextRight">
    <w:name w:val="Body Text Right"/>
    <w:basedOn w:val="BodyTextHeading"/>
    <w:rsid w:val="00A97AE3"/>
    <w:pPr>
      <w:spacing w:after="240"/>
      <w:jc w:val="right"/>
    </w:pPr>
  </w:style>
  <w:style w:type="character" w:styleId="FootnoteReference">
    <w:name w:val="footnote reference"/>
    <w:aliases w:val="fr,o"/>
    <w:basedOn w:val="DefaultParagraphFont"/>
    <w:semiHidden/>
    <w:rsid w:val="00A97AE3"/>
    <w:rPr>
      <w:rFonts w:ascii="Times New Roman" w:hAnsi="Times New Roman" w:cs="Times New Roman"/>
      <w:vertAlign w:val="superscript"/>
    </w:rPr>
  </w:style>
  <w:style w:type="paragraph" w:customStyle="1" w:styleId="StyleHeading112ptUnderline">
    <w:name w:val="Style Heading 1 + 12 pt Underline"/>
    <w:basedOn w:val="Heading1"/>
    <w:link w:val="StyleHeading112ptUnderlineChar"/>
    <w:rsid w:val="00A97AE3"/>
    <w:rPr>
      <w:bCs w:val="0"/>
      <w:u w:val="single"/>
    </w:rPr>
  </w:style>
  <w:style w:type="character" w:customStyle="1" w:styleId="HeadingChar">
    <w:name w:val="Heading Char"/>
    <w:basedOn w:val="DefaultParagraphFont"/>
    <w:link w:val="Heading"/>
    <w:rsid w:val="00A97AE3"/>
    <w:rPr>
      <w:sz w:val="24"/>
      <w:lang w:val="en-US" w:eastAsia="en-US" w:bidi="ar-SA"/>
    </w:rPr>
  </w:style>
  <w:style w:type="character" w:customStyle="1" w:styleId="Heading1Char">
    <w:name w:val="Heading 1 Char"/>
    <w:basedOn w:val="HeadingChar"/>
    <w:link w:val="Heading1"/>
    <w:rsid w:val="00A97AE3"/>
    <w:rPr>
      <w:bCs/>
      <w:kern w:val="24"/>
      <w:szCs w:val="24"/>
    </w:rPr>
  </w:style>
  <w:style w:type="character" w:customStyle="1" w:styleId="StyleHeading112ptUnderlineChar">
    <w:name w:val="Style Heading 1 + 12 pt Underline Char"/>
    <w:basedOn w:val="Heading1Char"/>
    <w:link w:val="StyleHeading112ptUnderline"/>
    <w:rsid w:val="00A97AE3"/>
    <w:rPr>
      <w:u w:val="single"/>
    </w:rPr>
  </w:style>
  <w:style w:type="character" w:styleId="Hyperlink">
    <w:name w:val="Hyperlink"/>
    <w:basedOn w:val="DefaultParagraphFont"/>
    <w:rsid w:val="00A97AE3"/>
    <w:rPr>
      <w:color w:val="0000FF"/>
      <w:u w:val="single"/>
    </w:rPr>
  </w:style>
  <w:style w:type="character" w:styleId="Emphasis">
    <w:name w:val="Emphasis"/>
    <w:basedOn w:val="DefaultParagraphFont"/>
    <w:qFormat/>
    <w:rsid w:val="00A97AE3"/>
    <w:rPr>
      <w:i/>
      <w:iCs/>
    </w:rPr>
  </w:style>
  <w:style w:type="paragraph" w:styleId="DocumentMap">
    <w:name w:val="Document Map"/>
    <w:basedOn w:val="Normal"/>
    <w:link w:val="DocumentMapChar"/>
    <w:rsid w:val="00A97AE3"/>
    <w:rPr>
      <w:rFonts w:ascii="Tahoma" w:hAnsi="Tahoma" w:cs="Tahoma"/>
      <w:sz w:val="16"/>
      <w:szCs w:val="16"/>
    </w:rPr>
  </w:style>
  <w:style w:type="character" w:customStyle="1" w:styleId="DocumentMapChar">
    <w:name w:val="Document Map Char"/>
    <w:basedOn w:val="DefaultParagraphFont"/>
    <w:link w:val="DocumentMap"/>
    <w:rsid w:val="00A97A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ll_taylor@transcanada.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fernandez@nyiso.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ke_hachey@transcanada.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2353</Words>
  <Characters>13416</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2017-04-28T14:00:00Z</dcterms:created>
  <dcterms:modified xsi:type="dcterms:W3CDTF">2017-04-28T14:00:00Z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UFAAhWon0ndq8EyalXPCq2c0WWyOs9cgdb/I7sxBOrVGU08g0X0zp9FSlC9BrqcJd00xAwjkZcFOA57F
lz0mWxXTvXih5fl46mAcTLmRftV+6iii+ZBZDD3QmUSCf8faW3W7vIfF40mL/7ChSrvbsZ2ID6h/
3OBop+H9qMGMq9/N/wMZCXPrrNTZD4hQw+eKQYEEtKjaL6C9+W8bhHVa6jEWxnJEYTrql/Jm9yxz
In8XaY5arZQI/lA6A</vt:lpwstr>
  </property>
  <property fmtid="{D5CDD505-2E9C-101B-9397-08002B2CF9AE}" pid="4" name="MAIL_MSG_ID2">
    <vt:lpwstr>GzhCPxrqgMPs66b2P/DuTajibTAqjigIqY0+M3y775wjrZsiPb5fA/v4DLk
RB1P8fCCcbXYchsH8eL6GOlWTr0=</vt:lpwstr>
  </property>
  <property fmtid="{D5CDD505-2E9C-101B-9397-08002B2CF9AE}" pid="5" name="RESPONSE_SENDER_NAME">
    <vt:lpwstr>sAAAb0xRtPDW5UujG4PxzkhuKbBVvWiAZiZvE4zQ2p2S8KM=</vt:lpwstr>
  </property>
  <property fmtid="{D5CDD505-2E9C-101B-9397-08002B2CF9AE}" pid="6" name="_AdHocReviewCycleID">
    <vt:i4>-17871029</vt:i4>
  </property>
  <property fmtid="{D5CDD505-2E9C-101B-9397-08002B2CF9AE}" pid="7" name="_NewReviewCycle">
    <vt:lpwstr/>
  </property>
  <property fmtid="{D5CDD505-2E9C-101B-9397-08002B2CF9AE}" pid="8" name="_ReviewingToolsShownOnce">
    <vt:lpwstr/>
  </property>
</Properties>
</file>