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82FC3" w14:paraId="576B21C6" w14:textId="77777777">
      <w:pPr>
        <w:pStyle w:val="Heading2"/>
        <w:rPr>
          <w:bCs/>
          <w:iCs/>
        </w:rPr>
      </w:pPr>
      <w:bookmarkStart w:id="0" w:name="_Toc261446008"/>
      <w:r>
        <w:rPr>
          <w:bCs/>
          <w:iCs/>
        </w:rPr>
        <w:t>2.16</w:t>
      </w:r>
      <w:r>
        <w:rPr>
          <w:bCs/>
          <w:iCs/>
        </w:rPr>
        <w:tab/>
        <w:t>Definitions - P</w:t>
      </w:r>
      <w:bookmarkEnd w:id="0"/>
    </w:p>
    <w:p w:rsidR="002A2573" w:rsidRPr="002A2573" w14:paraId="27971E55" w14:textId="28CE6C51">
      <w:pPr>
        <w:pStyle w:val="Definition13"/>
      </w:pPr>
      <w:r w:rsidRPr="002A2573">
        <w:rPr>
          <w:b/>
        </w:rPr>
        <w:t>Participation Limit:</w:t>
      </w:r>
      <w:r w:rsidRPr="00D47A34">
        <w:t xml:space="preserve"> The maximum amount of Energy that a Combined Cycle Gas Turbine Generator with Duct-Firing Capability can produce without using its Duct-Firing Capability, which is used as the upper limit for scheduling 10-min Spinning Reserves and Regulation Service. This limit does not apply to Energy scheduling.</w:t>
      </w:r>
    </w:p>
    <w:p w:rsidR="00782FC3" w14:paraId="43FB7BE0" w14:textId="00CBDAD7">
      <w:pPr>
        <w:pStyle w:val="Definition13"/>
      </w:pPr>
      <w:r>
        <w:rPr>
          <w:b/>
        </w:rPr>
        <w:t xml:space="preserve">Peak Load Window: </w:t>
      </w:r>
      <w:r>
        <w:t xml:space="preserve">The </w:t>
      </w:r>
      <w:r>
        <w:t>time period</w:t>
      </w:r>
      <w:r>
        <w:t xml:space="preserve"> during which a Resource with Energy Duration Limitations must offer Energy in the Day-Ahead Market as specified in Section 5.12.14 of the ISO’s Services Tariff.</w:t>
      </w:r>
    </w:p>
    <w:p w:rsidR="00782FC3" w14:paraId="21CC1D23" w14:textId="77777777">
      <w:pPr>
        <w:pStyle w:val="Definition"/>
      </w:pPr>
      <w:r>
        <w:rPr>
          <w:b/>
        </w:rPr>
        <w:t>Performance Index</w:t>
      </w:r>
      <w:bookmarkStart w:id="1" w:name="_DV_M55"/>
      <w:bookmarkEnd w:id="1"/>
      <w:r>
        <w:t>: An index, described in ISO Procedures, that tracks a Generator’s or an Aggregation’s response to AGC signals from the ISO.</w:t>
      </w:r>
    </w:p>
    <w:p w:rsidR="00782FC3" w14:paraId="2E869C9C" w14:textId="77777777">
      <w:pPr>
        <w:pStyle w:val="Definition"/>
      </w:pPr>
      <w:bookmarkStart w:id="2" w:name="_DV_M56"/>
      <w:bookmarkEnd w:id="2"/>
      <w:r>
        <w:rPr>
          <w:b/>
        </w:rPr>
        <w:t>Performance Tracking System</w:t>
      </w:r>
      <w:bookmarkStart w:id="3" w:name="_DV_M57"/>
      <w:bookmarkEnd w:id="3"/>
      <w:r>
        <w:t>: A system designed to report metrics for Generators, Aggregations, and Loads which include but are not limited to actual output and schedules.  This system is used by the ISO to measure compliance with criteria associated with the provision of Energy and Ancillary Services.</w:t>
      </w:r>
    </w:p>
    <w:p w:rsidR="00782FC3" w14:paraId="7D32DECA" w14:textId="77777777">
      <w:pPr>
        <w:pStyle w:val="Definition"/>
      </w:pPr>
      <w:bookmarkStart w:id="4" w:name="_DV_M58"/>
      <w:bookmarkEnd w:id="4"/>
      <w:r>
        <w:rPr>
          <w:b/>
        </w:rPr>
        <w:t>Point-to-Point Transmission Service</w:t>
      </w:r>
      <w:bookmarkStart w:id="5" w:name="_DV_M59"/>
      <w:bookmarkEnd w:id="5"/>
      <w:r>
        <w:t>: The reservation and transmission of Capacity and Energy on a firm basis from the Point(s) of Receipt to the Point(s) of Delivery under the ISO Tariffs.</w:t>
      </w:r>
    </w:p>
    <w:p w:rsidR="00782FC3" w14:paraId="2399EE96" w14:textId="7757580A">
      <w:pPr>
        <w:pStyle w:val="Definition"/>
      </w:pPr>
      <w:r>
        <w:rPr>
          <w:b/>
        </w:rPr>
        <w:t>Point(s) of Delivery:</w:t>
      </w:r>
      <w:r>
        <w:t xml:space="preserve"> Point(s) on the NYS Transmission System or Proxy Generator Buses where Energy transmitted by the ISO will be made available to the Transmission Customer under the OATT.  The Point(s) of Delivery shall be specified pursuant to ISO Procedures.</w:t>
      </w:r>
    </w:p>
    <w:p w:rsidR="00782FC3" w14:paraId="6362A610" w14:textId="77777777">
      <w:pPr>
        <w:pStyle w:val="Definition"/>
      </w:pPr>
      <w:bookmarkStart w:id="6" w:name="_DV_M60"/>
      <w:bookmarkEnd w:id="6"/>
      <w:r>
        <w:rPr>
          <w:b/>
        </w:rPr>
        <w:t>Point(s) of Injection (“POI” or “Point of Receipt”)</w:t>
      </w:r>
      <w:bookmarkStart w:id="7" w:name="_DV_M61"/>
      <w:bookmarkEnd w:id="7"/>
      <w:r>
        <w:t>: The point(s) on the NYS Transmission System or Proxy Generator Buses where Energy, Capacity and Ancillary</w:t>
      </w:r>
      <w:r>
        <w:rPr>
          <w:b/>
        </w:rPr>
        <w:t xml:space="preserve"> </w:t>
      </w:r>
      <w:r>
        <w:t xml:space="preserve">Services will be made available to the ISO by the delivering party under the ISO OATT or the ISO Services Tariff.  (May be referred to as “Point of Receipt” or similar in some Existing Transmission Agreements.)  </w:t>
      </w:r>
    </w:p>
    <w:p w:rsidR="00782FC3" w14:paraId="5A89AF25" w14:textId="6CD97FED">
      <w:pPr>
        <w:pStyle w:val="Definition"/>
      </w:pPr>
      <w:r>
        <w:rPr>
          <w:b/>
        </w:rPr>
        <w:t>Point(s) of Receipt:</w:t>
      </w:r>
      <w:r>
        <w:t xml:space="preserve"> Point(s) of interconnection on the NYS Transmission System or Proxy Generator Buses where Energy will be made available to the ISO by the Transmission Customer under the OATT.  The Point(s) of Receipt shall be specified pursuant to ISO Procedures.</w:t>
      </w:r>
    </w:p>
    <w:p w:rsidR="00782FC3" w14:paraId="6F10F787" w14:textId="77777777">
      <w:pPr>
        <w:pStyle w:val="Definition"/>
      </w:pPr>
      <w:r>
        <w:rPr>
          <w:b/>
        </w:rPr>
        <w:t>Point(s) of Withdrawal (“POW” or “Point of Delivery”)</w:t>
      </w:r>
      <w:r>
        <w:t>: The point(s) on the NYS Transmission System or Proxy Generator Buses where Energy, Capacity and Ancillary Services will be made available to the receiving party under the ISO OATT or the ISO Services Tariff.  (May be referred to as “Point of Delivery” or similar in some Existing Transmission Agreements.)</w:t>
      </w:r>
    </w:p>
    <w:p w:rsidR="00782FC3" w14:paraId="78F4F51E" w14:textId="77777777">
      <w:pPr>
        <w:pStyle w:val="Definition"/>
      </w:pPr>
      <w:r>
        <w:rPr>
          <w:b/>
        </w:rPr>
        <w:t>Pool Control Error (“PCE”)</w:t>
      </w:r>
      <w:r>
        <w:t>: The difference between the actual and scheduled interchange with other Control Areas, adjusted for frequency bias.</w:t>
      </w:r>
    </w:p>
    <w:p w:rsidR="00782FC3" w14:paraId="686C827F" w14:textId="77777777">
      <w:pPr>
        <w:pStyle w:val="Definition"/>
      </w:pPr>
      <w:r>
        <w:rPr>
          <w:b/>
        </w:rPr>
        <w:t>Post Contingency</w:t>
      </w:r>
      <w:r>
        <w:t xml:space="preserve">: Conditions </w:t>
      </w:r>
      <w:r>
        <w:t>existing</w:t>
      </w:r>
      <w:r>
        <w:t xml:space="preserve"> on a system immediately following a Contingency.</w:t>
      </w:r>
    </w:p>
    <w:p w:rsidR="00782FC3" w14:paraId="25D7330E" w14:textId="77777777">
      <w:pPr>
        <w:pStyle w:val="Definition"/>
      </w:pPr>
      <w:r>
        <w:rPr>
          <w:b/>
        </w:rPr>
        <w:t>Power Exchange (“PE”)</w:t>
      </w:r>
      <w:r>
        <w:t>: A commercial entity meeting the requirements for service under the ISO OATT or the ISO Services Tariff that facilitates the purchase and/or sale of Energy, Unforced Capacity and/or Ancillary Services in a New York Wholesale Market.  A PE may transact with the ISO on its own behalf or as an agent for others.</w:t>
      </w:r>
    </w:p>
    <w:p w:rsidR="00782FC3" w14:paraId="4BCE6FA9" w14:textId="77777777">
      <w:pPr>
        <w:pStyle w:val="Definition"/>
      </w:pPr>
      <w:r>
        <w:rPr>
          <w:b/>
        </w:rPr>
        <w:t>Power Factor</w:t>
      </w:r>
      <w:r>
        <w:t>: The ratio of real power to apparent power (the product of volts and amperes, expressed in megavolt</w:t>
      </w:r>
      <w:r>
        <w:noBreakHyphen/>
        <w:t>amperes, MVA).</w:t>
      </w:r>
    </w:p>
    <w:p w:rsidR="00782FC3" w14:paraId="499E7C7D" w14:textId="77777777">
      <w:pPr>
        <w:pStyle w:val="Definition"/>
        <w:rPr>
          <w:b/>
        </w:rPr>
      </w:pPr>
      <w:r>
        <w:rPr>
          <w:b/>
        </w:rPr>
        <w:t>Power Factor Criteria</w:t>
      </w:r>
      <w:r>
        <w:t xml:space="preserve">: Criteria to be established by </w:t>
      </w:r>
      <w:r>
        <w:t>the ISO</w:t>
      </w:r>
      <w:r>
        <w:t xml:space="preserve"> to monitor </w:t>
      </w:r>
      <w:r>
        <w:t>a Load’s</w:t>
      </w:r>
      <w:r>
        <w:t xml:space="preserve"> use of Reactive Power.</w:t>
      </w:r>
    </w:p>
    <w:p w:rsidR="00782FC3" w14:paraId="601A95EF" w14:textId="77777777">
      <w:pPr>
        <w:pStyle w:val="Definition"/>
        <w:rPr>
          <w:u w:val="double"/>
        </w:rPr>
      </w:pPr>
      <w:r>
        <w:rPr>
          <w:b/>
        </w:rPr>
        <w:t>Power Flow</w:t>
      </w:r>
      <w:r>
        <w:t>: A simulation which determines the Energy flows on the NYS Transmission System and adjacent transmission systems.</w:t>
      </w:r>
    </w:p>
    <w:p w:rsidR="00782FC3" w14:paraId="76F6D972" w14:textId="77777777">
      <w:pPr>
        <w:pStyle w:val="Definition"/>
        <w:rPr>
          <w:bCs/>
        </w:rPr>
      </w:pPr>
      <w:r>
        <w:rPr>
          <w:b/>
        </w:rPr>
        <w:t>Price Adjustment</w:t>
      </w:r>
      <w:r>
        <w:t xml:space="preserve">: </w:t>
      </w:r>
      <w:r>
        <w:rPr>
          <w:bCs/>
        </w:rPr>
        <w:t>For each month in the Prior Equivalent Capability Period, the Price Adjustment equals the quotient of dividing (a) the Henry Hub futures gas price for the like month in the succeeding same-season Capability Period by (b) the average Henry Hub spot gas price for that month in the Prior Equivalent Capability Period.</w:t>
      </w:r>
    </w:p>
    <w:p w:rsidR="00782FC3" w14:paraId="7700F2A1" w14:textId="77777777">
      <w:pPr>
        <w:pStyle w:val="Definition"/>
        <w:rPr>
          <w:b/>
          <w:bCs/>
        </w:rPr>
      </w:pPr>
      <w:r>
        <w:rPr>
          <w:b/>
        </w:rPr>
        <w:t>Primary Holder</w:t>
      </w:r>
      <w:r>
        <w:t>: As defined in the ISO OATT.</w:t>
      </w:r>
    </w:p>
    <w:p w:rsidR="00782FC3" w14:paraId="7A691361" w14:textId="77777777">
      <w:pPr>
        <w:pStyle w:val="Definition"/>
      </w:pPr>
      <w:r>
        <w:rPr>
          <w:b/>
        </w:rPr>
        <w:t>Prior Equivalent Capability Period</w:t>
      </w:r>
      <w:r>
        <w:t>: The previous same-season Capability Period.</w:t>
      </w:r>
    </w:p>
    <w:p w:rsidR="00782FC3" w14:paraId="2C196B0C" w14:textId="77777777">
      <w:pPr>
        <w:pStyle w:val="Definition"/>
      </w:pPr>
      <w:r>
        <w:rPr>
          <w:b/>
        </w:rPr>
        <w:t>Provisional Average Coincident Load (“Provisional ACL”)</w:t>
      </w:r>
      <w:r>
        <w:t>: Prior to the Summer 2014 Capability Period, the value that may be used in lieu of Average Coincident Load for an eligible Special Case Resource for a maximum duration no greater than three consecutive Capability Periods and only where the SCR (</w:t>
      </w:r>
      <w:r>
        <w:t>i</w:t>
      </w:r>
      <w:r>
        <w:t xml:space="preserve">) has not previously been enrolled with the ISO and (ii) never had interval metering Load data available from the Prior Equivalent Capability Period. Beginning with the Summer 2014 Capability Period, the value that may be used in lieu of ACL for an eligible SCR as provided in Section 5.12.11.1.2 of this Services Tariff.  A SCR’s Provisional ACL is verified </w:t>
      </w:r>
      <w:r>
        <w:t>subsequent to</w:t>
      </w:r>
      <w:r>
        <w:t xml:space="preserve"> each eligible Capability Period pursuant to calculations using the SCR’s metered Load values in accordance with Sections 5.12.11.1.1 and 5.12.11.1.2 of this Services Tariff and ISO Procedures.  Any Load supported by generation produced from a Local Generator, other behind-the-meter generator, or other supply source located behind the SCR’s meter operating during the applicable Capability Period SCR Load Zone Peak Hours may not be included in the SCR’s metered Load values reported for the verification of its Provisional ACL.</w:t>
      </w:r>
    </w:p>
    <w:p w:rsidR="00782FC3" w14:paraId="662C7A1B" w14:textId="77777777">
      <w:pPr>
        <w:pStyle w:val="Definition"/>
      </w:pPr>
      <w:r>
        <w:rPr>
          <w:b/>
        </w:rPr>
        <w:t>Proxy Generator Bus</w:t>
      </w:r>
      <w:r>
        <w:t>: A proxy bus located outside the NYCA that is selected by the ISO to represent a typical bus in an adjacent Control Area and at which LBMP prices are calculated. The ISO may establish more than one Proxy Generator Bus at a particular Interface with a neighboring Control Area to enable the NYISO to distinguish the bidding, treatment and pricing of products and services at the Interface.</w:t>
      </w:r>
    </w:p>
    <w:p w:rsidR="00782FC3" w14:paraId="53555A57" w14:textId="77777777">
      <w:pPr>
        <w:pStyle w:val="Definition"/>
      </w:pPr>
      <w:r>
        <w:rPr>
          <w:b/>
        </w:rPr>
        <w:t>PSC</w:t>
      </w:r>
      <w:r>
        <w:t xml:space="preserve">: The Public Service Commission of the State of </w:t>
      </w:r>
      <w:smartTag w:uri="urn:schemas-microsoft-com:office:smarttags" w:element="place">
        <w:smartTag w:uri="urn:schemas-microsoft-com:office:smarttags" w:element="State">
          <w:r>
            <w:t>New York</w:t>
          </w:r>
        </w:smartTag>
      </w:smartTag>
      <w:r>
        <w:t xml:space="preserve"> or any successor agency thereto.</w:t>
      </w:r>
    </w:p>
    <w:p w:rsidR="00782FC3" w14:paraId="0C77911A" w14:textId="77777777">
      <w:pPr>
        <w:pStyle w:val="Definition"/>
        <w:rPr>
          <w:u w:val="double"/>
        </w:rPr>
      </w:pPr>
      <w:r>
        <w:rPr>
          <w:b/>
        </w:rPr>
        <w:t>PSL</w:t>
      </w:r>
      <w:r>
        <w:t xml:space="preserve">: The </w:t>
      </w:r>
      <w:smartTag w:uri="urn:schemas-microsoft-com:office:smarttags" w:element="place">
        <w:smartTag w:uri="urn:schemas-microsoft-com:office:smarttags" w:element="State">
          <w:r>
            <w:t>New York</w:t>
          </w:r>
        </w:smartTag>
      </w:smartTag>
      <w:r>
        <w:t xml:space="preserve"> Public Service Law, Public Service Law § 1 </w:t>
      </w:r>
      <w:r>
        <w:rPr>
          <w:u w:val="single"/>
        </w:rPr>
        <w:t>et</w:t>
      </w:r>
      <w:r>
        <w:t xml:space="preserve"> </w:t>
      </w:r>
      <w:r>
        <w:rPr>
          <w:u w:val="single"/>
        </w:rPr>
        <w:t>seq</w:t>
      </w:r>
      <w:r>
        <w:t>.  (McKinney 1989 &amp; Supp. 1997-98).</w:t>
      </w:r>
    </w:p>
    <w:p w:rsidR="00782FC3" w14:paraId="62064F96" w14:textId="77777777">
      <w:pPr>
        <w:pStyle w:val="Definition"/>
      </w:pPr>
      <w:r>
        <w:rPr>
          <w:b/>
        </w:rPr>
        <w:t>Public Power Entity</w:t>
      </w:r>
      <w:r>
        <w:t>: An entity which is either (</w:t>
      </w:r>
      <w:r>
        <w:t>i</w:t>
      </w:r>
      <w:r>
        <w:t>) a public authority or corporate municipal instrumentality, including a subsidiary thereof, created by the State of New York that owns or operates generation or transmission and that is authorized to produce, transmit or distribute electricity for the benefit of the public, or (ii) a municipally owned electric system that owns or controls distribution facilities and provides electric service, or (iii) a cooperatively owned electric system that owns or controls distribution facilities and provides electric service.</w:t>
      </w:r>
    </w:p>
    <w:p w:rsidR="00782FC3" w14:paraId="27280FBA" w14:textId="77777777">
      <w:pPr>
        <w:tabs>
          <w:tab w:val="right" w:pos="9360"/>
        </w:tabs>
      </w:pPr>
    </w:p>
    <w:sectPr>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2.16 MST Definitions - 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2.16 MST Definitions - 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2.16 MST Definitions - 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2395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FC3"/>
    <w:rsid w:val="00006C27"/>
    <w:rsid w:val="002A2573"/>
    <w:rsid w:val="004B3EC9"/>
    <w:rsid w:val="00782FC3"/>
    <w:rsid w:val="008D3DF6"/>
    <w:rsid w:val="008F76E0"/>
    <w:rsid w:val="00A43158"/>
    <w:rsid w:val="00BF5F74"/>
    <w:rsid w:val="00C45A34"/>
    <w:rsid w:val="00D47A34"/>
    <w:rsid w:val="00D6213E"/>
    <w:rsid w:val="00D854FE"/>
    <w:rsid w:val="00E46929"/>
    <w:rsid w:val="00F17A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4A0429"/>
  <w15:docId w15:val="{E228822F-6777-49EA-B760-2D65977C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Pr>
      <w:b/>
      <w:sz w:val="24"/>
      <w:szCs w:val="24"/>
    </w:rPr>
  </w:style>
  <w:style w:type="paragraph" w:styleId="Title">
    <w:name w:val="Title"/>
    <w:basedOn w:val="Normal"/>
    <w:link w:val="TitleChar"/>
    <w:uiPriority w:val="99"/>
    <w:qFormat/>
    <w:pPr>
      <w:spacing w:after="240"/>
      <w:jc w:val="center"/>
    </w:pPr>
    <w:rPr>
      <w:rFonts w:cs="Arial"/>
      <w:bCs/>
      <w:szCs w:val="3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val="0"/>
    </w:pPr>
    <w:rPr>
      <w:sz w:val="20"/>
      <w:szCs w:val="20"/>
    </w:rPr>
  </w:style>
  <w:style w:type="paragraph" w:styleId="Header">
    <w:name w:val="header"/>
    <w:basedOn w:val="Normal"/>
    <w:link w:val="HeaderChar"/>
    <w:pPr>
      <w:tabs>
        <w:tab w:val="center" w:pos="4680"/>
        <w:tab w:val="right" w:pos="9360"/>
      </w:tabs>
    </w:pPr>
  </w:style>
  <w:style w:type="paragraph" w:styleId="Subtitle">
    <w:name w:val="Subtitle"/>
    <w:basedOn w:val="Normal"/>
    <w:qFormat/>
    <w:pPr>
      <w:widowControl w:val="0"/>
      <w:tabs>
        <w:tab w:val="left" w:pos="720"/>
        <w:tab w:val="left" w:pos="1440"/>
        <w:tab w:val="right" w:pos="9360"/>
      </w:tabs>
      <w:ind w:left="1440" w:hanging="1440"/>
    </w:pPr>
    <w:rPr>
      <w:b/>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basedOn w:val="DefaultParagraphFont"/>
    <w:uiPriority w:val="99"/>
    <w:semiHidden/>
    <w:rPr>
      <w:rFonts w:cs="Times New Roman"/>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link w:val="alphaparaChar"/>
    <w:uiPriority w:val="99"/>
    <w:pPr>
      <w:ind w:left="1440" w:hanging="720"/>
    </w:pPr>
  </w:style>
  <w:style w:type="paragraph" w:styleId="Date">
    <w:name w:val="Date"/>
    <w:basedOn w:val="Normal"/>
    <w:next w:val="Normal"/>
    <w:link w:val="DateChar"/>
    <w:uiPriority w:val="99"/>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paragraph" w:customStyle="1" w:styleId="Footers">
    <w:name w:val="Footers"/>
    <w:basedOn w:val="Heading1"/>
    <w:uiPriority w:val="99"/>
    <w:pPr>
      <w:tabs>
        <w:tab w:val="left" w:pos="1440"/>
        <w:tab w:val="left" w:pos="7020"/>
        <w:tab w:val="right" w:pos="9360"/>
      </w:tabs>
    </w:pPr>
    <w:rPr>
      <w:b w:val="0"/>
      <w:sz w:val="20"/>
    </w:rPr>
  </w:style>
  <w:style w:type="paragraph" w:customStyle="1" w:styleId="subhead">
    <w:name w:val="subhead"/>
    <w:basedOn w:val="Heading4"/>
    <w:uiPriority w:val="99"/>
    <w:pPr>
      <w:tabs>
        <w:tab w:val="clear" w:pos="1800"/>
      </w:tabs>
      <w:ind w:left="720" w:firstLine="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romannumeralpara">
    <w:name w:val="roman numeral para"/>
    <w:basedOn w:val="Normal"/>
    <w:uiPriority w:val="99"/>
    <w:pPr>
      <w:spacing w:line="480" w:lineRule="auto"/>
      <w:ind w:left="1440" w:hanging="720"/>
    </w:pPr>
  </w:style>
  <w:style w:type="paragraph" w:customStyle="1" w:styleId="Bulletpara">
    <w:name w:val="Bullet para"/>
    <w:basedOn w:val="Normal"/>
    <w:uiPriority w:val="99"/>
    <w:pPr>
      <w:numPr>
        <w:numId w:val="1"/>
      </w:numPr>
      <w:tabs>
        <w:tab w:val="left" w:pos="900"/>
      </w:tabs>
      <w:spacing w:before="120" w:after="120"/>
    </w:pPr>
  </w:style>
  <w:style w:type="paragraph" w:styleId="TOC1">
    <w:name w:val="toc 1"/>
    <w:basedOn w:val="Normal"/>
    <w:next w:val="Normal"/>
    <w:uiPriority w:val="99"/>
    <w:semiHidden/>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character" w:styleId="Hyperlink">
    <w:name w:val="Hyperlink"/>
    <w:basedOn w:val="DefaultParagraphFont"/>
    <w:uiPriority w:val="99"/>
    <w:rPr>
      <w:rFonts w:cs="Times New Roman"/>
      <w:color w:val="0000FF"/>
      <w:u w:val="single"/>
    </w:r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subalphapara">
    <w:name w:val="sub alpha para"/>
    <w:basedOn w:val="alphapara"/>
    <w:pPr>
      <w:ind w:firstLine="0"/>
    </w:pPr>
  </w:style>
  <w:style w:type="paragraph" w:customStyle="1" w:styleId="Level1">
    <w:name w:val="Level 1"/>
    <w:basedOn w:val="Normal"/>
    <w:uiPriority w:val="99"/>
    <w:pPr>
      <w:ind w:left="1890" w:hanging="720"/>
    </w:pPr>
  </w:style>
  <w:style w:type="paragraph" w:styleId="BodyTextIndent2">
    <w:name w:val="Body Text Indent 2"/>
    <w:basedOn w:val="Normal"/>
    <w:pPr>
      <w:spacing w:line="480" w:lineRule="auto"/>
      <w:ind w:left="720" w:firstLine="72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link w:val="FootnoteTextChar"/>
    <w:uiPriority w:val="99"/>
    <w:semiHidden/>
    <w:pPr>
      <w:jc w:val="both"/>
    </w:pPr>
    <w:rPr>
      <w:sz w:val="20"/>
    </w:rPr>
  </w:style>
  <w:style w:type="character" w:customStyle="1" w:styleId="Heading1Char">
    <w:name w:val="Heading 1 Char"/>
    <w:basedOn w:val="DefaultParagraphFont"/>
    <w:link w:val="Heading1"/>
    <w:uiPriority w:val="99"/>
    <w:rPr>
      <w:b/>
      <w:sz w:val="24"/>
      <w:szCs w:val="24"/>
    </w:rPr>
  </w:style>
  <w:style w:type="paragraph" w:customStyle="1" w:styleId="Style2">
    <w:name w:val="Style2"/>
    <w:basedOn w:val="FootnoteText"/>
    <w:pPr>
      <w:spacing w:after="120"/>
    </w:pPr>
  </w:style>
  <w:style w:type="paragraph" w:styleId="BodyTextIndent3">
    <w:name w:val="Body Text Indent 3"/>
    <w:basedOn w:val="Normal"/>
    <w:pPr>
      <w:spacing w:after="120"/>
      <w:ind w:left="360"/>
    </w:pPr>
    <w:rPr>
      <w:sz w:val="16"/>
      <w:szCs w:val="16"/>
    </w:rPr>
  </w:style>
  <w:style w:type="character" w:customStyle="1" w:styleId="DeltaViewInsertion">
    <w:name w:val="DeltaView Insertion"/>
    <w:rPr>
      <w:spacing w:val="0"/>
      <w:u w:val="double"/>
    </w:rPr>
  </w:style>
  <w:style w:type="paragraph" w:customStyle="1" w:styleId="Response">
    <w:name w:val="Response"/>
    <w:basedOn w:val="Normal"/>
    <w:pPr>
      <w:ind w:left="1620" w:hanging="1260"/>
    </w:pPr>
    <w:rPr>
      <w:bCs/>
      <w:color w:val="000080"/>
    </w:rPr>
  </w:style>
  <w:style w:type="paragraph" w:customStyle="1" w:styleId="Style1">
    <w:name w:val="Style1"/>
    <w:basedOn w:val="Heading4"/>
    <w:pPr>
      <w:ind w:left="720" w:hanging="720"/>
    </w:pPr>
    <w:rPr>
      <w:i/>
    </w:rPr>
  </w:style>
  <w:style w:type="character" w:customStyle="1" w:styleId="Heading2Char">
    <w:name w:val="Heading 2 Char"/>
    <w:basedOn w:val="DefaultParagraphFont"/>
    <w:link w:val="Heading2"/>
    <w:uiPriority w:val="99"/>
    <w:locked/>
    <w:rPr>
      <w:b/>
      <w:sz w:val="24"/>
      <w:szCs w:val="24"/>
    </w:rPr>
  </w:style>
  <w:style w:type="character" w:customStyle="1" w:styleId="Heading4Char">
    <w:name w:val="Heading 4 Char"/>
    <w:basedOn w:val="DefaultParagraphFont"/>
    <w:link w:val="Heading4"/>
    <w:uiPriority w:val="99"/>
    <w:locked/>
    <w:rPr>
      <w:b/>
      <w:sz w:val="24"/>
      <w:szCs w:val="24"/>
    </w:rPr>
  </w:style>
  <w:style w:type="character" w:customStyle="1" w:styleId="Heading5Char">
    <w:name w:val="Heading 5 Char"/>
    <w:basedOn w:val="DefaultParagraphFont"/>
    <w:link w:val="Heading5"/>
    <w:uiPriority w:val="99"/>
    <w:locked/>
    <w:rPr>
      <w:b/>
      <w:sz w:val="24"/>
      <w:szCs w:val="24"/>
    </w:rPr>
  </w:style>
  <w:style w:type="character" w:customStyle="1" w:styleId="Heading6Char">
    <w:name w:val="Heading 6 Char"/>
    <w:basedOn w:val="DefaultParagraphFont"/>
    <w:link w:val="Heading6"/>
    <w:uiPriority w:val="99"/>
    <w:locked/>
    <w:rPr>
      <w:b/>
      <w:sz w:val="24"/>
      <w:szCs w:val="24"/>
    </w:rPr>
  </w:style>
  <w:style w:type="character" w:customStyle="1" w:styleId="Heading7Char">
    <w:name w:val="Heading 7 Char"/>
    <w:basedOn w:val="DefaultParagraphFont"/>
    <w:link w:val="Heading7"/>
    <w:uiPriority w:val="99"/>
    <w:locked/>
    <w:rPr>
      <w:b/>
      <w:sz w:val="24"/>
      <w:szCs w:val="24"/>
    </w:rPr>
  </w:style>
  <w:style w:type="character" w:customStyle="1" w:styleId="Heading8Char">
    <w:name w:val="Heading 8 Char"/>
    <w:basedOn w:val="DefaultParagraphFont"/>
    <w:link w:val="Heading8"/>
    <w:uiPriority w:val="99"/>
    <w:locked/>
    <w:rPr>
      <w:b/>
      <w:sz w:val="24"/>
      <w:szCs w:val="24"/>
    </w:rPr>
  </w:style>
  <w:style w:type="character" w:customStyle="1" w:styleId="Heading9Char">
    <w:name w:val="Heading 9 Char"/>
    <w:basedOn w:val="DefaultParagraphFont"/>
    <w:link w:val="Heading9"/>
    <w:uiPriority w:val="99"/>
    <w:locked/>
    <w:rPr>
      <w:b/>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4"/>
      <w:szCs w:val="24"/>
    </w:rPr>
  </w:style>
  <w:style w:type="paragraph" w:customStyle="1" w:styleId="Definitionhead">
    <w:name w:val="Definition head"/>
    <w:basedOn w:val="subhead"/>
    <w:uiPriority w:val="99"/>
    <w:pPr>
      <w:spacing w:after="0"/>
      <w:ind w:left="0"/>
    </w:pPr>
  </w:style>
  <w:style w:type="character" w:customStyle="1" w:styleId="FootnoteTextChar">
    <w:name w:val="Footnote Text Char"/>
    <w:basedOn w:val="DefaultParagraphFont"/>
    <w:link w:val="FootnoteText"/>
    <w:uiPriority w:val="99"/>
    <w:semiHidden/>
    <w:locked/>
    <w:rPr>
      <w:szCs w:val="24"/>
    </w:rPr>
  </w:style>
  <w:style w:type="character" w:customStyle="1" w:styleId="HeaderChar">
    <w:name w:val="Header Char"/>
    <w:basedOn w:val="DefaultParagraphFont"/>
    <w:link w:val="Header"/>
    <w:locked/>
    <w:rPr>
      <w:sz w:val="24"/>
      <w:szCs w:val="24"/>
    </w:rPr>
  </w:style>
  <w:style w:type="character" w:customStyle="1" w:styleId="TitleChar">
    <w:name w:val="Title Char"/>
    <w:basedOn w:val="DefaultParagraphFont"/>
    <w:link w:val="Title"/>
    <w:uiPriority w:val="99"/>
    <w:locked/>
    <w:rPr>
      <w:rFonts w:cs="Arial"/>
      <w:bCs/>
      <w:sz w:val="24"/>
      <w:szCs w:val="32"/>
    </w:rPr>
  </w:style>
  <w:style w:type="character" w:styleId="FollowedHyperlink">
    <w:name w:val="FollowedHyperlink"/>
    <w:basedOn w:val="DefaultParagraphFont"/>
    <w:uiPriority w:val="99"/>
    <w:rPr>
      <w:rFonts w:cs="Times New Roman"/>
      <w:color w:val="800080"/>
      <w:u w:val="single"/>
    </w:rPr>
  </w:style>
  <w:style w:type="character" w:customStyle="1" w:styleId="DateChar">
    <w:name w:val="Date Char"/>
    <w:basedOn w:val="DefaultParagraphFont"/>
    <w:link w:val="Date"/>
    <w:uiPriority w:val="99"/>
    <w:locked/>
    <w:rPr>
      <w:sz w:val="24"/>
      <w:szCs w:val="24"/>
    </w:rPr>
  </w:style>
  <w:style w:type="character" w:customStyle="1" w:styleId="DocumentMapChar">
    <w:name w:val="Document Map Char"/>
    <w:basedOn w:val="DefaultParagraphFont"/>
    <w:link w:val="DocumentMap"/>
    <w:uiPriority w:val="99"/>
    <w:semiHidden/>
    <w:locked/>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alphaparaChar">
    <w:name w:val="alpha para Char"/>
    <w:basedOn w:val="DefaultParagraphFont"/>
    <w:link w:val="alphapara"/>
    <w:uiPriority w:val="99"/>
    <w:locked/>
    <w:rPr>
      <w:sz w:val="24"/>
      <w:szCs w:val="24"/>
    </w:rPr>
  </w:style>
  <w:style w:type="paragraph" w:styleId="Revision">
    <w:name w:val="Revision"/>
    <w:hidden/>
    <w:uiPriority w:val="99"/>
    <w:semiHidden/>
    <w:rPr>
      <w:rFonts w:ascii="Calibri" w:hAnsi="Calibri"/>
      <w:sz w:val="22"/>
      <w:szCs w:val="22"/>
    </w:rPr>
  </w:style>
  <w:style w:type="paragraph" w:customStyle="1" w:styleId="Definition13">
    <w:name w:val="Definition_13"/>
    <w:basedOn w:val="Normal"/>
    <w:uiPriority w:val="99"/>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NYISO Market Administration and Control Area Services Tariff</vt:lpstr>
    </vt:vector>
  </TitlesOfParts>
  <Company>NYISO</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NYISO Market Administration and Control Area Services Tariff</dc:title>
  <dc:creator>cutting</dc:creator>
  <cp:lastModifiedBy>Liguori, Meghan</cp:lastModifiedBy>
  <cp:revision>2</cp:revision>
  <cp:lastPrinted>2010-06-10T21:17:00Z</cp:lastPrinted>
  <dcterms:created xsi:type="dcterms:W3CDTF">2026-08-14T17:44:00Z</dcterms:created>
  <dcterms:modified xsi:type="dcterms:W3CDTF">2026-08-14T17:44:00Z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sAAAGYoQX4c3X/IklFJMuzT2h1zEF85YBr4xUu0gywynIPs=</vt:lpwstr>
  </property>
  <property fmtid="{D5CDD505-2E9C-101B-9397-08002B2CF9AE}" pid="3" name="MAIL_MSG_ID1">
    <vt:lpwstr>gFAA2RjfPKrF47jJSoAlvjr7e2yOs9cgdb/IGBSQyaBv29L+2TopbTItDJT4RIhr70neKwJCxc+c6tsU
qm3jmerCeOZ9zztJBC8s3rPHZ2T+aZvX283J3o1+8ES8W3HTTg3Spymaxp7H4dMUqm3jmerCeOZ9
zztJBC8s3rPHZ2T+aZvX283J3o1+8BU5K/oH902+JakOWshtpqDcDcIU/lzEeiKMJPa5eBzJG04y
ZacEMUlKqBs8S5lWI</vt:lpwstr>
  </property>
  <property fmtid="{D5CDD505-2E9C-101B-9397-08002B2CF9AE}" pid="4" name="MAIL_MSG_ID2">
    <vt:lpwstr>fcmr6G3Mr7UQZCYkxv84eYWo3s9Ftu2cgZ7/bi4NrmanDTXRy3C+d7fRmrt
SCcISQnU2qvbkptNF64kXLLVSmm5E/QCXiOHAQ==</vt:lpwstr>
  </property>
  <property fmtid="{D5CDD505-2E9C-101B-9397-08002B2CF9AE}" pid="5" name="MSIP_Label_5bf193d9-c1cf-45e0-8fa7-a9bc86b7f5dd_ActionId">
    <vt:lpwstr>d44ca25d-f188-402a-9ae2-a572b7e24597</vt:lpwstr>
  </property>
  <property fmtid="{D5CDD505-2E9C-101B-9397-08002B2CF9AE}" pid="6" name="MSIP_Label_5bf193d9-c1cf-45e0-8fa7-a9bc86b7f5dd_ContentBits">
    <vt:lpwstr>0</vt:lpwstr>
  </property>
  <property fmtid="{D5CDD505-2E9C-101B-9397-08002B2CF9AE}" pid="7" name="MSIP_Label_5bf193d9-c1cf-45e0-8fa7-a9bc86b7f5dd_Enabled">
    <vt:lpwstr>true</vt:lpwstr>
  </property>
  <property fmtid="{D5CDD505-2E9C-101B-9397-08002B2CF9AE}" pid="8" name="MSIP_Label_5bf193d9-c1cf-45e0-8fa7-a9bc86b7f5dd_Method">
    <vt:lpwstr>Privileged</vt:lpwstr>
  </property>
  <property fmtid="{D5CDD505-2E9C-101B-9397-08002B2CF9AE}" pid="9" name="MSIP_Label_5bf193d9-c1cf-45e0-8fa7-a9bc86b7f5dd_Name">
    <vt:lpwstr>NYISO Proprietary Information</vt:lpwstr>
  </property>
  <property fmtid="{D5CDD505-2E9C-101B-9397-08002B2CF9AE}" pid="10" name="MSIP_Label_5bf193d9-c1cf-45e0-8fa7-a9bc86b7f5dd_SetDate">
    <vt:lpwstr>2023-10-10T19:24:41Z</vt:lpwstr>
  </property>
  <property fmtid="{D5CDD505-2E9C-101B-9397-08002B2CF9AE}" pid="11" name="MSIP_Label_5bf193d9-c1cf-45e0-8fa7-a9bc86b7f5dd_SiteId">
    <vt:lpwstr>7658602a-f7b9-4209-bc62-d2bfc30dea0d</vt:lpwstr>
  </property>
  <property fmtid="{D5CDD505-2E9C-101B-9397-08002B2CF9AE}" pid="12" name="RESPONSE_SENDER_NAME">
    <vt:lpwstr>sAAAE34RQVAK31mETgkgLzJ/OSwzdggwof79NBGq72oSErY=</vt:lpwstr>
  </property>
  <property fmtid="{D5CDD505-2E9C-101B-9397-08002B2CF9AE}" pid="13" name="_AdHocReviewCycleID">
    <vt:i4>1501893514</vt:i4>
  </property>
  <property fmtid="{D5CDD505-2E9C-101B-9397-08002B2CF9AE}" pid="14" name="_AuthorEmail">
    <vt:lpwstr>JSweeney@nyiso.com</vt:lpwstr>
  </property>
  <property fmtid="{D5CDD505-2E9C-101B-9397-08002B2CF9AE}" pid="15" name="_AuthorEmailDisplayName">
    <vt:lpwstr>Sweeney, James H.</vt:lpwstr>
  </property>
  <property fmtid="{D5CDD505-2E9C-101B-9397-08002B2CF9AE}" pid="16" name="_EmailSubject">
    <vt:lpwstr>Duct Firing Tariff Sheets</vt:lpwstr>
  </property>
  <property fmtid="{D5CDD505-2E9C-101B-9397-08002B2CF9AE}" pid="17" name="_NewReviewCycle">
    <vt:lpwstr/>
  </property>
  <property fmtid="{D5CDD505-2E9C-101B-9397-08002B2CF9AE}" pid="18" name="_PreviousAdHocReviewCycleID">
    <vt:i4>2061499583</vt:i4>
  </property>
  <property fmtid="{D5CDD505-2E9C-101B-9397-08002B2CF9AE}" pid="19" name="_ReviewingToolsShownOnce">
    <vt:lpwstr/>
  </property>
</Properties>
</file>