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B7C69" w:rsidRPr="00EB7C69" w:rsidP="00EB7C69" w14:paraId="61EC4C1E" w14:textId="77777777">
      <w:pPr>
        <w:widowControl/>
        <w:rPr>
          <w:rFonts w:eastAsia="Times New Roman"/>
          <w:b/>
          <w:bCs/>
          <w:sz w:val="24"/>
          <w:szCs w:val="24"/>
        </w:rPr>
      </w:pPr>
      <w:r w:rsidRPr="00EB7C69">
        <w:rPr>
          <w:rFonts w:eastAsia="Times New Roman"/>
          <w:b/>
          <w:bCs/>
          <w:sz w:val="24"/>
          <w:szCs w:val="24"/>
        </w:rPr>
        <w:t>40.12</w:t>
      </w:r>
      <w:r w:rsidRPr="00EB7C69">
        <w:rPr>
          <w:rFonts w:eastAsia="Times New Roman"/>
          <w:b/>
          <w:bCs/>
          <w:sz w:val="24"/>
          <w:szCs w:val="24"/>
        </w:rPr>
        <w:tab/>
        <w:t>Cluster Baseline Assessment and Cluster Project Assessment</w:t>
      </w:r>
    </w:p>
    <w:p w:rsidR="00EB7C69" w:rsidRPr="00EB7C69" w:rsidP="00EB7C69" w14:paraId="413104B3" w14:textId="77777777">
      <w:pPr>
        <w:widowControl/>
        <w:tabs>
          <w:tab w:val="left" w:pos="1080"/>
        </w:tabs>
        <w:spacing w:before="240" w:after="240"/>
        <w:ind w:left="1080" w:right="634" w:hanging="1080"/>
        <w:outlineLvl w:val="2"/>
        <w:rPr>
          <w:rFonts w:eastAsia="Times New Roman"/>
          <w:b/>
          <w:sz w:val="24"/>
          <w:szCs w:val="24"/>
        </w:rPr>
      </w:pPr>
      <w:bookmarkStart w:id="0" w:name="_Toc260339032"/>
      <w:bookmarkStart w:id="1" w:name="_Toc262653022"/>
      <w:r w:rsidRPr="00EB7C69">
        <w:rPr>
          <w:rFonts w:eastAsia="Times New Roman"/>
          <w:b/>
          <w:sz w:val="24"/>
          <w:szCs w:val="24"/>
        </w:rPr>
        <w:t>40.12.1</w:t>
      </w:r>
      <w:r w:rsidRPr="00EB7C69">
        <w:rPr>
          <w:rFonts w:eastAsia="Times New Roman"/>
          <w:b/>
          <w:sz w:val="24"/>
          <w:szCs w:val="24"/>
        </w:rPr>
        <w:tab/>
        <w:t>Cluster Baseline Assessment (CBA) for Cost Allocation Between Interconnection Customers and Connecting Transmission Owners</w:t>
      </w:r>
      <w:bookmarkEnd w:id="0"/>
      <w:bookmarkEnd w:id="1"/>
      <w:r w:rsidRPr="00EB7C69">
        <w:rPr>
          <w:rFonts w:eastAsia="Times New Roman"/>
          <w:b/>
          <w:sz w:val="24"/>
          <w:szCs w:val="24"/>
        </w:rPr>
        <w:t xml:space="preserve"> </w:t>
      </w:r>
    </w:p>
    <w:p w:rsidR="00EB7C69" w:rsidRPr="00EB7C69" w:rsidP="00EB7C69" w14:paraId="108E0CCA" w14:textId="77777777">
      <w:pPr>
        <w:widowControl/>
        <w:spacing w:line="480" w:lineRule="auto"/>
        <w:ind w:firstLine="720"/>
        <w:rPr>
          <w:rFonts w:eastAsia="Times New Roman"/>
          <w:sz w:val="24"/>
          <w:szCs w:val="24"/>
        </w:rPr>
      </w:pPr>
      <w:r w:rsidRPr="00EB7C69">
        <w:rPr>
          <w:rFonts w:eastAsia="Times New Roman"/>
          <w:sz w:val="24"/>
          <w:szCs w:val="24"/>
        </w:rPr>
        <w:t>The cost of System Upgrade Facilities is first allocated between Interconnection Customers and Connecting Transmission Owners in accordance with the rules that are discussed below in this Section 40.12.1.  For purposes of this 40.12.1, the requirements applicable to Connecting Transmission Owner also apply to Affected Transmission Owner or Affected System Operator.</w:t>
      </w:r>
    </w:p>
    <w:p w:rsidR="00EB7C69" w:rsidRPr="00EB7C69" w:rsidP="00EB7C69" w14:paraId="348D58FB" w14:textId="77777777">
      <w:pPr>
        <w:widowControl/>
        <w:spacing w:line="480" w:lineRule="auto"/>
        <w:ind w:left="1440" w:hanging="720"/>
        <w:rPr>
          <w:rFonts w:eastAsia="Times New Roman"/>
          <w:sz w:val="24"/>
          <w:szCs w:val="24"/>
        </w:rPr>
      </w:pPr>
      <w:r w:rsidRPr="00EB7C69">
        <w:rPr>
          <w:rFonts w:eastAsia="Times New Roman"/>
          <w:sz w:val="24"/>
          <w:szCs w:val="24"/>
        </w:rPr>
        <w:t>40.12.1.1</w:t>
      </w:r>
      <w:r w:rsidRPr="00EB7C69">
        <w:rPr>
          <w:rFonts w:eastAsia="Times New Roman"/>
          <w:sz w:val="24"/>
          <w:szCs w:val="24"/>
        </w:rPr>
        <w:tab/>
        <w:t xml:space="preserve">The cost of System Upgrade Facilities is allocated between Interconnection Customers and Connecting Transmission Owners based upon the results of a Cluster Baseline Assessment of the five-year need for System Upgrade Facilities.  The Cluster Baseline Assessment, as described in these rules, will be conducted by the ISO in cooperation with Market Participants.  No Market Participant will have decisional control over any determinative aspect of the Cluster Baseline Assessment.  The ISO will have decisional control over the entire Cluster Baseline Assessment.  If, at any time, the ISO decides that it needs specific expert services from entities such as Market Participants, consultants or engineering firms for it to conduct the Cluster Baseline Assessment, then the ISO will enter into appropriate contracts with such entities for such input.  As it conducts each Cluster Baseline Assessment, the ISO will provide regularly scheduled status reports and working drafts, with supporting data, to the ISO Operating Committee to ensure that all affected Market Participants have an opportunity to contribute whatever information and input they believe might be helpful to the process.  Each completed Cluster Baseline Assessment will be </w:t>
      </w:r>
      <w:r w:rsidRPr="00EB7C69">
        <w:rPr>
          <w:rFonts w:eastAsia="Times New Roman"/>
          <w:sz w:val="24"/>
          <w:szCs w:val="24"/>
        </w:rPr>
        <w:t>reviewed and approved by the ISO Operating Committee as part of the Cluster Study Report in accordance with 40.11.7.  Each Cluster Baseline Assessment is reviewable by the ISO Board of Directors in accordance with provisions of the Commission-approved ISO Agreement.</w:t>
      </w:r>
    </w:p>
    <w:p w:rsidR="00EB7C69" w:rsidRPr="00EB7C69" w:rsidP="00EB7C69" w14:paraId="2D9B667B" w14:textId="77777777">
      <w:pPr>
        <w:widowControl/>
        <w:spacing w:line="480" w:lineRule="auto"/>
        <w:ind w:left="1440" w:hanging="720"/>
        <w:rPr>
          <w:rFonts w:eastAsia="Times New Roman"/>
          <w:sz w:val="24"/>
          <w:szCs w:val="24"/>
        </w:rPr>
      </w:pPr>
      <w:r w:rsidRPr="00EB7C69">
        <w:rPr>
          <w:rFonts w:eastAsia="Times New Roman"/>
          <w:sz w:val="24"/>
          <w:szCs w:val="24"/>
        </w:rPr>
        <w:t>40.12.1.1.1</w:t>
      </w:r>
      <w:r w:rsidRPr="00EB7C69">
        <w:rPr>
          <w:rFonts w:eastAsia="Times New Roman"/>
          <w:sz w:val="24"/>
          <w:szCs w:val="24"/>
        </w:rPr>
        <w:tab/>
        <w:t>The purpose of the Cluster Baseline Assessment is to identify the System Upgrade Facilities that Transmission Owners are expected to need during the five-year period covered by the assessment to reliably meet the load growth and changes in the load pattern projected for the New York Control Area, with cost estimates for the System Upgrade Facilities.</w:t>
      </w:r>
    </w:p>
    <w:p w:rsidR="00EB7C69" w:rsidRPr="00EB7C69" w:rsidP="00EB7C69" w14:paraId="3DB75998" w14:textId="77777777">
      <w:pPr>
        <w:keepNext/>
        <w:widowControl/>
        <w:spacing w:before="240" w:after="240"/>
        <w:ind w:left="720"/>
        <w:outlineLvl w:val="3"/>
        <w:rPr>
          <w:rFonts w:eastAsia="Times New Roman"/>
          <w:b/>
          <w:sz w:val="24"/>
          <w:szCs w:val="24"/>
        </w:rPr>
      </w:pPr>
      <w:bookmarkStart w:id="2" w:name="_Toc260339033"/>
      <w:bookmarkStart w:id="3" w:name="_Toc262653023"/>
      <w:r w:rsidRPr="00EB7C69">
        <w:rPr>
          <w:rFonts w:eastAsia="Times New Roman"/>
          <w:b/>
          <w:sz w:val="24"/>
          <w:szCs w:val="24"/>
        </w:rPr>
        <w:t>40.12.1.2</w:t>
      </w:r>
      <w:r w:rsidRPr="00EB7C69">
        <w:rPr>
          <w:rFonts w:eastAsia="Times New Roman"/>
          <w:b/>
          <w:sz w:val="24"/>
          <w:szCs w:val="24"/>
        </w:rPr>
        <w:tab/>
        <w:t>Procedure for Cluster Baseline Assessment</w:t>
      </w:r>
      <w:bookmarkEnd w:id="2"/>
      <w:bookmarkEnd w:id="3"/>
      <w:r w:rsidRPr="00EB7C69">
        <w:rPr>
          <w:rFonts w:eastAsia="Times New Roman"/>
          <w:b/>
          <w:sz w:val="24"/>
          <w:szCs w:val="24"/>
        </w:rPr>
        <w:t xml:space="preserve">  </w:t>
      </w:r>
    </w:p>
    <w:p w:rsidR="00EB7C69" w:rsidRPr="00EB7C69" w:rsidP="00EB7C69" w14:paraId="3DF4FF0D" w14:textId="77777777">
      <w:pPr>
        <w:widowControl/>
        <w:spacing w:line="480" w:lineRule="auto"/>
        <w:ind w:firstLine="720"/>
        <w:rPr>
          <w:rFonts w:eastAsia="Times New Roman"/>
          <w:sz w:val="24"/>
          <w:szCs w:val="24"/>
        </w:rPr>
      </w:pPr>
      <w:r w:rsidRPr="00EB7C69">
        <w:rPr>
          <w:rFonts w:eastAsia="Times New Roman"/>
          <w:sz w:val="24"/>
          <w:szCs w:val="24"/>
        </w:rPr>
        <w:t xml:space="preserve">The Cluster Baseline Assessment procedure used to identify the System Upgrade Facilities that will ensure that New York State Transmission System facilities are sufficient to reliably serve existing load and meet load growth and changes in load patterns in compliance with NYSRC Reliability Rules, </w:t>
      </w:r>
      <w:bookmarkStart w:id="4" w:name="_Hlk157417913"/>
      <w:r w:rsidRPr="00EB7C69">
        <w:rPr>
          <w:rFonts w:eastAsia="Times New Roman"/>
          <w:sz w:val="24"/>
          <w:szCs w:val="24"/>
        </w:rPr>
        <w:t xml:space="preserve">NPCC Basic Design and Operating Criteria, NERC Planning Standards, ISO rules, practices and procedures, and the applicable Transmission Owner criteria included in FERC Form No. 715 </w:t>
      </w:r>
      <w:bookmarkEnd w:id="4"/>
      <w:r w:rsidRPr="00EB7C69">
        <w:rPr>
          <w:rFonts w:eastAsia="Times New Roman"/>
          <w:sz w:val="24"/>
          <w:szCs w:val="24"/>
        </w:rPr>
        <w:t>(collectively “Applicable Reliability Requirements”).  In order for the ISO to recognize any revisions to Transmission Owner criteria as Applicable Reliability Requirements under this Attachment HH, the Transmission Owner shall present proposed revisions to such criteria to the ISO Operating Committee or one of its subcommittees.  To the extent such revised criteria are not inconsistent with Order No. 2003 or the ISO’s interconnection procedures set forth in this Attachment HH to the OATT, the ISO will accept such revised criteria. The procedure will use the Applicable Reliability Requirements in effect when the Cluster Baseline Assessment is commenced.  The procedure will be:</w:t>
      </w:r>
    </w:p>
    <w:p w:rsidR="00EB7C69" w:rsidRPr="00EB7C69" w:rsidP="00EB7C69" w14:paraId="7AE95F99" w14:textId="77777777">
      <w:pPr>
        <w:widowControl/>
        <w:spacing w:line="480" w:lineRule="auto"/>
        <w:ind w:left="1440" w:hanging="720"/>
        <w:rPr>
          <w:rFonts w:eastAsia="Times New Roman"/>
          <w:sz w:val="24"/>
          <w:szCs w:val="24"/>
        </w:rPr>
      </w:pPr>
      <w:r w:rsidRPr="00EB7C69">
        <w:rPr>
          <w:rFonts w:eastAsia="Times New Roman"/>
          <w:sz w:val="24"/>
          <w:szCs w:val="24"/>
        </w:rPr>
        <w:t>40.12.1.2.1</w:t>
      </w:r>
      <w:r w:rsidRPr="00EB7C69">
        <w:rPr>
          <w:rFonts w:eastAsia="Times New Roman"/>
          <w:sz w:val="24"/>
          <w:szCs w:val="24"/>
        </w:rPr>
        <w:tab/>
        <w:t>The ISO will first develop the Existing System Representation.</w:t>
      </w:r>
    </w:p>
    <w:p w:rsidR="00EB7C69" w:rsidRPr="00EB7C69" w:rsidP="00EB7C69" w14:paraId="66057487" w14:textId="77777777">
      <w:pPr>
        <w:widowControl/>
        <w:spacing w:line="480" w:lineRule="auto"/>
        <w:ind w:left="1440" w:hanging="720"/>
        <w:rPr>
          <w:rFonts w:eastAsia="Times New Roman"/>
          <w:sz w:val="24"/>
          <w:szCs w:val="24"/>
        </w:rPr>
      </w:pPr>
      <w:r w:rsidRPr="00EB7C69">
        <w:rPr>
          <w:rFonts w:eastAsia="Times New Roman"/>
          <w:sz w:val="24"/>
          <w:szCs w:val="24"/>
        </w:rPr>
        <w:t>40.12.1.2.2</w:t>
      </w:r>
      <w:r w:rsidRPr="00EB7C69">
        <w:rPr>
          <w:rFonts w:eastAsia="Times New Roman"/>
          <w:sz w:val="24"/>
          <w:szCs w:val="24"/>
        </w:rPr>
        <w:tab/>
        <w:t xml:space="preserve">The ISO will then utilize the Existing System Representation to develop existing system improvement plans with each Transmission Owner.  These improvement plans will use ISO data from the annual NYISO Load and Capacity Data Report to project system load growth and changes in load patterns, including those that reflect demand side management, and will identify the System Upgrade Facilities needed </w:t>
      </w:r>
      <w:r w:rsidRPr="00EB7C69">
        <w:rPr>
          <w:rFonts w:eastAsia="Times New Roman"/>
          <w:sz w:val="24"/>
          <w:szCs w:val="24"/>
        </w:rPr>
        <w:t>year-by-year</w:t>
      </w:r>
      <w:r w:rsidRPr="00EB7C69">
        <w:rPr>
          <w:rFonts w:eastAsia="Times New Roman"/>
          <w:sz w:val="24"/>
          <w:szCs w:val="24"/>
        </w:rPr>
        <w:t xml:space="preserve"> for the existing system to reliably serve projected load in the Transmission Owner’s Transmission District for a five-year period.  The ISO will integrate these existing system improvement plans into the Cluster Baseline Assessment to ensure that the System Upgrade Facilities needed for a five-year period are identified on a New York State Transmission System-wide basis.  The Cluster Baseline Assessment will identify each anticipated System Upgrade Facility project, its estimated cost, its anticipated in-service date, and the status of the project (in construction, budget approval received, budget approval pending).</w:t>
      </w:r>
    </w:p>
    <w:p w:rsidR="00EB7C69" w:rsidRPr="00EB7C69" w:rsidP="00EB7C69" w14:paraId="7A545A4C" w14:textId="77777777">
      <w:pPr>
        <w:widowControl/>
        <w:spacing w:line="480" w:lineRule="auto"/>
        <w:ind w:left="1440" w:hanging="720"/>
        <w:rPr>
          <w:rFonts w:eastAsia="Times New Roman"/>
          <w:sz w:val="24"/>
          <w:szCs w:val="24"/>
        </w:rPr>
      </w:pPr>
      <w:r w:rsidRPr="00EB7C69">
        <w:rPr>
          <w:rFonts w:eastAsia="Times New Roman"/>
          <w:sz w:val="24"/>
          <w:szCs w:val="24"/>
        </w:rPr>
        <w:t>40.12.1.2.3</w:t>
      </w:r>
      <w:r w:rsidRPr="00EB7C69">
        <w:rPr>
          <w:rFonts w:eastAsia="Times New Roman"/>
          <w:sz w:val="24"/>
          <w:szCs w:val="24"/>
        </w:rPr>
        <w:tab/>
        <w:t>The ISO will identify in the Cluster Baseline Assessment the System Upgrade Facilities needed to reliably meet projected load growth and changes in load pattern without the interconnection of any proposed Cluster Study Projects, except for those proposed Projects included in the Existing System Representation pursuant to Section 40.10.3.</w:t>
      </w:r>
    </w:p>
    <w:p w:rsidR="00EB7C69" w:rsidRPr="00EB7C69" w:rsidP="00EB7C69" w14:paraId="11190E19" w14:textId="77777777">
      <w:pPr>
        <w:widowControl/>
        <w:spacing w:line="480" w:lineRule="auto"/>
        <w:ind w:left="1440" w:hanging="720"/>
        <w:rPr>
          <w:rFonts w:eastAsia="Times New Roman"/>
          <w:sz w:val="24"/>
          <w:szCs w:val="24"/>
        </w:rPr>
      </w:pPr>
      <w:r w:rsidRPr="00EB7C69">
        <w:rPr>
          <w:rFonts w:eastAsia="Times New Roman"/>
          <w:sz w:val="24"/>
          <w:szCs w:val="24"/>
        </w:rPr>
        <w:t>40.12.1.2.4</w:t>
      </w:r>
      <w:r w:rsidRPr="00EB7C69">
        <w:rPr>
          <w:rFonts w:eastAsia="Times New Roman"/>
          <w:sz w:val="24"/>
          <w:szCs w:val="24"/>
        </w:rPr>
        <w:tab/>
        <w:t>The ISO will perform thermal, voltage, and stability analyses, as appropriate, to determine the normal and emergency transfer capabilities of the statewide existing system.</w:t>
      </w:r>
    </w:p>
    <w:p w:rsidR="00EB7C69" w:rsidRPr="00EB7C69" w:rsidP="00EB7C69" w14:paraId="093E8B8F" w14:textId="77777777">
      <w:pPr>
        <w:widowControl/>
        <w:spacing w:line="480" w:lineRule="auto"/>
        <w:ind w:left="1440" w:hanging="720"/>
        <w:rPr>
          <w:rFonts w:eastAsia="Times New Roman"/>
          <w:sz w:val="24"/>
          <w:szCs w:val="24"/>
        </w:rPr>
      </w:pPr>
      <w:r w:rsidRPr="00EB7C69">
        <w:rPr>
          <w:rFonts w:eastAsia="Times New Roman"/>
          <w:sz w:val="24"/>
          <w:szCs w:val="24"/>
        </w:rPr>
        <w:t>40.12.1.2.5</w:t>
      </w:r>
      <w:r w:rsidRPr="00EB7C69">
        <w:rPr>
          <w:rFonts w:eastAsia="Times New Roman"/>
          <w:sz w:val="24"/>
          <w:szCs w:val="24"/>
        </w:rPr>
        <w:tab/>
        <w:t xml:space="preserve">The ISO will rely on the most recent resource reliability analysis of the existing system.  If no Reliability Needs are required under the study assumptions used in the most recent resource reliability analysis, the existing system will be deemed to meet Applicable Reliability Requirements for purposes of the Cluster Study.  </w:t>
      </w:r>
    </w:p>
    <w:p w:rsidR="00EB7C69" w:rsidRPr="00EB7C69" w:rsidP="00EB7C69" w14:paraId="3F7CA273" w14:textId="77777777">
      <w:pPr>
        <w:widowControl/>
        <w:spacing w:line="480" w:lineRule="auto"/>
        <w:ind w:left="1440" w:hanging="720"/>
        <w:rPr>
          <w:rFonts w:eastAsia="Times New Roman"/>
          <w:sz w:val="24"/>
          <w:szCs w:val="24"/>
        </w:rPr>
      </w:pPr>
      <w:r w:rsidRPr="00EB7C69">
        <w:rPr>
          <w:rFonts w:eastAsia="Times New Roman"/>
          <w:sz w:val="24"/>
          <w:szCs w:val="24"/>
        </w:rPr>
        <w:t>40.12.1.2.6</w:t>
      </w:r>
      <w:r w:rsidRPr="00EB7C69">
        <w:rPr>
          <w:rFonts w:eastAsia="Times New Roman"/>
          <w:sz w:val="24"/>
          <w:szCs w:val="24"/>
        </w:rPr>
        <w:tab/>
        <w:t>If the transmission and generation facilities included in the Existing System Representation, combined with previously approved and accepted System Upgrade Facilities, are insufficient to meet Applicable Reliability Requirements on a year by year basis, then the ISO will develop feasible generic solutions that satisfy the Applicable Reliability Requirements, in accordance with Section 40.12.1.3, below.</w:t>
      </w:r>
    </w:p>
    <w:p w:rsidR="00EB7C69" w:rsidRPr="00EB7C69" w:rsidP="00EB7C69" w14:paraId="2B70E3C7" w14:textId="77777777">
      <w:pPr>
        <w:widowControl/>
        <w:spacing w:line="480" w:lineRule="auto"/>
        <w:ind w:left="1440" w:hanging="720"/>
        <w:rPr>
          <w:rFonts w:eastAsia="Times New Roman"/>
          <w:sz w:val="24"/>
          <w:szCs w:val="24"/>
        </w:rPr>
      </w:pPr>
      <w:r w:rsidRPr="00EB7C69">
        <w:rPr>
          <w:rFonts w:eastAsia="Times New Roman"/>
          <w:sz w:val="24"/>
          <w:szCs w:val="24"/>
        </w:rPr>
        <w:t>40.12.1.2.7</w:t>
      </w:r>
      <w:r w:rsidRPr="00EB7C69">
        <w:rPr>
          <w:rFonts w:eastAsia="Times New Roman"/>
          <w:sz w:val="24"/>
          <w:szCs w:val="24"/>
        </w:rPr>
        <w:tab/>
        <w:t xml:space="preserve">If the existing system meets Applicable Reliability Requirements, the ISO will perform short-circuit analysis to determine whether there is sufficient interrupting capability in the existing system.  If there are any breaker overloads, the ISO will determine the System Upgrade Facilities needed to mitigate the short circuit overloads.  </w:t>
      </w:r>
    </w:p>
    <w:p w:rsidR="00EB7C69" w:rsidRPr="00EB7C69" w:rsidP="00EB7C69" w14:paraId="24DF2681" w14:textId="77777777">
      <w:pPr>
        <w:widowControl/>
        <w:spacing w:line="480" w:lineRule="auto"/>
        <w:ind w:left="1440" w:hanging="720"/>
        <w:rPr>
          <w:rFonts w:eastAsia="Times New Roman"/>
          <w:sz w:val="24"/>
          <w:szCs w:val="24"/>
        </w:rPr>
      </w:pPr>
      <w:r w:rsidRPr="00EB7C69">
        <w:rPr>
          <w:rFonts w:eastAsia="Times New Roman"/>
          <w:sz w:val="24"/>
          <w:szCs w:val="24"/>
        </w:rPr>
        <w:t>40.12.1.2.8</w:t>
      </w:r>
      <w:r w:rsidRPr="00EB7C69">
        <w:rPr>
          <w:rFonts w:eastAsia="Times New Roman"/>
          <w:sz w:val="24"/>
          <w:szCs w:val="24"/>
        </w:rPr>
        <w:tab/>
        <w:t>A reassessment of Sections 40.12.1.2.4 through 40.12.1.2.6 shall be reassessed and, to the extent required by Good Utility Practice, repeated if the improvement plan impacts the transmission transfer capability of the system.  The results of the short-circuit analysis will be treated in the same manner as the results of thermal, voltage and stability analyses for all purposes under these cost allocation rules.</w:t>
      </w:r>
    </w:p>
    <w:p w:rsidR="00EB7C69" w:rsidRPr="00EB7C69" w:rsidP="00EB7C69" w14:paraId="1FD4FB35" w14:textId="77777777">
      <w:pPr>
        <w:widowControl/>
        <w:spacing w:line="480" w:lineRule="auto"/>
        <w:ind w:left="1440" w:hanging="720"/>
        <w:rPr>
          <w:rFonts w:eastAsia="Times New Roman"/>
          <w:sz w:val="24"/>
          <w:szCs w:val="24"/>
        </w:rPr>
      </w:pPr>
      <w:r w:rsidRPr="00EB7C69">
        <w:rPr>
          <w:rFonts w:eastAsia="Times New Roman"/>
          <w:sz w:val="24"/>
          <w:szCs w:val="24"/>
        </w:rPr>
        <w:t>40.12.1.2.9</w:t>
      </w:r>
      <w:r w:rsidRPr="00EB7C69">
        <w:rPr>
          <w:rFonts w:eastAsia="Times New Roman"/>
          <w:sz w:val="24"/>
          <w:szCs w:val="24"/>
        </w:rPr>
        <w:tab/>
        <w:t>Each Cluster Baseline Assessment conducted by the ISO will be reviewed and approved by the ISO Operating Committee, and its effectiveness will be subject to the approval of the ISO Operating Committee.  In its report to the ISO Operating Committee, the ISO shall explain its reasons for all of its recommendations.</w:t>
      </w:r>
    </w:p>
    <w:p w:rsidR="00EB7C69" w:rsidRPr="00EB7C69" w:rsidP="00EB7C69" w14:paraId="48B5D9A6" w14:textId="77777777">
      <w:pPr>
        <w:widowControl/>
        <w:spacing w:line="480" w:lineRule="auto"/>
        <w:ind w:left="1440" w:hanging="720"/>
        <w:rPr>
          <w:rFonts w:eastAsia="Times New Roman"/>
          <w:sz w:val="24"/>
          <w:szCs w:val="24"/>
        </w:rPr>
      </w:pPr>
      <w:r w:rsidRPr="00EB7C69">
        <w:rPr>
          <w:rFonts w:eastAsia="Times New Roman"/>
          <w:sz w:val="24"/>
          <w:szCs w:val="24"/>
        </w:rPr>
        <w:t>40.12.1.2.10</w:t>
      </w:r>
      <w:r w:rsidRPr="00EB7C69">
        <w:rPr>
          <w:rFonts w:eastAsia="Times New Roman"/>
          <w:sz w:val="24"/>
          <w:szCs w:val="24"/>
        </w:rPr>
        <w:tab/>
        <w:t>Each most recently completed Cluster Baseline Assessment will be reviewed during the next Cluster Study Process by the ISO and updated, as necessary, following the criteria and procedures described herein.</w:t>
      </w:r>
    </w:p>
    <w:p w:rsidR="00EB7C69" w:rsidRPr="00EB7C69" w:rsidP="00EB7C69" w14:paraId="036B9465" w14:textId="77777777">
      <w:pPr>
        <w:widowControl/>
        <w:spacing w:line="480" w:lineRule="auto"/>
        <w:ind w:left="1440" w:hanging="720"/>
        <w:rPr>
          <w:rFonts w:eastAsia="Times New Roman"/>
          <w:sz w:val="24"/>
          <w:szCs w:val="24"/>
        </w:rPr>
      </w:pPr>
      <w:r w:rsidRPr="00EB7C69">
        <w:rPr>
          <w:rFonts w:eastAsia="Times New Roman"/>
          <w:sz w:val="24"/>
          <w:szCs w:val="24"/>
        </w:rPr>
        <w:t>40.12.1.3</w:t>
      </w:r>
      <w:r w:rsidRPr="00EB7C69">
        <w:rPr>
          <w:rFonts w:eastAsia="Times New Roman"/>
          <w:sz w:val="24"/>
          <w:szCs w:val="24"/>
        </w:rPr>
        <w:tab/>
        <w:t>In developing solutions as required by Section 40.12.1.3.6, the ISO will, as it develops its own generic solutions, also utilize the following procedures:</w:t>
      </w:r>
    </w:p>
    <w:p w:rsidR="00EB7C69" w:rsidRPr="00EB7C69" w:rsidP="00EB7C69" w14:paraId="5128870F" w14:textId="77777777">
      <w:pPr>
        <w:widowControl/>
        <w:spacing w:line="480" w:lineRule="auto"/>
        <w:ind w:left="1440" w:hanging="720"/>
        <w:rPr>
          <w:rFonts w:eastAsia="Times New Roman"/>
          <w:sz w:val="24"/>
          <w:szCs w:val="24"/>
        </w:rPr>
      </w:pPr>
      <w:r w:rsidRPr="00EB7C69">
        <w:rPr>
          <w:rFonts w:eastAsia="Times New Roman"/>
          <w:sz w:val="24"/>
          <w:szCs w:val="24"/>
        </w:rPr>
        <w:t>40.12.1.3.1</w:t>
      </w:r>
      <w:r w:rsidRPr="00EB7C69">
        <w:rPr>
          <w:rFonts w:eastAsia="Times New Roman"/>
          <w:sz w:val="24"/>
          <w:szCs w:val="24"/>
        </w:rPr>
        <w:tab/>
        <w:t>The ISO will first select as generic solutions proposed Cluster Study Projects sufficient to meet Applicable Reliability Requirements on a year by year basis.  If a proposed Cluster Study Project is larger than necessary, the ISO shall select that portion or segment of the project that is sufficient to meet but not exceed Applicable Reliability Requirements.  If the proposed Cluster Study Project is not capable of being segmented or if the Cluster Study Project cannot meet Applicable Reliability Requirements on a year by year basis, the ISO shall not select it.</w:t>
      </w:r>
    </w:p>
    <w:p w:rsidR="00EB7C69" w:rsidRPr="00EB7C69" w:rsidP="00EB7C69" w14:paraId="1AD23646" w14:textId="77777777">
      <w:pPr>
        <w:widowControl/>
        <w:spacing w:line="480" w:lineRule="auto"/>
        <w:ind w:left="1440" w:hanging="720"/>
        <w:rPr>
          <w:rFonts w:eastAsia="Times New Roman"/>
          <w:sz w:val="24"/>
          <w:szCs w:val="24"/>
        </w:rPr>
      </w:pPr>
      <w:r w:rsidRPr="00EB7C69">
        <w:rPr>
          <w:rFonts w:eastAsia="Times New Roman"/>
          <w:sz w:val="24"/>
          <w:szCs w:val="24"/>
        </w:rPr>
        <w:t>40.12.1.3.2</w:t>
      </w:r>
      <w:r w:rsidRPr="00EB7C69">
        <w:rPr>
          <w:rFonts w:eastAsia="Times New Roman"/>
          <w:sz w:val="24"/>
          <w:szCs w:val="24"/>
        </w:rPr>
        <w:tab/>
        <w:t xml:space="preserve">If the generation and transmission facilities included in the Existing System Representation, together with any proposed Cluster Study Projects that qualify as solutions pursuant to Section 40.12.1.3.1, above, are not sufficient to meet Applicable Reliability Requirements, the ISO shall complete the development of its own generic solutions, taking into account any generic </w:t>
      </w:r>
      <w:r w:rsidRPr="00EB7C69">
        <w:rPr>
          <w:rFonts w:eastAsia="Times New Roman"/>
          <w:sz w:val="24"/>
          <w:szCs w:val="24"/>
        </w:rPr>
        <w:t xml:space="preserve">solutions proposed pursuant to Section 40.12.1.3.3, below, for inclusion in the CBA.  </w:t>
      </w:r>
    </w:p>
    <w:p w:rsidR="00EB7C69" w:rsidRPr="00EB7C69" w:rsidP="00EB7C69" w14:paraId="0D78DD85" w14:textId="77777777">
      <w:pPr>
        <w:widowControl/>
        <w:spacing w:line="480" w:lineRule="auto"/>
        <w:ind w:left="1440" w:hanging="720"/>
        <w:rPr>
          <w:rFonts w:eastAsia="Times New Roman"/>
          <w:sz w:val="24"/>
          <w:szCs w:val="24"/>
        </w:rPr>
      </w:pPr>
      <w:r w:rsidRPr="00EB7C69">
        <w:rPr>
          <w:rFonts w:eastAsia="Times New Roman"/>
          <w:sz w:val="24"/>
          <w:szCs w:val="24"/>
        </w:rPr>
        <w:t>40.12.1.3.3</w:t>
      </w:r>
      <w:r w:rsidRPr="00EB7C69">
        <w:rPr>
          <w:rFonts w:eastAsia="Times New Roman"/>
          <w:sz w:val="24"/>
          <w:szCs w:val="24"/>
        </w:rPr>
        <w:tab/>
        <w:t>Market Participants may also propose generic solutions for inclusion in the CBA.  The Market Participant proposing such solutions shall provide the ISO with all data necessary for the ISO to determine the feasibility of such proposed generic solutions.</w:t>
      </w:r>
    </w:p>
    <w:p w:rsidR="00EB7C69" w:rsidRPr="00EB7C69" w:rsidP="00EB7C69" w14:paraId="70D6F2BB" w14:textId="77777777">
      <w:pPr>
        <w:widowControl/>
        <w:spacing w:line="480" w:lineRule="auto"/>
        <w:ind w:left="1440" w:hanging="720"/>
        <w:rPr>
          <w:rFonts w:eastAsia="Times New Roman"/>
          <w:sz w:val="24"/>
          <w:szCs w:val="24"/>
        </w:rPr>
      </w:pPr>
      <w:r w:rsidRPr="00EB7C69">
        <w:rPr>
          <w:rFonts w:eastAsia="Times New Roman"/>
          <w:sz w:val="24"/>
          <w:szCs w:val="24"/>
        </w:rPr>
        <w:t>40.12.1.3.4</w:t>
      </w:r>
      <w:r w:rsidRPr="00EB7C69">
        <w:rPr>
          <w:rFonts w:eastAsia="Times New Roman"/>
          <w:sz w:val="24"/>
          <w:szCs w:val="24"/>
        </w:rPr>
        <w:tab/>
        <w:t xml:space="preserve">The ISO shall develop and consider alternative sets of proposed generic solutions that fairly represent the range of feasible solutions to Applicable Reliability Requirements.  </w:t>
      </w:r>
    </w:p>
    <w:p w:rsidR="00EB7C69" w:rsidRPr="00EB7C69" w:rsidP="00EB7C69" w14:paraId="012AF1B7" w14:textId="77777777">
      <w:pPr>
        <w:widowControl/>
        <w:spacing w:line="480" w:lineRule="auto"/>
        <w:ind w:left="1440" w:hanging="720"/>
        <w:rPr>
          <w:rFonts w:eastAsia="Times New Roman"/>
          <w:sz w:val="24"/>
          <w:szCs w:val="24"/>
        </w:rPr>
      </w:pPr>
      <w:r w:rsidRPr="00EB7C69">
        <w:rPr>
          <w:rFonts w:eastAsia="Times New Roman"/>
          <w:sz w:val="24"/>
          <w:szCs w:val="24"/>
        </w:rPr>
        <w:t>40.12.1.3.5</w:t>
      </w:r>
      <w:r w:rsidRPr="00EB7C69">
        <w:rPr>
          <w:rFonts w:eastAsia="Times New Roman"/>
          <w:sz w:val="24"/>
          <w:szCs w:val="24"/>
        </w:rPr>
        <w:tab/>
        <w:t>The ISO shall determine the feasibility of additional generic solutions developed pursuant to Sections 40.12.1.3.2, 40.12.1.3.3, and 40.12.1.3.4, according to the following criteria:</w:t>
      </w:r>
    </w:p>
    <w:p w:rsidR="00EB7C69" w:rsidRPr="00EB7C69" w:rsidP="00EB7C69" w14:paraId="67879DAB" w14:textId="77777777">
      <w:pPr>
        <w:widowControl/>
        <w:spacing w:line="480" w:lineRule="auto"/>
        <w:ind w:left="2160" w:hanging="720"/>
        <w:rPr>
          <w:rFonts w:eastAsia="Times New Roman"/>
          <w:sz w:val="24"/>
          <w:szCs w:val="24"/>
        </w:rPr>
      </w:pPr>
      <w:r w:rsidRPr="00EB7C69">
        <w:rPr>
          <w:rFonts w:eastAsia="Times New Roman"/>
          <w:sz w:val="24"/>
          <w:szCs w:val="24"/>
        </w:rPr>
        <w:t>40.12.1.3.5.1</w:t>
      </w:r>
      <w:r w:rsidRPr="00EB7C69">
        <w:rPr>
          <w:rFonts w:eastAsia="Times New Roman"/>
          <w:sz w:val="24"/>
          <w:szCs w:val="24"/>
        </w:rPr>
        <w:tab/>
        <w:t xml:space="preserve">The ISO shall select only solutions that are based on proven technologies that have actually been licensed and financed, are under construction or have already been built in similar locations.  </w:t>
      </w:r>
    </w:p>
    <w:p w:rsidR="00EB7C69" w:rsidRPr="00EB7C69" w:rsidP="00EB7C69" w14:paraId="58B89F0F" w14:textId="77777777">
      <w:pPr>
        <w:widowControl/>
        <w:spacing w:line="480" w:lineRule="auto"/>
        <w:ind w:left="2160" w:hanging="720"/>
        <w:rPr>
          <w:rFonts w:eastAsia="Times New Roman"/>
          <w:sz w:val="24"/>
          <w:szCs w:val="24"/>
        </w:rPr>
      </w:pPr>
      <w:r w:rsidRPr="00EB7C69">
        <w:rPr>
          <w:rFonts w:eastAsia="Times New Roman"/>
          <w:sz w:val="24"/>
          <w:szCs w:val="24"/>
        </w:rPr>
        <w:t>40.12.1.3.5.2</w:t>
      </w:r>
      <w:r w:rsidRPr="00EB7C69">
        <w:rPr>
          <w:rFonts w:eastAsia="Times New Roman"/>
          <w:sz w:val="24"/>
          <w:szCs w:val="24"/>
        </w:rPr>
        <w:tab/>
        <w:t xml:space="preserve">The ISO shall select as additional generic solutions only facilities that can reasonably be placed in service in time to meet Applicable Reliability Requirements on a year by year basis.  In making this determination, the ISO shall consider the size and type of facility, access to fuel, access to transmission facilities, transmission upgrade requirements, construction time, and Good Utility Practice. </w:t>
      </w:r>
    </w:p>
    <w:p w:rsidR="00EB7C69" w:rsidRPr="00EB7C69" w:rsidP="00EB7C69" w14:paraId="3DBAE402" w14:textId="77777777">
      <w:pPr>
        <w:widowControl/>
        <w:spacing w:line="480" w:lineRule="auto"/>
        <w:ind w:left="1440" w:hanging="720"/>
        <w:rPr>
          <w:rFonts w:eastAsia="Times New Roman"/>
          <w:sz w:val="24"/>
          <w:szCs w:val="24"/>
        </w:rPr>
      </w:pPr>
      <w:r w:rsidRPr="00EB7C69">
        <w:rPr>
          <w:rFonts w:eastAsia="Times New Roman"/>
          <w:sz w:val="24"/>
          <w:szCs w:val="24"/>
        </w:rPr>
        <w:t>40.12.1.3.6</w:t>
      </w:r>
      <w:r w:rsidRPr="00EB7C69">
        <w:rPr>
          <w:rFonts w:eastAsia="Times New Roman"/>
          <w:sz w:val="24"/>
          <w:szCs w:val="24"/>
        </w:rPr>
        <w:tab/>
        <w:t xml:space="preserve">The ISO will submit its proposed generic solutions and the alternatives that it considered to Market Participants and to an independent expert for review </w:t>
      </w:r>
      <w:r w:rsidRPr="00EB7C69">
        <w:rPr>
          <w:rFonts w:eastAsia="Times New Roman"/>
          <w:sz w:val="24"/>
          <w:szCs w:val="24"/>
        </w:rPr>
        <w:t>and will make the results of the expert’s review available to Market Participants. The independent expert shall review the feasibility of the proposed generic solutions developed pursuant to Sections 40.12.1.3.2, 40.12.1.3.3, and 40.12.1.3.4, and of generic solutions based on the segmentation of any Cluster Study Project under Section 40.12.1.3.1, according to the criteria set forth in Section 40.12.1.3.5.</w:t>
      </w:r>
    </w:p>
    <w:p w:rsidR="00EB7C69" w:rsidRPr="00EB7C69" w:rsidP="00EB7C69" w14:paraId="45C9E73C" w14:textId="77777777">
      <w:pPr>
        <w:widowControl/>
        <w:spacing w:line="480" w:lineRule="auto"/>
        <w:ind w:left="2160" w:hanging="720"/>
        <w:rPr>
          <w:rFonts w:eastAsia="Times New Roman"/>
          <w:sz w:val="24"/>
          <w:szCs w:val="24"/>
        </w:rPr>
      </w:pPr>
      <w:r w:rsidRPr="00EB7C69">
        <w:rPr>
          <w:rFonts w:eastAsia="Times New Roman"/>
          <w:sz w:val="24"/>
          <w:szCs w:val="24"/>
        </w:rPr>
        <w:t>40.12.1.3.6.1</w:t>
      </w:r>
      <w:r w:rsidRPr="00EB7C69">
        <w:rPr>
          <w:rFonts w:eastAsia="Times New Roman"/>
          <w:sz w:val="24"/>
          <w:szCs w:val="24"/>
        </w:rPr>
        <w:tab/>
        <w:t xml:space="preserve">If the independent expert concludes that one or more generic solutions is not feasible, the ISO shall eliminate that solution from further review.  </w:t>
      </w:r>
    </w:p>
    <w:p w:rsidR="00EB7C69" w:rsidRPr="00EB7C69" w:rsidP="00EB7C69" w14:paraId="6DB8BFB6" w14:textId="77777777">
      <w:pPr>
        <w:widowControl/>
        <w:spacing w:line="480" w:lineRule="auto"/>
        <w:ind w:left="2160" w:hanging="720"/>
        <w:rPr>
          <w:rFonts w:eastAsia="Times New Roman"/>
          <w:sz w:val="24"/>
          <w:szCs w:val="24"/>
        </w:rPr>
      </w:pPr>
      <w:r w:rsidRPr="00EB7C69">
        <w:rPr>
          <w:rFonts w:eastAsia="Times New Roman"/>
          <w:sz w:val="24"/>
          <w:szCs w:val="24"/>
        </w:rPr>
        <w:t>40.12.1.3.6.2</w:t>
      </w:r>
      <w:r w:rsidRPr="00EB7C69">
        <w:rPr>
          <w:rFonts w:eastAsia="Times New Roman"/>
          <w:sz w:val="24"/>
          <w:szCs w:val="24"/>
        </w:rPr>
        <w:tab/>
        <w:t>If the ISO does not adopt the expert’s recommendations, it will state in its report to the ISO Operating Committee its reasons for not adopting those recommendations.</w:t>
      </w:r>
    </w:p>
    <w:p w:rsidR="00EB7C69" w:rsidRPr="00EB7C69" w:rsidP="00EB7C69" w14:paraId="639F9DEE" w14:textId="77777777">
      <w:pPr>
        <w:widowControl/>
        <w:spacing w:line="480" w:lineRule="auto"/>
        <w:ind w:left="1440" w:hanging="720"/>
        <w:rPr>
          <w:rFonts w:eastAsia="Times New Roman"/>
          <w:sz w:val="24"/>
          <w:szCs w:val="24"/>
        </w:rPr>
      </w:pPr>
      <w:r w:rsidRPr="00EB7C69">
        <w:rPr>
          <w:rFonts w:eastAsia="Times New Roman"/>
          <w:sz w:val="24"/>
          <w:szCs w:val="24"/>
        </w:rPr>
        <w:t>40.12.1.3.7</w:t>
      </w:r>
      <w:r w:rsidRPr="00EB7C69">
        <w:rPr>
          <w:rFonts w:eastAsia="Times New Roman"/>
          <w:sz w:val="24"/>
          <w:szCs w:val="24"/>
        </w:rPr>
        <w:tab/>
        <w:t xml:space="preserve">Subject to Section 4.12.1.3.7.1, below, in the event that more than one generic solution or set of solutions satisfies the feasibility requirement of Section 40.12.1.3.5 and 40.12.1.3.6, the ISO shall compare the System Upgrade Facilities that would be necessary to interconnect each such generic solution and shall adopt the solution that is most consistent with Good Utility Practice.  For these purposes, in comparing alternative solutions, a generic solution that satisfies sub-load pocket deficiencies shall normally be selected first.  </w:t>
      </w:r>
    </w:p>
    <w:p w:rsidR="00EB7C69" w:rsidRPr="00EB7C69" w:rsidP="00EB7C69" w14:paraId="7D7A9431" w14:textId="77777777">
      <w:pPr>
        <w:widowControl/>
        <w:spacing w:line="480" w:lineRule="auto"/>
        <w:ind w:left="2160" w:hanging="720"/>
        <w:rPr>
          <w:rFonts w:eastAsia="Times New Roman"/>
          <w:b/>
          <w:bCs/>
          <w:color w:val="000000"/>
          <w:w w:val="0"/>
          <w:sz w:val="24"/>
          <w:szCs w:val="24"/>
        </w:rPr>
      </w:pPr>
      <w:r w:rsidRPr="00EB7C69">
        <w:rPr>
          <w:rFonts w:eastAsia="Times New Roman"/>
          <w:sz w:val="24"/>
          <w:szCs w:val="24"/>
        </w:rPr>
        <w:t>40.12.1.3.7.1</w:t>
      </w:r>
      <w:r w:rsidRPr="00EB7C69">
        <w:rPr>
          <w:rFonts w:eastAsia="Times New Roman"/>
          <w:w w:val="0"/>
          <w:sz w:val="24"/>
          <w:szCs w:val="24"/>
        </w:rPr>
        <w:tab/>
        <w:t xml:space="preserve">The ISO shall be responsible for determining whether any generic solution or proposed Cluster Study Project meets Applicable Reliability </w:t>
      </w:r>
      <w:r w:rsidRPr="00EB7C69">
        <w:rPr>
          <w:rFonts w:eastAsia="Times New Roman"/>
          <w:sz w:val="24"/>
          <w:szCs w:val="24"/>
        </w:rPr>
        <w:t>Requirements</w:t>
      </w:r>
      <w:r w:rsidRPr="00EB7C69">
        <w:rPr>
          <w:rFonts w:eastAsia="Times New Roman"/>
          <w:w w:val="0"/>
          <w:sz w:val="24"/>
          <w:szCs w:val="24"/>
        </w:rPr>
        <w:t>.</w:t>
      </w:r>
    </w:p>
    <w:p w:rsidR="00EB7C69" w:rsidRPr="00EB7C69" w:rsidP="00EB7C69" w14:paraId="629408BF" w14:textId="77777777">
      <w:pPr>
        <w:widowControl/>
        <w:spacing w:line="480" w:lineRule="auto"/>
        <w:ind w:left="1440" w:hanging="720"/>
        <w:rPr>
          <w:rFonts w:eastAsia="Times New Roman"/>
          <w:sz w:val="24"/>
          <w:szCs w:val="24"/>
        </w:rPr>
      </w:pPr>
      <w:bookmarkStart w:id="5" w:name="_DV_M281"/>
      <w:bookmarkEnd w:id="5"/>
      <w:r w:rsidRPr="00EB7C69">
        <w:rPr>
          <w:rFonts w:eastAsia="Times New Roman"/>
          <w:sz w:val="24"/>
          <w:szCs w:val="24"/>
        </w:rPr>
        <w:t>40.12.1.4</w:t>
      </w:r>
      <w:r w:rsidRPr="00EB7C69">
        <w:rPr>
          <w:rFonts w:eastAsia="Times New Roman"/>
          <w:sz w:val="24"/>
          <w:szCs w:val="24"/>
        </w:rPr>
        <w:tab/>
        <w:t>With the exception of those upgrades that were previously allocated to, and accepted by Cluster Study Projects as a part of the Cluster Project Assessment in the Final Decision Round of previous Class Years or Cluster Studies, Interconnection Customers are not responsible for the cost of any System Upgrade Facilities that are identified in the  Cluster Baseline Assessment, or any System Upgrade Facilities that resolve in whole or in part a deficiency in the system identified in the Cluster Baseline Assessment.</w:t>
      </w:r>
    </w:p>
    <w:p w:rsidR="00EB7C69" w:rsidRPr="00EB7C69" w:rsidP="00EB7C69" w14:paraId="6420656B" w14:textId="77777777">
      <w:pPr>
        <w:widowControl/>
        <w:spacing w:line="480" w:lineRule="auto"/>
        <w:ind w:left="1440" w:hanging="720"/>
        <w:rPr>
          <w:rFonts w:eastAsia="Times New Roman"/>
          <w:sz w:val="24"/>
          <w:szCs w:val="24"/>
        </w:rPr>
      </w:pPr>
      <w:bookmarkStart w:id="6" w:name="_DV_M282"/>
      <w:bookmarkEnd w:id="6"/>
      <w:r w:rsidRPr="00EB7C69">
        <w:rPr>
          <w:rFonts w:eastAsia="Times New Roman"/>
          <w:sz w:val="24"/>
          <w:szCs w:val="24"/>
        </w:rPr>
        <w:t>40.12.1.5</w:t>
      </w:r>
      <w:r w:rsidRPr="00EB7C69">
        <w:rPr>
          <w:rFonts w:eastAsia="Times New Roman"/>
          <w:sz w:val="24"/>
          <w:szCs w:val="24"/>
        </w:rPr>
        <w:tab/>
        <w:t xml:space="preserve">Interconnection Customers are responsible for 100% of the cost of the System Upgrade Facilities that are not already identified in the Cluster Baseline Assessment and are required for their Projects to reliably interconnect to the transmission system in a manner that meets the NYISO Minimum Interconnection Standard.  The System Upgrade Facilities necessary to accommodate Cluster Study Projects will be determined by the Phase 1 Study and </w:t>
      </w:r>
      <w:bookmarkStart w:id="7" w:name="_DV_M284"/>
      <w:bookmarkEnd w:id="7"/>
      <w:r w:rsidRPr="00EB7C69">
        <w:rPr>
          <w:rFonts w:eastAsia="Times New Roman"/>
          <w:sz w:val="24"/>
          <w:szCs w:val="24"/>
        </w:rPr>
        <w:t>the Cluster Project Assessment.  The criteria and procedures that will be followed to conduct the Cluster Project Assessment are discussed in Section 40.12.2 below.</w:t>
      </w:r>
    </w:p>
    <w:p w:rsidR="00EB7C69" w:rsidRPr="00EB7C69" w:rsidP="00EB7C69" w14:paraId="49DFB880" w14:textId="77777777">
      <w:pPr>
        <w:widowControl/>
        <w:spacing w:line="480" w:lineRule="auto"/>
        <w:ind w:left="1440" w:hanging="720"/>
        <w:rPr>
          <w:rFonts w:eastAsia="Times New Roman"/>
          <w:sz w:val="24"/>
          <w:szCs w:val="24"/>
        </w:rPr>
      </w:pPr>
      <w:r w:rsidRPr="00EB7C69">
        <w:rPr>
          <w:rFonts w:eastAsia="Times New Roman"/>
          <w:sz w:val="24"/>
          <w:szCs w:val="24"/>
        </w:rPr>
        <w:t>40.12.1.5.1</w:t>
      </w:r>
      <w:r w:rsidRPr="00EB7C69">
        <w:rPr>
          <w:rFonts w:eastAsia="Times New Roman"/>
          <w:sz w:val="24"/>
          <w:szCs w:val="24"/>
        </w:rPr>
        <w:tab/>
        <w:t xml:space="preserve">If a Connecting Transmission Owner, Affected Transmission Owner, Affected System Operator, or Interconnection Customer elects to construct System Upgrade Facilities that are larger or more extensive than the minimum facilities required to reliably interconnect the proposed Cluster Study Project, and are reasonably related to the interconnection of the proposed project, then the entity that make such election is responsible for the cost of those System Upgrade Facilities in excess of the minimum System Upgrade Facilities required by the Cluster Study Project.  If there is Headroom associated with these larger System </w:t>
      </w:r>
      <w:r w:rsidRPr="00EB7C69">
        <w:rPr>
          <w:rFonts w:eastAsia="Times New Roman"/>
          <w:sz w:val="24"/>
          <w:szCs w:val="24"/>
        </w:rPr>
        <w:t>Upgrade Facilities and an Interconnection Customer of any subsequent project interconnects and uses the Headroom within ten (10) years of its creation, such subsequent Interconnection Customer shall pay the Connecting Transmission Owner, Affected Transmission Owner, Affected System Operator, or the Interconnection Customer for this Headroom in accordance with these rules, including Section 40.17.</w:t>
      </w:r>
    </w:p>
    <w:p w:rsidR="00EB7C69" w:rsidRPr="00EB7C69" w:rsidP="00EB7C69" w14:paraId="26B5DF4B" w14:textId="77777777">
      <w:pPr>
        <w:widowControl/>
        <w:spacing w:line="480" w:lineRule="auto"/>
        <w:ind w:left="1440" w:hanging="720"/>
        <w:rPr>
          <w:rFonts w:eastAsia="Times New Roman"/>
          <w:sz w:val="24"/>
          <w:szCs w:val="24"/>
        </w:rPr>
      </w:pPr>
      <w:r w:rsidRPr="00EB7C69">
        <w:rPr>
          <w:rFonts w:eastAsia="Times New Roman"/>
          <w:sz w:val="24"/>
          <w:szCs w:val="24"/>
        </w:rPr>
        <w:t>40.12.1.6</w:t>
      </w:r>
      <w:r w:rsidRPr="00EB7C69">
        <w:rPr>
          <w:rFonts w:eastAsia="Times New Roman"/>
          <w:sz w:val="24"/>
          <w:szCs w:val="24"/>
        </w:rPr>
        <w:tab/>
        <w:t xml:space="preserve">The System Upgrade Facilities cost for which an Interconnection Customer is responsible will be determined on a “net” basis; that is, the Interconnection Customer’s System Upgrade Facilities cost will be determined net of the benefits, or System Upgrade Facility cost reductions, that result from the construction and operation of its project and the related upgrades.  The net cost responsibility of an Interconnection Customer will not be less than zero.  Also, the cost responsibility of the Connecting Transmission Owner for System Upgrade Facilities will be no greater than it would have been without the Interconnection Customer’s project.  Specifically, the Connecting Transmission Owner shall not be required to pay (in total) more than 100% of the cost of installing a specific piece of equipment.  </w:t>
      </w:r>
    </w:p>
    <w:p w:rsidR="00EB7C69" w:rsidRPr="00EB7C69" w:rsidP="00EB7C69" w14:paraId="2A43FD17" w14:textId="77777777">
      <w:pPr>
        <w:widowControl/>
        <w:spacing w:line="480" w:lineRule="auto"/>
        <w:ind w:left="1440" w:hanging="720"/>
        <w:rPr>
          <w:rFonts w:eastAsia="Times New Roman"/>
          <w:sz w:val="24"/>
          <w:szCs w:val="24"/>
        </w:rPr>
      </w:pPr>
      <w:r w:rsidRPr="00EB7C69">
        <w:rPr>
          <w:rFonts w:eastAsia="Times New Roman"/>
          <w:sz w:val="24"/>
          <w:szCs w:val="24"/>
        </w:rPr>
        <w:t>40.12.1.6.1</w:t>
      </w:r>
      <w:r w:rsidRPr="00EB7C69">
        <w:rPr>
          <w:rFonts w:eastAsia="Times New Roman"/>
          <w:sz w:val="24"/>
          <w:szCs w:val="24"/>
        </w:rPr>
        <w:tab/>
        <w:t xml:space="preserve">The purpose of this approach is to allocate to the Interconnection Customer the responsibility for the cost of the net impact of its project on the needs of the New York State Transmission System for System Upgrade Facilities.  Thus, an Interconnection Customer is responsible for the cost of the System Upgrade Facilities that are required by, or caused by, its project.  An Interconnection Customer is not responsible for the cost of System Upgrade </w:t>
      </w:r>
      <w:r w:rsidRPr="00EB7C69">
        <w:rPr>
          <w:rFonts w:eastAsia="Times New Roman"/>
          <w:sz w:val="24"/>
          <w:szCs w:val="24"/>
        </w:rPr>
        <w:t>Facilities that would be required anyway, without the construction of its project.  If an Interconnection Customer’s project reduces the cost of System Upgrade Facilities that would be required anyway, that beneficial cost reducing impact will be recognized.</w:t>
      </w:r>
      <w:bookmarkStart w:id="8" w:name="_DV_M288"/>
      <w:bookmarkStart w:id="9" w:name="_DV_M289"/>
      <w:bookmarkStart w:id="10" w:name="_DV_M290"/>
      <w:bookmarkStart w:id="11" w:name="_DV_M291"/>
      <w:bookmarkStart w:id="12" w:name="_DV_M292"/>
      <w:bookmarkStart w:id="13" w:name="_DV_M294"/>
      <w:bookmarkStart w:id="14" w:name="_DV_M295"/>
      <w:bookmarkEnd w:id="8"/>
      <w:bookmarkEnd w:id="9"/>
      <w:bookmarkEnd w:id="10"/>
      <w:bookmarkEnd w:id="11"/>
      <w:bookmarkEnd w:id="12"/>
      <w:bookmarkEnd w:id="13"/>
      <w:bookmarkEnd w:id="14"/>
    </w:p>
    <w:p w:rsidR="00EB7C69" w:rsidRPr="00EB7C69" w:rsidP="00EB7C69" w14:paraId="0D5121B7" w14:textId="77777777">
      <w:pPr>
        <w:widowControl/>
        <w:spacing w:line="480" w:lineRule="auto"/>
        <w:ind w:left="1440" w:hanging="720"/>
        <w:rPr>
          <w:rFonts w:eastAsia="Times New Roman"/>
          <w:sz w:val="24"/>
          <w:szCs w:val="24"/>
        </w:rPr>
      </w:pPr>
      <w:r w:rsidRPr="00EB7C69">
        <w:rPr>
          <w:rFonts w:eastAsia="Times New Roman"/>
          <w:sz w:val="24"/>
          <w:szCs w:val="24"/>
        </w:rPr>
        <w:t>40.12.1.6.2</w:t>
      </w:r>
      <w:r w:rsidRPr="00EB7C69">
        <w:rPr>
          <w:rFonts w:eastAsia="Times New Roman"/>
          <w:sz w:val="24"/>
          <w:szCs w:val="24"/>
        </w:rPr>
        <w:tab/>
        <w:t xml:space="preserve">The net System Upgrade Facilities </w:t>
      </w:r>
      <w:r w:rsidRPr="00EB7C69">
        <w:rPr>
          <w:rFonts w:eastAsia="Times New Roman"/>
          <w:sz w:val="24"/>
          <w:szCs w:val="24"/>
        </w:rPr>
        <w:t>cost</w:t>
      </w:r>
      <w:r w:rsidRPr="00EB7C69">
        <w:rPr>
          <w:rFonts w:eastAsia="Times New Roman"/>
          <w:sz w:val="24"/>
          <w:szCs w:val="24"/>
        </w:rPr>
        <w:t xml:space="preserve"> and cost reduction benefits of an Interconnection Customer’s project are determined by the ISO by comparing and netting the results of a Cluster Baseline Assessment with the corresponding Cluster Project Assessment in accordance with these rules.</w:t>
      </w:r>
    </w:p>
    <w:p w:rsidR="00EB7C69" w:rsidRPr="00EB7C69" w:rsidP="00EB7C69" w14:paraId="7C873275" w14:textId="77777777">
      <w:pPr>
        <w:widowControl/>
        <w:spacing w:line="480" w:lineRule="auto"/>
        <w:ind w:left="1440" w:hanging="720"/>
        <w:rPr>
          <w:rFonts w:eastAsia="Times New Roman"/>
          <w:sz w:val="24"/>
          <w:szCs w:val="24"/>
        </w:rPr>
      </w:pPr>
      <w:r w:rsidRPr="00EB7C69">
        <w:rPr>
          <w:rFonts w:eastAsia="Times New Roman"/>
          <w:sz w:val="24"/>
          <w:szCs w:val="24"/>
        </w:rPr>
        <w:t>40.12.1.6.3</w:t>
      </w:r>
      <w:r w:rsidRPr="00EB7C69">
        <w:rPr>
          <w:rFonts w:eastAsia="Times New Roman"/>
          <w:sz w:val="24"/>
          <w:szCs w:val="24"/>
        </w:rPr>
        <w:tab/>
        <w:t>The net System Upgrade Facilities cost and cost reduction benefits of an Interconnection Customer’s project are comprised of those costs and cost reduction benefits caused by (1) the construction of System Upgrade Facilities not contained in the Cluster Baseline Assessment, and (2) eliminating or reducing the need for the construction of System Upgrade Facilities contained in the Cluster Baseline Assessment, due to the construction of System Upgrade Facilities associated with the proposed project.</w:t>
      </w:r>
    </w:p>
    <w:p w:rsidR="00EB7C69" w:rsidRPr="00EB7C69" w:rsidP="00EB7C69" w14:paraId="69A7AF8F" w14:textId="77777777">
      <w:pPr>
        <w:widowControl/>
        <w:spacing w:line="480" w:lineRule="auto"/>
        <w:ind w:left="1440" w:hanging="720"/>
        <w:rPr>
          <w:rFonts w:eastAsia="Times New Roman"/>
          <w:sz w:val="24"/>
          <w:szCs w:val="24"/>
        </w:rPr>
      </w:pPr>
      <w:r w:rsidRPr="00EB7C69">
        <w:rPr>
          <w:rFonts w:eastAsia="Times New Roman"/>
          <w:sz w:val="24"/>
          <w:szCs w:val="24"/>
        </w:rPr>
        <w:t>40.12.1.6.4</w:t>
      </w:r>
      <w:r w:rsidRPr="00EB7C69">
        <w:rPr>
          <w:rFonts w:eastAsia="Times New Roman"/>
          <w:sz w:val="24"/>
          <w:szCs w:val="24"/>
        </w:rPr>
        <w:tab/>
        <w:t xml:space="preserve">The Interconnection Customer’s net cost responsibility will be determined using constant dollars.  That is, when netting the cost of System Upgrade Facilities required for its project, as identified in the Cluster Project Assessment, with those identified in the Cluster Baseline Assessment, the cost of System Upgrade Facilities in the out-years of the Cluster Baseline Assessment and the out-years of the Cluster Project Assessment will be discounted to a current year value for netting.  The cost of </w:t>
      </w:r>
      <w:r w:rsidRPr="00EB7C69">
        <w:rPr>
          <w:rFonts w:eastAsia="Times New Roman"/>
          <w:sz w:val="24"/>
          <w:szCs w:val="24"/>
        </w:rPr>
        <w:t>out-</w:t>
      </w:r>
      <w:r w:rsidRPr="00EB7C69">
        <w:rPr>
          <w:rFonts w:eastAsia="Times New Roman"/>
          <w:sz w:val="24"/>
          <w:szCs w:val="24"/>
        </w:rPr>
        <w:t xml:space="preserve">year System Upgrade Facilities will be </w:t>
      </w:r>
      <w:r w:rsidRPr="00EB7C69">
        <w:rPr>
          <w:rFonts w:eastAsia="Times New Roman"/>
          <w:sz w:val="24"/>
          <w:szCs w:val="24"/>
        </w:rPr>
        <w:t>discounted to a current value using the weighted average cost of capital of the Connecting Transmission Owner.</w:t>
      </w:r>
    </w:p>
    <w:p w:rsidR="00EB7C69" w:rsidRPr="00EB7C69" w:rsidP="00EB7C69" w14:paraId="6106E0EE" w14:textId="77777777">
      <w:pPr>
        <w:keepNext/>
        <w:widowControl/>
        <w:spacing w:before="240" w:after="240"/>
        <w:ind w:left="2160" w:hanging="1440"/>
        <w:outlineLvl w:val="3"/>
        <w:rPr>
          <w:rFonts w:eastAsia="Times New Roman"/>
          <w:b/>
          <w:sz w:val="24"/>
          <w:szCs w:val="24"/>
        </w:rPr>
      </w:pPr>
      <w:r w:rsidRPr="00EB7C69">
        <w:rPr>
          <w:rFonts w:eastAsia="Times New Roman"/>
          <w:b/>
          <w:bCs/>
          <w:sz w:val="24"/>
          <w:szCs w:val="24"/>
        </w:rPr>
        <w:t>40.</w:t>
      </w:r>
      <w:r w:rsidRPr="00EB7C69">
        <w:rPr>
          <w:rFonts w:eastAsia="Times New Roman"/>
          <w:b/>
          <w:sz w:val="24"/>
          <w:szCs w:val="24"/>
        </w:rPr>
        <w:t>12</w:t>
      </w:r>
      <w:r w:rsidRPr="00EB7C69">
        <w:rPr>
          <w:rFonts w:eastAsia="Times New Roman"/>
          <w:b/>
          <w:bCs/>
          <w:sz w:val="24"/>
          <w:szCs w:val="24"/>
        </w:rPr>
        <w:t>.</w:t>
      </w:r>
      <w:bookmarkStart w:id="15" w:name="_Toc260339034"/>
      <w:bookmarkStart w:id="16" w:name="_Toc262653024"/>
      <w:r w:rsidRPr="00EB7C69">
        <w:rPr>
          <w:rFonts w:eastAsia="Times New Roman"/>
          <w:b/>
          <w:bCs/>
          <w:sz w:val="24"/>
          <w:szCs w:val="24"/>
        </w:rPr>
        <w:t>2</w:t>
      </w:r>
      <w:r w:rsidRPr="00EB7C69">
        <w:rPr>
          <w:rFonts w:eastAsia="Times New Roman"/>
          <w:b/>
          <w:sz w:val="24"/>
          <w:szCs w:val="24"/>
        </w:rPr>
        <w:tab/>
        <w:t>Cluster Project Assessment (CPA) for Cost Allocation Among Interconnection Customers</w:t>
      </w:r>
      <w:bookmarkEnd w:id="15"/>
      <w:bookmarkEnd w:id="16"/>
    </w:p>
    <w:p w:rsidR="00EB7C69" w:rsidRPr="00EB7C69" w:rsidP="00EB7C69" w14:paraId="5FEFFE73" w14:textId="77777777">
      <w:pPr>
        <w:widowControl/>
        <w:spacing w:line="480" w:lineRule="auto"/>
        <w:ind w:firstLine="720"/>
        <w:rPr>
          <w:rFonts w:eastAsia="Times New Roman"/>
          <w:sz w:val="24"/>
          <w:szCs w:val="24"/>
        </w:rPr>
      </w:pPr>
      <w:r w:rsidRPr="00EB7C69">
        <w:rPr>
          <w:rFonts w:eastAsia="Times New Roman"/>
          <w:sz w:val="24"/>
          <w:szCs w:val="24"/>
        </w:rPr>
        <w:t xml:space="preserve">The Interconnection Customer’s share of the cost of System Upgrade Facilities is allocated among Interconnection Customers based upon the ISO Cluster Project Assessment.  The Cluster Project Assessment will be conducted by the ISO to ensure New York State Transmission System compliance with Applicable Reliability Requirements.  The ISO will conduct the Cluster Project Assessment, as described in these rules, in cooperation with Market Participants.  No Market Participant will have decisional control over any determinative aspect of the Cluster Project Assessment.  The ISO will have decisional control over the entire Cluster Project Assessment.  </w:t>
      </w:r>
      <w:r w:rsidRPr="00EB7C69">
        <w:rPr>
          <w:rFonts w:eastAsia="Times New Roman"/>
          <w:sz w:val="24"/>
          <w:szCs w:val="24"/>
        </w:rPr>
        <w:t>If,</w:t>
      </w:r>
      <w:r w:rsidRPr="00EB7C69">
        <w:rPr>
          <w:rFonts w:eastAsia="Times New Roman"/>
          <w:sz w:val="24"/>
          <w:szCs w:val="24"/>
        </w:rPr>
        <w:t xml:space="preserve"> at any time, the ISO decides that it needs specific expert services from entities such as Market Participants, consultants or engineering </w:t>
      </w:r>
      <w:r w:rsidRPr="00EB7C69">
        <w:rPr>
          <w:rFonts w:eastAsia="Times New Roman"/>
          <w:sz w:val="24"/>
          <w:szCs w:val="24"/>
        </w:rPr>
        <w:t>firms for it</w:t>
      </w:r>
      <w:r w:rsidRPr="00EB7C69">
        <w:rPr>
          <w:rFonts w:eastAsia="Times New Roman"/>
          <w:sz w:val="24"/>
          <w:szCs w:val="24"/>
        </w:rPr>
        <w:t xml:space="preserve"> to conduct the Cluster Project Assessment, then the ISO will enter into appropriate contracts with such entities for such input.  As it conducts each Cluster Project Assessment, the ISO will provide regularly scheduled status reports and working drafts, with supporting data, to the Operating Committee to ensure that all affected Market Participants have an opportunity to contribute whatever information and input they believe might be helpful to the process.  Each completed Cluster Project Assessment will be reviewed and approved by the Operating Committee as part of the Cluster Study Report in accordance with Section 40.11.7.  Each Cluster Project Assessment is reviewable by the ISO Board of Directors in accordance with the provisions of the Commission-approved ISO Agreement.  </w:t>
      </w:r>
    </w:p>
    <w:p w:rsidR="00FD2BDB" w:rsidP="00FD694B" w14:paraId="04D464BA" w14:textId="7B83872C">
      <w:pPr>
        <w:widowControl/>
        <w:spacing w:line="480" w:lineRule="auto"/>
        <w:ind w:left="1440" w:hanging="720"/>
        <w:rPr>
          <w:ins w:id="17" w:author="Author"/>
          <w:rFonts w:eastAsia="Times New Roman"/>
          <w:sz w:val="24"/>
          <w:szCs w:val="24"/>
        </w:rPr>
      </w:pPr>
      <w:r w:rsidRPr="00EB7C69">
        <w:rPr>
          <w:rFonts w:eastAsia="Times New Roman"/>
          <w:sz w:val="24"/>
          <w:szCs w:val="24"/>
        </w:rPr>
        <w:t>40.12.2.1</w:t>
      </w:r>
      <w:r>
        <w:tab/>
      </w:r>
      <w:r w:rsidRPr="00EB7C69">
        <w:rPr>
          <w:rFonts w:eastAsia="Times New Roman"/>
          <w:sz w:val="24"/>
          <w:szCs w:val="24"/>
        </w:rPr>
        <w:t xml:space="preserve">The Cluster Project Assessment for each Cluster Study will identify the </w:t>
      </w:r>
      <w:ins w:id="18" w:author="Keegan, Sara" w:date="2025-06-12T13:44:00Z">
        <w:r w:rsidRPr="005D0780" w:rsidR="005D0780">
          <w:rPr>
            <w:rFonts w:eastAsia="Times New Roman"/>
            <w:sz w:val="24"/>
            <w:szCs w:val="24"/>
          </w:rPr>
          <w:t xml:space="preserve">applicable Connecting Transmission Owner’s Attachment Facilities, Distribution </w:t>
        </w:r>
      </w:ins>
      <w:ins w:id="19" w:author="Keegan, Sara" w:date="2025-06-12T13:44:00Z">
        <w:r w:rsidRPr="005D0780" w:rsidR="005D0780">
          <w:rPr>
            <w:rFonts w:eastAsia="Times New Roman"/>
            <w:sz w:val="24"/>
            <w:szCs w:val="24"/>
          </w:rPr>
          <w:t xml:space="preserve">Upgrades and </w:t>
        </w:r>
      </w:ins>
      <w:r w:rsidRPr="00EB7C69">
        <w:rPr>
          <w:rFonts w:eastAsia="Times New Roman"/>
          <w:sz w:val="24"/>
          <w:szCs w:val="24"/>
        </w:rPr>
        <w:t xml:space="preserve">System Upgrade Facilities </w:t>
      </w:r>
      <w:ins w:id="20" w:author="Keegan, Sara" w:date="2025-05-06T16:14:00Z">
        <w:r w:rsidR="00A10F79">
          <w:rPr>
            <w:rFonts w:eastAsia="Times New Roman"/>
            <w:sz w:val="24"/>
            <w:szCs w:val="24"/>
          </w:rPr>
          <w:t xml:space="preserve">(collectively, “interconnection facilities”) </w:t>
        </w:r>
      </w:ins>
      <w:r w:rsidRPr="00EB7C69">
        <w:rPr>
          <w:rFonts w:eastAsia="Times New Roman"/>
          <w:sz w:val="24"/>
          <w:szCs w:val="24"/>
        </w:rPr>
        <w:t>required for all Cluster Study Projects, with cost estimates</w:t>
      </w:r>
      <w:ins w:id="21" w:author="Keegan, Sara" w:date="2025-05-06T14:25:00Z">
        <w:r w:rsidR="00E5304E">
          <w:rPr>
            <w:rFonts w:eastAsia="Times New Roman"/>
            <w:sz w:val="24"/>
            <w:szCs w:val="24"/>
          </w:rPr>
          <w:t>, as applicable</w:t>
        </w:r>
      </w:ins>
      <w:r w:rsidRPr="00EB7C69">
        <w:rPr>
          <w:rFonts w:eastAsia="Times New Roman"/>
          <w:sz w:val="24"/>
          <w:szCs w:val="24"/>
        </w:rPr>
        <w:t xml:space="preserve"> for the </w:t>
      </w:r>
      <w:ins w:id="22" w:author="Keegan, Sara" w:date="2025-05-06T14:25:00Z">
        <w:r w:rsidR="00E5304E">
          <w:rPr>
            <w:rFonts w:eastAsia="Times New Roman"/>
            <w:sz w:val="24"/>
            <w:szCs w:val="24"/>
          </w:rPr>
          <w:t xml:space="preserve">required </w:t>
        </w:r>
      </w:ins>
      <w:del w:id="23" w:author="Keegan, Sara" w:date="2025-05-06T14:25:00Z">
        <w:r w:rsidRPr="00EB7C69">
          <w:rPr>
            <w:rFonts w:eastAsia="Times New Roman"/>
            <w:sz w:val="24"/>
            <w:szCs w:val="24"/>
          </w:rPr>
          <w:delText>System Upgrade Facilities</w:delText>
        </w:r>
      </w:del>
      <w:ins w:id="24" w:author="Keegan, Sara" w:date="2025-05-06T14:25:00Z">
        <w:r w:rsidRPr="00886046" w:rsidR="00E5304E">
          <w:rPr>
            <w:rFonts w:eastAsia="Times New Roman"/>
            <w:sz w:val="24"/>
            <w:szCs w:val="24"/>
          </w:rPr>
          <w:t>interconnection facilities</w:t>
        </w:r>
      </w:ins>
      <w:r w:rsidRPr="00886046">
        <w:rPr>
          <w:rFonts w:eastAsia="Times New Roman"/>
          <w:sz w:val="24"/>
          <w:szCs w:val="24"/>
        </w:rPr>
        <w:t>.</w:t>
      </w:r>
      <w:r w:rsidRPr="00EB7C69">
        <w:rPr>
          <w:rFonts w:eastAsia="Times New Roman"/>
          <w:sz w:val="24"/>
          <w:szCs w:val="24"/>
        </w:rPr>
        <w:t xml:space="preserve">  </w:t>
      </w:r>
    </w:p>
    <w:p w:rsidR="00FD694B" w:rsidRPr="002C2BC5" w:rsidP="00FD694B" w14:paraId="023116D2" w14:textId="24FB43EA">
      <w:pPr>
        <w:widowControl/>
        <w:spacing w:line="480" w:lineRule="auto"/>
        <w:ind w:left="1440" w:hanging="720"/>
        <w:rPr>
          <w:ins w:id="25" w:author="Author"/>
          <w:rFonts w:eastAsia="Times New Roman"/>
          <w:sz w:val="24"/>
          <w:szCs w:val="24"/>
        </w:rPr>
      </w:pPr>
      <w:ins w:id="26" w:author="Author">
        <w:r>
          <w:rPr>
            <w:rFonts w:eastAsia="Times New Roman"/>
            <w:sz w:val="24"/>
            <w:szCs w:val="24"/>
          </w:rPr>
          <w:t>40.12.2.1.1</w:t>
        </w:r>
      </w:ins>
      <w:ins w:id="27" w:author="Author">
        <w:r>
          <w:rPr>
            <w:rFonts w:eastAsia="Times New Roman"/>
            <w:sz w:val="24"/>
            <w:szCs w:val="24"/>
          </w:rPr>
          <w:tab/>
        </w:r>
      </w:ins>
      <w:ins w:id="28" w:author="Author">
        <w:r w:rsidRPr="00FD694B">
          <w:rPr>
            <w:rFonts w:eastAsia="Times New Roman"/>
            <w:sz w:val="24"/>
            <w:szCs w:val="24"/>
          </w:rPr>
          <w:t>For System Upgrade Facilities identified in the Cluster Study, the NYISO</w:t>
        </w:r>
      </w:ins>
      <w:ins w:id="29" w:author="Author">
        <w:r>
          <w:rPr>
            <w:rFonts w:eastAsia="Times New Roman"/>
            <w:sz w:val="24"/>
            <w:szCs w:val="24"/>
          </w:rPr>
          <w:t>, in consultation with the applicable Transmission Owner(s),</w:t>
        </w:r>
      </w:ins>
      <w:ins w:id="30" w:author="Author">
        <w:r w:rsidRPr="00FD694B">
          <w:rPr>
            <w:rFonts w:eastAsia="Times New Roman"/>
            <w:sz w:val="24"/>
            <w:szCs w:val="24"/>
          </w:rPr>
          <w:t xml:space="preserve"> shall calculate each </w:t>
        </w:r>
      </w:ins>
      <w:ins w:id="31" w:author="Author">
        <w:r w:rsidRPr="002C2BC5">
          <w:rPr>
            <w:rFonts w:eastAsia="Times New Roman"/>
            <w:sz w:val="24"/>
            <w:szCs w:val="24"/>
          </w:rPr>
          <w:t>Interconnection Customer’s share of the costs as follows:</w:t>
        </w:r>
      </w:ins>
    </w:p>
    <w:p w:rsidR="00EB7C69" w:rsidP="001C32AA" w14:paraId="15016283" w14:textId="47BAC767">
      <w:pPr>
        <w:widowControl/>
        <w:spacing w:line="480" w:lineRule="auto"/>
        <w:ind w:left="1440" w:hanging="720"/>
        <w:rPr>
          <w:ins w:id="32" w:author="Author"/>
          <w:rFonts w:eastAsia="Times New Roman"/>
          <w:sz w:val="24"/>
          <w:szCs w:val="24"/>
        </w:rPr>
      </w:pPr>
      <w:ins w:id="33" w:author="Author">
        <w:r w:rsidRPr="00A10F79">
          <w:rPr>
            <w:rFonts w:eastAsia="Times New Roman"/>
            <w:sz w:val="24"/>
            <w:szCs w:val="24"/>
          </w:rPr>
          <w:t xml:space="preserve">(a) Local System Upgrade Facilities, including all switching stations, shall be allocated first per capita to </w:t>
        </w:r>
      </w:ins>
      <w:ins w:id="34" w:author="Keegan, Sara" w:date="2025-05-13T11:13:00Z">
        <w:r w:rsidRPr="00E02B14" w:rsidR="00E470F3">
          <w:rPr>
            <w:rFonts w:eastAsia="Times New Roman"/>
            <w:sz w:val="24"/>
            <w:szCs w:val="24"/>
          </w:rPr>
          <w:t>i</w:t>
        </w:r>
      </w:ins>
      <w:ins w:id="35" w:author="Keegan, Sara" w:date="2025-05-05T18:04:00Z">
        <w:r w:rsidRPr="00A10F79" w:rsidR="004E0D7B">
          <w:rPr>
            <w:rFonts w:eastAsia="Times New Roman"/>
            <w:sz w:val="24"/>
            <w:szCs w:val="24"/>
          </w:rPr>
          <w:t xml:space="preserve">nterconnection </w:t>
        </w:r>
      </w:ins>
      <w:ins w:id="36" w:author="Keegan, Sara" w:date="2025-05-13T11:13:00Z">
        <w:r w:rsidRPr="00E02B14" w:rsidR="00E470F3">
          <w:rPr>
            <w:rFonts w:eastAsia="Times New Roman"/>
            <w:sz w:val="24"/>
            <w:szCs w:val="24"/>
          </w:rPr>
          <w:t>f</w:t>
        </w:r>
      </w:ins>
      <w:ins w:id="37" w:author="Keegan, Sara" w:date="2025-05-05T18:04:00Z">
        <w:r w:rsidRPr="00A10F79" w:rsidR="004E0D7B">
          <w:rPr>
            <w:rFonts w:eastAsia="Times New Roman"/>
            <w:sz w:val="24"/>
            <w:szCs w:val="24"/>
          </w:rPr>
          <w:t>acilities</w:t>
        </w:r>
      </w:ins>
      <w:r w:rsidRPr="00A10F79" w:rsidR="004C6DB6">
        <w:rPr>
          <w:rFonts w:eastAsia="Times New Roman"/>
          <w:sz w:val="24"/>
          <w:szCs w:val="24"/>
        </w:rPr>
        <w:t xml:space="preserve"> </w:t>
      </w:r>
      <w:ins w:id="38" w:author="Author">
        <w:r w:rsidRPr="00A10F79">
          <w:rPr>
            <w:rFonts w:eastAsia="Times New Roman"/>
            <w:sz w:val="24"/>
            <w:szCs w:val="24"/>
          </w:rPr>
          <w:t>interconnecting to the substation at the same voltage level, and then per capita to each Facility</w:t>
        </w:r>
      </w:ins>
      <w:ins w:id="39" w:author="Keegan, Sara" w:date="2025-05-05T18:09:00Z">
        <w:r w:rsidRPr="00A10F79" w:rsidR="001C32AA">
          <w:rPr>
            <w:rFonts w:eastAsia="Times New Roman"/>
            <w:sz w:val="24"/>
            <w:szCs w:val="24"/>
          </w:rPr>
          <w:t xml:space="preserve"> sharing the </w:t>
        </w:r>
      </w:ins>
      <w:ins w:id="40" w:author="Keegan, Sara" w:date="2025-05-13T11:17:00Z">
        <w:r w:rsidRPr="00E02B14" w:rsidR="00CF05F0">
          <w:rPr>
            <w:rFonts w:eastAsia="Times New Roman"/>
            <w:sz w:val="24"/>
            <w:szCs w:val="24"/>
          </w:rPr>
          <w:t>i</w:t>
        </w:r>
      </w:ins>
      <w:ins w:id="41" w:author="Keegan, Sara" w:date="2025-05-05T18:09:00Z">
        <w:r w:rsidRPr="00A10F79" w:rsidR="001C32AA">
          <w:rPr>
            <w:rFonts w:eastAsia="Times New Roman"/>
            <w:sz w:val="24"/>
            <w:szCs w:val="24"/>
          </w:rPr>
          <w:t xml:space="preserve">nterconnection </w:t>
        </w:r>
      </w:ins>
      <w:ins w:id="42" w:author="Keegan, Sara" w:date="2025-05-13T11:17:00Z">
        <w:r w:rsidRPr="00E02B14" w:rsidR="00CF05F0">
          <w:rPr>
            <w:rFonts w:eastAsia="Times New Roman"/>
            <w:sz w:val="24"/>
            <w:szCs w:val="24"/>
          </w:rPr>
          <w:t>f</w:t>
        </w:r>
      </w:ins>
      <w:ins w:id="43" w:author="Keegan, Sara" w:date="2025-05-05T18:09:00Z">
        <w:r w:rsidRPr="00A10F79" w:rsidR="001C32AA">
          <w:rPr>
            <w:rFonts w:eastAsia="Times New Roman"/>
            <w:sz w:val="24"/>
            <w:szCs w:val="24"/>
          </w:rPr>
          <w:t>acility.</w:t>
        </w:r>
      </w:ins>
      <w:ins w:id="44" w:author="Keegan, Sara" w:date="2025-05-05T18:09:00Z">
        <w:r w:rsidRPr="7034DF60" w:rsidR="001C32AA">
          <w:rPr>
            <w:rFonts w:eastAsia="Times New Roman"/>
            <w:sz w:val="24"/>
            <w:szCs w:val="24"/>
          </w:rPr>
          <w:t xml:space="preserve"> </w:t>
        </w:r>
      </w:ins>
      <w:r w:rsidRPr="7034DF60">
        <w:rPr>
          <w:rFonts w:eastAsia="Times New Roman"/>
          <w:sz w:val="24"/>
          <w:szCs w:val="24"/>
        </w:rPr>
        <w:t>The System Upgrade Facilities identified through the Cluster Project Assessment will only be those System Upgrade Facilities that are not already included in a Cluster Baseline Assessment.  If a Distribution Upgrade is identified in the Cluster Project Assessment, the ISO shall apply the same requirements applicable to System Upgrade Facilities in this Section 40.12.2 to the Distribution Upgrade.</w:t>
      </w:r>
      <w:ins w:id="45" w:author="Author">
        <w:r w:rsidRPr="7034DF60" w:rsidR="00FD2BDB">
          <w:rPr>
            <w:rFonts w:eastAsia="Times New Roman"/>
            <w:sz w:val="24"/>
            <w:szCs w:val="24"/>
          </w:rPr>
          <w:t xml:space="preserve"> </w:t>
        </w:r>
      </w:ins>
    </w:p>
    <w:p w:rsidR="0088279E" w:rsidRPr="00EB7C69" w:rsidP="001C32AA" w14:paraId="62A0BC4F" w14:textId="6B614CA7">
      <w:pPr>
        <w:widowControl/>
        <w:spacing w:line="480" w:lineRule="auto"/>
        <w:ind w:left="1440" w:hanging="720"/>
        <w:rPr>
          <w:del w:id="46" w:author="Author"/>
          <w:rFonts w:eastAsia="Times New Roman"/>
          <w:sz w:val="24"/>
          <w:szCs w:val="24"/>
        </w:rPr>
      </w:pPr>
      <w:ins w:id="47" w:author="Author">
        <w:r>
          <w:rPr>
            <w:rFonts w:eastAsia="Times New Roman"/>
            <w:sz w:val="24"/>
            <w:szCs w:val="24"/>
          </w:rPr>
          <w:t>40.12.2.1.</w:t>
        </w:r>
      </w:ins>
      <w:ins w:id="48" w:author="Keegan, Sara" w:date="2025-05-13T14:33:00Z">
        <w:r w:rsidRPr="00E02B14" w:rsidR="00CA5649">
          <w:rPr>
            <w:rFonts w:eastAsia="Times New Roman"/>
            <w:sz w:val="24"/>
            <w:szCs w:val="24"/>
          </w:rPr>
          <w:t>2</w:t>
        </w:r>
      </w:ins>
      <w:ins w:id="49" w:author="Author">
        <w:r>
          <w:rPr>
            <w:rFonts w:eastAsia="Times New Roman"/>
            <w:sz w:val="24"/>
            <w:szCs w:val="24"/>
          </w:rPr>
          <w:tab/>
        </w:r>
      </w:ins>
      <w:ins w:id="50" w:author="Author">
        <w:r w:rsidRPr="0088279E">
          <w:rPr>
            <w:rFonts w:eastAsia="Times New Roman"/>
            <w:sz w:val="24"/>
            <w:szCs w:val="24"/>
          </w:rPr>
          <w:t xml:space="preserve">The costs of any needed </w:t>
        </w:r>
      </w:ins>
      <w:ins w:id="51" w:author="Keegan, Sara" w:date="2025-05-06T14:33:00Z">
        <w:r w:rsidR="00092234">
          <w:rPr>
            <w:rFonts w:eastAsia="Times New Roman"/>
            <w:sz w:val="24"/>
            <w:szCs w:val="24"/>
          </w:rPr>
          <w:t>Connecting Transmission Owner’s Attachment Facilities and Distribution Upgrades</w:t>
        </w:r>
      </w:ins>
      <w:ins w:id="52" w:author="Author">
        <w:r w:rsidRPr="0088279E">
          <w:rPr>
            <w:rFonts w:eastAsia="Times New Roman"/>
            <w:sz w:val="24"/>
            <w:szCs w:val="24"/>
          </w:rPr>
          <w:t xml:space="preserve"> identified in the Cluster Study Process will be directly assigned to Interconnection Customer(s) using such facilities.  Where Interconnection Customers in the </w:t>
        </w:r>
      </w:ins>
      <w:ins w:id="53" w:author="Keegan, Sara" w:date="2025-05-06T14:35:00Z">
        <w:r w:rsidR="00CC3FAB">
          <w:rPr>
            <w:rFonts w:eastAsia="Times New Roman"/>
            <w:sz w:val="24"/>
            <w:szCs w:val="24"/>
          </w:rPr>
          <w:t xml:space="preserve">same </w:t>
        </w:r>
      </w:ins>
      <w:ins w:id="54" w:author="Author">
        <w:r w:rsidRPr="0088279E">
          <w:rPr>
            <w:rFonts w:eastAsia="Times New Roman"/>
            <w:sz w:val="24"/>
            <w:szCs w:val="24"/>
          </w:rPr>
          <w:t xml:space="preserve">Cluster </w:t>
        </w:r>
      </w:ins>
      <w:ins w:id="55" w:author="Author">
        <w:r>
          <w:rPr>
            <w:rFonts w:eastAsia="Times New Roman"/>
            <w:sz w:val="24"/>
            <w:szCs w:val="24"/>
          </w:rPr>
          <w:t xml:space="preserve">Study </w:t>
        </w:r>
      </w:ins>
      <w:ins w:id="56" w:author="Author">
        <w:r w:rsidRPr="0088279E">
          <w:rPr>
            <w:rFonts w:eastAsia="Times New Roman"/>
            <w:sz w:val="24"/>
            <w:szCs w:val="24"/>
          </w:rPr>
          <w:t>agree to share</w:t>
        </w:r>
      </w:ins>
      <w:ins w:id="57" w:author="Keegan, Sara" w:date="2025-05-06T14:34:00Z">
        <w:r w:rsidR="00D732AF">
          <w:rPr>
            <w:rFonts w:eastAsia="Times New Roman"/>
            <w:sz w:val="24"/>
            <w:szCs w:val="24"/>
          </w:rPr>
          <w:t xml:space="preserve"> </w:t>
        </w:r>
      </w:ins>
      <w:ins w:id="58" w:author="Keegan, Sara" w:date="2025-05-06T14:34:00Z">
        <w:r w:rsidRPr="00D732AF" w:rsidR="00D732AF">
          <w:rPr>
            <w:rFonts w:eastAsia="Times New Roman"/>
            <w:sz w:val="24"/>
            <w:szCs w:val="24"/>
          </w:rPr>
          <w:t>Connecting Transmission Owner’s Attachment Facilities and Distribution Upgrade</w:t>
        </w:r>
      </w:ins>
      <w:ins w:id="59" w:author="Keegan, Sara" w:date="2025-05-06T14:35:00Z">
        <w:r w:rsidR="00CC3FAB">
          <w:rPr>
            <w:rFonts w:eastAsia="Times New Roman"/>
            <w:sz w:val="24"/>
            <w:szCs w:val="24"/>
          </w:rPr>
          <w:t>s</w:t>
        </w:r>
      </w:ins>
      <w:ins w:id="60" w:author="Author">
        <w:r w:rsidRPr="0088279E">
          <w:rPr>
            <w:rFonts w:eastAsia="Times New Roman"/>
            <w:sz w:val="24"/>
            <w:szCs w:val="24"/>
          </w:rPr>
          <w:t xml:space="preserve">, the cost of such </w:t>
        </w:r>
      </w:ins>
      <w:ins w:id="61" w:author="Keegan, Sara" w:date="2025-05-06T14:32:00Z">
        <w:r w:rsidR="000E0514">
          <w:rPr>
            <w:rFonts w:eastAsia="Times New Roman"/>
            <w:sz w:val="24"/>
            <w:szCs w:val="24"/>
          </w:rPr>
          <w:t>i</w:t>
        </w:r>
      </w:ins>
      <w:ins w:id="62" w:author="Author">
        <w:r w:rsidRPr="0088279E">
          <w:rPr>
            <w:rFonts w:eastAsia="Times New Roman"/>
            <w:sz w:val="24"/>
            <w:szCs w:val="24"/>
          </w:rPr>
          <w:t xml:space="preserve">nterconnection </w:t>
        </w:r>
      </w:ins>
      <w:ins w:id="63" w:author="Keegan, Sara" w:date="2025-05-06T14:32:00Z">
        <w:r w:rsidR="000E0514">
          <w:rPr>
            <w:rFonts w:eastAsia="Times New Roman"/>
            <w:sz w:val="24"/>
            <w:szCs w:val="24"/>
          </w:rPr>
          <w:t>f</w:t>
        </w:r>
      </w:ins>
      <w:ins w:id="64" w:author="Author">
        <w:r w:rsidRPr="0088279E">
          <w:rPr>
            <w:rFonts w:eastAsia="Times New Roman"/>
            <w:sz w:val="24"/>
            <w:szCs w:val="24"/>
          </w:rPr>
          <w:t xml:space="preserve">acilities shall be allocated based on the number of Facilities sharing use of such </w:t>
        </w:r>
      </w:ins>
      <w:ins w:id="65" w:author="Keegan, Sara" w:date="2025-05-06T14:33:00Z">
        <w:r w:rsidR="00092234">
          <w:rPr>
            <w:rFonts w:eastAsia="Times New Roman"/>
            <w:sz w:val="24"/>
            <w:szCs w:val="24"/>
          </w:rPr>
          <w:t>i</w:t>
        </w:r>
      </w:ins>
      <w:ins w:id="66" w:author="Author">
        <w:r w:rsidRPr="0088279E">
          <w:rPr>
            <w:rFonts w:eastAsia="Times New Roman"/>
            <w:sz w:val="24"/>
            <w:szCs w:val="24"/>
          </w:rPr>
          <w:t xml:space="preserve">nterconnection </w:t>
        </w:r>
      </w:ins>
      <w:ins w:id="67" w:author="Keegan, Sara" w:date="2025-05-06T14:33:00Z">
        <w:r w:rsidR="00092234">
          <w:rPr>
            <w:rFonts w:eastAsia="Times New Roman"/>
            <w:sz w:val="24"/>
            <w:szCs w:val="24"/>
          </w:rPr>
          <w:t>f</w:t>
        </w:r>
      </w:ins>
      <w:ins w:id="68" w:author="Author">
        <w:r w:rsidRPr="0088279E">
          <w:rPr>
            <w:rFonts w:eastAsia="Times New Roman"/>
            <w:sz w:val="24"/>
            <w:szCs w:val="24"/>
          </w:rPr>
          <w:t>acilities on a per capita basis (</w:t>
        </w:r>
      </w:ins>
      <w:ins w:id="69" w:author="Author">
        <w:r w:rsidRPr="0088279E">
          <w:rPr>
            <w:rFonts w:eastAsia="Times New Roman"/>
            <w:i/>
            <w:iCs/>
            <w:sz w:val="24"/>
            <w:szCs w:val="24"/>
          </w:rPr>
          <w:t>i.e.</w:t>
        </w:r>
      </w:ins>
      <w:ins w:id="70" w:author="Author">
        <w:r w:rsidRPr="0088279E">
          <w:rPr>
            <w:rFonts w:eastAsia="Times New Roman"/>
            <w:sz w:val="24"/>
            <w:szCs w:val="24"/>
          </w:rPr>
          <w:t xml:space="preserve">, </w:t>
        </w:r>
      </w:ins>
      <w:ins w:id="71" w:author="Author">
        <w:r w:rsidRPr="0088279E">
          <w:rPr>
            <w:rFonts w:eastAsia="Times New Roman"/>
            <w:sz w:val="24"/>
            <w:szCs w:val="24"/>
          </w:rPr>
          <w:t xml:space="preserve">on a per Facility basis), unless </w:t>
        </w:r>
      </w:ins>
      <w:ins w:id="72" w:author="Keegan, Sara" w:date="2025-05-06T14:35:00Z">
        <w:r w:rsidR="00D732AF">
          <w:rPr>
            <w:rFonts w:eastAsia="Times New Roman"/>
            <w:sz w:val="24"/>
            <w:szCs w:val="24"/>
          </w:rPr>
          <w:t>p</w:t>
        </w:r>
      </w:ins>
      <w:ins w:id="73" w:author="Author">
        <w:r w:rsidRPr="0088279E">
          <w:rPr>
            <w:rFonts w:eastAsia="Times New Roman"/>
            <w:sz w:val="24"/>
            <w:szCs w:val="24"/>
          </w:rPr>
          <w:t>arties mutually agree to a different cost sharing arrangement.</w:t>
        </w:r>
      </w:ins>
    </w:p>
    <w:p w:rsidR="00EB7C69" w:rsidRPr="00EB7C69" w:rsidP="00EB7C69" w14:paraId="712D022B" w14:textId="77777777">
      <w:pPr>
        <w:widowControl/>
        <w:spacing w:line="480" w:lineRule="auto"/>
        <w:ind w:left="1440" w:hanging="720"/>
        <w:rPr>
          <w:rFonts w:eastAsia="Times New Roman"/>
          <w:sz w:val="24"/>
          <w:szCs w:val="24"/>
        </w:rPr>
      </w:pPr>
      <w:bookmarkStart w:id="74" w:name="_Toc260339035"/>
      <w:r w:rsidRPr="00EB7C69">
        <w:rPr>
          <w:rFonts w:eastAsia="Times New Roman"/>
          <w:sz w:val="24"/>
          <w:szCs w:val="24"/>
        </w:rPr>
        <w:t>40.12.2.2</w:t>
      </w:r>
      <w:r w:rsidRPr="00EB7C69">
        <w:rPr>
          <w:rFonts w:eastAsia="Times New Roman"/>
          <w:sz w:val="24"/>
          <w:szCs w:val="24"/>
        </w:rPr>
        <w:tab/>
        <w:t>For each Cluster Project Assessment, the ISO will utilize the Existing System Representation used for the corresponding Cluster Baseline Assessment.</w:t>
      </w:r>
      <w:bookmarkEnd w:id="74"/>
      <w:r w:rsidRPr="00EB7C69">
        <w:rPr>
          <w:rFonts w:eastAsia="Times New Roman"/>
          <w:sz w:val="24"/>
          <w:szCs w:val="24"/>
        </w:rPr>
        <w:t xml:space="preserve"> </w:t>
      </w:r>
    </w:p>
    <w:p w:rsidR="00EB7C69" w:rsidRPr="00EB7C69" w:rsidP="00B01720" w14:paraId="66B92FDE" w14:textId="12CA1346">
      <w:pPr>
        <w:widowControl/>
        <w:spacing w:line="480" w:lineRule="auto"/>
        <w:ind w:left="1440" w:hanging="720"/>
        <w:rPr>
          <w:rFonts w:eastAsia="Times New Roman"/>
          <w:sz w:val="24"/>
          <w:szCs w:val="24"/>
        </w:rPr>
      </w:pPr>
      <w:r w:rsidRPr="00EB7C69">
        <w:rPr>
          <w:rFonts w:eastAsia="Times New Roman"/>
          <w:sz w:val="24"/>
          <w:szCs w:val="24"/>
        </w:rPr>
        <w:t>40.12.2.3</w:t>
      </w:r>
      <w:r w:rsidRPr="00EB7C69">
        <w:rPr>
          <w:rFonts w:eastAsia="Times New Roman"/>
          <w:sz w:val="24"/>
          <w:szCs w:val="24"/>
        </w:rPr>
        <w:tab/>
        <w:t xml:space="preserve">In the case of a new </w:t>
      </w:r>
      <w:ins w:id="75" w:author="Keegan, Sara" w:date="2025-05-06T14:38:00Z">
        <w:r w:rsidR="000960B4">
          <w:rPr>
            <w:rFonts w:eastAsia="Times New Roman"/>
            <w:sz w:val="24"/>
            <w:szCs w:val="24"/>
          </w:rPr>
          <w:t xml:space="preserve">non-Local </w:t>
        </w:r>
      </w:ins>
      <w:r w:rsidRPr="00EB7C69">
        <w:rPr>
          <w:rFonts w:eastAsia="Times New Roman"/>
          <w:sz w:val="24"/>
          <w:szCs w:val="24"/>
        </w:rPr>
        <w:t xml:space="preserve">System Upgrade Facility that has a functional capacity not readily measured in amperes or other discrete electrical units, such as a System Upgrade Facility dedicated to system protection, the </w:t>
      </w:r>
      <w:r w:rsidRPr="00EB7C69">
        <w:rPr>
          <w:rFonts w:eastAsia="Times New Roman"/>
          <w:i/>
          <w:iCs/>
          <w:sz w:val="24"/>
          <w:szCs w:val="24"/>
        </w:rPr>
        <w:t>pro rata</w:t>
      </w:r>
      <w:r w:rsidRPr="00EB7C69">
        <w:rPr>
          <w:rFonts w:eastAsia="Times New Roman"/>
          <w:sz w:val="24"/>
          <w:szCs w:val="24"/>
        </w:rPr>
        <w:t xml:space="preserve"> impact of each project in the Cluster Study on the reliability of the transmission system will be based upon the number of Projects in the Cluster Study contributing to the need for the new System Upgrade Facility.  The </w:t>
      </w:r>
      <w:r w:rsidRPr="00EB7C69">
        <w:rPr>
          <w:rFonts w:eastAsia="Times New Roman"/>
          <w:i/>
          <w:iCs/>
          <w:sz w:val="24"/>
          <w:szCs w:val="24"/>
        </w:rPr>
        <w:t>pro rata</w:t>
      </w:r>
      <w:r w:rsidRPr="00EB7C69">
        <w:rPr>
          <w:rFonts w:eastAsia="Times New Roman"/>
          <w:sz w:val="24"/>
          <w:szCs w:val="24"/>
        </w:rPr>
        <w:t xml:space="preserve"> impact of each project in the Cluster Study needing such a new System Upgrade Facility will be equal.  Accordingly, the </w:t>
      </w:r>
      <w:r w:rsidRPr="00EB7C69">
        <w:rPr>
          <w:rFonts w:eastAsia="Times New Roman"/>
          <w:i/>
          <w:iCs/>
          <w:sz w:val="24"/>
          <w:szCs w:val="24"/>
        </w:rPr>
        <w:t>pro rata</w:t>
      </w:r>
      <w:r w:rsidRPr="00EB7C69">
        <w:rPr>
          <w:rFonts w:eastAsia="Times New Roman"/>
          <w:sz w:val="24"/>
          <w:szCs w:val="24"/>
        </w:rPr>
        <w:t xml:space="preserve"> contribution of each of the Projects to the need for the new System Upgrade Facility will be equal to (1/a), where “a” is the total number of Projects in the Cluster needing the new System Upgrade Facility.</w:t>
      </w:r>
    </w:p>
    <w:p w:rsidR="00EB7C69" w:rsidRPr="00EB7C69" w:rsidP="00EB7C69" w14:paraId="696E486A" w14:textId="10C8AB52">
      <w:pPr>
        <w:widowControl/>
        <w:spacing w:line="480" w:lineRule="auto"/>
        <w:ind w:left="1440" w:hanging="720"/>
        <w:rPr>
          <w:rFonts w:eastAsia="Times New Roman"/>
          <w:sz w:val="24"/>
          <w:szCs w:val="24"/>
        </w:rPr>
      </w:pPr>
      <w:r w:rsidRPr="00EB7C69">
        <w:rPr>
          <w:rFonts w:eastAsia="Times New Roman"/>
          <w:sz w:val="24"/>
          <w:szCs w:val="24"/>
        </w:rPr>
        <w:t>40.12.2.4</w:t>
      </w:r>
      <w:r w:rsidRPr="00EB7C69">
        <w:rPr>
          <w:rFonts w:eastAsia="Times New Roman"/>
          <w:sz w:val="24"/>
          <w:szCs w:val="24"/>
        </w:rPr>
        <w:tab/>
        <w:t xml:space="preserve">In the case of a new </w:t>
      </w:r>
      <w:ins w:id="76" w:author="Keegan, Sara" w:date="2025-05-06T14:44:00Z">
        <w:r w:rsidR="00F739B8">
          <w:rPr>
            <w:rFonts w:eastAsia="Times New Roman"/>
            <w:sz w:val="24"/>
            <w:szCs w:val="24"/>
          </w:rPr>
          <w:t xml:space="preserve">non-Local </w:t>
        </w:r>
      </w:ins>
      <w:r w:rsidRPr="00EB7C69">
        <w:rPr>
          <w:rFonts w:eastAsia="Times New Roman"/>
          <w:sz w:val="24"/>
          <w:szCs w:val="24"/>
        </w:rPr>
        <w:t xml:space="preserve">System Upgrade Facility that has a capacity readily measured in amperes or other discrete electrical units, the impact of each project in the Cluster Study will be stated in terms of its </w:t>
      </w:r>
      <w:r w:rsidRPr="00EB7C69">
        <w:rPr>
          <w:rFonts w:eastAsia="Times New Roman"/>
          <w:i/>
          <w:iCs/>
          <w:sz w:val="24"/>
          <w:szCs w:val="24"/>
        </w:rPr>
        <w:t>pro rata</w:t>
      </w:r>
      <w:r w:rsidRPr="00EB7C69">
        <w:rPr>
          <w:rFonts w:eastAsia="Times New Roman"/>
          <w:sz w:val="24"/>
          <w:szCs w:val="24"/>
        </w:rPr>
        <w:t xml:space="preserve"> contribution to the total electrical impact on each individual System Upgrade Facility in the Cluster Study of all Projects that have at least a </w:t>
      </w:r>
      <w:r w:rsidRPr="00EB7C69">
        <w:rPr>
          <w:rFonts w:eastAsia="Times New Roman"/>
          <w:i/>
          <w:iCs/>
          <w:sz w:val="24"/>
          <w:szCs w:val="24"/>
        </w:rPr>
        <w:t xml:space="preserve">de </w:t>
      </w:r>
      <w:r w:rsidRPr="00EB7C69">
        <w:rPr>
          <w:rFonts w:eastAsia="Times New Roman"/>
          <w:i/>
          <w:iCs/>
          <w:sz w:val="24"/>
          <w:szCs w:val="24"/>
        </w:rPr>
        <w:t>minimus</w:t>
      </w:r>
      <w:r w:rsidRPr="00EB7C69">
        <w:rPr>
          <w:rFonts w:eastAsia="Times New Roman"/>
          <w:sz w:val="24"/>
          <w:szCs w:val="24"/>
        </w:rPr>
        <w:t xml:space="preserve"> impact, as described in Section 40.12.2.5 of these rules.  The contribution to electrical impact will be measured in various ways depending on the nature of the </w:t>
      </w:r>
      <w:r w:rsidRPr="00EB7C69">
        <w:rPr>
          <w:rFonts w:eastAsia="Times New Roman"/>
          <w:sz w:val="24"/>
          <w:szCs w:val="24"/>
        </w:rPr>
        <w:t>transmission problem primarily causing the need for the individual System Upgrade Facility.</w:t>
      </w:r>
    </w:p>
    <w:p w:rsidR="00EB7C69" w:rsidRPr="00EB7C69" w:rsidP="00EB7C69" w14:paraId="46DCF282" w14:textId="276C229B">
      <w:pPr>
        <w:widowControl/>
        <w:spacing w:line="480" w:lineRule="auto"/>
        <w:ind w:left="1440" w:hanging="720"/>
        <w:rPr>
          <w:rFonts w:eastAsia="Times New Roman"/>
          <w:sz w:val="24"/>
          <w:szCs w:val="24"/>
        </w:rPr>
      </w:pPr>
      <w:r w:rsidRPr="00EB7C69">
        <w:rPr>
          <w:rFonts w:eastAsia="Times New Roman"/>
          <w:sz w:val="24"/>
          <w:szCs w:val="24"/>
        </w:rPr>
        <w:t>40.12.2.4.1</w:t>
      </w:r>
      <w:r w:rsidRPr="00EB7C69">
        <w:rPr>
          <w:rFonts w:eastAsia="Times New Roman"/>
          <w:sz w:val="24"/>
          <w:szCs w:val="24"/>
        </w:rPr>
        <w:tab/>
        <w:t>Contribution to short-circuit current for interrupting duty beyond the rating of equipment.</w:t>
      </w:r>
    </w:p>
    <w:p w:rsidR="00EB7C69" w:rsidRPr="00EB7C69" w:rsidP="00EB7C69" w14:paraId="25504390" w14:textId="768E7759">
      <w:pPr>
        <w:widowControl/>
        <w:spacing w:line="480" w:lineRule="auto"/>
        <w:ind w:left="1440" w:hanging="720"/>
        <w:rPr>
          <w:rFonts w:eastAsia="Times New Roman"/>
          <w:sz w:val="24"/>
          <w:szCs w:val="24"/>
        </w:rPr>
      </w:pPr>
      <w:r w:rsidRPr="00EB7C69">
        <w:rPr>
          <w:rFonts w:eastAsia="Times New Roman"/>
          <w:sz w:val="24"/>
          <w:szCs w:val="24"/>
        </w:rPr>
        <w:t>40.12.2.4.2</w:t>
      </w:r>
      <w:r w:rsidRPr="00EB7C69">
        <w:rPr>
          <w:rFonts w:eastAsia="Times New Roman"/>
          <w:sz w:val="24"/>
          <w:szCs w:val="24"/>
        </w:rPr>
        <w:tab/>
        <w:t xml:space="preserve">Contribution to MW loading on the critical element for thermal overloads under the test conditions that cause the need for a System Upgrade Facility.  MW contribution will be calculated by multiplying the associated distribution factor by the declared maximum MW of the project.  The distribution factor is calculated by </w:t>
      </w:r>
      <w:r w:rsidRPr="00EB7C69">
        <w:rPr>
          <w:rFonts w:eastAsia="Times New Roman"/>
          <w:i/>
          <w:iCs/>
          <w:sz w:val="24"/>
          <w:szCs w:val="24"/>
        </w:rPr>
        <w:t>pro rata</w:t>
      </w:r>
      <w:r w:rsidRPr="00EB7C69">
        <w:rPr>
          <w:rFonts w:eastAsia="Times New Roman"/>
          <w:sz w:val="24"/>
          <w:szCs w:val="24"/>
        </w:rPr>
        <w:t xml:space="preserve"> displacement of New York System load by the added generation.</w:t>
      </w:r>
    </w:p>
    <w:p w:rsidR="00EB7C69" w:rsidRPr="00EB7C69" w:rsidP="00EB7C69" w14:paraId="133CB917" w14:textId="50DE30E4">
      <w:pPr>
        <w:widowControl/>
        <w:spacing w:line="480" w:lineRule="auto"/>
        <w:ind w:left="1440" w:hanging="720"/>
        <w:rPr>
          <w:rFonts w:eastAsia="Times New Roman"/>
          <w:sz w:val="24"/>
          <w:szCs w:val="24"/>
        </w:rPr>
      </w:pPr>
      <w:r w:rsidRPr="00EB7C69">
        <w:rPr>
          <w:rFonts w:eastAsia="Times New Roman"/>
          <w:sz w:val="24"/>
          <w:szCs w:val="24"/>
        </w:rPr>
        <w:t>40.12.2.4.3</w:t>
      </w:r>
      <w:r w:rsidRPr="00EB7C69">
        <w:rPr>
          <w:rFonts w:eastAsia="Times New Roman"/>
          <w:sz w:val="24"/>
          <w:szCs w:val="24"/>
        </w:rPr>
        <w:tab/>
        <w:t xml:space="preserve">Contribution to voltage drop on the most critical bus for voltage problems.  A critical bus will be defined as representative for voltage conditions during a specific contingency.  The </w:t>
      </w:r>
      <w:r w:rsidRPr="00EB7C69">
        <w:rPr>
          <w:rFonts w:eastAsia="Times New Roman"/>
          <w:i/>
          <w:iCs/>
          <w:sz w:val="24"/>
          <w:szCs w:val="24"/>
        </w:rPr>
        <w:t>pro rata</w:t>
      </w:r>
      <w:r w:rsidRPr="00EB7C69">
        <w:rPr>
          <w:rFonts w:eastAsia="Times New Roman"/>
          <w:sz w:val="24"/>
          <w:szCs w:val="24"/>
        </w:rPr>
        <w:t xml:space="preserve"> impact of each project is measured as the ratio of the voltage drop at the critical bus caused by the project when none of the other Projects are represented, to the voltage drop at the critical bus when all of the Projects in the Cluster Study are represented.</w:t>
      </w:r>
    </w:p>
    <w:p w:rsidR="00EB7C69" w:rsidRPr="00EB7C69" w:rsidP="00EB7C69" w14:paraId="1B956FAA" w14:textId="4CB3E16F">
      <w:pPr>
        <w:widowControl/>
        <w:spacing w:line="480" w:lineRule="auto"/>
        <w:ind w:left="1440" w:hanging="720"/>
        <w:rPr>
          <w:rFonts w:eastAsia="Times New Roman"/>
          <w:sz w:val="24"/>
          <w:szCs w:val="24"/>
        </w:rPr>
      </w:pPr>
      <w:r w:rsidRPr="00EB7C69">
        <w:rPr>
          <w:rFonts w:eastAsia="Times New Roman"/>
          <w:sz w:val="24"/>
          <w:szCs w:val="24"/>
        </w:rPr>
        <w:t>40.12.2.4.4</w:t>
      </w:r>
      <w:r w:rsidRPr="00EB7C69">
        <w:rPr>
          <w:rFonts w:eastAsia="Times New Roman"/>
          <w:sz w:val="24"/>
          <w:szCs w:val="24"/>
        </w:rPr>
        <w:tab/>
        <w:t xml:space="preserve">Contribution to transient stability problems as measured by the </w:t>
      </w:r>
      <w:r w:rsidRPr="00EB7C69">
        <w:rPr>
          <w:rFonts w:eastAsia="Times New Roman"/>
          <w:sz w:val="24"/>
          <w:szCs w:val="24"/>
        </w:rPr>
        <w:t>fault current</w:t>
      </w:r>
      <w:r w:rsidRPr="00EB7C69">
        <w:rPr>
          <w:rFonts w:eastAsia="Times New Roman"/>
          <w:sz w:val="24"/>
          <w:szCs w:val="24"/>
        </w:rPr>
        <w:t xml:space="preserve"> calculated for the most critical stability test that is causing the need for the System Upgrade Facility.</w:t>
      </w:r>
    </w:p>
    <w:p w:rsidR="00EB7C69" w:rsidRPr="00EB7C69" w:rsidP="00EB7C69" w14:paraId="4EE98B19" w14:textId="7075B95A">
      <w:pPr>
        <w:widowControl/>
        <w:spacing w:line="480" w:lineRule="auto"/>
        <w:ind w:left="1440" w:hanging="720"/>
        <w:rPr>
          <w:rFonts w:eastAsia="Times New Roman"/>
          <w:sz w:val="24"/>
          <w:szCs w:val="24"/>
        </w:rPr>
      </w:pPr>
      <w:r w:rsidRPr="00EB7C69">
        <w:rPr>
          <w:rFonts w:eastAsia="Times New Roman"/>
          <w:sz w:val="24"/>
          <w:szCs w:val="24"/>
        </w:rPr>
        <w:t>40.12.2.5</w:t>
      </w:r>
      <w:r w:rsidRPr="00EB7C69">
        <w:rPr>
          <w:rFonts w:eastAsia="Times New Roman"/>
          <w:sz w:val="24"/>
          <w:szCs w:val="24"/>
        </w:rPr>
        <w:tab/>
        <w:t xml:space="preserve">For each individual electrical impact standard listed in subsections 40.12.2.5.1.1 through 40.12.2.5.1.4 below, an Interconnection Customer will not be responsible for the cost associated with a corresponding System Upgrade Facility if its project’s contribution is less than the </w:t>
      </w:r>
      <w:r w:rsidRPr="00EB7C69">
        <w:rPr>
          <w:rFonts w:eastAsia="Times New Roman"/>
          <w:i/>
          <w:iCs/>
          <w:sz w:val="24"/>
          <w:szCs w:val="24"/>
        </w:rPr>
        <w:t xml:space="preserve">de </w:t>
      </w:r>
      <w:r w:rsidRPr="00EB7C69">
        <w:rPr>
          <w:rFonts w:eastAsia="Times New Roman"/>
          <w:i/>
          <w:iCs/>
          <w:sz w:val="24"/>
          <w:szCs w:val="24"/>
        </w:rPr>
        <w:t>minimus</w:t>
      </w:r>
      <w:r w:rsidRPr="00EB7C69">
        <w:rPr>
          <w:rFonts w:eastAsia="Times New Roman"/>
          <w:i/>
          <w:iCs/>
          <w:sz w:val="24"/>
          <w:szCs w:val="24"/>
        </w:rPr>
        <w:t xml:space="preserve"> </w:t>
      </w:r>
      <w:r w:rsidRPr="00EB7C69">
        <w:rPr>
          <w:rFonts w:eastAsia="Times New Roman"/>
          <w:sz w:val="24"/>
          <w:szCs w:val="24"/>
        </w:rPr>
        <w:t xml:space="preserve">impacts defined below.  The costs of Projects that would otherwise have been allocated to certain </w:t>
      </w:r>
      <w:r w:rsidRPr="00EB7C69">
        <w:rPr>
          <w:rFonts w:eastAsia="Times New Roman"/>
          <w:sz w:val="24"/>
          <w:szCs w:val="24"/>
        </w:rPr>
        <w:t>Interconnection Customers’ Projects but for the sub-</w:t>
      </w:r>
      <w:r w:rsidRPr="00EB7C69">
        <w:rPr>
          <w:rFonts w:eastAsia="Times New Roman"/>
          <w:i/>
          <w:iCs/>
          <w:sz w:val="24"/>
          <w:szCs w:val="24"/>
        </w:rPr>
        <w:t xml:space="preserve">de </w:t>
      </w:r>
      <w:r w:rsidRPr="00EB7C69">
        <w:rPr>
          <w:rFonts w:eastAsia="Times New Roman"/>
          <w:i/>
          <w:iCs/>
          <w:sz w:val="24"/>
          <w:szCs w:val="24"/>
        </w:rPr>
        <w:t>minimus</w:t>
      </w:r>
      <w:r w:rsidRPr="00EB7C69">
        <w:rPr>
          <w:rFonts w:eastAsia="Times New Roman"/>
          <w:i/>
          <w:iCs/>
          <w:sz w:val="24"/>
          <w:szCs w:val="24"/>
        </w:rPr>
        <w:t xml:space="preserve"> </w:t>
      </w:r>
      <w:r w:rsidRPr="00EB7C69">
        <w:rPr>
          <w:rFonts w:eastAsia="Times New Roman"/>
          <w:sz w:val="24"/>
          <w:szCs w:val="24"/>
        </w:rPr>
        <w:t xml:space="preserve">impact exemption, shall be allocated 100 %to the other Interconnection Customers in the Class Year according to their </w:t>
      </w:r>
      <w:r w:rsidRPr="00EB7C69">
        <w:rPr>
          <w:rFonts w:eastAsia="Times New Roman"/>
          <w:i/>
          <w:iCs/>
          <w:sz w:val="24"/>
          <w:szCs w:val="24"/>
        </w:rPr>
        <w:t>pro rata</w:t>
      </w:r>
      <w:r w:rsidRPr="00EB7C69">
        <w:rPr>
          <w:rFonts w:eastAsia="Times New Roman"/>
          <w:sz w:val="24"/>
          <w:szCs w:val="24"/>
        </w:rPr>
        <w:t xml:space="preserve"> contribution.</w:t>
      </w:r>
    </w:p>
    <w:p w:rsidR="00EB7C69" w:rsidRPr="00EB7C69" w:rsidP="00EB7C69" w14:paraId="708A1CB7" w14:textId="5011E446">
      <w:pPr>
        <w:widowControl/>
        <w:spacing w:line="480" w:lineRule="auto"/>
        <w:ind w:left="1440" w:hanging="720"/>
        <w:rPr>
          <w:rFonts w:eastAsia="Times New Roman"/>
          <w:sz w:val="24"/>
          <w:szCs w:val="24"/>
        </w:rPr>
      </w:pPr>
      <w:r w:rsidRPr="00EB7C69">
        <w:rPr>
          <w:rFonts w:eastAsia="Times New Roman"/>
          <w:sz w:val="24"/>
          <w:szCs w:val="24"/>
        </w:rPr>
        <w:t>40.12.2.5.1</w:t>
      </w:r>
      <w:r w:rsidRPr="00EB7C69">
        <w:rPr>
          <w:rFonts w:eastAsia="Times New Roman"/>
          <w:sz w:val="24"/>
          <w:szCs w:val="24"/>
        </w:rPr>
        <w:tab/>
      </w:r>
      <w:r w:rsidRPr="00EB7C69">
        <w:rPr>
          <w:rFonts w:eastAsia="Times New Roman"/>
          <w:i/>
          <w:iCs/>
          <w:sz w:val="24"/>
          <w:szCs w:val="24"/>
        </w:rPr>
        <w:t xml:space="preserve">De </w:t>
      </w:r>
      <w:r w:rsidRPr="00EB7C69">
        <w:rPr>
          <w:rFonts w:eastAsia="Times New Roman"/>
          <w:i/>
          <w:iCs/>
          <w:sz w:val="24"/>
          <w:szCs w:val="24"/>
        </w:rPr>
        <w:t>minimus</w:t>
      </w:r>
      <w:r w:rsidRPr="00EB7C69">
        <w:rPr>
          <w:rFonts w:eastAsia="Times New Roman"/>
          <w:sz w:val="24"/>
          <w:szCs w:val="24"/>
        </w:rPr>
        <w:t xml:space="preserve"> impact is defined in terms of any one of the factors listed below in this subsection.  Examples of computations used to determine </w:t>
      </w:r>
      <w:r w:rsidRPr="00EB7C69">
        <w:rPr>
          <w:rFonts w:eastAsia="Times New Roman"/>
          <w:i/>
          <w:iCs/>
          <w:sz w:val="24"/>
          <w:szCs w:val="24"/>
        </w:rPr>
        <w:t xml:space="preserve">de </w:t>
      </w:r>
      <w:r w:rsidRPr="00EB7C69">
        <w:rPr>
          <w:rFonts w:eastAsia="Times New Roman"/>
          <w:i/>
          <w:iCs/>
          <w:sz w:val="24"/>
          <w:szCs w:val="24"/>
        </w:rPr>
        <w:t>minimus</w:t>
      </w:r>
      <w:r w:rsidRPr="00EB7C69">
        <w:rPr>
          <w:rFonts w:eastAsia="Times New Roman"/>
          <w:i/>
          <w:iCs/>
          <w:sz w:val="24"/>
          <w:szCs w:val="24"/>
        </w:rPr>
        <w:t xml:space="preserve"> </w:t>
      </w:r>
      <w:r w:rsidRPr="00EB7C69">
        <w:rPr>
          <w:rFonts w:eastAsia="Times New Roman"/>
          <w:sz w:val="24"/>
          <w:szCs w:val="24"/>
        </w:rPr>
        <w:t>impact are shown in ISO Procedures.</w:t>
      </w:r>
    </w:p>
    <w:p w:rsidR="00EB7C69" w:rsidRPr="00EB7C69" w:rsidP="00EB7C69" w14:paraId="7D7C8220" w14:textId="17C7D428">
      <w:pPr>
        <w:widowControl/>
        <w:spacing w:line="480" w:lineRule="auto"/>
        <w:ind w:left="1440" w:hanging="720"/>
        <w:rPr>
          <w:rFonts w:eastAsia="Times New Roman"/>
          <w:sz w:val="24"/>
          <w:szCs w:val="24"/>
        </w:rPr>
      </w:pPr>
      <w:r w:rsidRPr="00EB7C69">
        <w:rPr>
          <w:rFonts w:eastAsia="Times New Roman"/>
          <w:sz w:val="24"/>
          <w:szCs w:val="24"/>
        </w:rPr>
        <w:t>40.12.2.5.1.1</w:t>
      </w:r>
      <w:r w:rsidRPr="00EB7C69">
        <w:rPr>
          <w:rFonts w:eastAsia="Times New Roman"/>
          <w:sz w:val="24"/>
          <w:szCs w:val="24"/>
        </w:rPr>
        <w:tab/>
      </w:r>
      <w:r w:rsidRPr="00EB7C69">
        <w:rPr>
          <w:rFonts w:eastAsia="Times New Roman"/>
          <w:b/>
          <w:sz w:val="24"/>
          <w:szCs w:val="24"/>
        </w:rPr>
        <w:t>Short</w:t>
      </w:r>
      <w:r w:rsidRPr="00EB7C69">
        <w:rPr>
          <w:rFonts w:eastAsia="Times New Roman"/>
          <w:b/>
          <w:sz w:val="24"/>
          <w:szCs w:val="24"/>
        </w:rPr>
        <w:t xml:space="preserve"> Circuit Contribution</w:t>
      </w:r>
      <w:r w:rsidRPr="00EB7C69">
        <w:rPr>
          <w:rFonts w:eastAsia="Times New Roman"/>
          <w:sz w:val="24"/>
          <w:szCs w:val="24"/>
        </w:rPr>
        <w:t>:  Equal to or greater than 100 amperes of the existing rating of the equipment that needs to be replaced.</w:t>
      </w:r>
    </w:p>
    <w:p w:rsidR="00EB7C69" w:rsidRPr="00EB7C69" w:rsidP="00EB7C69" w14:paraId="2C990A53" w14:textId="1867E87C">
      <w:pPr>
        <w:widowControl/>
        <w:spacing w:line="480" w:lineRule="auto"/>
        <w:ind w:left="1440" w:hanging="720"/>
        <w:rPr>
          <w:rFonts w:eastAsia="Times New Roman"/>
          <w:sz w:val="24"/>
          <w:szCs w:val="24"/>
        </w:rPr>
      </w:pPr>
      <w:r w:rsidRPr="00EB7C69">
        <w:rPr>
          <w:rFonts w:eastAsia="Times New Roman"/>
          <w:sz w:val="24"/>
          <w:szCs w:val="24"/>
        </w:rPr>
        <w:t>40.12.2.5.1.2</w:t>
      </w:r>
      <w:r w:rsidRPr="00EB7C69">
        <w:rPr>
          <w:rFonts w:eastAsia="Times New Roman"/>
          <w:sz w:val="24"/>
          <w:szCs w:val="24"/>
        </w:rPr>
        <w:tab/>
      </w:r>
      <w:r w:rsidRPr="00EB7C69">
        <w:rPr>
          <w:rFonts w:eastAsia="Times New Roman"/>
          <w:b/>
          <w:sz w:val="24"/>
          <w:szCs w:val="24"/>
        </w:rPr>
        <w:t>Thermal Loadings</w:t>
      </w:r>
      <w:r w:rsidRPr="00EB7C69">
        <w:rPr>
          <w:rFonts w:eastAsia="Times New Roman"/>
          <w:sz w:val="24"/>
          <w:szCs w:val="24"/>
        </w:rPr>
        <w:t xml:space="preserve">:  Equal to or greater than 10 MW on the most limiting monitored element under the most critical contingency that is causing the need for transmission improvements.  </w:t>
      </w:r>
    </w:p>
    <w:p w:rsidR="00EB7C69" w:rsidRPr="00EB7C69" w:rsidP="00EB7C69" w14:paraId="062DE002" w14:textId="149A98DE">
      <w:pPr>
        <w:widowControl/>
        <w:spacing w:line="480" w:lineRule="auto"/>
        <w:ind w:left="1440" w:hanging="720"/>
        <w:rPr>
          <w:rFonts w:eastAsia="Times New Roman"/>
          <w:sz w:val="24"/>
          <w:szCs w:val="24"/>
        </w:rPr>
      </w:pPr>
      <w:r w:rsidRPr="00EB7C69">
        <w:rPr>
          <w:rFonts w:eastAsia="Times New Roman"/>
          <w:sz w:val="24"/>
          <w:szCs w:val="24"/>
        </w:rPr>
        <w:t>40.12.2.5.1.3</w:t>
      </w:r>
      <w:r w:rsidRPr="00EB7C69">
        <w:rPr>
          <w:rFonts w:eastAsia="Times New Roman"/>
          <w:sz w:val="24"/>
          <w:szCs w:val="24"/>
        </w:rPr>
        <w:tab/>
      </w:r>
      <w:r w:rsidRPr="00EB7C69">
        <w:rPr>
          <w:rFonts w:eastAsia="Times New Roman"/>
          <w:b/>
          <w:sz w:val="24"/>
          <w:szCs w:val="24"/>
        </w:rPr>
        <w:t>Voltage Effects</w:t>
      </w:r>
      <w:r w:rsidRPr="00EB7C69">
        <w:rPr>
          <w:rFonts w:eastAsia="Times New Roman"/>
          <w:sz w:val="24"/>
          <w:szCs w:val="24"/>
        </w:rPr>
        <w:t>:  Equal to or greater than 2% of the voltage drop occurring with all Cluster Study Projects at the most critical bus.</w:t>
      </w:r>
    </w:p>
    <w:p w:rsidR="00EB7C69" w:rsidRPr="00EB7C69" w:rsidP="00EB7C69" w14:paraId="28F755A4" w14:textId="2B4E9293">
      <w:pPr>
        <w:widowControl/>
        <w:spacing w:line="480" w:lineRule="auto"/>
        <w:ind w:left="1440" w:hanging="720"/>
        <w:rPr>
          <w:rFonts w:eastAsia="Times New Roman"/>
          <w:sz w:val="24"/>
          <w:szCs w:val="24"/>
        </w:rPr>
      </w:pPr>
      <w:r w:rsidRPr="00EB7C69">
        <w:rPr>
          <w:rFonts w:eastAsia="Times New Roman"/>
          <w:sz w:val="24"/>
          <w:szCs w:val="24"/>
        </w:rPr>
        <w:t>40.12.2.5.1.4</w:t>
      </w:r>
      <w:r w:rsidRPr="00EB7C69">
        <w:rPr>
          <w:rFonts w:eastAsia="Times New Roman"/>
          <w:sz w:val="24"/>
          <w:szCs w:val="24"/>
        </w:rPr>
        <w:tab/>
      </w:r>
      <w:r w:rsidRPr="00EB7C69">
        <w:rPr>
          <w:rFonts w:eastAsia="Times New Roman"/>
          <w:b/>
          <w:sz w:val="24"/>
          <w:szCs w:val="24"/>
        </w:rPr>
        <w:t>Stability Effects</w:t>
      </w:r>
      <w:r w:rsidRPr="00EB7C69">
        <w:rPr>
          <w:rFonts w:eastAsia="Times New Roman"/>
          <w:sz w:val="24"/>
          <w:szCs w:val="24"/>
        </w:rPr>
        <w:t>:  Equal to or greater than 100 amperes of the fault current for the most critical stability test that is causing the need for the System Upgrade Facility.</w:t>
      </w:r>
    </w:p>
    <w:p w:rsidR="00EB7C69" w:rsidRPr="00EB7C69" w:rsidP="00EB7C69" w14:paraId="339D2ECC" w14:textId="0059E913">
      <w:pPr>
        <w:widowControl/>
        <w:spacing w:line="480" w:lineRule="auto"/>
        <w:ind w:left="1440" w:hanging="720"/>
        <w:rPr>
          <w:rFonts w:eastAsia="Times New Roman"/>
          <w:sz w:val="24"/>
          <w:szCs w:val="24"/>
          <w:u w:val="single"/>
        </w:rPr>
      </w:pPr>
      <w:r w:rsidRPr="00EB7C69">
        <w:rPr>
          <w:rFonts w:eastAsia="Times New Roman"/>
          <w:sz w:val="24"/>
          <w:szCs w:val="24"/>
        </w:rPr>
        <w:t>40.12.2.6</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each of the System Upgrade Facilities identified in the Cluster Project Assessment shall be determined as follows.</w:t>
      </w:r>
    </w:p>
    <w:p w:rsidR="00EB7C69" w:rsidRPr="00EB7C69" w:rsidP="00EB7C69" w14:paraId="3019271F" w14:textId="042C3C4D">
      <w:pPr>
        <w:widowControl/>
        <w:spacing w:line="480" w:lineRule="auto"/>
        <w:ind w:left="1440" w:hanging="720"/>
        <w:rPr>
          <w:rFonts w:eastAsia="Times New Roman"/>
          <w:sz w:val="24"/>
          <w:szCs w:val="24"/>
        </w:rPr>
      </w:pPr>
      <w:r w:rsidRPr="00EB7C69">
        <w:rPr>
          <w:rFonts w:eastAsia="Times New Roman"/>
          <w:sz w:val="24"/>
          <w:szCs w:val="24"/>
        </w:rPr>
        <w:t>40.12.2.6.1</w:t>
      </w:r>
      <w:r w:rsidRPr="00EB7C69">
        <w:rPr>
          <w:rFonts w:eastAsia="Times New Roman"/>
          <w:sz w:val="24"/>
          <w:szCs w:val="24"/>
        </w:rPr>
        <w:tab/>
        <w:t xml:space="preserve">First, in accordance with Section 40.12.1.6 of these rules, the total cost of System Upgrade Facilities identified in the Cluster Project Assessment is compared and netted with the total cost of System Upgrade Facilities identified in the Cluster Baseline Assessment.  If the total cost of System Upgrade Facilities </w:t>
      </w:r>
      <w:r w:rsidRPr="00EB7C69">
        <w:rPr>
          <w:rFonts w:eastAsia="Times New Roman"/>
          <w:sz w:val="24"/>
          <w:szCs w:val="24"/>
        </w:rPr>
        <w:t>identified in the Cluster Project Assessment does not exceed the total cost of System Upgrade Facilities identified in the Cluster Baseline Assessment, then there is no cost to be allocated among Cluster Study Projects.</w:t>
      </w:r>
    </w:p>
    <w:p w:rsidR="00EB7C69" w:rsidRPr="00EB7C69" w:rsidP="00EB7C69" w14:paraId="4FFE9006" w14:textId="65944A2C">
      <w:pPr>
        <w:widowControl/>
        <w:spacing w:line="480" w:lineRule="auto"/>
        <w:ind w:left="1440" w:hanging="720"/>
        <w:rPr>
          <w:rFonts w:eastAsia="Times New Roman"/>
          <w:sz w:val="24"/>
          <w:szCs w:val="24"/>
        </w:rPr>
      </w:pPr>
      <w:r w:rsidRPr="00EB7C69">
        <w:rPr>
          <w:rFonts w:eastAsia="Times New Roman"/>
          <w:sz w:val="24"/>
          <w:szCs w:val="24"/>
        </w:rPr>
        <w:t>40.12.2.6.2</w:t>
      </w:r>
      <w:r w:rsidRPr="00EB7C69">
        <w:rPr>
          <w:rFonts w:eastAsia="Times New Roman"/>
          <w:sz w:val="24"/>
          <w:szCs w:val="24"/>
        </w:rPr>
        <w:tab/>
        <w:t>If the total cost of System Upgrade Facilities identified in the Cluster Project Assessment does exceed the total cost of System Upgrade Facilities identified in the Cluster Baseline Assessment by some amount, then this amount (“Overage Cost”) is a cost to be allocated among Cluster Study Projects.  Appendix 9 to this Attachment HH sets out an example of an allocation of Overage Cost among Cluster Study Projects.</w:t>
      </w:r>
    </w:p>
    <w:p w:rsidR="00EB7C69" w:rsidRPr="00EB7C69" w:rsidP="00EB7C69" w14:paraId="73E8261F" w14:textId="04EE69C8">
      <w:pPr>
        <w:widowControl/>
        <w:spacing w:line="480" w:lineRule="auto"/>
        <w:ind w:left="1440" w:hanging="720"/>
        <w:rPr>
          <w:rFonts w:eastAsia="Times New Roman"/>
          <w:sz w:val="24"/>
          <w:szCs w:val="24"/>
        </w:rPr>
      </w:pPr>
      <w:r w:rsidRPr="00EB7C69">
        <w:rPr>
          <w:rFonts w:eastAsia="Times New Roman"/>
          <w:sz w:val="24"/>
          <w:szCs w:val="24"/>
        </w:rPr>
        <w:t>40.12.2.6.3</w:t>
      </w:r>
      <w:r w:rsidRPr="00EB7C69">
        <w:rPr>
          <w:rFonts w:eastAsia="Times New Roman"/>
          <w:sz w:val="24"/>
          <w:szCs w:val="24"/>
        </w:rPr>
        <w:tab/>
        <w:t>The Overage Cost represents a percentage of the total cost of System Upgrade Facilities identified in the Cluster Project Assessment (“Overage Cost Percentage”).</w:t>
      </w:r>
    </w:p>
    <w:p w:rsidR="00EB7C69" w:rsidRPr="00EB7C69" w:rsidP="00EB7C69" w14:paraId="2C0B5B57" w14:textId="495CD16E">
      <w:pPr>
        <w:widowControl/>
        <w:spacing w:line="480" w:lineRule="auto"/>
        <w:ind w:left="1440" w:hanging="720"/>
        <w:rPr>
          <w:rFonts w:eastAsia="Times New Roman"/>
          <w:sz w:val="24"/>
          <w:szCs w:val="24"/>
        </w:rPr>
      </w:pPr>
      <w:r w:rsidRPr="00EB7C69">
        <w:rPr>
          <w:rFonts w:eastAsia="Times New Roman"/>
          <w:sz w:val="24"/>
          <w:szCs w:val="24"/>
        </w:rPr>
        <w:t>40.12.2.6.4</w:t>
      </w:r>
      <w:r w:rsidRPr="00EB7C69">
        <w:rPr>
          <w:rFonts w:eastAsia="Times New Roman"/>
          <w:sz w:val="24"/>
          <w:szCs w:val="24"/>
        </w:rPr>
        <w:tab/>
        <w:t>Each System Upgrade Facility identified in the Cluster Project Assessment has a cost specified for it in the Cluster Project Assessment.</w:t>
      </w:r>
    </w:p>
    <w:p w:rsidR="00EB7C69" w:rsidRPr="00EB7C69" w:rsidP="00EB7C69" w14:paraId="4ABBD79F" w14:textId="08DB5683">
      <w:pPr>
        <w:widowControl/>
        <w:spacing w:line="480" w:lineRule="auto"/>
        <w:ind w:left="1440" w:hanging="720"/>
        <w:rPr>
          <w:rFonts w:eastAsia="Times New Roman"/>
          <w:sz w:val="24"/>
          <w:szCs w:val="24"/>
        </w:rPr>
      </w:pPr>
      <w:r w:rsidRPr="00EB7C69">
        <w:rPr>
          <w:rFonts w:eastAsia="Times New Roman"/>
          <w:sz w:val="24"/>
          <w:szCs w:val="24"/>
        </w:rPr>
        <w:t>40.12.2.6.5</w:t>
      </w:r>
      <w:r w:rsidRPr="00EB7C69">
        <w:rPr>
          <w:rFonts w:eastAsia="Times New Roman"/>
          <w:sz w:val="24"/>
          <w:szCs w:val="24"/>
        </w:rPr>
        <w:tab/>
        <w:t xml:space="preserve">The </w:t>
      </w:r>
      <w:r w:rsidRPr="00EB7C69">
        <w:rPr>
          <w:rFonts w:eastAsia="Times New Roman"/>
          <w:i/>
          <w:iCs/>
          <w:sz w:val="24"/>
          <w:szCs w:val="24"/>
        </w:rPr>
        <w:t>pro rata</w:t>
      </w:r>
      <w:r w:rsidRPr="00EB7C69">
        <w:rPr>
          <w:rFonts w:eastAsia="Times New Roman"/>
          <w:sz w:val="24"/>
          <w:szCs w:val="24"/>
        </w:rPr>
        <w:t xml:space="preserve"> contribution of each project in the Cluster Study to a System Upgrade Facility identified in the Cluster Project Assessment represents a percentage contribution to the need for that System Upgrade Facility (“Contribution Percentage”).</w:t>
      </w:r>
    </w:p>
    <w:p w:rsidR="00EB7C69" w:rsidRPr="00EB7C69" w:rsidP="00EB7C69" w14:paraId="234BBF63" w14:textId="61928221">
      <w:pPr>
        <w:widowControl/>
        <w:spacing w:line="480" w:lineRule="auto"/>
        <w:ind w:left="1440" w:hanging="720"/>
        <w:rPr>
          <w:rFonts w:eastAsia="Times New Roman"/>
          <w:sz w:val="24"/>
          <w:szCs w:val="24"/>
        </w:rPr>
      </w:pPr>
      <w:r w:rsidRPr="00EB7C69">
        <w:rPr>
          <w:rFonts w:eastAsia="Times New Roman"/>
          <w:sz w:val="24"/>
          <w:szCs w:val="24"/>
        </w:rPr>
        <w:t>40.12.2.6.6</w:t>
      </w:r>
      <w:r w:rsidRPr="00EB7C69">
        <w:rPr>
          <w:rFonts w:eastAsia="Times New Roman"/>
          <w:sz w:val="24"/>
          <w:szCs w:val="24"/>
        </w:rPr>
        <w:tab/>
        <w:t>An</w:t>
      </w:r>
      <w:r w:rsidRPr="00EB7C69">
        <w:rPr>
          <w:rFonts w:eastAsia="Times New Roman"/>
          <w:sz w:val="24"/>
          <w:szCs w:val="24"/>
        </w:rPr>
        <w:t xml:space="preserve"> individual Cluster Study Project’s </w:t>
      </w:r>
      <w:r w:rsidRPr="00EB7C69">
        <w:rPr>
          <w:rFonts w:eastAsia="Times New Roman"/>
          <w:i/>
          <w:iCs/>
          <w:sz w:val="24"/>
          <w:szCs w:val="24"/>
        </w:rPr>
        <w:t>pro rata</w:t>
      </w:r>
      <w:r w:rsidRPr="00EB7C69">
        <w:rPr>
          <w:rFonts w:eastAsia="Times New Roman"/>
          <w:sz w:val="24"/>
          <w:szCs w:val="24"/>
        </w:rPr>
        <w:t xml:space="preserve"> responsibility for the cost of each System Upgrade Facility identified in the Cluster Project Assessment is the product of (a) the Overage Cost Percentage; (b) the Cluster Study Project’s Contribution Percentage for the particular System Upgrade Facility; and (c) the </w:t>
      </w:r>
      <w:r w:rsidRPr="00EB7C69">
        <w:rPr>
          <w:rFonts w:eastAsia="Times New Roman"/>
          <w:sz w:val="24"/>
          <w:szCs w:val="24"/>
        </w:rPr>
        <w:t>cost of the particular System Upgrade Facility as specified in the Cluster Project Assessment.</w:t>
      </w:r>
    </w:p>
    <w:p w:rsidR="004535F5" w:rsidRPr="00CE7CED" w:rsidP="00193B2A" w14:paraId="22F59EE4" w14:textId="2BF9FD87">
      <w:pPr>
        <w:widowControl/>
        <w:spacing w:line="480" w:lineRule="auto"/>
        <w:ind w:left="1530" w:hanging="810"/>
        <w:rPr>
          <w:rFonts w:eastAsia="Times New Roman"/>
          <w:sz w:val="24"/>
          <w:szCs w:val="24"/>
        </w:rPr>
      </w:pPr>
      <w:r w:rsidRPr="00EB7C69">
        <w:rPr>
          <w:rFonts w:eastAsia="Times New Roman"/>
          <w:sz w:val="24"/>
          <w:szCs w:val="24"/>
        </w:rPr>
        <w:t>40.12.2.6.7</w:t>
      </w:r>
      <w:r w:rsidRPr="00EB7C69">
        <w:rPr>
          <w:rFonts w:eastAsia="Times New Roman"/>
          <w:sz w:val="24"/>
          <w:szCs w:val="24"/>
        </w:rPr>
        <w:tab/>
        <w:t>If the least cost solution identified is to install one System Upgrade Facility (</w:t>
      </w:r>
      <w:r w:rsidRPr="00EB7C69">
        <w:rPr>
          <w:rFonts w:eastAsia="Times New Roman"/>
          <w:i/>
          <w:sz w:val="24"/>
          <w:szCs w:val="24"/>
        </w:rPr>
        <w:t>e.g.</w:t>
      </w:r>
      <w:r w:rsidRPr="00EB7C69">
        <w:rPr>
          <w:rFonts w:eastAsia="Times New Roman"/>
          <w:sz w:val="24"/>
          <w:szCs w:val="24"/>
        </w:rPr>
        <w:t>, a series reactor) rather than replacing a number of  System Upgrade Facilities (</w:t>
      </w:r>
      <w:r w:rsidRPr="00EB7C69">
        <w:rPr>
          <w:rFonts w:eastAsia="Times New Roman"/>
          <w:i/>
          <w:sz w:val="24"/>
          <w:szCs w:val="24"/>
        </w:rPr>
        <w:t>e.g.</w:t>
      </w:r>
      <w:r w:rsidRPr="00EB7C69">
        <w:rPr>
          <w:rFonts w:eastAsia="Times New Roman"/>
          <w:sz w:val="24"/>
          <w:szCs w:val="24"/>
        </w:rPr>
        <w:t xml:space="preserve">, breakers), the ISO staff will determine each Cluster Study Project’s Contribution Percentage by calculating what each Cluster Study Project’s </w:t>
      </w:r>
      <w:r w:rsidRPr="00EB7C69">
        <w:rPr>
          <w:rFonts w:eastAsia="Times New Roman"/>
          <w:i/>
          <w:iCs/>
          <w:sz w:val="24"/>
          <w:szCs w:val="24"/>
        </w:rPr>
        <w:t>pro rata</w:t>
      </w:r>
      <w:r w:rsidRPr="00EB7C69">
        <w:rPr>
          <w:rFonts w:eastAsia="Times New Roman"/>
          <w:sz w:val="24"/>
          <w:szCs w:val="24"/>
        </w:rPr>
        <w:t xml:space="preserve"> contribution would have been on the System Upgrade Facilities not replaced (</w:t>
      </w:r>
      <w:r w:rsidRPr="00EB7C69">
        <w:rPr>
          <w:rFonts w:eastAsia="Times New Roman"/>
          <w:i/>
          <w:sz w:val="24"/>
          <w:szCs w:val="24"/>
        </w:rPr>
        <w:t>e.g.,</w:t>
      </w:r>
      <w:r w:rsidRPr="00EB7C69">
        <w:rPr>
          <w:rFonts w:eastAsia="Times New Roman"/>
          <w:sz w:val="24"/>
          <w:szCs w:val="24"/>
        </w:rPr>
        <w:t xml:space="preserve"> breakers) and applying that percentage to the System Upgrade Facility that is installed (</w:t>
      </w:r>
      <w:r w:rsidRPr="00EB7C69">
        <w:rPr>
          <w:rFonts w:eastAsia="Times New Roman"/>
          <w:i/>
          <w:sz w:val="24"/>
          <w:szCs w:val="24"/>
        </w:rPr>
        <w:t>e.g.,</w:t>
      </w:r>
      <w:r w:rsidRPr="00EB7C69">
        <w:rPr>
          <w:rFonts w:eastAsia="Times New Roman"/>
          <w:sz w:val="24"/>
          <w:szCs w:val="24"/>
        </w:rPr>
        <w:t xml:space="preserve"> series reactor).</w:t>
      </w: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40.12 OATT Att HH Cluster Baseline Assessment and Cluster 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856116350">
    <w:abstractNumId w:val="0"/>
  </w:num>
  <w:num w:numId="2" w16cid:durableId="1013994057">
    <w:abstractNumId w:val="1"/>
  </w:num>
  <w:num w:numId="3" w16cid:durableId="277683930">
    <w:abstractNumId w:val="4"/>
  </w:num>
  <w:num w:numId="4" w16cid:durableId="1572235441">
    <w:abstractNumId w:val="3"/>
  </w:num>
  <w:num w:numId="5" w16cid:durableId="1540168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21891"/>
    <w:rsid w:val="00023642"/>
    <w:rsid w:val="00025DA4"/>
    <w:rsid w:val="00027579"/>
    <w:rsid w:val="000302F1"/>
    <w:rsid w:val="00031A01"/>
    <w:rsid w:val="000509D3"/>
    <w:rsid w:val="0005324A"/>
    <w:rsid w:val="000672F5"/>
    <w:rsid w:val="00075233"/>
    <w:rsid w:val="00092234"/>
    <w:rsid w:val="00093D1E"/>
    <w:rsid w:val="000960B4"/>
    <w:rsid w:val="000A5942"/>
    <w:rsid w:val="000C6A7E"/>
    <w:rsid w:val="000D3E13"/>
    <w:rsid w:val="000E0514"/>
    <w:rsid w:val="001217EA"/>
    <w:rsid w:val="00131395"/>
    <w:rsid w:val="00150FB0"/>
    <w:rsid w:val="00153D22"/>
    <w:rsid w:val="00154E12"/>
    <w:rsid w:val="001733A6"/>
    <w:rsid w:val="00184DAE"/>
    <w:rsid w:val="00193B2A"/>
    <w:rsid w:val="001A3698"/>
    <w:rsid w:val="001A4181"/>
    <w:rsid w:val="001C32AA"/>
    <w:rsid w:val="001D394D"/>
    <w:rsid w:val="001F5093"/>
    <w:rsid w:val="001F5297"/>
    <w:rsid w:val="00216963"/>
    <w:rsid w:val="002315E3"/>
    <w:rsid w:val="0026090D"/>
    <w:rsid w:val="00266FEA"/>
    <w:rsid w:val="00281FE3"/>
    <w:rsid w:val="00283869"/>
    <w:rsid w:val="002B49BE"/>
    <w:rsid w:val="002C2958"/>
    <w:rsid w:val="002C2BC5"/>
    <w:rsid w:val="002D242B"/>
    <w:rsid w:val="002D623E"/>
    <w:rsid w:val="0030301B"/>
    <w:rsid w:val="00303EEA"/>
    <w:rsid w:val="00326305"/>
    <w:rsid w:val="003363F3"/>
    <w:rsid w:val="003A275B"/>
    <w:rsid w:val="003A5264"/>
    <w:rsid w:val="003B1D39"/>
    <w:rsid w:val="003C156A"/>
    <w:rsid w:val="003F772F"/>
    <w:rsid w:val="003F7E1D"/>
    <w:rsid w:val="004017D8"/>
    <w:rsid w:val="00403745"/>
    <w:rsid w:val="00420716"/>
    <w:rsid w:val="00433754"/>
    <w:rsid w:val="00445AE7"/>
    <w:rsid w:val="004501FD"/>
    <w:rsid w:val="004535F5"/>
    <w:rsid w:val="004643DB"/>
    <w:rsid w:val="004A3DB7"/>
    <w:rsid w:val="004B1F01"/>
    <w:rsid w:val="004C6DB6"/>
    <w:rsid w:val="004D302E"/>
    <w:rsid w:val="004D5FBB"/>
    <w:rsid w:val="004E0D7B"/>
    <w:rsid w:val="004F2FB1"/>
    <w:rsid w:val="004F6FF7"/>
    <w:rsid w:val="004F7573"/>
    <w:rsid w:val="004F7989"/>
    <w:rsid w:val="00524881"/>
    <w:rsid w:val="0052768A"/>
    <w:rsid w:val="00545686"/>
    <w:rsid w:val="0058256F"/>
    <w:rsid w:val="00597F92"/>
    <w:rsid w:val="005A269A"/>
    <w:rsid w:val="005A2C0C"/>
    <w:rsid w:val="005B7D19"/>
    <w:rsid w:val="005D0780"/>
    <w:rsid w:val="005D2280"/>
    <w:rsid w:val="005F3E4A"/>
    <w:rsid w:val="006435EC"/>
    <w:rsid w:val="006446A7"/>
    <w:rsid w:val="00660C3E"/>
    <w:rsid w:val="00681B5A"/>
    <w:rsid w:val="0068586B"/>
    <w:rsid w:val="00695AE2"/>
    <w:rsid w:val="00697BC4"/>
    <w:rsid w:val="006A2EC2"/>
    <w:rsid w:val="006A592F"/>
    <w:rsid w:val="006C0CBC"/>
    <w:rsid w:val="006C55DD"/>
    <w:rsid w:val="006D6947"/>
    <w:rsid w:val="006F58F5"/>
    <w:rsid w:val="00705289"/>
    <w:rsid w:val="00713B51"/>
    <w:rsid w:val="0072333F"/>
    <w:rsid w:val="007308CD"/>
    <w:rsid w:val="00730DD1"/>
    <w:rsid w:val="00736491"/>
    <w:rsid w:val="00741444"/>
    <w:rsid w:val="00746548"/>
    <w:rsid w:val="007560BE"/>
    <w:rsid w:val="00767172"/>
    <w:rsid w:val="00786064"/>
    <w:rsid w:val="00795C72"/>
    <w:rsid w:val="00797042"/>
    <w:rsid w:val="007A592E"/>
    <w:rsid w:val="007A7AEF"/>
    <w:rsid w:val="007B7895"/>
    <w:rsid w:val="007E092A"/>
    <w:rsid w:val="00801B8A"/>
    <w:rsid w:val="00804C74"/>
    <w:rsid w:val="008210D6"/>
    <w:rsid w:val="00822BE0"/>
    <w:rsid w:val="00825E82"/>
    <w:rsid w:val="00834856"/>
    <w:rsid w:val="00850436"/>
    <w:rsid w:val="00867B48"/>
    <w:rsid w:val="00871853"/>
    <w:rsid w:val="0088279E"/>
    <w:rsid w:val="0088573B"/>
    <w:rsid w:val="00886046"/>
    <w:rsid w:val="00896905"/>
    <w:rsid w:val="008A3C42"/>
    <w:rsid w:val="008B15CA"/>
    <w:rsid w:val="008C25AC"/>
    <w:rsid w:val="008D46E2"/>
    <w:rsid w:val="008D6A71"/>
    <w:rsid w:val="008E2CE9"/>
    <w:rsid w:val="008F2F27"/>
    <w:rsid w:val="00932DBC"/>
    <w:rsid w:val="00937D12"/>
    <w:rsid w:val="00963694"/>
    <w:rsid w:val="009662C9"/>
    <w:rsid w:val="00985B48"/>
    <w:rsid w:val="00987D0F"/>
    <w:rsid w:val="009E2F66"/>
    <w:rsid w:val="00A10F79"/>
    <w:rsid w:val="00A45C5B"/>
    <w:rsid w:val="00A622C2"/>
    <w:rsid w:val="00A63C2E"/>
    <w:rsid w:val="00AA7664"/>
    <w:rsid w:val="00AC0A4E"/>
    <w:rsid w:val="00AD09C7"/>
    <w:rsid w:val="00B01720"/>
    <w:rsid w:val="00B06B36"/>
    <w:rsid w:val="00B265E6"/>
    <w:rsid w:val="00B80518"/>
    <w:rsid w:val="00B92DF2"/>
    <w:rsid w:val="00BA5CB8"/>
    <w:rsid w:val="00BC22D6"/>
    <w:rsid w:val="00BC662E"/>
    <w:rsid w:val="00BD1F69"/>
    <w:rsid w:val="00BE369C"/>
    <w:rsid w:val="00BE4099"/>
    <w:rsid w:val="00BF6A92"/>
    <w:rsid w:val="00C1338C"/>
    <w:rsid w:val="00C1482E"/>
    <w:rsid w:val="00C217F3"/>
    <w:rsid w:val="00C2334C"/>
    <w:rsid w:val="00C25AEA"/>
    <w:rsid w:val="00C30005"/>
    <w:rsid w:val="00C42603"/>
    <w:rsid w:val="00C44117"/>
    <w:rsid w:val="00C563FA"/>
    <w:rsid w:val="00C66CF9"/>
    <w:rsid w:val="00CA4F35"/>
    <w:rsid w:val="00CA5649"/>
    <w:rsid w:val="00CC3FAB"/>
    <w:rsid w:val="00CE5BD6"/>
    <w:rsid w:val="00CE7CED"/>
    <w:rsid w:val="00CF05F0"/>
    <w:rsid w:val="00CF1D63"/>
    <w:rsid w:val="00CF6545"/>
    <w:rsid w:val="00D01750"/>
    <w:rsid w:val="00D400A1"/>
    <w:rsid w:val="00D732AF"/>
    <w:rsid w:val="00D8267F"/>
    <w:rsid w:val="00D91717"/>
    <w:rsid w:val="00D91C64"/>
    <w:rsid w:val="00D9227A"/>
    <w:rsid w:val="00D92474"/>
    <w:rsid w:val="00DA0931"/>
    <w:rsid w:val="00DB3636"/>
    <w:rsid w:val="00DC16F3"/>
    <w:rsid w:val="00DC1FD0"/>
    <w:rsid w:val="00DE7F0E"/>
    <w:rsid w:val="00DF7882"/>
    <w:rsid w:val="00E00222"/>
    <w:rsid w:val="00E02B14"/>
    <w:rsid w:val="00E039B7"/>
    <w:rsid w:val="00E12912"/>
    <w:rsid w:val="00E2263C"/>
    <w:rsid w:val="00E26864"/>
    <w:rsid w:val="00E34990"/>
    <w:rsid w:val="00E470F3"/>
    <w:rsid w:val="00E512BB"/>
    <w:rsid w:val="00E5304E"/>
    <w:rsid w:val="00E704BF"/>
    <w:rsid w:val="00E83DB7"/>
    <w:rsid w:val="00EB7C69"/>
    <w:rsid w:val="00EC53A8"/>
    <w:rsid w:val="00EC7159"/>
    <w:rsid w:val="00ED3BE9"/>
    <w:rsid w:val="00ED6799"/>
    <w:rsid w:val="00ED6B8D"/>
    <w:rsid w:val="00ED7B25"/>
    <w:rsid w:val="00ED7EC1"/>
    <w:rsid w:val="00EE5941"/>
    <w:rsid w:val="00EF723B"/>
    <w:rsid w:val="00F055A1"/>
    <w:rsid w:val="00F2693E"/>
    <w:rsid w:val="00F37B53"/>
    <w:rsid w:val="00F40659"/>
    <w:rsid w:val="00F739B8"/>
    <w:rsid w:val="00F916E4"/>
    <w:rsid w:val="00FA0C8E"/>
    <w:rsid w:val="00FA5F89"/>
    <w:rsid w:val="00FB033C"/>
    <w:rsid w:val="00FD2BDB"/>
    <w:rsid w:val="00FD694B"/>
    <w:rsid w:val="00FE1610"/>
    <w:rsid w:val="00FF0965"/>
    <w:rsid w:val="00FF1442"/>
    <w:rsid w:val="00FF1A61"/>
    <w:rsid w:val="01CC1F53"/>
    <w:rsid w:val="04CC2165"/>
    <w:rsid w:val="050647E8"/>
    <w:rsid w:val="0ECAAEF3"/>
    <w:rsid w:val="12052B01"/>
    <w:rsid w:val="1795690B"/>
    <w:rsid w:val="1B06AA16"/>
    <w:rsid w:val="1D6ACCEC"/>
    <w:rsid w:val="292C130D"/>
    <w:rsid w:val="3168DDE3"/>
    <w:rsid w:val="3AA439C8"/>
    <w:rsid w:val="4065DAD4"/>
    <w:rsid w:val="4374CF1D"/>
    <w:rsid w:val="4F98FAC8"/>
    <w:rsid w:val="5315FAF3"/>
    <w:rsid w:val="58488271"/>
    <w:rsid w:val="59123669"/>
    <w:rsid w:val="5A61B204"/>
    <w:rsid w:val="63F75467"/>
    <w:rsid w:val="6406AE63"/>
    <w:rsid w:val="64AFD61F"/>
    <w:rsid w:val="67706681"/>
    <w:rsid w:val="6A26C907"/>
    <w:rsid w:val="6AAE6E57"/>
    <w:rsid w:val="6EA4CAA1"/>
    <w:rsid w:val="7034DF60"/>
    <w:rsid w:val="757554B2"/>
    <w:rsid w:val="76A321A0"/>
    <w:rsid w:val="7C818B7F"/>
    <w:rsid w:val="7FD6EC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7E74F0"/>
  <w15:docId w15:val="{70B8574B-FBD8-468B-9A6A-1F9EDFD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semiHidden/>
    <w:unhideWhenUsed/>
    <w:rsid w:val="00FD694B"/>
    <w:rPr>
      <w:sz w:val="24"/>
      <w:szCs w:val="24"/>
    </w:rPr>
  </w:style>
  <w:style w:type="character" w:styleId="Mention">
    <w:name w:val="Mention"/>
    <w:basedOn w:val="DefaultParagraphFont"/>
    <w:uiPriority w:val="99"/>
    <w:unhideWhenUsed/>
    <w:rsid w:val="007233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75933-3441-439E-82D8-F67B0567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D2971-A38E-4F79-B1F1-F6413EA22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23602-A06F-475A-A9B5-150368FEB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4058</Words>
  <Characters>23298</Characters>
  <Application>Microsoft Office Word</Application>
  <DocSecurity>0</DocSecurity>
  <Lines>448</Lines>
  <Paragraphs>177</Paragraphs>
  <ScaleCrop>false</ScaleCrop>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Keegan, Sara</cp:lastModifiedBy>
  <cp:revision>99</cp:revision>
  <dcterms:created xsi:type="dcterms:W3CDTF">2025-05-06T01:44:00Z</dcterms:created>
  <dcterms:modified xsi:type="dcterms:W3CDTF">2025-06-13T21:20:00Z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77d03600-9057-4f28-81c2-b3cd40ea21a9</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2024-05-01T15:11:44Z</vt:lpwstr>
  </property>
  <property fmtid="{D5CDD505-2E9C-101B-9397-08002B2CF9AE}" pid="9" name="MSIP_Label_a5049dce-8671-4c79-90d7-f6ec79470f4e_SiteId">
    <vt:lpwstr>7658602a-f7b9-4209-bc62-d2bfc30dea0d</vt:lpwstr>
  </property>
</Properties>
</file>