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052" w:rsidRDefault="00FB549A">
      <w:pPr>
        <w:pStyle w:val="Heading2"/>
      </w:pPr>
      <w:bookmarkStart w:id="0" w:name="_Toc260839820"/>
      <w:bookmarkStart w:id="1" w:name="_Toc311192577"/>
      <w:bookmarkStart w:id="2" w:name="_GoBack"/>
      <w:bookmarkEnd w:id="2"/>
      <w:r>
        <w:t>35.7</w:t>
      </w:r>
      <w:bookmarkStart w:id="3" w:name="_Toc113336712"/>
      <w:bookmarkStart w:id="4" w:name="_Toc113336891"/>
      <w:bookmarkStart w:id="5" w:name="_Toc115162727"/>
      <w:r>
        <w:tab/>
        <w:t>Exchange of Information</w:t>
      </w:r>
      <w:bookmarkEnd w:id="0"/>
      <w:bookmarkEnd w:id="1"/>
      <w:bookmarkEnd w:id="3"/>
      <w:bookmarkEnd w:id="4"/>
      <w:bookmarkEnd w:id="5"/>
    </w:p>
    <w:p w:rsidR="00726F13" w:rsidRPr="00726F13" w:rsidRDefault="00FB549A" w:rsidP="00726F13">
      <w:pPr>
        <w:pStyle w:val="Heading3"/>
        <w:tabs>
          <w:tab w:val="left" w:pos="1080"/>
        </w:tabs>
        <w:spacing w:before="240" w:after="240"/>
        <w:ind w:left="1080" w:right="634" w:hanging="1080"/>
        <w:rPr>
          <w:rFonts w:ascii="Times New Roman" w:hAnsi="Times New Roman" w:cs="Times New Roman"/>
          <w:color w:val="auto"/>
          <w:rPrChange w:id="6" w:author="Author" w:date="1901-01-01T00:00:00Z">
            <w:rPr>
              <w:color w:val="auto"/>
            </w:rPr>
          </w:rPrChange>
        </w:rPr>
        <w:pPrChange w:id="7" w:author="Author" w:date="1901-01-01T00:00:00Z">
          <w:pPr>
            <w:pStyle w:val="Heading3"/>
          </w:pPr>
        </w:pPrChange>
      </w:pPr>
      <w:bookmarkStart w:id="8" w:name="_Toc260839821"/>
      <w:bookmarkStart w:id="9" w:name="_Toc311192578"/>
      <w:r w:rsidRPr="00B92295">
        <w:rPr>
          <w:rFonts w:ascii="Times New Roman" w:hAnsi="Times New Roman" w:cs="Times New Roman"/>
          <w:color w:val="auto"/>
          <w:rPrChange w:id="10" w:author="Author" w:date="1901-01-01T00:00:00Z">
            <w:rPr>
              <w:color w:val="auto"/>
            </w:rPr>
          </w:rPrChange>
        </w:rPr>
        <w:t>35.7.1</w:t>
      </w:r>
      <w:r w:rsidRPr="00B92295">
        <w:rPr>
          <w:rFonts w:ascii="Times New Roman" w:hAnsi="Times New Roman" w:cs="Times New Roman"/>
          <w:color w:val="auto"/>
          <w:rPrChange w:id="11" w:author="Author" w:date="1901-01-01T00:00:00Z">
            <w:rPr>
              <w:color w:val="auto"/>
            </w:rPr>
          </w:rPrChange>
        </w:rPr>
        <w:tab/>
        <w:t>Exchange of Operating Data</w:t>
      </w:r>
      <w:del w:id="12" w:author="Author" w:date="1901-01-01T00:00:00Z">
        <w:r w:rsidRPr="00B92295">
          <w:rPr>
            <w:rFonts w:ascii="Times New Roman" w:hAnsi="Times New Roman" w:cs="Times New Roman"/>
            <w:color w:val="auto"/>
            <w:rPrChange w:id="13" w:author="Author" w:date="1901-01-01T00:00:00Z">
              <w:rPr>
                <w:color w:val="auto"/>
              </w:rPr>
            </w:rPrChange>
          </w:rPr>
          <w:delText>.</w:delText>
        </w:r>
        <w:bookmarkEnd w:id="8"/>
        <w:bookmarkEnd w:id="9"/>
        <w:r w:rsidRPr="00B92295">
          <w:rPr>
            <w:rFonts w:ascii="Times New Roman" w:hAnsi="Times New Roman" w:cs="Times New Roman"/>
            <w:color w:val="auto"/>
            <w:rPrChange w:id="14" w:author="Author" w:date="1901-01-01T00:00:00Z">
              <w:rPr>
                <w:color w:val="auto"/>
              </w:rPr>
            </w:rPrChange>
          </w:rPr>
          <w:delText xml:space="preserve">  </w:delText>
        </w:r>
      </w:del>
    </w:p>
    <w:p w:rsidR="00E20052" w:rsidRDefault="00FB549A">
      <w:pPr>
        <w:pStyle w:val="Bodypara"/>
      </w:pPr>
      <w:r>
        <w:rPr>
          <w:bCs/>
        </w:rPr>
        <w:t>PJM and</w:t>
      </w:r>
      <w:r>
        <w:rPr>
          <w:b/>
        </w:rPr>
        <w:t xml:space="preserve"> </w:t>
      </w:r>
      <w:r>
        <w:t xml:space="preserve">NYISO agree to exchange and share such information as may be required from time to time for the </w:t>
      </w:r>
      <w:ins w:id="15" w:author="Author" w:date="1901-01-01T00:00:00Z">
        <w:r>
          <w:t xml:space="preserve">Parties </w:t>
        </w:r>
      </w:ins>
      <w:del w:id="16" w:author="Author" w:date="1901-01-01T00:00:00Z">
        <w:r>
          <w:rPr>
            <w:iCs/>
          </w:rPr>
          <w:delText>Coordination Committee</w:delText>
        </w:r>
        <w:r>
          <w:delText xml:space="preserve"> </w:delText>
        </w:r>
      </w:del>
      <w:r>
        <w:t xml:space="preserve">to perform </w:t>
      </w:r>
      <w:del w:id="17" w:author="Author" w:date="1901-01-01T00:00:00Z">
        <w:r>
          <w:delText>its</w:delText>
        </w:r>
      </w:del>
      <w:ins w:id="18" w:author="Author" w:date="1901-01-01T00:00:00Z">
        <w:r>
          <w:t>their</w:t>
        </w:r>
      </w:ins>
      <w:r>
        <w:t xml:space="preserve"> duties and </w:t>
      </w:r>
      <w:del w:id="19" w:author="Author" w:date="1901-01-01T00:00:00Z">
        <w:r>
          <w:delText xml:space="preserve">for the </w:delText>
        </w:r>
        <w:r>
          <w:rPr>
            <w:iCs/>
          </w:rPr>
          <w:delText xml:space="preserve">Parties </w:delText>
        </w:r>
        <w:r>
          <w:delText xml:space="preserve">to </w:delText>
        </w:r>
      </w:del>
      <w:r>
        <w:t xml:space="preserve">fulfill their obligations under this </w:t>
      </w:r>
      <w:r>
        <w:rPr>
          <w:iCs/>
        </w:rPr>
        <w:t>Agreement, subject to the requirements of existing confidentiality agreements or rules binding upon either of the Parties, including the NYISO Code of Conduct as set forth in Attachment F to the NYISO OATT</w:t>
      </w:r>
      <w:ins w:id="20" w:author="Author" w:date="1901-01-01T00:00:00Z">
        <w:r>
          <w:rPr>
            <w:iCs/>
          </w:rPr>
          <w:t>, Article 6 of</w:t>
        </w:r>
        <w:r>
          <w:rPr>
            <w:iCs/>
          </w:rPr>
          <w:t xml:space="preserve"> the NYISO Services Tariff, the PJM Code of Conduct</w:t>
        </w:r>
      </w:ins>
      <w:r>
        <w:t xml:space="preserve"> and PJM Data Confidentiality Regional Stakeholder Group.  </w:t>
      </w:r>
      <w:del w:id="21" w:author="Author" w:date="1901-01-01T00:00:00Z">
        <w:r>
          <w:delText xml:space="preserve">The types of data to be exchanged will be maintained and posted by the Parties to this Agreement on their respective OASIS web sites.  </w:delText>
        </w:r>
      </w:del>
      <w:r>
        <w:t>Such inform</w:t>
      </w:r>
      <w:r>
        <w:t xml:space="preserve">ation </w:t>
      </w:r>
      <w:del w:id="22" w:author="Author" w:date="1901-01-01T00:00:00Z">
        <w:r>
          <w:delText>will</w:delText>
        </w:r>
      </w:del>
      <w:ins w:id="23" w:author="Author" w:date="1901-01-01T00:00:00Z">
        <w:r>
          <w:t>may</w:t>
        </w:r>
      </w:ins>
      <w:r>
        <w:t xml:space="preserve"> consist of the following:</w:t>
      </w:r>
    </w:p>
    <w:p w:rsidR="00726F13" w:rsidRDefault="00FB549A" w:rsidP="00726F13">
      <w:pPr>
        <w:pStyle w:val="romannumeralpara"/>
        <w:ind w:left="1800" w:hanging="1080"/>
        <w:pPrChange w:id="24" w:author="Author" w:date="1901-01-01T00:00:00Z">
          <w:pPr>
            <w:pStyle w:val="romannumeralpara"/>
          </w:pPr>
        </w:pPrChange>
      </w:pPr>
      <w:r>
        <w:t>35.7.1.1</w:t>
      </w:r>
      <w:r>
        <w:rPr>
          <w:b/>
        </w:rPr>
        <w:tab/>
      </w:r>
      <w:r>
        <w:t xml:space="preserve">Information required to develop </w:t>
      </w:r>
      <w:r>
        <w:rPr>
          <w:iCs/>
        </w:rPr>
        <w:t>Operating Instructions</w:t>
      </w:r>
      <w:r>
        <w:t>;</w:t>
      </w:r>
    </w:p>
    <w:p w:rsidR="00726F13" w:rsidRDefault="00FB549A" w:rsidP="00726F13">
      <w:pPr>
        <w:pStyle w:val="romannumeralpara"/>
        <w:ind w:left="1800" w:hanging="1080"/>
        <w:rPr>
          <w:ins w:id="25" w:author="Author" w:date="1901-01-01T00:00:00Z"/>
        </w:rPr>
        <w:pPrChange w:id="26" w:author="Author" w:date="1901-01-01T00:00:00Z">
          <w:pPr>
            <w:pStyle w:val="romannumeralpara"/>
          </w:pPr>
        </w:pPrChange>
      </w:pPr>
      <w:r>
        <w:t>35.7.1.2</w:t>
      </w:r>
      <w:r>
        <w:tab/>
        <w:t>Transmission</w:t>
      </w:r>
      <w:r>
        <w:rPr>
          <w:iCs/>
        </w:rPr>
        <w:t xml:space="preserve"> System</w:t>
      </w:r>
      <w:r>
        <w:t xml:space="preserve"> facility specifications and modeling data required to perform Security analysis;</w:t>
      </w:r>
    </w:p>
    <w:p w:rsidR="00726F13" w:rsidRDefault="00FB549A" w:rsidP="00726F13">
      <w:pPr>
        <w:pStyle w:val="romannumeralpara"/>
        <w:ind w:left="1800" w:hanging="1080"/>
        <w:pPrChange w:id="27" w:author="Author" w:date="1901-01-01T00:00:00Z">
          <w:pPr>
            <w:pStyle w:val="romannumeralpara"/>
            <w:ind w:left="2160"/>
          </w:pPr>
        </w:pPrChange>
      </w:pPr>
      <w:ins w:id="28" w:author="Author" w:date="1901-01-01T00:00:00Z">
        <w:r>
          <w:t>35.7.1.2.1</w:t>
        </w:r>
        <w:r>
          <w:tab/>
        </w:r>
        <w:r>
          <w:rPr>
            <w:bCs/>
          </w:rPr>
          <w:t>The Parties will exchange thei</w:t>
        </w:r>
        <w:r>
          <w:rPr>
            <w:bCs/>
          </w:rPr>
          <w:t xml:space="preserve">r detailed EMS models in CIM format or another mutually agreed upon electronic format, and include the </w:t>
        </w:r>
        <w:r w:rsidRPr="00FB549A">
          <w:t>ICCP</w:t>
        </w:r>
        <w:r>
          <w:rPr>
            <w:bCs/>
          </w:rPr>
          <w:t>/ISN mapping files, identification of individual bus loads, seasonal equipment ratings and one-line drawings to expedite the model conversion process</w:t>
        </w:r>
        <w:r>
          <w:rPr>
            <w:bCs/>
          </w:rPr>
          <w:t>, upon request.  The Parties will also exchange updates that represent the incremental changes that have occurred to the EMS model since the most recent update in an agreed upon electronic format</w:t>
        </w:r>
        <w:r>
          <w:rPr>
            <w:bCs/>
          </w:rPr>
          <w:t>;</w:t>
        </w:r>
      </w:ins>
    </w:p>
    <w:p w:rsidR="00726F13" w:rsidRDefault="00FB549A" w:rsidP="00726F13">
      <w:pPr>
        <w:pStyle w:val="romannumeralpara"/>
        <w:ind w:left="1800" w:hanging="1080"/>
        <w:pPrChange w:id="29" w:author="Author" w:date="1901-01-01T00:00:00Z">
          <w:pPr>
            <w:pStyle w:val="romannumeralpara"/>
          </w:pPr>
        </w:pPrChange>
      </w:pPr>
      <w:r>
        <w:t>35.7.1.3</w:t>
      </w:r>
      <w:r>
        <w:tab/>
        <w:t xml:space="preserve">Functional descriptions and schematic diagrams of </w:t>
      </w:r>
      <w:r>
        <w:rPr>
          <w:iCs/>
        </w:rPr>
        <w:t>Transmission System</w:t>
      </w:r>
      <w:r>
        <w:t xml:space="preserve"> protective devices and communication facilities;</w:t>
      </w:r>
    </w:p>
    <w:p w:rsidR="00726F13" w:rsidRDefault="00FB549A" w:rsidP="00726F13">
      <w:pPr>
        <w:pStyle w:val="romannumeralpara"/>
        <w:ind w:left="1800" w:hanging="1080"/>
        <w:rPr>
          <w:iCs/>
        </w:rPr>
        <w:pPrChange w:id="30" w:author="Author" w:date="1901-01-01T00:00:00Z">
          <w:pPr>
            <w:pStyle w:val="romannumeralpara"/>
          </w:pPr>
        </w:pPrChange>
      </w:pPr>
      <w:r>
        <w:lastRenderedPageBreak/>
        <w:t>35.7.1.4</w:t>
      </w:r>
      <w:r>
        <w:tab/>
        <w:t xml:space="preserve">Ratings data and associated ratings methodologies for the </w:t>
      </w:r>
      <w:r>
        <w:rPr>
          <w:iCs/>
        </w:rPr>
        <w:t xml:space="preserve">Interconnection </w:t>
      </w:r>
      <w:r>
        <w:t>Facilities</w:t>
      </w:r>
      <w:r>
        <w:rPr>
          <w:iCs/>
        </w:rPr>
        <w:t>;</w:t>
      </w:r>
    </w:p>
    <w:p w:rsidR="00726F13" w:rsidRDefault="00FB549A" w:rsidP="00726F13">
      <w:pPr>
        <w:pStyle w:val="romannumeralpara"/>
        <w:ind w:left="1800" w:hanging="1080"/>
        <w:pPrChange w:id="31" w:author="Author" w:date="1901-01-01T00:00:00Z">
          <w:pPr>
            <w:pStyle w:val="romannumeralpara"/>
          </w:pPr>
        </w:pPrChange>
      </w:pPr>
      <w:r>
        <w:t>35.7.1.5</w:t>
      </w:r>
      <w:r>
        <w:tab/>
      </w:r>
      <w:r>
        <w:t xml:space="preserve">Telemetry points, equipment alarms and status points required for real-time monitoring of </w:t>
      </w:r>
      <w:r>
        <w:rPr>
          <w:iCs/>
        </w:rPr>
        <w:t xml:space="preserve">Security </w:t>
      </w:r>
      <w:r>
        <w:t>dispatch;</w:t>
      </w:r>
    </w:p>
    <w:p w:rsidR="00726F13" w:rsidRDefault="00FB549A" w:rsidP="00726F13">
      <w:pPr>
        <w:pStyle w:val="romannumeralpara"/>
        <w:ind w:left="1800" w:hanging="1080"/>
        <w:pPrChange w:id="32" w:author="Author" w:date="1901-01-01T00:00:00Z">
          <w:pPr>
            <w:pStyle w:val="romannumeralpara"/>
          </w:pPr>
        </w:pPrChange>
      </w:pPr>
      <w:r>
        <w:t>35.7.1.6</w:t>
      </w:r>
      <w:r>
        <w:tab/>
        <w:t xml:space="preserve">Data required to reconcile accounts for inadvertent energy, and for </w:t>
      </w:r>
      <w:r>
        <w:rPr>
          <w:iCs/>
        </w:rPr>
        <w:t xml:space="preserve">Emergency </w:t>
      </w:r>
      <w:r>
        <w:t>Energy</w:t>
      </w:r>
      <w:r>
        <w:rPr>
          <w:iCs/>
        </w:rPr>
        <w:t xml:space="preserve"> </w:t>
      </w:r>
      <w:r>
        <w:t>transactions;</w:t>
      </w:r>
    </w:p>
    <w:p w:rsidR="00726F13" w:rsidRDefault="00FB549A" w:rsidP="00726F13">
      <w:pPr>
        <w:pStyle w:val="romannumeralpara"/>
        <w:ind w:left="1800" w:hanging="1080"/>
        <w:pPrChange w:id="33" w:author="Author" w:date="1901-01-01T00:00:00Z">
          <w:pPr>
            <w:pStyle w:val="romannumeralpara"/>
          </w:pPr>
        </w:pPrChange>
      </w:pPr>
      <w:r>
        <w:t>35.7.1.7</w:t>
      </w:r>
      <w:r>
        <w:tab/>
        <w:t>Transmission</w:t>
      </w:r>
      <w:r>
        <w:rPr>
          <w:iCs/>
        </w:rPr>
        <w:t xml:space="preserve"> System</w:t>
      </w:r>
      <w:r>
        <w:t xml:space="preserve"> informatio</w:t>
      </w:r>
      <w:r>
        <w:t xml:space="preserve">n that is consistent with the information sharing requirements imposed by the Standards Authority; </w:t>
      </w:r>
      <w:del w:id="34" w:author="Author" w:date="1901-01-01T00:00:00Z">
        <w:r>
          <w:delText>and</w:delText>
        </w:r>
      </w:del>
    </w:p>
    <w:p w:rsidR="00726F13" w:rsidRDefault="00FB549A" w:rsidP="00726F13">
      <w:pPr>
        <w:pStyle w:val="romannumeralpara"/>
        <w:ind w:left="1800" w:hanging="1080"/>
        <w:rPr>
          <w:ins w:id="35" w:author="Author" w:date="1901-01-01T00:00:00Z"/>
          <w:iCs/>
        </w:rPr>
        <w:pPrChange w:id="36" w:author="Author" w:date="1901-01-01T00:00:00Z">
          <w:pPr>
            <w:pStyle w:val="romannumeralpara"/>
          </w:pPr>
        </w:pPrChange>
      </w:pPr>
      <w:r>
        <w:t>35.7.1.8</w:t>
      </w:r>
      <w:r>
        <w:tab/>
        <w:t xml:space="preserve">Such other information as may be required for the </w:t>
      </w:r>
      <w:r>
        <w:rPr>
          <w:iCs/>
        </w:rPr>
        <w:t xml:space="preserve">Parties </w:t>
      </w:r>
      <w:r>
        <w:t xml:space="preserve">to maintain the reliable operation of their interconnected </w:t>
      </w:r>
      <w:r>
        <w:rPr>
          <w:iCs/>
        </w:rPr>
        <w:t>Transmission Systems</w:t>
      </w:r>
      <w:r>
        <w:t xml:space="preserve"> and fu</w:t>
      </w:r>
      <w:r>
        <w:t xml:space="preserve">lfill their obligations under this </w:t>
      </w:r>
      <w:r>
        <w:rPr>
          <w:iCs/>
        </w:rPr>
        <w:t>Agreement</w:t>
      </w:r>
      <w:r>
        <w:t xml:space="preserve"> and to any </w:t>
      </w:r>
      <w:r>
        <w:rPr>
          <w:iCs/>
        </w:rPr>
        <w:t>Standards Authority</w:t>
      </w:r>
      <w:r>
        <w:t xml:space="preserve"> of which either </w:t>
      </w:r>
      <w:r>
        <w:rPr>
          <w:iCs/>
        </w:rPr>
        <w:t>Party is</w:t>
      </w:r>
      <w:r>
        <w:t xml:space="preserve"> a member, provided, however, that this other information will be exchanged only if that can be done in accordance with applicable restrictions on the discl</w:t>
      </w:r>
      <w:r>
        <w:t xml:space="preserve">osure of information to any </w:t>
      </w:r>
      <w:r>
        <w:rPr>
          <w:iCs/>
        </w:rPr>
        <w:t>Market Participant</w:t>
      </w:r>
      <w:del w:id="37" w:author="Author" w:date="1901-01-01T00:00:00Z">
        <w:r>
          <w:rPr>
            <w:iCs/>
          </w:rPr>
          <w:delText>.</w:delText>
        </w:r>
      </w:del>
      <w:ins w:id="38" w:author="Author" w:date="1901-01-01T00:00:00Z">
        <w:r>
          <w:rPr>
            <w:iCs/>
          </w:rPr>
          <w:t>; and</w:t>
        </w:r>
      </w:ins>
    </w:p>
    <w:p w:rsidR="00726F13" w:rsidRDefault="00FB549A" w:rsidP="00726F13">
      <w:pPr>
        <w:pStyle w:val="romannumeralpara"/>
        <w:ind w:left="1800" w:hanging="1080"/>
        <w:rPr>
          <w:ins w:id="39" w:author="Author" w:date="1901-01-01T00:00:00Z"/>
        </w:rPr>
        <w:pPrChange w:id="40" w:author="Author" w:date="1901-01-01T00:00:00Z">
          <w:pPr>
            <w:pStyle w:val="romannumeralpara"/>
          </w:pPr>
        </w:pPrChange>
      </w:pPr>
      <w:ins w:id="41" w:author="Author" w:date="1901-01-01T00:00:00Z">
        <w:r>
          <w:t>35.7.1.9</w:t>
        </w:r>
        <w:r>
          <w:tab/>
          <w:t>Additional information required for the Parties to administer the M2M coordination process set forth in Schedule</w:t>
        </w:r>
        <w:r>
          <w:t xml:space="preserve"> D</w:t>
        </w:r>
        <w:r>
          <w:t xml:space="preserve"> to this Agreement, including:</w:t>
        </w:r>
      </w:ins>
    </w:p>
    <w:p w:rsidR="00726F13" w:rsidRDefault="00FB549A" w:rsidP="00726F13">
      <w:pPr>
        <w:pStyle w:val="romannumeralpara"/>
        <w:ind w:left="2160" w:hanging="360"/>
        <w:rPr>
          <w:ins w:id="42" w:author="Author" w:date="1901-01-01T00:00:00Z"/>
        </w:rPr>
        <w:pPrChange w:id="43" w:author="Author" w:date="1901-01-01T00:00:00Z">
          <w:pPr>
            <w:ind w:left="1800" w:hanging="360"/>
          </w:pPr>
        </w:pPrChange>
      </w:pPr>
      <w:ins w:id="44" w:author="Author" w:date="1901-01-01T00:00:00Z">
        <w:r>
          <w:t>a.</w:t>
        </w:r>
        <w:r>
          <w:tab/>
          <w:t xml:space="preserve">actual </w:t>
        </w:r>
        <w:r>
          <w:t xml:space="preserve">flows on </w:t>
        </w:r>
        <w:r>
          <w:t>M2M Flowgate</w:t>
        </w:r>
        <w:r>
          <w:t>s</w:t>
        </w:r>
        <w:r>
          <w:t>;</w:t>
        </w:r>
      </w:ins>
    </w:p>
    <w:p w:rsidR="00726F13" w:rsidRDefault="00FB549A" w:rsidP="00726F13">
      <w:pPr>
        <w:pStyle w:val="romannumeralpara"/>
        <w:ind w:left="2160" w:hanging="360"/>
        <w:rPr>
          <w:ins w:id="45" w:author="Author" w:date="1901-01-01T00:00:00Z"/>
        </w:rPr>
        <w:pPrChange w:id="46" w:author="Author" w:date="1901-01-01T00:00:00Z">
          <w:pPr>
            <w:ind w:left="1800" w:hanging="360"/>
          </w:pPr>
        </w:pPrChange>
      </w:pPr>
      <w:ins w:id="47" w:author="Author" w:date="1901-01-01T00:00:00Z">
        <w:r>
          <w:t>b.</w:t>
        </w:r>
        <w:r>
          <w:tab/>
          <w:t>actual limit</w:t>
        </w:r>
        <w:r>
          <w:t>s for M2M Flowgates;</w:t>
        </w:r>
      </w:ins>
    </w:p>
    <w:p w:rsidR="00726F13" w:rsidRDefault="00FB549A" w:rsidP="00726F13">
      <w:pPr>
        <w:pStyle w:val="romannumeralpara"/>
        <w:ind w:left="2160" w:hanging="360"/>
        <w:rPr>
          <w:ins w:id="48" w:author="Author" w:date="1901-01-01T00:00:00Z"/>
        </w:rPr>
        <w:pPrChange w:id="49" w:author="Author" w:date="1901-01-01T00:00:00Z">
          <w:pPr>
            <w:ind w:left="1800" w:hanging="360"/>
          </w:pPr>
        </w:pPrChange>
      </w:pPr>
      <w:ins w:id="50" w:author="Author" w:date="1901-01-01T00:00:00Z">
        <w:r>
          <w:t>c.</w:t>
        </w:r>
        <w:r>
          <w:tab/>
        </w:r>
        <w:r w:rsidRPr="00E20052">
          <w:rPr>
            <w:rFonts w:eastAsiaTheme="minorHAnsi"/>
            <w:i/>
          </w:rPr>
          <w:t xml:space="preserve">ex ante </w:t>
        </w:r>
        <w:r>
          <w:t>Shadow Prices on constrained M2M Flowgates;</w:t>
        </w:r>
      </w:ins>
    </w:p>
    <w:p w:rsidR="00726F13" w:rsidRDefault="00FB549A" w:rsidP="00726F13">
      <w:pPr>
        <w:pStyle w:val="romannumeralpara"/>
        <w:ind w:left="2160" w:hanging="360"/>
        <w:rPr>
          <w:ins w:id="51" w:author="Author" w:date="1901-01-01T00:00:00Z"/>
        </w:rPr>
        <w:pPrChange w:id="52" w:author="Author" w:date="1901-01-01T00:00:00Z">
          <w:pPr>
            <w:ind w:left="1800" w:hanging="360"/>
          </w:pPr>
        </w:pPrChange>
      </w:pPr>
      <w:ins w:id="53" w:author="Author" w:date="1901-01-01T00:00:00Z">
        <w:r>
          <w:t>d.</w:t>
        </w:r>
        <w:r>
          <w:tab/>
          <w:t>requested relief during a M2M Event;</w:t>
        </w:r>
      </w:ins>
    </w:p>
    <w:p w:rsidR="00726F13" w:rsidRDefault="00FB549A" w:rsidP="00726F13">
      <w:pPr>
        <w:pStyle w:val="romannumeralpara"/>
        <w:ind w:left="2160" w:hanging="360"/>
        <w:rPr>
          <w:ins w:id="54" w:author="Author" w:date="1901-01-01T00:00:00Z"/>
        </w:rPr>
        <w:pPrChange w:id="55" w:author="Author" w:date="1901-01-01T00:00:00Z">
          <w:pPr>
            <w:spacing w:line="480" w:lineRule="auto"/>
            <w:ind w:left="1800" w:hanging="360"/>
          </w:pPr>
        </w:pPrChange>
      </w:pPr>
      <w:ins w:id="56" w:author="Author" w:date="1901-01-01T00:00:00Z">
        <w:r>
          <w:t>e.</w:t>
        </w:r>
        <w:r>
          <w:tab/>
        </w:r>
        <w:r>
          <w:t xml:space="preserve">Market Flow </w:t>
        </w:r>
        <w:r>
          <w:t>calculation</w:t>
        </w:r>
        <w:r>
          <w:t xml:space="preserve"> data (generator shift factors, load shift factors,</w:t>
        </w:r>
        <w:r>
          <w:t xml:space="preserve"> interchange PTDFs, phase angle regulator OTDFs,</w:t>
        </w:r>
        <w:r>
          <w:t xml:space="preserve"> generator outp</w:t>
        </w:r>
        <w:r>
          <w:t>ut, load, net interchange)</w:t>
        </w:r>
        <w:r>
          <w:t>;</w:t>
        </w:r>
      </w:ins>
    </w:p>
    <w:p w:rsidR="00726F13" w:rsidRDefault="00FB549A" w:rsidP="00726F13">
      <w:pPr>
        <w:pStyle w:val="romannumeralpara"/>
        <w:ind w:left="2160" w:hanging="360"/>
        <w:rPr>
          <w:ins w:id="57" w:author="Author" w:date="1901-01-01T00:00:00Z"/>
        </w:rPr>
        <w:pPrChange w:id="58" w:author="Author" w:date="1901-01-01T00:00:00Z">
          <w:pPr>
            <w:ind w:left="1800" w:hanging="360"/>
          </w:pPr>
        </w:pPrChange>
      </w:pPr>
      <w:ins w:id="59" w:author="Author" w:date="1901-01-01T00:00:00Z">
        <w:r>
          <w:t>f.</w:t>
        </w:r>
        <w:r>
          <w:tab/>
        </w:r>
        <w:r>
          <w:t>Market Flows on M2M Flowgates; and</w:t>
        </w:r>
      </w:ins>
    </w:p>
    <w:p w:rsidR="00726F13" w:rsidRDefault="00FB549A" w:rsidP="00726F13">
      <w:pPr>
        <w:pStyle w:val="romannumeralpara"/>
        <w:ind w:left="2160" w:hanging="360"/>
        <w:rPr>
          <w:ins w:id="60" w:author="Author" w:date="1901-01-01T00:00:00Z"/>
        </w:rPr>
        <w:pPrChange w:id="61" w:author="Author" w:date="1901-01-01T00:00:00Z">
          <w:pPr>
            <w:spacing w:line="480" w:lineRule="auto"/>
            <w:ind w:left="1800" w:hanging="360"/>
          </w:pPr>
        </w:pPrChange>
      </w:pPr>
      <w:ins w:id="62" w:author="Author" w:date="1901-01-01T00:00:00Z">
        <w:r>
          <w:t>g</w:t>
        </w:r>
        <w:r>
          <w:t>.</w:t>
        </w:r>
        <w:r>
          <w:tab/>
        </w:r>
        <w:r w:rsidRPr="00D77112">
          <w:t>binding constraint thresholds</w:t>
        </w:r>
        <w:r>
          <w:t xml:space="preserve"> (</w:t>
        </w:r>
        <w:r w:rsidRPr="00A51C6C">
          <w:t>the shift factor thresholds used to identify the resource(s) available to relieve a transmission constraint)</w:t>
        </w:r>
        <w:r>
          <w:t>.</w:t>
        </w:r>
        <w:del w:id="63" w:author="Author" w:date="1901-01-01T00:00:00Z">
          <w:r>
            <w:delText xml:space="preserve"> </w:delText>
          </w:r>
        </w:del>
      </w:ins>
    </w:p>
    <w:p w:rsidR="00726F13" w:rsidRPr="00726F13" w:rsidRDefault="00FB549A" w:rsidP="00726F13">
      <w:pPr>
        <w:pStyle w:val="Heading3"/>
        <w:tabs>
          <w:tab w:val="left" w:pos="1080"/>
        </w:tabs>
        <w:spacing w:before="240" w:after="240"/>
        <w:ind w:left="1080" w:right="634" w:hanging="1080"/>
        <w:rPr>
          <w:rFonts w:ascii="Times New Roman" w:hAnsi="Times New Roman" w:cs="Times New Roman"/>
          <w:color w:val="auto"/>
          <w:rPrChange w:id="64" w:author="Author" w:date="1901-01-01T00:00:00Z">
            <w:rPr>
              <w:color w:val="auto"/>
            </w:rPr>
          </w:rPrChange>
        </w:rPr>
        <w:pPrChange w:id="65" w:author="Author" w:date="1901-01-01T00:00:00Z">
          <w:pPr>
            <w:pStyle w:val="Heading3"/>
          </w:pPr>
        </w:pPrChange>
      </w:pPr>
      <w:bookmarkStart w:id="66" w:name="_Toc260839822"/>
      <w:bookmarkStart w:id="67" w:name="_Toc311192579"/>
      <w:r w:rsidRPr="00B92295">
        <w:rPr>
          <w:rFonts w:ascii="Times New Roman" w:hAnsi="Times New Roman" w:cs="Times New Roman"/>
          <w:color w:val="auto"/>
          <w:rPrChange w:id="68" w:author="Author" w:date="1901-01-01T00:00:00Z">
            <w:rPr>
              <w:color w:val="auto"/>
            </w:rPr>
          </w:rPrChange>
        </w:rPr>
        <w:t>35.7.2</w:t>
      </w:r>
      <w:r w:rsidRPr="00B92295">
        <w:rPr>
          <w:rFonts w:ascii="Times New Roman" w:hAnsi="Times New Roman" w:cs="Times New Roman"/>
          <w:color w:val="auto"/>
          <w:rPrChange w:id="69" w:author="Author" w:date="1901-01-01T00:00:00Z">
            <w:rPr>
              <w:color w:val="auto"/>
            </w:rPr>
          </w:rPrChange>
        </w:rPr>
        <w:tab/>
        <w:t>Confidentiality</w:t>
      </w:r>
      <w:del w:id="70" w:author="Author" w:date="1901-01-01T00:00:00Z">
        <w:r w:rsidRPr="00B92295">
          <w:rPr>
            <w:rFonts w:ascii="Times New Roman" w:hAnsi="Times New Roman" w:cs="Times New Roman"/>
            <w:color w:val="auto"/>
            <w:rPrChange w:id="71" w:author="Author" w:date="1901-01-01T00:00:00Z">
              <w:rPr>
                <w:color w:val="auto"/>
              </w:rPr>
            </w:rPrChange>
          </w:rPr>
          <w:delText>.</w:delText>
        </w:r>
        <w:bookmarkEnd w:id="66"/>
        <w:bookmarkEnd w:id="67"/>
        <w:r w:rsidRPr="00B92295">
          <w:rPr>
            <w:rFonts w:ascii="Times New Roman" w:hAnsi="Times New Roman" w:cs="Times New Roman"/>
            <w:color w:val="auto"/>
            <w:rPrChange w:id="72" w:author="Author" w:date="1901-01-01T00:00:00Z">
              <w:rPr>
                <w:color w:val="auto"/>
              </w:rPr>
            </w:rPrChange>
          </w:rPr>
          <w:delText xml:space="preserve">  </w:delText>
        </w:r>
      </w:del>
    </w:p>
    <w:p w:rsidR="00E20052" w:rsidRDefault="00FB549A">
      <w:pPr>
        <w:pStyle w:val="Bodypara"/>
      </w:pPr>
      <w:r>
        <w:t xml:space="preserve">The </w:t>
      </w:r>
      <w:r>
        <w:rPr>
          <w:iCs/>
        </w:rPr>
        <w:t xml:space="preserve">Party </w:t>
      </w:r>
      <w:r>
        <w:t xml:space="preserve">receiving information pursuant to this Section 35.7 shall treat such information as confidential subject to the terms and conditions of set forth in Section 35.8 of this Agreement.  The obligation of each </w:t>
      </w:r>
      <w:r>
        <w:rPr>
          <w:iCs/>
        </w:rPr>
        <w:t xml:space="preserve">Party </w:t>
      </w:r>
      <w:r>
        <w:t>under this Section 35.7.2 continues and survi</w:t>
      </w:r>
      <w:r>
        <w:t xml:space="preserve">ves the termination of this </w:t>
      </w:r>
      <w:r>
        <w:rPr>
          <w:iCs/>
        </w:rPr>
        <w:t xml:space="preserve">Agreement </w:t>
      </w:r>
      <w:r>
        <w:t>by seven (7) years.</w:t>
      </w:r>
    </w:p>
    <w:p w:rsidR="00726F13" w:rsidRPr="00726F13" w:rsidRDefault="00FB549A" w:rsidP="00726F13">
      <w:pPr>
        <w:pStyle w:val="Heading3"/>
        <w:tabs>
          <w:tab w:val="left" w:pos="1080"/>
        </w:tabs>
        <w:spacing w:before="240" w:after="240"/>
        <w:ind w:left="1080" w:right="634" w:hanging="1080"/>
        <w:rPr>
          <w:rFonts w:ascii="Times New Roman" w:hAnsi="Times New Roman" w:cs="Times New Roman"/>
          <w:color w:val="auto"/>
          <w:rPrChange w:id="73" w:author="Author" w:date="1901-01-01T00:00:00Z">
            <w:rPr>
              <w:color w:val="auto"/>
            </w:rPr>
          </w:rPrChange>
        </w:rPr>
        <w:pPrChange w:id="74" w:author="Author" w:date="1901-01-01T00:00:00Z">
          <w:pPr>
            <w:pStyle w:val="Heading3"/>
          </w:pPr>
        </w:pPrChange>
      </w:pPr>
      <w:bookmarkStart w:id="75" w:name="_Toc260839823"/>
      <w:bookmarkStart w:id="76" w:name="_Toc311192580"/>
      <w:r w:rsidRPr="00B92295">
        <w:rPr>
          <w:rFonts w:ascii="Times New Roman" w:hAnsi="Times New Roman" w:cs="Times New Roman"/>
          <w:color w:val="auto"/>
          <w:rPrChange w:id="77" w:author="Author" w:date="1901-01-01T00:00:00Z">
            <w:rPr>
              <w:color w:val="auto"/>
            </w:rPr>
          </w:rPrChange>
        </w:rPr>
        <w:t>35.7.3</w:t>
      </w:r>
      <w:r w:rsidRPr="00B92295">
        <w:rPr>
          <w:rFonts w:ascii="Times New Roman" w:hAnsi="Times New Roman" w:cs="Times New Roman"/>
          <w:color w:val="auto"/>
          <w:rPrChange w:id="78" w:author="Author" w:date="1901-01-01T00:00:00Z">
            <w:rPr>
              <w:color w:val="auto"/>
            </w:rPr>
          </w:rPrChange>
        </w:rPr>
        <w:tab/>
        <w:t>Data Exchange Contact</w:t>
      </w:r>
      <w:del w:id="79" w:author="Author" w:date="1901-01-01T00:00:00Z">
        <w:r w:rsidRPr="00B92295">
          <w:rPr>
            <w:rFonts w:ascii="Times New Roman" w:hAnsi="Times New Roman" w:cs="Times New Roman"/>
            <w:color w:val="auto"/>
            <w:rPrChange w:id="80" w:author="Author" w:date="1901-01-01T00:00:00Z">
              <w:rPr>
                <w:color w:val="auto"/>
              </w:rPr>
            </w:rPrChange>
          </w:rPr>
          <w:delText>.</w:delText>
        </w:r>
        <w:bookmarkEnd w:id="75"/>
        <w:bookmarkEnd w:id="76"/>
        <w:r w:rsidRPr="00B92295">
          <w:rPr>
            <w:rFonts w:ascii="Times New Roman" w:hAnsi="Times New Roman" w:cs="Times New Roman"/>
            <w:color w:val="auto"/>
            <w:rPrChange w:id="81" w:author="Author" w:date="1901-01-01T00:00:00Z">
              <w:rPr>
                <w:color w:val="auto"/>
              </w:rPr>
            </w:rPrChange>
          </w:rPr>
          <w:delText xml:space="preserve"> </w:delText>
        </w:r>
      </w:del>
    </w:p>
    <w:p w:rsidR="00E20052" w:rsidRDefault="00FB549A">
      <w:pPr>
        <w:pStyle w:val="Bodypara"/>
      </w:pPr>
      <w:r>
        <w:t>To facilitate the exchange of all such data, each Party will designate to the other Party’s Vice President of Operations a contact to be available twenty-four (24) hou</w:t>
      </w:r>
      <w:r>
        <w:t>rs each day, seven (7) days per week, and an alternate contact to act in the absence or unavailability of the primary contact, to respond to any inquiries.  With respect to each contact and alternate, each Party shall provide the name, telephone number, e-</w:t>
      </w:r>
      <w:r>
        <w:t>mail address, and fax number.  Each Party may change a designee from time to time by Notice to the other Party’s Vice President of Operations.</w:t>
      </w:r>
    </w:p>
    <w:p w:rsidR="00E20052" w:rsidRDefault="00FB549A">
      <w:pPr>
        <w:pStyle w:val="Bodypara"/>
      </w:pPr>
      <w:r>
        <w:t>The Parties agree to exchange data in a timely manner consistent with existing defined formats or such other form</w:t>
      </w:r>
      <w:r>
        <w:t>ats to which the Parties may agree.  Each Party shall provide notification to the other Party thirty (30) days prior to modifying an established data exchange format.</w:t>
      </w:r>
    </w:p>
    <w:p w:rsidR="00726F13" w:rsidRPr="00726F13" w:rsidRDefault="00FB549A" w:rsidP="00726F13">
      <w:pPr>
        <w:pStyle w:val="Heading3"/>
        <w:tabs>
          <w:tab w:val="left" w:pos="1080"/>
        </w:tabs>
        <w:spacing w:before="240" w:after="240"/>
        <w:ind w:left="1080" w:right="634" w:hanging="1080"/>
        <w:rPr>
          <w:rFonts w:ascii="Times New Roman" w:hAnsi="Times New Roman" w:cs="Times New Roman"/>
          <w:color w:val="auto"/>
          <w:rPrChange w:id="82" w:author="Author" w:date="1901-01-01T00:00:00Z">
            <w:rPr>
              <w:color w:val="auto"/>
            </w:rPr>
          </w:rPrChange>
        </w:rPr>
        <w:pPrChange w:id="83" w:author="Author" w:date="1901-01-01T00:00:00Z">
          <w:pPr>
            <w:pStyle w:val="Heading3"/>
          </w:pPr>
        </w:pPrChange>
      </w:pPr>
      <w:bookmarkStart w:id="84" w:name="_Toc260839824"/>
      <w:bookmarkStart w:id="85" w:name="_Toc311192581"/>
      <w:r w:rsidRPr="00B92295">
        <w:rPr>
          <w:rFonts w:ascii="Times New Roman" w:hAnsi="Times New Roman" w:cs="Times New Roman"/>
          <w:color w:val="auto"/>
          <w:rPrChange w:id="86" w:author="Author" w:date="1901-01-01T00:00:00Z">
            <w:rPr>
              <w:color w:val="auto"/>
            </w:rPr>
          </w:rPrChange>
        </w:rPr>
        <w:t>35.7.4</w:t>
      </w:r>
      <w:r w:rsidRPr="00B92295">
        <w:rPr>
          <w:rFonts w:ascii="Times New Roman" w:hAnsi="Times New Roman" w:cs="Times New Roman"/>
          <w:color w:val="auto"/>
          <w:rPrChange w:id="87" w:author="Author" w:date="1901-01-01T00:00:00Z">
            <w:rPr>
              <w:color w:val="auto"/>
            </w:rPr>
          </w:rPrChange>
        </w:rPr>
        <w:tab/>
        <w:t>Cost of Data and Information Exchange</w:t>
      </w:r>
      <w:del w:id="88" w:author="Author" w:date="1901-01-01T00:00:00Z">
        <w:r w:rsidRPr="00B92295">
          <w:rPr>
            <w:rFonts w:ascii="Times New Roman" w:hAnsi="Times New Roman" w:cs="Times New Roman"/>
            <w:color w:val="auto"/>
            <w:rPrChange w:id="89" w:author="Author" w:date="1901-01-01T00:00:00Z">
              <w:rPr>
                <w:color w:val="auto"/>
              </w:rPr>
            </w:rPrChange>
          </w:rPr>
          <w:delText>.</w:delText>
        </w:r>
        <w:bookmarkEnd w:id="84"/>
        <w:bookmarkEnd w:id="85"/>
        <w:r w:rsidRPr="00B92295">
          <w:rPr>
            <w:rFonts w:ascii="Times New Roman" w:hAnsi="Times New Roman" w:cs="Times New Roman"/>
            <w:color w:val="auto"/>
            <w:rPrChange w:id="90" w:author="Author" w:date="1901-01-01T00:00:00Z">
              <w:rPr>
                <w:color w:val="auto"/>
              </w:rPr>
            </w:rPrChange>
          </w:rPr>
          <w:delText xml:space="preserve">  </w:delText>
        </w:r>
      </w:del>
    </w:p>
    <w:p w:rsidR="00E20052" w:rsidRDefault="00FB549A">
      <w:pPr>
        <w:pStyle w:val="Bodypara"/>
      </w:pPr>
      <w:r>
        <w:t xml:space="preserve">Each Party shall bear its own cost of </w:t>
      </w:r>
      <w:r>
        <w:t>providing information to the other Party.</w:t>
      </w:r>
    </w:p>
    <w:p w:rsidR="00726F13" w:rsidRPr="00726F13" w:rsidRDefault="00FB549A" w:rsidP="00726F13">
      <w:pPr>
        <w:pStyle w:val="Heading3"/>
        <w:tabs>
          <w:tab w:val="left" w:pos="1080"/>
        </w:tabs>
        <w:spacing w:before="240" w:after="240"/>
        <w:ind w:left="1080" w:right="634" w:hanging="1080"/>
        <w:rPr>
          <w:rFonts w:ascii="Times New Roman" w:hAnsi="Times New Roman" w:cs="Times New Roman"/>
          <w:color w:val="auto"/>
          <w:rPrChange w:id="91" w:author="Author" w:date="1901-01-01T00:00:00Z">
            <w:rPr>
              <w:color w:val="auto"/>
            </w:rPr>
          </w:rPrChange>
        </w:rPr>
        <w:pPrChange w:id="92" w:author="Author" w:date="1901-01-01T00:00:00Z">
          <w:pPr>
            <w:pStyle w:val="Heading3"/>
          </w:pPr>
        </w:pPrChange>
      </w:pPr>
      <w:bookmarkStart w:id="93" w:name="_Toc260839825"/>
      <w:bookmarkStart w:id="94" w:name="_Toc311192582"/>
      <w:r w:rsidRPr="00B92295">
        <w:rPr>
          <w:rFonts w:ascii="Times New Roman" w:hAnsi="Times New Roman" w:cs="Times New Roman"/>
          <w:color w:val="auto"/>
          <w:rPrChange w:id="95" w:author="Author" w:date="1901-01-01T00:00:00Z">
            <w:rPr>
              <w:color w:val="auto"/>
            </w:rPr>
          </w:rPrChange>
        </w:rPr>
        <w:t>35.7.5</w:t>
      </w:r>
      <w:r w:rsidRPr="00B92295">
        <w:rPr>
          <w:rFonts w:ascii="Times New Roman" w:hAnsi="Times New Roman" w:cs="Times New Roman"/>
          <w:color w:val="auto"/>
          <w:rPrChange w:id="96" w:author="Author" w:date="1901-01-01T00:00:00Z">
            <w:rPr>
              <w:color w:val="auto"/>
            </w:rPr>
          </w:rPrChange>
        </w:rPr>
        <w:tab/>
        <w:t>Other Data</w:t>
      </w:r>
      <w:del w:id="97" w:author="Author" w:date="1901-01-01T00:00:00Z">
        <w:r w:rsidRPr="00B92295">
          <w:rPr>
            <w:rFonts w:ascii="Times New Roman" w:hAnsi="Times New Roman" w:cs="Times New Roman"/>
            <w:color w:val="auto"/>
            <w:rPrChange w:id="98" w:author="Author" w:date="1901-01-01T00:00:00Z">
              <w:rPr>
                <w:color w:val="auto"/>
              </w:rPr>
            </w:rPrChange>
          </w:rPr>
          <w:delText>.</w:delText>
        </w:r>
        <w:bookmarkEnd w:id="93"/>
        <w:bookmarkEnd w:id="94"/>
        <w:r w:rsidRPr="00B92295">
          <w:rPr>
            <w:rFonts w:ascii="Times New Roman" w:hAnsi="Times New Roman" w:cs="Times New Roman"/>
            <w:color w:val="auto"/>
            <w:rPrChange w:id="99" w:author="Author" w:date="1901-01-01T00:00:00Z">
              <w:rPr>
                <w:color w:val="auto"/>
              </w:rPr>
            </w:rPrChange>
          </w:rPr>
          <w:delText xml:space="preserve">  </w:delText>
        </w:r>
      </w:del>
    </w:p>
    <w:p w:rsidR="00E20052" w:rsidRDefault="00FB549A">
      <w:pPr>
        <w:pStyle w:val="Bodypara"/>
        <w:rPr>
          <w:b/>
        </w:rPr>
      </w:pPr>
      <w:r>
        <w:t>The Parties may share other data not listed in this Section 35.7 as mutually agreed upon by the Parties.</w:t>
      </w:r>
    </w:p>
    <w:sectPr w:rsidR="00E20052" w:rsidSect="00E2005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B549A">
      <w:pPr>
        <w:spacing w:after="0" w:line="240" w:lineRule="auto"/>
      </w:pPr>
      <w:r>
        <w:separator/>
      </w:r>
    </w:p>
  </w:endnote>
  <w:endnote w:type="continuationSeparator" w:id="0">
    <w:p w:rsidR="00000000" w:rsidRDefault="00FB5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F13" w:rsidRDefault="00FB549A">
    <w:pPr>
      <w:jc w:val="right"/>
      <w:rPr>
        <w:rFonts w:ascii="Arial" w:eastAsia="Arial" w:hAnsi="Arial" w:cs="Arial"/>
        <w:color w:val="000000"/>
        <w:sz w:val="16"/>
      </w:rPr>
    </w:pPr>
    <w:r>
      <w:rPr>
        <w:rFonts w:ascii="Arial" w:eastAsia="Arial" w:hAnsi="Arial" w:cs="Arial"/>
        <w:color w:val="000000"/>
        <w:sz w:val="16"/>
      </w:rPr>
      <w:t xml:space="preserve">Effective Date: 12/31/9998 - Docket #: ER12-718-000 -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F13" w:rsidRDefault="00FB549A">
    <w:pPr>
      <w:jc w:val="right"/>
      <w:rPr>
        <w:rFonts w:ascii="Arial" w:eastAsia="Arial" w:hAnsi="Arial" w:cs="Arial"/>
        <w:color w:val="000000"/>
        <w:sz w:val="16"/>
      </w:rPr>
    </w:pPr>
    <w:r>
      <w:rPr>
        <w:rFonts w:ascii="Arial" w:eastAsia="Arial" w:hAnsi="Arial" w:cs="Arial"/>
        <w:color w:val="000000"/>
        <w:sz w:val="16"/>
      </w:rPr>
      <w:t xml:space="preserve">Effective Date: 12/31/9998 - Docket #: ER12-718-000 -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F13" w:rsidRDefault="00FB549A">
    <w:pPr>
      <w:jc w:val="right"/>
      <w:rPr>
        <w:rFonts w:ascii="Arial" w:eastAsia="Arial" w:hAnsi="Arial" w:cs="Arial"/>
        <w:color w:val="000000"/>
        <w:sz w:val="16"/>
      </w:rPr>
    </w:pPr>
    <w:r>
      <w:rPr>
        <w:rFonts w:ascii="Arial" w:eastAsia="Arial" w:hAnsi="Arial" w:cs="Arial"/>
        <w:color w:val="000000"/>
        <w:sz w:val="16"/>
      </w:rPr>
      <w:t xml:space="preserve">Effective Date: 12/31/9998 - Docket #: ER12-718-000 -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B549A">
      <w:pPr>
        <w:spacing w:after="0" w:line="240" w:lineRule="auto"/>
      </w:pPr>
      <w:r>
        <w:separator/>
      </w:r>
    </w:p>
  </w:footnote>
  <w:footnote w:type="continuationSeparator" w:id="0">
    <w:p w:rsidR="00000000" w:rsidRDefault="00FB54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F13" w:rsidRDefault="00FB549A">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35 OATT Attachment CC - Joint Operating Agreement Among And --&gt; 35.7 OATT Att CC Exchange Of Information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F13" w:rsidRDefault="00FB549A">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w:t>
    </w:r>
    <w:r>
      <w:rPr>
        <w:rFonts w:ascii="Arial" w:eastAsia="Arial" w:hAnsi="Arial" w:cs="Arial"/>
        <w:color w:val="000000"/>
        <w:sz w:val="16"/>
      </w:rPr>
      <w:t>nt Among And --&gt; 35.7 OATT Att CC Exchange Of Information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F13" w:rsidRDefault="00FB549A">
    <w:pPr>
      <w:rPr>
        <w:rFonts w:ascii="Arial" w:eastAsia="Arial" w:hAnsi="Arial" w:cs="Arial"/>
        <w:color w:val="000000"/>
        <w:sz w:val="16"/>
      </w:rPr>
    </w:pPr>
    <w:r>
      <w:rPr>
        <w:rFonts w:ascii="Arial" w:eastAsia="Arial" w:hAnsi="Arial" w:cs="Arial"/>
        <w:color w:val="000000"/>
        <w:sz w:val="16"/>
      </w:rPr>
      <w:t>NYISO Tariffs --&gt; Open Access Transmission Tariff (OATT) --&gt; 35 OA</w:t>
    </w:r>
    <w:r>
      <w:rPr>
        <w:rFonts w:ascii="Arial" w:eastAsia="Arial" w:hAnsi="Arial" w:cs="Arial"/>
        <w:color w:val="000000"/>
        <w:sz w:val="16"/>
      </w:rPr>
      <w:t>TT Attachment CC - Joint Operating Agreement Among And --&gt; 35.7 OATT Att CC Exchange Of 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E308E88"/>
    <w:lvl w:ilvl="0" w:tplc="AB5A1FDA">
      <w:start w:val="1"/>
      <w:numFmt w:val="bullet"/>
      <w:lvlText w:val=""/>
      <w:lvlJc w:val="left"/>
      <w:pPr>
        <w:tabs>
          <w:tab w:val="num" w:pos="1440"/>
        </w:tabs>
        <w:ind w:left="1440" w:hanging="360"/>
      </w:pPr>
      <w:rPr>
        <w:rFonts w:ascii="Symbol" w:hAnsi="Symbol" w:hint="default"/>
      </w:rPr>
    </w:lvl>
    <w:lvl w:ilvl="1" w:tplc="43741EA2">
      <w:start w:val="1"/>
      <w:numFmt w:val="bullet"/>
      <w:lvlText w:val="o"/>
      <w:lvlJc w:val="left"/>
      <w:pPr>
        <w:tabs>
          <w:tab w:val="num" w:pos="2160"/>
        </w:tabs>
        <w:ind w:left="2160" w:hanging="360"/>
      </w:pPr>
      <w:rPr>
        <w:rFonts w:ascii="Courier New" w:hAnsi="Courier New" w:cs="Courier New" w:hint="default"/>
      </w:rPr>
    </w:lvl>
    <w:lvl w:ilvl="2" w:tplc="8B6ACC8A" w:tentative="1">
      <w:start w:val="1"/>
      <w:numFmt w:val="bullet"/>
      <w:lvlText w:val=""/>
      <w:lvlJc w:val="left"/>
      <w:pPr>
        <w:tabs>
          <w:tab w:val="num" w:pos="2880"/>
        </w:tabs>
        <w:ind w:left="2880" w:hanging="360"/>
      </w:pPr>
      <w:rPr>
        <w:rFonts w:ascii="Wingdings" w:hAnsi="Wingdings" w:hint="default"/>
      </w:rPr>
    </w:lvl>
    <w:lvl w:ilvl="3" w:tplc="72B8830C" w:tentative="1">
      <w:start w:val="1"/>
      <w:numFmt w:val="bullet"/>
      <w:lvlText w:val=""/>
      <w:lvlJc w:val="left"/>
      <w:pPr>
        <w:tabs>
          <w:tab w:val="num" w:pos="3600"/>
        </w:tabs>
        <w:ind w:left="3600" w:hanging="360"/>
      </w:pPr>
      <w:rPr>
        <w:rFonts w:ascii="Symbol" w:hAnsi="Symbol" w:hint="default"/>
      </w:rPr>
    </w:lvl>
    <w:lvl w:ilvl="4" w:tplc="D8CA3B14" w:tentative="1">
      <w:start w:val="1"/>
      <w:numFmt w:val="bullet"/>
      <w:lvlText w:val="o"/>
      <w:lvlJc w:val="left"/>
      <w:pPr>
        <w:tabs>
          <w:tab w:val="num" w:pos="4320"/>
        </w:tabs>
        <w:ind w:left="4320" w:hanging="360"/>
      </w:pPr>
      <w:rPr>
        <w:rFonts w:ascii="Courier New" w:hAnsi="Courier New" w:cs="Courier New" w:hint="default"/>
      </w:rPr>
    </w:lvl>
    <w:lvl w:ilvl="5" w:tplc="D12E8AEE" w:tentative="1">
      <w:start w:val="1"/>
      <w:numFmt w:val="bullet"/>
      <w:lvlText w:val=""/>
      <w:lvlJc w:val="left"/>
      <w:pPr>
        <w:tabs>
          <w:tab w:val="num" w:pos="5040"/>
        </w:tabs>
        <w:ind w:left="5040" w:hanging="360"/>
      </w:pPr>
      <w:rPr>
        <w:rFonts w:ascii="Wingdings" w:hAnsi="Wingdings" w:hint="default"/>
      </w:rPr>
    </w:lvl>
    <w:lvl w:ilvl="6" w:tplc="6A72F584" w:tentative="1">
      <w:start w:val="1"/>
      <w:numFmt w:val="bullet"/>
      <w:lvlText w:val=""/>
      <w:lvlJc w:val="left"/>
      <w:pPr>
        <w:tabs>
          <w:tab w:val="num" w:pos="5760"/>
        </w:tabs>
        <w:ind w:left="5760" w:hanging="360"/>
      </w:pPr>
      <w:rPr>
        <w:rFonts w:ascii="Symbol" w:hAnsi="Symbol" w:hint="default"/>
      </w:rPr>
    </w:lvl>
    <w:lvl w:ilvl="7" w:tplc="91107780" w:tentative="1">
      <w:start w:val="1"/>
      <w:numFmt w:val="bullet"/>
      <w:lvlText w:val="o"/>
      <w:lvlJc w:val="left"/>
      <w:pPr>
        <w:tabs>
          <w:tab w:val="num" w:pos="6480"/>
        </w:tabs>
        <w:ind w:left="6480" w:hanging="360"/>
      </w:pPr>
      <w:rPr>
        <w:rFonts w:ascii="Courier New" w:hAnsi="Courier New" w:cs="Courier New" w:hint="default"/>
      </w:rPr>
    </w:lvl>
    <w:lvl w:ilvl="8" w:tplc="E79AC580"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tplc="213C67AC">
      <w:start w:val="1"/>
      <w:numFmt w:val="bullet"/>
      <w:lvlText w:val=""/>
      <w:lvlJc w:val="left"/>
      <w:pPr>
        <w:tabs>
          <w:tab w:val="num" w:pos="1440"/>
        </w:tabs>
        <w:ind w:left="1440" w:hanging="360"/>
      </w:pPr>
      <w:rPr>
        <w:rFonts w:ascii="Symbol" w:hAnsi="Symbol" w:hint="default"/>
      </w:rPr>
    </w:lvl>
    <w:lvl w:ilvl="1" w:tplc="9B104158" w:tentative="1">
      <w:start w:val="1"/>
      <w:numFmt w:val="bullet"/>
      <w:lvlText w:val="o"/>
      <w:lvlJc w:val="left"/>
      <w:pPr>
        <w:tabs>
          <w:tab w:val="num" w:pos="2160"/>
        </w:tabs>
        <w:ind w:left="2160" w:hanging="360"/>
      </w:pPr>
      <w:rPr>
        <w:rFonts w:ascii="Courier New" w:hAnsi="Courier New" w:cs="Courier New" w:hint="default"/>
      </w:rPr>
    </w:lvl>
    <w:lvl w:ilvl="2" w:tplc="4328CD9A" w:tentative="1">
      <w:start w:val="1"/>
      <w:numFmt w:val="bullet"/>
      <w:lvlText w:val=""/>
      <w:lvlJc w:val="left"/>
      <w:pPr>
        <w:tabs>
          <w:tab w:val="num" w:pos="2880"/>
        </w:tabs>
        <w:ind w:left="2880" w:hanging="360"/>
      </w:pPr>
      <w:rPr>
        <w:rFonts w:ascii="Wingdings" w:hAnsi="Wingdings" w:hint="default"/>
      </w:rPr>
    </w:lvl>
    <w:lvl w:ilvl="3" w:tplc="25F447BC" w:tentative="1">
      <w:start w:val="1"/>
      <w:numFmt w:val="bullet"/>
      <w:lvlText w:val=""/>
      <w:lvlJc w:val="left"/>
      <w:pPr>
        <w:tabs>
          <w:tab w:val="num" w:pos="3600"/>
        </w:tabs>
        <w:ind w:left="3600" w:hanging="360"/>
      </w:pPr>
      <w:rPr>
        <w:rFonts w:ascii="Symbol" w:hAnsi="Symbol" w:hint="default"/>
      </w:rPr>
    </w:lvl>
    <w:lvl w:ilvl="4" w:tplc="4C44370C" w:tentative="1">
      <w:start w:val="1"/>
      <w:numFmt w:val="bullet"/>
      <w:lvlText w:val="o"/>
      <w:lvlJc w:val="left"/>
      <w:pPr>
        <w:tabs>
          <w:tab w:val="num" w:pos="4320"/>
        </w:tabs>
        <w:ind w:left="4320" w:hanging="360"/>
      </w:pPr>
      <w:rPr>
        <w:rFonts w:ascii="Courier New" w:hAnsi="Courier New" w:cs="Courier New" w:hint="default"/>
      </w:rPr>
    </w:lvl>
    <w:lvl w:ilvl="5" w:tplc="4C7C9F1C" w:tentative="1">
      <w:start w:val="1"/>
      <w:numFmt w:val="bullet"/>
      <w:lvlText w:val=""/>
      <w:lvlJc w:val="left"/>
      <w:pPr>
        <w:tabs>
          <w:tab w:val="num" w:pos="5040"/>
        </w:tabs>
        <w:ind w:left="5040" w:hanging="360"/>
      </w:pPr>
      <w:rPr>
        <w:rFonts w:ascii="Wingdings" w:hAnsi="Wingdings" w:hint="default"/>
      </w:rPr>
    </w:lvl>
    <w:lvl w:ilvl="6" w:tplc="5E02D268" w:tentative="1">
      <w:start w:val="1"/>
      <w:numFmt w:val="bullet"/>
      <w:lvlText w:val=""/>
      <w:lvlJc w:val="left"/>
      <w:pPr>
        <w:tabs>
          <w:tab w:val="num" w:pos="5760"/>
        </w:tabs>
        <w:ind w:left="5760" w:hanging="360"/>
      </w:pPr>
      <w:rPr>
        <w:rFonts w:ascii="Symbol" w:hAnsi="Symbol" w:hint="default"/>
      </w:rPr>
    </w:lvl>
    <w:lvl w:ilvl="7" w:tplc="8DDA7D68" w:tentative="1">
      <w:start w:val="1"/>
      <w:numFmt w:val="bullet"/>
      <w:lvlText w:val="o"/>
      <w:lvlJc w:val="left"/>
      <w:pPr>
        <w:tabs>
          <w:tab w:val="num" w:pos="6480"/>
        </w:tabs>
        <w:ind w:left="6480" w:hanging="360"/>
      </w:pPr>
      <w:rPr>
        <w:rFonts w:ascii="Courier New" w:hAnsi="Courier New" w:cs="Courier New" w:hint="default"/>
      </w:rPr>
    </w:lvl>
    <w:lvl w:ilvl="8" w:tplc="94B6A834"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tplc="66E2867E">
      <w:start w:val="1"/>
      <w:numFmt w:val="bullet"/>
      <w:lvlText w:val=""/>
      <w:lvlJc w:val="left"/>
      <w:pPr>
        <w:tabs>
          <w:tab w:val="num" w:pos="1440"/>
        </w:tabs>
        <w:ind w:left="1440" w:hanging="360"/>
      </w:pPr>
      <w:rPr>
        <w:rFonts w:ascii="Symbol" w:hAnsi="Symbol" w:hint="default"/>
      </w:rPr>
    </w:lvl>
    <w:lvl w:ilvl="1" w:tplc="EECEE828" w:tentative="1">
      <w:start w:val="1"/>
      <w:numFmt w:val="bullet"/>
      <w:lvlText w:val="o"/>
      <w:lvlJc w:val="left"/>
      <w:pPr>
        <w:tabs>
          <w:tab w:val="num" w:pos="2160"/>
        </w:tabs>
        <w:ind w:left="2160" w:hanging="360"/>
      </w:pPr>
      <w:rPr>
        <w:rFonts w:ascii="Courier New" w:hAnsi="Courier New" w:cs="Courier New" w:hint="default"/>
      </w:rPr>
    </w:lvl>
    <w:lvl w:ilvl="2" w:tplc="DE8A0D5C" w:tentative="1">
      <w:start w:val="1"/>
      <w:numFmt w:val="bullet"/>
      <w:lvlText w:val=""/>
      <w:lvlJc w:val="left"/>
      <w:pPr>
        <w:tabs>
          <w:tab w:val="num" w:pos="2880"/>
        </w:tabs>
        <w:ind w:left="2880" w:hanging="360"/>
      </w:pPr>
      <w:rPr>
        <w:rFonts w:ascii="Wingdings" w:hAnsi="Wingdings" w:hint="default"/>
      </w:rPr>
    </w:lvl>
    <w:lvl w:ilvl="3" w:tplc="DE1EB424" w:tentative="1">
      <w:start w:val="1"/>
      <w:numFmt w:val="bullet"/>
      <w:lvlText w:val=""/>
      <w:lvlJc w:val="left"/>
      <w:pPr>
        <w:tabs>
          <w:tab w:val="num" w:pos="3600"/>
        </w:tabs>
        <w:ind w:left="3600" w:hanging="360"/>
      </w:pPr>
      <w:rPr>
        <w:rFonts w:ascii="Symbol" w:hAnsi="Symbol" w:hint="default"/>
      </w:rPr>
    </w:lvl>
    <w:lvl w:ilvl="4" w:tplc="54F4809E" w:tentative="1">
      <w:start w:val="1"/>
      <w:numFmt w:val="bullet"/>
      <w:lvlText w:val="o"/>
      <w:lvlJc w:val="left"/>
      <w:pPr>
        <w:tabs>
          <w:tab w:val="num" w:pos="4320"/>
        </w:tabs>
        <w:ind w:left="4320" w:hanging="360"/>
      </w:pPr>
      <w:rPr>
        <w:rFonts w:ascii="Courier New" w:hAnsi="Courier New" w:cs="Courier New" w:hint="default"/>
      </w:rPr>
    </w:lvl>
    <w:lvl w:ilvl="5" w:tplc="BF6C24E0" w:tentative="1">
      <w:start w:val="1"/>
      <w:numFmt w:val="bullet"/>
      <w:lvlText w:val=""/>
      <w:lvlJc w:val="left"/>
      <w:pPr>
        <w:tabs>
          <w:tab w:val="num" w:pos="5040"/>
        </w:tabs>
        <w:ind w:left="5040" w:hanging="360"/>
      </w:pPr>
      <w:rPr>
        <w:rFonts w:ascii="Wingdings" w:hAnsi="Wingdings" w:hint="default"/>
      </w:rPr>
    </w:lvl>
    <w:lvl w:ilvl="6" w:tplc="12BADF60" w:tentative="1">
      <w:start w:val="1"/>
      <w:numFmt w:val="bullet"/>
      <w:lvlText w:val=""/>
      <w:lvlJc w:val="left"/>
      <w:pPr>
        <w:tabs>
          <w:tab w:val="num" w:pos="5760"/>
        </w:tabs>
        <w:ind w:left="5760" w:hanging="360"/>
      </w:pPr>
      <w:rPr>
        <w:rFonts w:ascii="Symbol" w:hAnsi="Symbol" w:hint="default"/>
      </w:rPr>
    </w:lvl>
    <w:lvl w:ilvl="7" w:tplc="E42649B6" w:tentative="1">
      <w:start w:val="1"/>
      <w:numFmt w:val="bullet"/>
      <w:lvlText w:val="o"/>
      <w:lvlJc w:val="left"/>
      <w:pPr>
        <w:tabs>
          <w:tab w:val="num" w:pos="6480"/>
        </w:tabs>
        <w:ind w:left="6480" w:hanging="360"/>
      </w:pPr>
      <w:rPr>
        <w:rFonts w:ascii="Courier New" w:hAnsi="Courier New" w:cs="Courier New" w:hint="default"/>
      </w:rPr>
    </w:lvl>
    <w:lvl w:ilvl="8" w:tplc="221608CE"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tplc="D16A4BFE">
      <w:start w:val="1"/>
      <w:numFmt w:val="bullet"/>
      <w:lvlText w:val=""/>
      <w:lvlJc w:val="left"/>
      <w:pPr>
        <w:tabs>
          <w:tab w:val="num" w:pos="1440"/>
        </w:tabs>
        <w:ind w:left="1440" w:hanging="360"/>
      </w:pPr>
      <w:rPr>
        <w:rFonts w:ascii="Symbol" w:hAnsi="Symbol" w:hint="default"/>
      </w:rPr>
    </w:lvl>
    <w:lvl w:ilvl="1" w:tplc="AAE0C51C">
      <w:start w:val="1"/>
      <w:numFmt w:val="bullet"/>
      <w:lvlText w:val="o"/>
      <w:lvlJc w:val="left"/>
      <w:pPr>
        <w:tabs>
          <w:tab w:val="num" w:pos="2160"/>
        </w:tabs>
        <w:ind w:left="2160" w:hanging="360"/>
      </w:pPr>
      <w:rPr>
        <w:rFonts w:ascii="Courier New" w:hAnsi="Courier New" w:cs="Courier New" w:hint="default"/>
      </w:rPr>
    </w:lvl>
    <w:lvl w:ilvl="2" w:tplc="75768FEC" w:tentative="1">
      <w:start w:val="1"/>
      <w:numFmt w:val="bullet"/>
      <w:lvlText w:val=""/>
      <w:lvlJc w:val="left"/>
      <w:pPr>
        <w:tabs>
          <w:tab w:val="num" w:pos="2880"/>
        </w:tabs>
        <w:ind w:left="2880" w:hanging="360"/>
      </w:pPr>
      <w:rPr>
        <w:rFonts w:ascii="Wingdings" w:hAnsi="Wingdings" w:hint="default"/>
      </w:rPr>
    </w:lvl>
    <w:lvl w:ilvl="3" w:tplc="DCF2B8EE" w:tentative="1">
      <w:start w:val="1"/>
      <w:numFmt w:val="bullet"/>
      <w:lvlText w:val=""/>
      <w:lvlJc w:val="left"/>
      <w:pPr>
        <w:tabs>
          <w:tab w:val="num" w:pos="3600"/>
        </w:tabs>
        <w:ind w:left="3600" w:hanging="360"/>
      </w:pPr>
      <w:rPr>
        <w:rFonts w:ascii="Symbol" w:hAnsi="Symbol" w:hint="default"/>
      </w:rPr>
    </w:lvl>
    <w:lvl w:ilvl="4" w:tplc="27F8CDD4" w:tentative="1">
      <w:start w:val="1"/>
      <w:numFmt w:val="bullet"/>
      <w:lvlText w:val="o"/>
      <w:lvlJc w:val="left"/>
      <w:pPr>
        <w:tabs>
          <w:tab w:val="num" w:pos="4320"/>
        </w:tabs>
        <w:ind w:left="4320" w:hanging="360"/>
      </w:pPr>
      <w:rPr>
        <w:rFonts w:ascii="Courier New" w:hAnsi="Courier New" w:cs="Courier New" w:hint="default"/>
      </w:rPr>
    </w:lvl>
    <w:lvl w:ilvl="5" w:tplc="F446D190" w:tentative="1">
      <w:start w:val="1"/>
      <w:numFmt w:val="bullet"/>
      <w:lvlText w:val=""/>
      <w:lvlJc w:val="left"/>
      <w:pPr>
        <w:tabs>
          <w:tab w:val="num" w:pos="5040"/>
        </w:tabs>
        <w:ind w:left="5040" w:hanging="360"/>
      </w:pPr>
      <w:rPr>
        <w:rFonts w:ascii="Wingdings" w:hAnsi="Wingdings" w:hint="default"/>
      </w:rPr>
    </w:lvl>
    <w:lvl w:ilvl="6" w:tplc="3544C374" w:tentative="1">
      <w:start w:val="1"/>
      <w:numFmt w:val="bullet"/>
      <w:lvlText w:val=""/>
      <w:lvlJc w:val="left"/>
      <w:pPr>
        <w:tabs>
          <w:tab w:val="num" w:pos="5760"/>
        </w:tabs>
        <w:ind w:left="5760" w:hanging="360"/>
      </w:pPr>
      <w:rPr>
        <w:rFonts w:ascii="Symbol" w:hAnsi="Symbol" w:hint="default"/>
      </w:rPr>
    </w:lvl>
    <w:lvl w:ilvl="7" w:tplc="DD1E4850" w:tentative="1">
      <w:start w:val="1"/>
      <w:numFmt w:val="bullet"/>
      <w:lvlText w:val="o"/>
      <w:lvlJc w:val="left"/>
      <w:pPr>
        <w:tabs>
          <w:tab w:val="num" w:pos="6480"/>
        </w:tabs>
        <w:ind w:left="6480" w:hanging="360"/>
      </w:pPr>
      <w:rPr>
        <w:rFonts w:ascii="Courier New" w:hAnsi="Courier New" w:cs="Courier New" w:hint="default"/>
      </w:rPr>
    </w:lvl>
    <w:lvl w:ilvl="8" w:tplc="97FE90C2"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tplc="821ABA4C">
      <w:start w:val="1"/>
      <w:numFmt w:val="bullet"/>
      <w:lvlText w:val=""/>
      <w:lvlJc w:val="left"/>
      <w:pPr>
        <w:tabs>
          <w:tab w:val="num" w:pos="1440"/>
        </w:tabs>
        <w:ind w:left="1440" w:hanging="360"/>
      </w:pPr>
      <w:rPr>
        <w:rFonts w:ascii="Symbol" w:hAnsi="Symbol" w:hint="default"/>
      </w:rPr>
    </w:lvl>
    <w:lvl w:ilvl="1" w:tplc="AF223F1C" w:tentative="1">
      <w:start w:val="1"/>
      <w:numFmt w:val="bullet"/>
      <w:lvlText w:val="o"/>
      <w:lvlJc w:val="left"/>
      <w:pPr>
        <w:tabs>
          <w:tab w:val="num" w:pos="2160"/>
        </w:tabs>
        <w:ind w:left="2160" w:hanging="360"/>
      </w:pPr>
      <w:rPr>
        <w:rFonts w:ascii="Courier New" w:hAnsi="Courier New" w:cs="Courier New" w:hint="default"/>
      </w:rPr>
    </w:lvl>
    <w:lvl w:ilvl="2" w:tplc="6CDA86D2" w:tentative="1">
      <w:start w:val="1"/>
      <w:numFmt w:val="bullet"/>
      <w:lvlText w:val=""/>
      <w:lvlJc w:val="left"/>
      <w:pPr>
        <w:tabs>
          <w:tab w:val="num" w:pos="2880"/>
        </w:tabs>
        <w:ind w:left="2880" w:hanging="360"/>
      </w:pPr>
      <w:rPr>
        <w:rFonts w:ascii="Wingdings" w:hAnsi="Wingdings" w:hint="default"/>
      </w:rPr>
    </w:lvl>
    <w:lvl w:ilvl="3" w:tplc="BF0EF546" w:tentative="1">
      <w:start w:val="1"/>
      <w:numFmt w:val="bullet"/>
      <w:lvlText w:val=""/>
      <w:lvlJc w:val="left"/>
      <w:pPr>
        <w:tabs>
          <w:tab w:val="num" w:pos="3600"/>
        </w:tabs>
        <w:ind w:left="3600" w:hanging="360"/>
      </w:pPr>
      <w:rPr>
        <w:rFonts w:ascii="Symbol" w:hAnsi="Symbol" w:hint="default"/>
      </w:rPr>
    </w:lvl>
    <w:lvl w:ilvl="4" w:tplc="31DE8E72" w:tentative="1">
      <w:start w:val="1"/>
      <w:numFmt w:val="bullet"/>
      <w:lvlText w:val="o"/>
      <w:lvlJc w:val="left"/>
      <w:pPr>
        <w:tabs>
          <w:tab w:val="num" w:pos="4320"/>
        </w:tabs>
        <w:ind w:left="4320" w:hanging="360"/>
      </w:pPr>
      <w:rPr>
        <w:rFonts w:ascii="Courier New" w:hAnsi="Courier New" w:cs="Courier New" w:hint="default"/>
      </w:rPr>
    </w:lvl>
    <w:lvl w:ilvl="5" w:tplc="1B68D6A2" w:tentative="1">
      <w:start w:val="1"/>
      <w:numFmt w:val="bullet"/>
      <w:lvlText w:val=""/>
      <w:lvlJc w:val="left"/>
      <w:pPr>
        <w:tabs>
          <w:tab w:val="num" w:pos="5040"/>
        </w:tabs>
        <w:ind w:left="5040" w:hanging="360"/>
      </w:pPr>
      <w:rPr>
        <w:rFonts w:ascii="Wingdings" w:hAnsi="Wingdings" w:hint="default"/>
      </w:rPr>
    </w:lvl>
    <w:lvl w:ilvl="6" w:tplc="9C420084" w:tentative="1">
      <w:start w:val="1"/>
      <w:numFmt w:val="bullet"/>
      <w:lvlText w:val=""/>
      <w:lvlJc w:val="left"/>
      <w:pPr>
        <w:tabs>
          <w:tab w:val="num" w:pos="5760"/>
        </w:tabs>
        <w:ind w:left="5760" w:hanging="360"/>
      </w:pPr>
      <w:rPr>
        <w:rFonts w:ascii="Symbol" w:hAnsi="Symbol" w:hint="default"/>
      </w:rPr>
    </w:lvl>
    <w:lvl w:ilvl="7" w:tplc="1CDCA4CE" w:tentative="1">
      <w:start w:val="1"/>
      <w:numFmt w:val="bullet"/>
      <w:lvlText w:val="o"/>
      <w:lvlJc w:val="left"/>
      <w:pPr>
        <w:tabs>
          <w:tab w:val="num" w:pos="6480"/>
        </w:tabs>
        <w:ind w:left="6480" w:hanging="360"/>
      </w:pPr>
      <w:rPr>
        <w:rFonts w:ascii="Courier New" w:hAnsi="Courier New" w:cs="Courier New" w:hint="default"/>
      </w:rPr>
    </w:lvl>
    <w:lvl w:ilvl="8" w:tplc="18A48F68"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tplc="EB8E2D54">
      <w:start w:val="1"/>
      <w:numFmt w:val="bullet"/>
      <w:lvlText w:val=""/>
      <w:lvlJc w:val="left"/>
      <w:pPr>
        <w:tabs>
          <w:tab w:val="num" w:pos="1440"/>
        </w:tabs>
        <w:ind w:left="1440" w:hanging="360"/>
      </w:pPr>
      <w:rPr>
        <w:rFonts w:ascii="Symbol" w:hAnsi="Symbol" w:hint="default"/>
      </w:rPr>
    </w:lvl>
    <w:lvl w:ilvl="1" w:tplc="3F8C4832" w:tentative="1">
      <w:start w:val="1"/>
      <w:numFmt w:val="bullet"/>
      <w:lvlText w:val="o"/>
      <w:lvlJc w:val="left"/>
      <w:pPr>
        <w:tabs>
          <w:tab w:val="num" w:pos="2160"/>
        </w:tabs>
        <w:ind w:left="2160" w:hanging="360"/>
      </w:pPr>
      <w:rPr>
        <w:rFonts w:ascii="Courier New" w:hAnsi="Courier New" w:cs="Courier New" w:hint="default"/>
      </w:rPr>
    </w:lvl>
    <w:lvl w:ilvl="2" w:tplc="F7D40B82" w:tentative="1">
      <w:start w:val="1"/>
      <w:numFmt w:val="bullet"/>
      <w:lvlText w:val=""/>
      <w:lvlJc w:val="left"/>
      <w:pPr>
        <w:tabs>
          <w:tab w:val="num" w:pos="2880"/>
        </w:tabs>
        <w:ind w:left="2880" w:hanging="360"/>
      </w:pPr>
      <w:rPr>
        <w:rFonts w:ascii="Wingdings" w:hAnsi="Wingdings" w:hint="default"/>
      </w:rPr>
    </w:lvl>
    <w:lvl w:ilvl="3" w:tplc="E0B0578E" w:tentative="1">
      <w:start w:val="1"/>
      <w:numFmt w:val="bullet"/>
      <w:lvlText w:val=""/>
      <w:lvlJc w:val="left"/>
      <w:pPr>
        <w:tabs>
          <w:tab w:val="num" w:pos="3600"/>
        </w:tabs>
        <w:ind w:left="3600" w:hanging="360"/>
      </w:pPr>
      <w:rPr>
        <w:rFonts w:ascii="Symbol" w:hAnsi="Symbol" w:hint="default"/>
      </w:rPr>
    </w:lvl>
    <w:lvl w:ilvl="4" w:tplc="3FAC0504" w:tentative="1">
      <w:start w:val="1"/>
      <w:numFmt w:val="bullet"/>
      <w:lvlText w:val="o"/>
      <w:lvlJc w:val="left"/>
      <w:pPr>
        <w:tabs>
          <w:tab w:val="num" w:pos="4320"/>
        </w:tabs>
        <w:ind w:left="4320" w:hanging="360"/>
      </w:pPr>
      <w:rPr>
        <w:rFonts w:ascii="Courier New" w:hAnsi="Courier New" w:cs="Courier New" w:hint="default"/>
      </w:rPr>
    </w:lvl>
    <w:lvl w:ilvl="5" w:tplc="CB10D0E6" w:tentative="1">
      <w:start w:val="1"/>
      <w:numFmt w:val="bullet"/>
      <w:lvlText w:val=""/>
      <w:lvlJc w:val="left"/>
      <w:pPr>
        <w:tabs>
          <w:tab w:val="num" w:pos="5040"/>
        </w:tabs>
        <w:ind w:left="5040" w:hanging="360"/>
      </w:pPr>
      <w:rPr>
        <w:rFonts w:ascii="Wingdings" w:hAnsi="Wingdings" w:hint="default"/>
      </w:rPr>
    </w:lvl>
    <w:lvl w:ilvl="6" w:tplc="8F9A76D0" w:tentative="1">
      <w:start w:val="1"/>
      <w:numFmt w:val="bullet"/>
      <w:lvlText w:val=""/>
      <w:lvlJc w:val="left"/>
      <w:pPr>
        <w:tabs>
          <w:tab w:val="num" w:pos="5760"/>
        </w:tabs>
        <w:ind w:left="5760" w:hanging="360"/>
      </w:pPr>
      <w:rPr>
        <w:rFonts w:ascii="Symbol" w:hAnsi="Symbol" w:hint="default"/>
      </w:rPr>
    </w:lvl>
    <w:lvl w:ilvl="7" w:tplc="8A58BBBC" w:tentative="1">
      <w:start w:val="1"/>
      <w:numFmt w:val="bullet"/>
      <w:lvlText w:val="o"/>
      <w:lvlJc w:val="left"/>
      <w:pPr>
        <w:tabs>
          <w:tab w:val="num" w:pos="6480"/>
        </w:tabs>
        <w:ind w:left="6480" w:hanging="360"/>
      </w:pPr>
      <w:rPr>
        <w:rFonts w:ascii="Courier New" w:hAnsi="Courier New" w:cs="Courier New" w:hint="default"/>
      </w:rPr>
    </w:lvl>
    <w:lvl w:ilvl="8" w:tplc="A0E632B8"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tplc="FA0AEF78">
      <w:start w:val="1"/>
      <w:numFmt w:val="decimal"/>
      <w:lvlText w:val="%1."/>
      <w:lvlJc w:val="left"/>
      <w:pPr>
        <w:ind w:left="630" w:hanging="360"/>
      </w:pPr>
    </w:lvl>
    <w:lvl w:ilvl="1" w:tplc="755CD20E" w:tentative="1">
      <w:start w:val="1"/>
      <w:numFmt w:val="lowerLetter"/>
      <w:lvlText w:val="%2."/>
      <w:lvlJc w:val="left"/>
      <w:pPr>
        <w:ind w:left="1350" w:hanging="360"/>
      </w:pPr>
    </w:lvl>
    <w:lvl w:ilvl="2" w:tplc="08783644" w:tentative="1">
      <w:start w:val="1"/>
      <w:numFmt w:val="lowerRoman"/>
      <w:lvlText w:val="%3."/>
      <w:lvlJc w:val="right"/>
      <w:pPr>
        <w:ind w:left="2070" w:hanging="180"/>
      </w:pPr>
    </w:lvl>
    <w:lvl w:ilvl="3" w:tplc="195AFC66" w:tentative="1">
      <w:start w:val="1"/>
      <w:numFmt w:val="decimal"/>
      <w:lvlText w:val="%4."/>
      <w:lvlJc w:val="left"/>
      <w:pPr>
        <w:ind w:left="2790" w:hanging="360"/>
      </w:pPr>
    </w:lvl>
    <w:lvl w:ilvl="4" w:tplc="663443CA" w:tentative="1">
      <w:start w:val="1"/>
      <w:numFmt w:val="lowerLetter"/>
      <w:lvlText w:val="%5."/>
      <w:lvlJc w:val="left"/>
      <w:pPr>
        <w:ind w:left="3510" w:hanging="360"/>
      </w:pPr>
    </w:lvl>
    <w:lvl w:ilvl="5" w:tplc="FCBA0C04" w:tentative="1">
      <w:start w:val="1"/>
      <w:numFmt w:val="lowerRoman"/>
      <w:lvlText w:val="%6."/>
      <w:lvlJc w:val="right"/>
      <w:pPr>
        <w:ind w:left="4230" w:hanging="180"/>
      </w:pPr>
    </w:lvl>
    <w:lvl w:ilvl="6" w:tplc="4964D976" w:tentative="1">
      <w:start w:val="1"/>
      <w:numFmt w:val="decimal"/>
      <w:lvlText w:val="%7."/>
      <w:lvlJc w:val="left"/>
      <w:pPr>
        <w:ind w:left="4950" w:hanging="360"/>
      </w:pPr>
    </w:lvl>
    <w:lvl w:ilvl="7" w:tplc="2EAA86A0" w:tentative="1">
      <w:start w:val="1"/>
      <w:numFmt w:val="lowerLetter"/>
      <w:lvlText w:val="%8."/>
      <w:lvlJc w:val="left"/>
      <w:pPr>
        <w:ind w:left="5670" w:hanging="360"/>
      </w:pPr>
    </w:lvl>
    <w:lvl w:ilvl="8" w:tplc="12B4C1C6"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26F13"/>
    <w:rsid w:val="00726F13"/>
    <w:rsid w:val="00FB5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DFDA8-107C-4123-9466-CD40D89B7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3979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2018-09-17T08:52:00Z</dcterms:created>
  <dcterms:modified xsi:type="dcterms:W3CDTF">2018-09-17T08:52:00Z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ies>
</file>