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2C" w:rsidRDefault="00964A5E">
      <w:pPr>
        <w:pStyle w:val="Heading2"/>
      </w:pPr>
      <w:bookmarkStart w:id="0" w:name="_Toc261446141"/>
      <w:bookmarkStart w:id="1" w:name="_GoBack"/>
      <w:bookmarkEnd w:id="1"/>
      <w:r>
        <w:t>5.12</w:t>
      </w:r>
      <w:r>
        <w:tab/>
        <w:t>Requirements Applicable to Installed Capacity Suppliers</w:t>
      </w:r>
      <w:bookmarkEnd w:id="0"/>
    </w:p>
    <w:p w:rsidR="002F692C" w:rsidRDefault="00964A5E">
      <w:pPr>
        <w:pStyle w:val="Heading3"/>
      </w:pPr>
      <w:bookmarkStart w:id="2" w:name="_Toc261446142"/>
      <w:r>
        <w:t>5.12.1</w:t>
      </w:r>
      <w:r>
        <w:tab/>
        <w:t>Installed Capacity Supplier Qualification Requirements</w:t>
      </w:r>
      <w:bookmarkEnd w:id="2"/>
    </w:p>
    <w:p w:rsidR="002F692C" w:rsidRDefault="00964A5E">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2F692C" w:rsidRDefault="00964A5E">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2F692C" w:rsidRDefault="00964A5E">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2F692C" w:rsidRDefault="00964A5E">
      <w:pPr>
        <w:pStyle w:val="alphapara"/>
      </w:pPr>
      <w:r>
        <w:t>5.12.1.2</w:t>
      </w:r>
      <w:r>
        <w:tab/>
        <w:t>in accordance</w:t>
      </w:r>
      <w:r>
        <w:t xml:space="preserve"> with the ISO Procedures, perform DMNC or DMGC tests and submit the results to the ISO, or provide to the ISO appropriate historical production data;</w:t>
      </w:r>
    </w:p>
    <w:p w:rsidR="002F692C" w:rsidRDefault="00964A5E">
      <w:pPr>
        <w:pStyle w:val="alphapara"/>
      </w:pPr>
      <w:r>
        <w:t>5.12.1.3</w:t>
      </w:r>
      <w:r>
        <w:tab/>
        <w:t xml:space="preserve">abide by the </w:t>
      </w:r>
      <w:r>
        <w:rPr>
          <w:bCs/>
        </w:rPr>
        <w:t>ISO</w:t>
      </w:r>
      <w:r>
        <w:t xml:space="preserve"> Generator maintenance coordination procedures;</w:t>
      </w:r>
    </w:p>
    <w:p w:rsidR="002F692C" w:rsidRDefault="00964A5E">
      <w:pPr>
        <w:pStyle w:val="alphapara"/>
      </w:pPr>
      <w:r>
        <w:t>5.12.1.4</w:t>
      </w:r>
      <w:r>
        <w:tab/>
        <w:t xml:space="preserve">provide the </w:t>
      </w:r>
      <w:r>
        <w:rPr>
          <w:bCs/>
        </w:rPr>
        <w:t>expected</w:t>
      </w:r>
      <w:r>
        <w:t xml:space="preserve"> ret</w:t>
      </w:r>
      <w:r>
        <w:t>urn date from any outages (including partial outages) to the ISO;</w:t>
      </w:r>
    </w:p>
    <w:p w:rsidR="002F692C" w:rsidRDefault="00964A5E">
      <w:pPr>
        <w:pStyle w:val="alphapara"/>
      </w:pPr>
      <w:r>
        <w:t>5.12.1.5</w:t>
      </w:r>
      <w:r>
        <w:tab/>
        <w:t>in accordance with the ISO Procedures,</w:t>
      </w:r>
    </w:p>
    <w:p w:rsidR="002F692C" w:rsidRDefault="00964A5E">
      <w:pPr>
        <w:pStyle w:val="alphapara"/>
      </w:pPr>
      <w:r>
        <w:t>5.12.1.5.1</w:t>
      </w:r>
      <w:r>
        <w:tab/>
        <w:t>provide documentation demonstrating that it will not use the same Unforced Capacity for more than one (1) buyer at the same time, a</w:t>
      </w:r>
      <w:r>
        <w:t>nd</w:t>
      </w:r>
    </w:p>
    <w:p w:rsidR="002F692C" w:rsidRDefault="00964A5E">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2F692C" w:rsidRDefault="00964A5E">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2F692C" w:rsidRDefault="00964A5E">
      <w:pPr>
        <w:pStyle w:val="alphapara"/>
      </w:pPr>
      <w:r>
        <w:t>5.12.1.7</w:t>
      </w:r>
      <w:r>
        <w:tab/>
        <w:t xml:space="preserve">provide </w:t>
      </w:r>
      <w:r>
        <w:rPr>
          <w:bCs/>
        </w:rPr>
        <w:t>Operating</w:t>
      </w:r>
      <w:r>
        <w:t xml:space="preserve"> Data in accordance with Section 5.12.5 of this Tariff;</w:t>
      </w:r>
    </w:p>
    <w:p w:rsidR="002F692C" w:rsidRDefault="00964A5E">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2F692C" w:rsidRDefault="00964A5E">
      <w:pPr>
        <w:pStyle w:val="alphapara"/>
      </w:pPr>
      <w:r>
        <w:t>5.12.1.9</w:t>
      </w:r>
      <w:r>
        <w:tab/>
        <w:t>comply with the ISO Procedures;</w:t>
      </w:r>
    </w:p>
    <w:p w:rsidR="002F692C" w:rsidRDefault="00964A5E">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2F692C" w:rsidRDefault="00964A5E">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w:t>
      </w:r>
      <w:r>
        <w:lastRenderedPageBreak/>
        <w:t>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2F692C" w:rsidRDefault="00964A5E">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 xml:space="preserve">t of the UCAP sold from the Generator to the NYCA.  To the extent the ISO determines that the information and supporting evidence provided demonstrates that the failure or inability to deliver occurred for reasons </w:t>
      </w:r>
      <w:r>
        <w:lastRenderedPageBreak/>
        <w:t>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2F692C" w:rsidRDefault="00964A5E">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2F692C" w:rsidRDefault="00964A5E">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2F692C" w:rsidRDefault="00964A5E">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2F692C" w:rsidRDefault="00964A5E">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2F692C" w:rsidRDefault="00964A5E">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2F692C" w:rsidRDefault="00964A5E">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2F692C" w:rsidRDefault="00964A5E">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2F692C" w:rsidRDefault="00964A5E">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2F692C" w:rsidRDefault="00964A5E">
      <w:pPr>
        <w:pStyle w:val="alphapara"/>
      </w:pPr>
      <w:r>
        <w:t>5.1</w:t>
      </w:r>
      <w:r>
        <w:t>2.1.13</w:t>
      </w:r>
      <w:r>
        <w:tab/>
      </w:r>
      <w:del w:id="3" w:author="Greg Campbell" w:date="2020-10-28T17:00:00Z">
        <w:r>
          <w:delText>For Energy Storage Resources, be capable of running for a minimum of four (4) consecutive hours each day (except for days when it is not capable of doing so because of an outage reported pursuant to Sections 5.12.3, 5.12.5.3, 5.12.5.4, 5.12.7 and in</w:delText>
        </w:r>
        <w:r>
          <w:delText xml:space="preserve"> accordance with ISO Procedures).  </w:delText>
        </w:r>
      </w:del>
      <w:r>
        <w:t xml:space="preserve">An Energy Storage Resource may de-rate its maximum capability in order to meet the </w:t>
      </w:r>
      <w:del w:id="4" w:author="Greg Campbell" w:date="2020-10-28T17:01:00Z">
        <w:r>
          <w:delText>four (4) consecutive hour</w:delText>
        </w:r>
      </w:del>
      <w:ins w:id="5" w:author="Greg Campbell" w:date="2020-10-28T17:01:00Z">
        <w:r>
          <w:t>applicable Services Tariff Section 5.12.14</w:t>
        </w:r>
      </w:ins>
      <w:r>
        <w:t xml:space="preserve"> run-time requirement.  ESRs electing to de-rate their maximum capabili</w:t>
      </w:r>
      <w:r>
        <w:t xml:space="preserve">ty shall perform a DMNC test at an output level consistent with its de-rated capability in accordance with </w:t>
      </w:r>
      <w:ins w:id="6" w:author="Greg Campbell" w:date="2020-10-28T17:01:00Z">
        <w:r>
          <w:t xml:space="preserve">Services Tariff Section 5.12.14 and </w:t>
        </w:r>
      </w:ins>
      <w:r>
        <w:t>ISO Procedures (</w:t>
      </w:r>
      <w:r>
        <w:rPr>
          <w:i/>
        </w:rPr>
        <w:t>see</w:t>
      </w:r>
      <w:r>
        <w:t>, Installed Capacity Manual § 4).</w:t>
      </w:r>
    </w:p>
    <w:p w:rsidR="002F692C" w:rsidRDefault="00964A5E">
      <w:pPr>
        <w:pStyle w:val="alphapara"/>
      </w:pPr>
      <w:r>
        <w:t>5.12.1.14</w:t>
      </w:r>
      <w:r>
        <w:tab/>
        <w:t>Energy Limited Resources, and Energy Storage Resou</w:t>
      </w:r>
      <w:r>
        <w:t>rces must elect an Energy Duration Limitation that corresponds to a Duration Adjustment Factor, as described in Section 5.12.14 below, and validate the Energy Duration Limitation pursuant to Section 5.12.1.2 above.  An Installed Capacity Supplier may elect</w:t>
      </w:r>
      <w:r>
        <w:t xml:space="preserve"> any Energy Duration Limitation that it can demonstrate pursuant to Section 5.12.1.2.</w:t>
      </w:r>
    </w:p>
    <w:p w:rsidR="002F692C" w:rsidRDefault="00964A5E">
      <w:pPr>
        <w:pStyle w:val="Bodypara"/>
      </w:pPr>
      <w:r>
        <w:t xml:space="preserve">The ISO shall inform each potential Installed Capacity Supplier that the ISO must receive and approve DMNC or DMGC data, as applicable of its approved DMNC or DMGC </w:t>
      </w:r>
      <w:r>
        <w:t>ratings for the Summer Capability Period and the Winter Capability Period in accordance with the ISO Procedures.</w:t>
      </w:r>
    </w:p>
    <w:p w:rsidR="002F692C" w:rsidRDefault="00964A5E">
      <w:pPr>
        <w:pStyle w:val="Bodypara"/>
      </w:pPr>
      <w:r>
        <w:t>Requirements to qualify as Installed Capacity Suppliers for External System Resources and Control Area System Resources located in External Con</w:t>
      </w:r>
      <w:r>
        <w:t xml:space="preserve">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2F692C" w:rsidRDefault="00964A5E">
      <w:pPr>
        <w:pStyle w:val="Bodypara"/>
      </w:pPr>
      <w:r>
        <w:t>External Installed Capacity no</w:t>
      </w:r>
      <w:r>
        <w:t xml:space="preserve">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w:t>
      </w:r>
      <w:r>
        <w:rPr>
          <w:rFonts w:eastAsia="Times New Roman"/>
          <w:snapToGrid w:val="0"/>
          <w:szCs w:val="20"/>
        </w:rPr>
        <w: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w:t>
      </w:r>
      <w:r>
        <w:t xml:space="preserve"> Minimum Installed Capacity Requirement.  </w:t>
      </w:r>
    </w:p>
    <w:p w:rsidR="002F692C" w:rsidRDefault="00964A5E">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w:t>
      </w:r>
      <w:r>
        <w:t xml:space="preserve">cedures and in the format specified by the ISO that identifies each Affiliated Entity, as that term is defined in Section 23.2.1 of Attachment H of the Services Tariff, of the Market Party or with which the Market Party is an Affiliated Entity.  The names </w:t>
      </w:r>
      <w:r>
        <w:t>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2F692C" w:rsidRDefault="00964A5E">
      <w:pPr>
        <w:pStyle w:val="Heading3"/>
      </w:pPr>
      <w:bookmarkStart w:id="7" w:name="_Toc261446143"/>
      <w:r>
        <w:t>5.12.2</w:t>
      </w:r>
      <w:r>
        <w:tab/>
        <w:t xml:space="preserve">Additional </w:t>
      </w:r>
      <w:r>
        <w:t>Provisions Applicable to External Installed Capacity Suppliers</w:t>
      </w:r>
      <w:bookmarkEnd w:id="7"/>
    </w:p>
    <w:p w:rsidR="002F692C" w:rsidRDefault="00964A5E">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8" w:name="_Toc261446144"/>
    </w:p>
    <w:p w:rsidR="002F692C" w:rsidRDefault="00964A5E">
      <w:pPr>
        <w:pStyle w:val="Heading4"/>
      </w:pPr>
      <w:r>
        <w:t>5.12.2.1</w:t>
      </w:r>
      <w:r>
        <w:tab/>
        <w:t>Provisions Addressing the Applicable External Control Area</w:t>
      </w:r>
      <w:bookmarkEnd w:id="8"/>
    </w:p>
    <w:p w:rsidR="002F692C" w:rsidRDefault="00964A5E">
      <w:pPr>
        <w:pStyle w:val="Bodypara"/>
      </w:pPr>
      <w:r>
        <w:t>External Generators</w:t>
      </w:r>
      <w:r>
        <w:t xml:space="preserve">,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w:t>
      </w:r>
      <w:r>
        <w:t xml:space="preserve"> case of an entity using a UDR to meet a Locational Minimum Installed Capacity Requirement, to the NYCA interface associated with that UDR transmission facility and will not be recalled or curtailed by an External Control Area to satisfy its own Control Ar</w:t>
      </w:r>
      <w:r>
        <w:t xml:space="preserve">ea Loads; in the case of an EDR, to the NYCA interface over which it creates increased transfer capability; and in the case of Control Area System Resources, if they demonstrate that the External Control Area will afford the NYCA Load the same curtailment </w:t>
      </w:r>
      <w:r>
        <w:t xml:space="preserve">priority that they afford their own Control Area Native Load Customers. The amount of Unforced Capacity that may be supplied by such entities qualifying pursuant to the alternative criteria may be reduced by the ISO, pursuant to ISO Procedures, to reflect </w:t>
      </w:r>
      <w:r>
        <w:t xml:space="preserve">the possibility of curtailment.  External Installed Capacity associated with Import Rights, EDRs or UDRs is subject to the same deliverability requirements applied to Internal Installed Capacity Suppliers associated with UDRs.  </w:t>
      </w:r>
    </w:p>
    <w:p w:rsidR="002F692C" w:rsidRDefault="00964A5E">
      <w:pPr>
        <w:pStyle w:val="Heading4"/>
      </w:pPr>
      <w:bookmarkStart w:id="9" w:name="_Toc261446145"/>
      <w:r>
        <w:t>5.12.2.2</w:t>
      </w:r>
      <w:r>
        <w:tab/>
        <w:t>Additional Provisi</w:t>
      </w:r>
      <w:r>
        <w:t>ons Addressing Internal Deliverability and Import Rights</w:t>
      </w:r>
      <w:bookmarkEnd w:id="9"/>
    </w:p>
    <w:p w:rsidR="002F692C" w:rsidRDefault="00964A5E">
      <w:pPr>
        <w:pStyle w:val="Bodypara"/>
      </w:pPr>
      <w:r>
        <w:t>In addition to the provisions contained in Section 5.12.2.1 above, External Installed Capacity not associated with UDRs, EDRs, or External CRIS Rights will be subject to the deliverability test in Se</w:t>
      </w:r>
      <w:r>
        <w:t xml:space="preserve">ction 25.7.8 and 25.7.9 of Attachment S 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w:t>
      </w:r>
      <w:r>
        <w:t xml:space="preserve"> Capability Year, to determine the amount of External Installed Capacity that can be imported to the New York Control Area across any individual External Interface and across all of those External Interfaces, taken together. The External Installed Capacity</w:t>
      </w:r>
      <w:r>
        <w:t xml:space="preserve"> deliverability test will be performed using the ISO’s forecast, for the upcoming Capability Year, of New York Control Area CRIS resources, transmission facilities, and load.  Under this process (i) Grandfathered External Installed Capacity Agreements list</w:t>
      </w:r>
      <w:r>
        <w:t xml:space="preserve">ed in Attachment E of the ISO Installed Capacity Manual, and (ii) the Existing Transmission Capacity for Native Load listed for New York State Electric &amp; Gas Corporation in Table 3 of Attachment L to the ISO OATT, will be considered deliverable within the </w:t>
      </w:r>
      <w:r>
        <w:t>Rest of State.  Additionally, 1090 MW of imports made over the Quebec (via Chateauguay) Interface will be considered to be deliverable until the end of the 2010 Summer Capability Period.</w:t>
      </w:r>
    </w:p>
    <w:p w:rsidR="002F692C" w:rsidRDefault="00964A5E">
      <w:pPr>
        <w:pStyle w:val="Bodypara"/>
      </w:pPr>
      <w:r>
        <w:t>The import limit set for External Installed Capacity not associated w</w:t>
      </w:r>
      <w:r>
        <w:t>ith UDRs, EDRs or External CRIS Rights will be set no higher than the amount of imports deliverable into Rest of State that (i) would not increase the LOLE as determined in the upcoming Capability Year IRM consistent with Section 2.7 of the NYISO Installed</w:t>
      </w:r>
      <w:r>
        <w:t xml:space="preserve"> Capacity Manual, “Limitations on Unforced Capacity Flow in External Control Areas,” (ii) are deliverable within the Rest of State Capacity Region when evaluated with the New York Control Area CRIS resources (including EDRs and UDRs) and External CRIS Righ</w:t>
      </w:r>
      <w:r>
        <w:t>ts forecast for the upcoming Capability Year, and (iii) would not degrade the transfer capability of any Other Interface by more than the threshold identified in Section 25.7.9 of Attachment S to the ISO OATT.  Import limits set for External Installed Capa</w:t>
      </w:r>
      <w:r>
        <w:t xml:space="preserve">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w:t>
      </w:r>
      <w:r>
        <w:t>in the Installed Capacity Manual.</w:t>
      </w:r>
    </w:p>
    <w:p w:rsidR="002F692C" w:rsidRDefault="00964A5E">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w:t>
      </w:r>
      <w:r>
        <w:t>irst-served basis pursuant to ISO Procedures.  Any of the grandfathered import rights over the Quebec (via Chateauguay) Interface not utilized for a Capability Period will be made available to other external resources for that Capability Period, pursuant t</w:t>
      </w:r>
      <w:r>
        <w:t xml:space="preserve">o ISO Procedures, to the extent the unutilized amount is determined to be deliverable.  </w:t>
      </w:r>
    </w:p>
    <w:p w:rsidR="002F692C" w:rsidRDefault="00964A5E">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w:t>
      </w:r>
      <w:r>
        <w:t>Gas Corporation for a Capability Period will be made available to other external resources for that Capability Period, pursuant to ISO procedures, to the extent the unutilized amount is determined to be deliverable within the Rest of State Capacity Region.</w:t>
      </w:r>
      <w:r>
        <w:t xml:space="preserve"> </w:t>
      </w:r>
    </w:p>
    <w:p w:rsidR="002F692C" w:rsidRDefault="00964A5E">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w:t>
      </w:r>
      <w:r>
        <w:t>ff.  To the extent such External Installed Capacity corresponds to Existing Transmission Capacity for Native Load as reflected in Table 3 of Attachment L to the ISO OATT, these External Installed Capacity rights will continue without term and shall be allo</w:t>
      </w:r>
      <w:r>
        <w:t>cated to the LSE’s retail access customers in accordance with the LSE’s retail access program on file with the PSC and subject to any necessary filings with the Commission.  External Installed Capacity rights existing as of September 17, 1999 that do not c</w:t>
      </w:r>
      <w:r>
        <w:t xml:space="preserve">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2F692C" w:rsidRDefault="00964A5E">
      <w:pPr>
        <w:pStyle w:val="Heading4"/>
      </w:pPr>
      <w:bookmarkStart w:id="10" w:name="_Toc261446146"/>
      <w:r>
        <w:t>5.12.2.3</w:t>
      </w:r>
      <w:r>
        <w:tab/>
        <w:t>One-Time Conversion of Grandfathered Quebec (via Chateauguay)</w:t>
      </w:r>
      <w:r>
        <w:t xml:space="preserve"> Interface Rights.</w:t>
      </w:r>
      <w:bookmarkEnd w:id="10"/>
    </w:p>
    <w:p w:rsidR="002F692C" w:rsidRDefault="00964A5E">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w:t>
      </w:r>
      <w:r>
        <w:t xml:space="preserve"> requirements of Section 25.7.11.1 of Attachment S to the ISO OATT.  The converted number of MW will not be subject to further evaluation for deliverability within a Class Year Deliverability Study under Attachment S to the ISO OATT, as long as the Externa</w:t>
      </w:r>
      <w:r>
        <w:t xml:space="preserve">l CRIS Rights are in effect.  </w:t>
      </w:r>
    </w:p>
    <w:p w:rsidR="002F692C" w:rsidRDefault="00964A5E">
      <w:pPr>
        <w:pStyle w:val="alphapara"/>
      </w:pPr>
      <w:r>
        <w:t>5.12.2.3.1</w:t>
      </w:r>
      <w:r>
        <w:tab/>
        <w:t>The External CRIS Rights awarded under this conversion process will first become effective for the 2010-2011 Winter Capability Period.</w:t>
      </w:r>
    </w:p>
    <w:p w:rsidR="002F692C" w:rsidRDefault="00964A5E">
      <w:pPr>
        <w:pStyle w:val="alphapara"/>
      </w:pPr>
      <w:r>
        <w:t>5.12.2.3.2</w:t>
      </w:r>
      <w:r>
        <w:tab/>
        <w:t>Requests to convert these grandfathered rights must be received by t</w:t>
      </w:r>
      <w:r>
        <w:t xml:space="preserve">he NYISO on or before 5:00 pm Eastern Time on February 1, 2010, with the following information:  (a) a statement that the entity is electing to convert by satisfying the requirements of a Contract Commitment or a Non-Contract Commitment in accordance with </w:t>
      </w:r>
      <w:r>
        <w:t>Section 25.7.11.1 of Attachment S to the ISO OATT; (b) the length of the commitment in years; (c) for the Summer Capability Period, the requested number of MW; (d) for the Winter Capability Period, the Specified Winter Months, if any, and the requested num</w:t>
      </w:r>
      <w:r>
        <w:t>ber of MW; and (e) a minimum number of MW the entity will accept if granted (“Specified Minimum”) for the Summer Capability Period and for all Specified Winter Months, if any.</w:t>
      </w:r>
    </w:p>
    <w:p w:rsidR="002F692C" w:rsidRDefault="00964A5E">
      <w:pPr>
        <w:pStyle w:val="alphapara"/>
      </w:pPr>
      <w:r>
        <w:t>5.12.2.3.3</w:t>
      </w:r>
      <w:r>
        <w:tab/>
        <w:t>An entity cannot submit one or more requests to convert in the aggreg</w:t>
      </w:r>
      <w:r>
        <w:t xml:space="preserve">ate more than 1090 MW in any single month.  </w:t>
      </w:r>
    </w:p>
    <w:p w:rsidR="002F692C" w:rsidRDefault="00964A5E">
      <w:pPr>
        <w:pStyle w:val="alphapara"/>
      </w:pPr>
      <w:r>
        <w:t>5.12.2.3.4</w:t>
      </w:r>
      <w:r>
        <w:tab/>
        <w:t>If requests to convert that satisfy all other requirements stated herein are equal to or less than the 1090 MW limit, all requesting entities will be awarded the requested number of MW of External CRI</w:t>
      </w:r>
      <w:r>
        <w:t>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w:t>
      </w:r>
      <w:r>
        <w:t xml:space="preserve">he following formula: </w:t>
      </w:r>
    </w:p>
    <w:p w:rsidR="002F692C" w:rsidRDefault="00964A5E">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2F692C" w:rsidRDefault="00964A5E">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2F692C" w:rsidRDefault="00964A5E">
      <w:pPr>
        <w:pStyle w:val="alphapara"/>
      </w:pPr>
      <w:r>
        <w:tab/>
        <w:t>In the formu</w:t>
      </w:r>
      <w:r>
        <w:t>la, contract/commitment length means the lesser of the requested contract/commitment length and twenty (20) years.  The NYISO will perform separate calculations for the Summer and Winter Capability Periods.  The NYISO will determine whether the prorated al</w:t>
      </w:r>
      <w:r>
        <w:t>located number of MW for any requesting entity is less than the entity’s Specified Minimum.  If any allocation is less, the NYISO will remove such request(s) and recalculate the prorated allocations among the remaining requesting entities using the above f</w:t>
      </w:r>
      <w:r>
        <w:t xml:space="preserve">ormula.  This process will </w:t>
      </w:r>
      <w:r>
        <w:rPr>
          <w:bCs/>
        </w:rPr>
        <w:t>continue</w:t>
      </w:r>
      <w:r>
        <w:t xml:space="preserve"> until the prorated allocation meets or exceeds the specified minimum for all remaining requests.</w:t>
      </w:r>
    </w:p>
    <w:p w:rsidR="002F692C" w:rsidRDefault="00964A5E">
      <w:pPr>
        <w:pStyle w:val="alphapara"/>
      </w:pPr>
      <w:r>
        <w:t>5.12.2.3.5</w:t>
      </w:r>
      <w:r>
        <w:tab/>
        <w:t>Any portion of the previously grandfathered 1090 MW not converted through this process will no longer be grandfa</w:t>
      </w:r>
      <w:r>
        <w:t xml:space="preserve">thered from deliverability.  </w:t>
      </w:r>
      <w:r>
        <w:rPr>
          <w:bCs/>
        </w:rPr>
        <w:t>Previously</w:t>
      </w:r>
      <w:r>
        <w:t xml:space="preserve"> grandfathered rights converted to External CRIS Rights but then terminated will no longer be grandfathered from deliverability.</w:t>
      </w:r>
    </w:p>
    <w:p w:rsidR="002F692C" w:rsidRDefault="00964A5E">
      <w:pPr>
        <w:pStyle w:val="Heading4"/>
      </w:pPr>
      <w:bookmarkStart w:id="11" w:name="_Toc261446147"/>
      <w:r>
        <w:t>5.12.2.4</w:t>
      </w:r>
      <w:r>
        <w:tab/>
        <w:t>Offer Cap Applicable to Certain External CRIS Rights</w:t>
      </w:r>
      <w:bookmarkEnd w:id="11"/>
    </w:p>
    <w:p w:rsidR="002F692C" w:rsidRDefault="00964A5E">
      <w:pPr>
        <w:pStyle w:val="Bodypara"/>
      </w:pPr>
      <w:r>
        <w:t xml:space="preserve">Notwithstanding any other </w:t>
      </w:r>
      <w:r>
        <w:t>capacity mitigation measures or obligations that may apply, the offers of External Installed Capacity submitted pursuant to a Non-Contract Commitment, as described in Section 25.7.11.1.2 of Attachment S of the ISO OATT, will be subject to an offer cap in e</w:t>
      </w:r>
      <w:r>
        <w:t xml:space="preserve">ach </w:t>
      </w:r>
      <w:r>
        <w:rPr>
          <w:rFonts w:eastAsia="Times New Roman"/>
          <w:snapToGrid w:val="0"/>
          <w:szCs w:val="20"/>
        </w:rPr>
        <w:t>month</w:t>
      </w:r>
      <w:r>
        <w:t xml:space="preserve"> of the Summer Capability Period and for all Specified Winter Months.  This offer cap will be determined as the higher of:</w:t>
      </w:r>
    </w:p>
    <w:p w:rsidR="002F692C" w:rsidRDefault="00964A5E">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2F692C" w:rsidRDefault="00964A5E">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2F692C" w:rsidRDefault="00964A5E">
      <w:pPr>
        <w:pStyle w:val="Heading3"/>
      </w:pPr>
      <w:bookmarkStart w:id="12" w:name="_Toc261446148"/>
      <w:r>
        <w:t>5.12.3</w:t>
      </w:r>
      <w:r>
        <w:tab/>
        <w:t>Installed Capacity Supplier Outage Scheduling Requirem</w:t>
      </w:r>
      <w:r>
        <w:t>ents</w:t>
      </w:r>
      <w:bookmarkEnd w:id="12"/>
    </w:p>
    <w:p w:rsidR="002F692C" w:rsidRDefault="00964A5E">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Installed Capacity Suppliers actually supplying Unforced Capacity to the NYCA, if voluntary rescheduling is ineffective, the ISO will invoke forced rescheduling of their outa</w:t>
      </w:r>
      <w:r>
        <w:t xml:space="preserve">ges to ensure that projected Operating Reserves over the upcoming year are adequate.  </w:t>
      </w:r>
    </w:p>
    <w:p w:rsidR="002F692C" w:rsidRDefault="00964A5E">
      <w:pPr>
        <w:pStyle w:val="Bodypara"/>
      </w:pPr>
      <w:r>
        <w:t>An Installed Capacity Supplier that refuses a forced rescheduling of its outages for any unit shall be prevented from supplying Unforced Capacity in the NYCA with that u</w:t>
      </w:r>
      <w:r>
        <w:t>nit during any month where it undertakes such outages.  The rescheduling process is described in the ISO Procedures.</w:t>
      </w:r>
    </w:p>
    <w:p w:rsidR="002F692C" w:rsidRDefault="00964A5E">
      <w:pPr>
        <w:pStyle w:val="Bodypara"/>
      </w:pPr>
      <w:r>
        <w:t>An Installed Capacity Supplier that intends to supply Unforced Capacity in a given month that did not qualify as an Installed Capacity Supp</w:t>
      </w:r>
      <w:r>
        <w:t xml:space="preserve">lier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2F692C" w:rsidRDefault="00964A5E">
      <w:pPr>
        <w:pStyle w:val="Bodypara"/>
      </w:pPr>
      <w:r>
        <w:t xml:space="preserve">Outage </w:t>
      </w:r>
      <w:r>
        <w:rPr>
          <w:rFonts w:eastAsia="Times New Roman"/>
          <w:snapToGrid w:val="0"/>
          <w:szCs w:val="20"/>
        </w:rPr>
        <w:t>schedules</w:t>
      </w:r>
      <w:r>
        <w:t xml:space="preserve"> for External System Resources and Control Area S</w:t>
      </w:r>
      <w:r>
        <w:t>ystem Resources shall be coordinated by the External Control Area and the ISO in accordance with the ISO Procedures.</w:t>
      </w:r>
    </w:p>
    <w:p w:rsidR="002F692C" w:rsidRDefault="00964A5E">
      <w:pPr>
        <w:pStyle w:val="Heading3"/>
      </w:pPr>
      <w:bookmarkStart w:id="13" w:name="_Toc261446149"/>
      <w:r>
        <w:t>5.12.4</w:t>
      </w:r>
      <w:r>
        <w:tab/>
        <w:t>Required Certification for Installed Capacity</w:t>
      </w:r>
      <w:bookmarkEnd w:id="13"/>
      <w:r>
        <w:t xml:space="preserve"> </w:t>
      </w:r>
    </w:p>
    <w:p w:rsidR="002F692C" w:rsidRDefault="00964A5E">
      <w:pPr>
        <w:pStyle w:val="alphapara"/>
        <w:rPr>
          <w:bCs/>
        </w:rPr>
      </w:pPr>
      <w:r>
        <w:t>(a)</w:t>
      </w:r>
      <w:r>
        <w:tab/>
        <w:t xml:space="preserve">Each Installed Capacity Supplier must confirm to the ISO, in accordance with ISO </w:t>
      </w:r>
      <w:r>
        <w:t xml:space="preserve">Procedures that the Unforced </w:t>
      </w:r>
      <w:r>
        <w:rPr>
          <w:bCs/>
        </w:rPr>
        <w:t>Capacity it has certified has not been sold for use in an External Control Area.</w:t>
      </w:r>
    </w:p>
    <w:p w:rsidR="002F692C" w:rsidRDefault="00964A5E">
      <w:pPr>
        <w:pStyle w:val="alphapara"/>
      </w:pPr>
      <w:r>
        <w:t>(b)</w:t>
      </w:r>
      <w:r>
        <w:tab/>
        <w:t xml:space="preserve">Each Installed Capacity Supplier holding rights to UDRs or EDRs from an External Control Area must confirm to the ISO, in accordance with ISO </w:t>
      </w:r>
      <w:r>
        <w:t>Procedures, that it will not use as self-supply or offer, and has not sold, Installed Capacity associated with the quantity of MW for which it has not made its one time capability adjustment year election pursuant to Section 5.11.4 (if applicable.)</w:t>
      </w:r>
    </w:p>
    <w:p w:rsidR="002F692C" w:rsidRDefault="00964A5E">
      <w:pPr>
        <w:pStyle w:val="alphapara"/>
      </w:pPr>
      <w:r>
        <w:t>(c)</w:t>
      </w:r>
      <w:r>
        <w:tab/>
        <w:t xml:space="preserve">On </w:t>
      </w:r>
      <w:r>
        <w:t>and after the execution of an RMR Agreement, and for the duration of its term, an RMR Generator shall not enter into any new agreement or extend any other agreement that impairs or otherwise diminishes its ability to comply with its obligation under an RMR</w:t>
      </w:r>
      <w:r>
        <w:t xml:space="preserve"> Agreement, or that limits its ability to provide Energy, Capacity, or Ancillary Services directly to the ISO Administered Markets.  An Interim Service Provider that is required to keep its generating unit(s) in service shall not enter into any new agreeme</w:t>
      </w:r>
      <w:r>
        <w:t>nt or extend any other agreement that limits its ability to provide Energy, Capacity, or Ancillary Services directly to the ISO Administered Markets or otherwise meet its obligations as an Interim Service Provider.</w:t>
      </w:r>
    </w:p>
    <w:p w:rsidR="002F692C" w:rsidRDefault="00964A5E">
      <w:pPr>
        <w:pStyle w:val="Heading3"/>
      </w:pPr>
      <w:bookmarkStart w:id="14" w:name="_Toc261446150"/>
      <w:r>
        <w:t>5.12.5</w:t>
      </w:r>
      <w:r>
        <w:tab/>
        <w:t>Operating Data Reporting Requireme</w:t>
      </w:r>
      <w:r>
        <w:t>nts</w:t>
      </w:r>
      <w:bookmarkEnd w:id="14"/>
    </w:p>
    <w:p w:rsidR="002F692C" w:rsidRDefault="00964A5E">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w:t>
      </w:r>
      <w:r>
        <w:t>tions and the ISO Procedures may be subject to the sanctions provided in Section 5.12.12.1 of this Tariff.</w:t>
      </w:r>
    </w:p>
    <w:p w:rsidR="002F692C" w:rsidRDefault="00964A5E">
      <w:pPr>
        <w:pStyle w:val="Bodypara"/>
      </w:pPr>
      <w:r>
        <w:t xml:space="preserve">Resources that were not in operation on January 1, 2000 shall submit Operating Data to the ISO no later than one month after such Resources commence </w:t>
      </w:r>
      <w:r>
        <w:t>commercial operation, and in accordance with the ISO Procedures and the following subsections as applicable.</w:t>
      </w:r>
    </w:p>
    <w:p w:rsidR="002F692C" w:rsidRDefault="00964A5E">
      <w:pPr>
        <w:pStyle w:val="Heading4"/>
      </w:pPr>
      <w:bookmarkStart w:id="15" w:name="_Toc261446151"/>
      <w:r>
        <w:t>5.12.5.1</w:t>
      </w:r>
      <w:r>
        <w:tab/>
        <w:t>Generators, System Resources, Energy Limited Resources, Energy storage Resources, Responsible Interface Parties, Intermittent Power Resour</w:t>
      </w:r>
      <w:r>
        <w:t>ces, Limited Control Run-of-River Hydro Resources and Municipally Owned Generation</w:t>
      </w:r>
      <w:bookmarkEnd w:id="15"/>
    </w:p>
    <w:p w:rsidR="002F692C" w:rsidRDefault="00964A5E">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w:t>
      </w:r>
      <w:r>
        <w:t>nterface Parties, Intermittent Power Resources, Limited Control Run-of-River Hydro Resources, Energy Storage Resources, and municipally owned generation or the purchasers of Unforced Capacity associated with those Resources shall submit GADS Data, data equ</w:t>
      </w:r>
      <w:r>
        <w:t>ivalent to GADS Data, or other Operating Data to the ISO in accordance with the ISO Procedures.  Prior to the successful implementation of a software modification that allows gas turbines to submit multiple bid points, these units shall not be considered t</w:t>
      </w:r>
      <w:r>
        <w:t xml:space="preserve">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w:t>
      </w:r>
      <w:r>
        <w:t>alled Capacity Requirements.</w:t>
      </w:r>
    </w:p>
    <w:p w:rsidR="002F692C" w:rsidRDefault="00964A5E">
      <w:pPr>
        <w:pStyle w:val="Heading4"/>
      </w:pPr>
      <w:bookmarkStart w:id="16" w:name="_Toc261446152"/>
      <w:r>
        <w:t>5.12.5.2</w:t>
      </w:r>
      <w:r>
        <w:tab/>
        <w:t>Control Area System Resources</w:t>
      </w:r>
      <w:bookmarkEnd w:id="16"/>
    </w:p>
    <w:p w:rsidR="002F692C" w:rsidRDefault="00964A5E">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w:t>
      </w:r>
      <w:r>
        <w:t>tual system failure occurrences data to the ISO each month in accordance with the ISO Procedures.</w:t>
      </w:r>
    </w:p>
    <w:p w:rsidR="002F692C" w:rsidRDefault="00964A5E">
      <w:pPr>
        <w:pStyle w:val="Heading4"/>
      </w:pPr>
      <w:bookmarkStart w:id="17" w:name="_Toc261446153"/>
      <w:r>
        <w:t>5.12.5.3</w:t>
      </w:r>
      <w:r>
        <w:tab/>
        <w:t>Transmission Projects Granted Unforced Capacity Deliverability Rights</w:t>
      </w:r>
      <w:bookmarkEnd w:id="17"/>
    </w:p>
    <w:p w:rsidR="002F692C" w:rsidRDefault="00964A5E">
      <w:pPr>
        <w:pStyle w:val="Bodypara"/>
      </w:pPr>
      <w:r>
        <w:t>An owner of a transmission project that receives UDRs must, among other obligat</w:t>
      </w:r>
      <w:r>
        <w:t xml:space="preserve">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2F692C" w:rsidRDefault="00964A5E">
      <w:pPr>
        <w:pStyle w:val="Heading4"/>
      </w:pPr>
      <w:r>
        <w:t>5.12.5.4</w:t>
      </w:r>
      <w:r>
        <w:tab/>
        <w:t>Transmission Projects Granted External-to ROS Deliverabilit</w:t>
      </w:r>
      <w:r>
        <w:t>y Rights</w:t>
      </w:r>
    </w:p>
    <w:p w:rsidR="002F692C" w:rsidRDefault="00964A5E">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2F692C" w:rsidRDefault="00964A5E">
      <w:pPr>
        <w:pStyle w:val="Heading3"/>
      </w:pPr>
      <w:bookmarkStart w:id="18" w:name="_Toc261446154"/>
      <w:r>
        <w:t>5.12.6</w:t>
      </w:r>
      <w:r>
        <w:tab/>
      </w:r>
      <w:r>
        <w:rPr>
          <w:szCs w:val="24"/>
        </w:rPr>
        <w:t xml:space="preserve">Capacity Calculations, </w:t>
      </w:r>
      <w:r>
        <w:t>Ope</w:t>
      </w:r>
      <w:r>
        <w:t>rating Data Default, Value and Collection</w:t>
      </w:r>
      <w:bookmarkEnd w:id="18"/>
    </w:p>
    <w:p w:rsidR="002F692C" w:rsidRDefault="00964A5E">
      <w:pPr>
        <w:pStyle w:val="Heading4"/>
      </w:pPr>
      <w:bookmarkStart w:id="19" w:name="_Toc261446155"/>
      <w:r>
        <w:t>5.12.6.1</w:t>
      </w:r>
      <w:r>
        <w:tab/>
        <w:t>ICAP Calculation for Behind-the-Meter Net Generation Resources</w:t>
      </w:r>
    </w:p>
    <w:p w:rsidR="002F692C" w:rsidRDefault="00964A5E">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w:t>
      </w:r>
      <w:r>
        <w:t>Behind-the-Meter Net Generation Resource minus the Resource’s Adjusted Host Load in accordance with this Tariff and ISO Procedures.</w:t>
      </w:r>
    </w:p>
    <w:p w:rsidR="002F692C" w:rsidRDefault="00964A5E">
      <w:pPr>
        <w:pStyle w:val="Heading4"/>
      </w:pPr>
      <w:r>
        <w:t>5.12.6.1.1</w:t>
      </w:r>
      <w:r>
        <w:tab/>
        <w:t>Adjusted DMGC</w:t>
      </w:r>
    </w:p>
    <w:p w:rsidR="002F692C" w:rsidRDefault="00964A5E">
      <w:pPr>
        <w:pStyle w:val="Bodypara"/>
      </w:pPr>
      <w:r>
        <w:t>The ISO’s calculation of the Adjusted DMGC of a Behind-the-Meter Net Generation Resource shall be t</w:t>
      </w:r>
      <w:r>
        <w:t>he least of: (i) its DMGC for the Capability Period; (ii) its Adjusted Host Load plus its applicable Injection Limit; and (iii) its Adjusted Host Load plus the number of MW of CRIS it has obtained, as determined in accordance with OATT Section 25 (OATT Att</w:t>
      </w:r>
      <w:r>
        <w:t xml:space="preserve">achment S) and ISO Procedures.  </w:t>
      </w:r>
    </w:p>
    <w:p w:rsidR="002F692C" w:rsidRDefault="00964A5E">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w:t>
      </w:r>
      <w:r>
        <w:t xml:space="preserve">ehind-the-Meter Net Generation Resource may elect to perform a DMNC Test instead of a DMGC Test pursuant to ISO Procedures.  Such election must be made in writing to the ISO prior to the start of the DMNC Test Period.  </w:t>
      </w:r>
    </w:p>
    <w:p w:rsidR="002F692C" w:rsidRDefault="00964A5E">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2F692C" w:rsidRDefault="00964A5E">
      <w:pPr>
        <w:pStyle w:val="Heading4"/>
      </w:pPr>
      <w:r>
        <w:t>5.12.6.1.2</w:t>
      </w:r>
      <w:r>
        <w:tab/>
        <w:t>Adjusted Host Load</w:t>
      </w:r>
    </w:p>
    <w:p w:rsidR="002F692C" w:rsidRDefault="00964A5E">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2F692C" w:rsidRDefault="00964A5E">
      <w:pPr>
        <w:pStyle w:val="Bodypara"/>
      </w:pPr>
      <w:r>
        <w:t xml:space="preserve">The Adjusted Host Load shall be calculated by the ISO on an annual basis </w:t>
      </w:r>
      <w:r>
        <w:t xml:space="preserve">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w:t>
      </w:r>
      <w:r>
        <w:t xml:space="preserve">that.  </w:t>
      </w:r>
    </w:p>
    <w:p w:rsidR="002F692C" w:rsidRDefault="00964A5E">
      <w:pPr>
        <w:pStyle w:val="Heading4"/>
      </w:pPr>
      <w:r>
        <w:t>5.12.6.1.2.1</w:t>
      </w:r>
      <w:r>
        <w:tab/>
        <w:t>Average Coincident Host Load</w:t>
      </w:r>
    </w:p>
    <w:p w:rsidR="002F692C" w:rsidRDefault="00964A5E">
      <w:pPr>
        <w:pStyle w:val="Bodypara"/>
      </w:pPr>
      <w:r>
        <w:t>The ISO must receive the Behind-the-Meter Net Generation Resource’s applicable metered Load data required to calculate an Average Coincident Host Load in accordance with ISO Procedures.  The ISO shall compu</w:t>
      </w:r>
      <w:r>
        <w:t xml:space="preserve">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w:t>
      </w:r>
      <w:r>
        <w:t xml:space="preserve">y the ISO in relation to developing the NYCA Minimum Installed Capacity Requirement in accordance with ISO Procedures.    </w:t>
      </w:r>
    </w:p>
    <w:p w:rsidR="002F692C" w:rsidRDefault="00964A5E">
      <w:pPr>
        <w:pStyle w:val="Bodypara"/>
      </w:pPr>
      <w:r>
        <w:t>For each Capability Year, the NYISO shall use the average of the highest twenty (20) one-hour peak Loads of the Host Load of the Behi</w:t>
      </w:r>
      <w:r>
        <w:t xml:space="preserve">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2F692C" w:rsidRDefault="00964A5E">
      <w:pPr>
        <w:pStyle w:val="Bodypara"/>
      </w:pPr>
      <w:r>
        <w:t>If a facility meets the criteri</w:t>
      </w:r>
      <w:r>
        <w:t>a to be, and has not previously been, a Behind-the-Meter Net Generation Resource, but does not have all of the appropriate meter data, its Average Coincident Host Load shall be a value forecasted by the Behind-the-Meter Net Generation Resource.  The Behind</w:t>
      </w:r>
      <w:r>
        <w:t xml:space="preserve">-the-Meter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w:t>
      </w:r>
      <w:r>
        <w:t xml:space="preserve">tion Resource until actual data becomes available, but in any event no longer than three (3) consecutive Capability Years beginning with the Capability Year it is first an Installed Capacity Supplier.  </w:t>
      </w:r>
    </w:p>
    <w:p w:rsidR="002F692C" w:rsidRDefault="00964A5E">
      <w:pPr>
        <w:pStyle w:val="Heading4"/>
      </w:pPr>
      <w:r>
        <w:t>5.12.6.1.2.2</w:t>
      </w:r>
      <w:r>
        <w:tab/>
        <w:t xml:space="preserve">Determination of Adjusted Host Load </w:t>
      </w:r>
    </w:p>
    <w:p w:rsidR="002F692C" w:rsidRDefault="00964A5E">
      <w:pPr>
        <w:pStyle w:val="Bodypara"/>
      </w:pPr>
      <w:r>
        <w:t>Aft</w:t>
      </w:r>
      <w:r>
        <w:t xml:space="preserve">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w:t>
      </w:r>
      <w:r>
        <w:t xml:space="preserve">g the Resource’s Average Coincident Host Load for the Capability Year by the quantity of one plus the NYCA Installed Reserve Margin. </w:t>
      </w:r>
    </w:p>
    <w:p w:rsidR="002F692C" w:rsidRDefault="00964A5E">
      <w:pPr>
        <w:pStyle w:val="Heading4"/>
      </w:pPr>
      <w:r>
        <w:t>5.12.6.2</w:t>
      </w:r>
      <w:r>
        <w:tab/>
        <w:t>UCAP Calculations</w:t>
      </w:r>
      <w:bookmarkEnd w:id="19"/>
    </w:p>
    <w:p w:rsidR="002F692C" w:rsidRDefault="00964A5E">
      <w:pPr>
        <w:pStyle w:val="Bodypara"/>
      </w:pPr>
      <w:r>
        <w:t xml:space="preserve">The ISO shall calculate for each Resource the amount of Unforced Capacity that each Installed </w:t>
      </w:r>
      <w:r>
        <w:rPr>
          <w:rFonts w:eastAsia="Times New Roman"/>
          <w:snapToGrid w:val="0"/>
          <w:szCs w:val="20"/>
        </w:rPr>
        <w:t>C</w:t>
      </w:r>
      <w:r>
        <w:rPr>
          <w:rFonts w:eastAsia="Times New Roman"/>
          <w:snapToGrid w:val="0"/>
          <w:szCs w:val="20"/>
        </w:rPr>
        <w:t>apacity</w:t>
      </w:r>
      <w:r>
        <w:t xml:space="preserve"> Supplier is qualified to supply in the NYCA in accordance with formulae provided in the ISO Procedures.  A Resource’s Unforced Capacity will be the applicable Adjusted Installed Capacity multiplied by the quantity of 1 minus the Resource’s derating</w:t>
      </w:r>
      <w:r>
        <w:t xml:space="preserve"> factor.</w:t>
      </w:r>
    </w:p>
    <w:p w:rsidR="002F692C" w:rsidRDefault="00964A5E">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supply </w:t>
      </w:r>
      <w:r>
        <w:t>in the NYCA shall be based on the ISO’s calculations of individual Equivalent Demand Forced Outage Rates. The amount of Unforced Capacity that each Energy Storage Resource is authorized to supply in the NYCA shall be based on the individual availability of</w:t>
      </w:r>
      <w:r>
        <w:t xml:space="preserve"> the Energy Storage Resource in the Real-Time Market and calculated by the ISO in accordance with ISO Procedures.  Except as provided in Section 5.12.6.2.1 of this Services Tariff, this calculation shall not include hours in any month that the Energy Stora</w:t>
      </w:r>
      <w:r>
        <w:t>ge Resource was in an outage state that started on or after May 1, 2015 and that precluded its eligibility to participate in the Installed Capacity market.  The amount of Unforced Capacity that each Control Area System Resource is authorized to supply in t</w:t>
      </w:r>
      <w:r>
        <w:t>he NYCA shall be based on the ISO’s calculation of each Control Area System Resource’s availability.  The amount of Unforced Capacity that each Intermittent Power Resource is authorized to supply in the NYCA shall be based on the ISO’s calculation of the a</w:t>
      </w:r>
      <w:r>
        <w:t>mount of capacity that the Intermittent Power Resource can reliably provide during system peak Load hours in accordance with ISO Procedures</w:t>
      </w:r>
      <w:bookmarkStart w:id="20" w:name="_cp_text_1_56"/>
      <w:r>
        <w:t xml:space="preserve">.  </w:t>
      </w:r>
    </w:p>
    <w:p w:rsidR="002F692C" w:rsidRDefault="00964A5E">
      <w:pPr>
        <w:pStyle w:val="Bodypara"/>
      </w:pPr>
      <w:r>
        <w:t>Starting with the Capability Year beginning May 1, 2021, this calculation will be weighted according to the respe</w:t>
      </w:r>
      <w:r>
        <w:t>ctive Peak Load Window weighting factors provided in the 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2F692C">
        <w:trPr>
          <w:trHeight w:val="636"/>
        </w:trPr>
        <w:tc>
          <w:tcPr>
            <w:tcW w:w="1260" w:type="dxa"/>
            <w:shd w:val="clear" w:color="auto" w:fill="auto"/>
            <w:noWrap/>
            <w:vAlign w:val="bottom"/>
            <w:hideMark/>
          </w:tcPr>
          <w:p w:rsidR="002F692C" w:rsidRDefault="002F692C">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2F692C" w:rsidRDefault="00964A5E">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2F692C" w:rsidRDefault="00964A5E">
            <w:pPr>
              <w:spacing w:after="0" w:line="240" w:lineRule="auto"/>
              <w:jc w:val="center"/>
              <w:rPr>
                <w:rFonts w:eastAsia="Times New Roman" w:cs="Calibri"/>
                <w:color w:val="000000"/>
              </w:rPr>
            </w:pPr>
            <w:r>
              <w:rPr>
                <w:rFonts w:eastAsia="Times New Roman" w:cs="Calibri"/>
                <w:color w:val="000000"/>
              </w:rPr>
              <w:t>Winter Peak Load Window</w:t>
            </w:r>
          </w:p>
        </w:tc>
      </w:tr>
      <w:tr w:rsidR="002F692C">
        <w:trPr>
          <w:trHeight w:val="570"/>
        </w:trPr>
        <w:tc>
          <w:tcPr>
            <w:tcW w:w="1260" w:type="dxa"/>
            <w:shd w:val="clear" w:color="auto" w:fill="auto"/>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8 Hour</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20" w:type="dxa"/>
            <w:shd w:val="clear" w:color="auto" w:fill="auto"/>
            <w:noWrap/>
            <w:vAlign w:val="center"/>
            <w:hideMark/>
          </w:tcPr>
          <w:p w:rsidR="002F692C" w:rsidRDefault="002F692C">
            <w:pPr>
              <w:spacing w:after="0" w:line="240" w:lineRule="auto"/>
              <w:jc w:val="center"/>
              <w:rPr>
                <w:rFonts w:ascii="Times New Roman" w:eastAsia="Times New Roman" w:hAnsi="Times New Roman"/>
                <w:sz w:val="20"/>
                <w:szCs w:val="20"/>
              </w:rPr>
            </w:pP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20" w:type="dxa"/>
            <w:shd w:val="clear" w:color="auto" w:fill="auto"/>
            <w:noWrap/>
            <w:vAlign w:val="center"/>
            <w:hideMark/>
          </w:tcPr>
          <w:p w:rsidR="002F692C" w:rsidRDefault="002F692C">
            <w:pPr>
              <w:spacing w:after="0" w:line="240" w:lineRule="auto"/>
              <w:jc w:val="center"/>
              <w:rPr>
                <w:rFonts w:ascii="Times New Roman" w:eastAsia="Times New Roman" w:hAnsi="Times New Roman"/>
                <w:sz w:val="20"/>
                <w:szCs w:val="20"/>
              </w:rPr>
            </w:pP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5.00%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5.00%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7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17.50%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70" w:type="dxa"/>
            <w:shd w:val="clear" w:color="auto" w:fill="auto"/>
            <w:noWrap/>
            <w:vAlign w:val="center"/>
            <w:hideMark/>
          </w:tcPr>
          <w:p w:rsidR="002F692C" w:rsidRDefault="002F692C">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10.00%</w:t>
            </w:r>
          </w:p>
        </w:tc>
      </w:tr>
      <w:tr w:rsidR="002F692C">
        <w:trPr>
          <w:trHeight w:val="285"/>
        </w:trPr>
        <w:tc>
          <w:tcPr>
            <w:tcW w:w="126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2F692C" w:rsidRDefault="002F692C">
            <w:pPr>
              <w:spacing w:after="0" w:line="240" w:lineRule="auto"/>
              <w:jc w:val="center"/>
              <w:rPr>
                <w:rFonts w:eastAsia="Times New Roman" w:cs="Calibri"/>
                <w:color w:val="000000"/>
              </w:rPr>
            </w:pPr>
          </w:p>
        </w:tc>
        <w:tc>
          <w:tcPr>
            <w:tcW w:w="1070" w:type="dxa"/>
            <w:shd w:val="clear" w:color="auto" w:fill="auto"/>
            <w:noWrap/>
            <w:vAlign w:val="center"/>
            <w:hideMark/>
          </w:tcPr>
          <w:p w:rsidR="002F692C" w:rsidRDefault="002F692C">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2F692C" w:rsidRDefault="00964A5E">
            <w:pPr>
              <w:spacing w:after="0" w:line="240" w:lineRule="auto"/>
              <w:jc w:val="center"/>
              <w:rPr>
                <w:rFonts w:eastAsia="Times New Roman" w:cs="Calibri"/>
                <w:color w:val="000000"/>
              </w:rPr>
            </w:pPr>
            <w:r>
              <w:rPr>
                <w:rFonts w:eastAsia="Times New Roman" w:cs="Calibri"/>
                <w:color w:val="000000"/>
              </w:rPr>
              <w:t>10.00%</w:t>
            </w:r>
          </w:p>
        </w:tc>
      </w:tr>
    </w:tbl>
    <w:p w:rsidR="002F692C" w:rsidRDefault="002F692C">
      <w:pPr>
        <w:pStyle w:val="Bodypara"/>
        <w:ind w:firstLine="0"/>
      </w:pPr>
    </w:p>
    <w:p w:rsidR="002F692C" w:rsidRDefault="00964A5E">
      <w:pPr>
        <w:pStyle w:val="Bodypara"/>
      </w:pPr>
      <w:r>
        <w:t xml:space="preserve">Except as </w:t>
      </w:r>
      <w:bookmarkEnd w:id="20"/>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21" w:name="_cp_text_2_62"/>
      <w:r>
        <w:t xml:space="preserve">Installed Capacity </w:t>
      </w:r>
      <w:bookmarkEnd w:id="21"/>
      <w:r>
        <w:t>market.  The amount of Unforced Capacity that each Limited Control Run-of-River Hydro Resource is authorized to provide in the NYCA shall be determined separately for Summer and Winter Capability Periods as the rolling average of</w:t>
      </w:r>
      <w:r>
        <w:t xml:space="preserve"> the hourly net Energy provided by each such Resource during the 20 highest NYCA integrated real-time load hours in each of the five previous Summer or Winter Capability Periods, as appropriate, stated in megawatts.  Except as provided in Section 5.12.6.2.</w:t>
      </w:r>
      <w:r>
        <w:t>1 of this</w:t>
      </w:r>
      <w:r>
        <w:rPr>
          <w:bCs/>
        </w:rPr>
        <w:t xml:space="preserve"> Services Tariff</w:t>
      </w:r>
      <w:r>
        <w:t xml:space="preserve">, for a Limited Control Run-of-River Hydro Resource in an outage state that started on or after May 1, 2015 and that precluded its </w:t>
      </w:r>
      <w:bookmarkStart w:id="22" w:name="_cp_text_2_72"/>
      <w:r>
        <w:t xml:space="preserve">eligibility </w:t>
      </w:r>
      <w:bookmarkEnd w:id="22"/>
      <w:r>
        <w:t xml:space="preserve">to participate in the Installed Capacity market during </w:t>
      </w:r>
      <w:r>
        <w:rPr>
          <w:bCs/>
        </w:rPr>
        <w:t>one of the 20 highest NYCA integr</w:t>
      </w:r>
      <w:r>
        <w:rPr>
          <w:bCs/>
        </w:rPr>
        <w:t>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rolling</w:t>
      </w:r>
      <w:r>
        <w:t xml:space="preserve">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w:t>
      </w:r>
      <w:r>
        <w:t xml:space="preserve"> that precluded its eligibility</w:t>
      </w:r>
      <w:bookmarkStart w:id="23" w:name="_cp_text_2_83"/>
      <w:r>
        <w:t xml:space="preserve"> </w:t>
      </w:r>
      <w:bookmarkEnd w:id="23"/>
      <w:r>
        <w:t xml:space="preserve">to participate in the Installed Capacity market </w:t>
      </w:r>
      <w:r>
        <w:rPr>
          <w:bCs/>
        </w:rPr>
        <w:t>on one of the 20 highest NYCA integrated real-time load hours in that Capability Period.</w:t>
      </w:r>
      <w:r>
        <w:t xml:space="preserve"> </w:t>
      </w:r>
    </w:p>
    <w:p w:rsidR="002F692C" w:rsidRDefault="00964A5E">
      <w:pPr>
        <w:pStyle w:val="Bodypara"/>
      </w:pPr>
      <w:r>
        <w:t xml:space="preserve">Prior to Capability Year beginning May 1, 2021, the ISO shall calculate separate </w:t>
      </w:r>
      <w:r>
        <w:t>Summer and Winter Capability Period Unforced Capacity values for each Generator, System Resource, Special Case Resource, Energy Limited Resource, and municipally owned generation and update them periodically using a twelve-month calculation.  Starting with</w:t>
      </w:r>
      <w:r>
        <w:t xml:space="preserve"> the Capability Year beginning May 1, 2021, the calculation will use the months comprising the two most recent like Capability Periods in accordance with formulae provided in the ISO Procedures</w:t>
      </w:r>
      <w:bookmarkStart w:id="24" w:name="_cp_text_1_88"/>
      <w:r>
        <w:t xml:space="preserve">; </w:t>
      </w:r>
      <w:bookmarkEnd w:id="24"/>
      <w:r>
        <w:t>provided</w:t>
      </w:r>
      <w:r>
        <w:rPr>
          <w:b/>
        </w:rPr>
        <w:t xml:space="preserve">, </w:t>
      </w:r>
      <w:r>
        <w:t>however, except as provided in Section 5.12.6.2.1 o</w:t>
      </w:r>
      <w:r>
        <w:t>f this Services 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 would ot</w:t>
      </w:r>
      <w:r>
        <w:t>herwise be used to calculate an individual Equivalent Demand Forced Outage Rate, the ISO shall replace such month’s GADS or other operating data with GADS or other operating data from the most recent like month in which the Generator was not in an outage s</w:t>
      </w:r>
      <w:r>
        <w:t>tate that precluded its eligibility to participate in the Installed Capacity market.</w:t>
      </w:r>
    </w:p>
    <w:p w:rsidR="002F692C" w:rsidRDefault="00964A5E">
      <w:pPr>
        <w:pStyle w:val="Bodypara"/>
      </w:pPr>
      <w:r>
        <w:t>The ISO shall calculate separate Summer and Winter Capability Period Unforced Capacity values for Energy Storage Resources and update them seasonally as described in ISO P</w:t>
      </w:r>
      <w:r>
        <w:t>rocedures.</w:t>
      </w:r>
    </w:p>
    <w:p w:rsidR="002F692C" w:rsidRDefault="00964A5E">
      <w:pPr>
        <w:pStyle w:val="Bodypara"/>
      </w:pPr>
      <w:r>
        <w:t>The ISO shall calculate separate Summer and Winter Capability Period Unforced Capacity values for Intermittent Power Resources and update them seasonally as described in ISO Procedures.</w:t>
      </w:r>
    </w:p>
    <w:p w:rsidR="002F692C" w:rsidRDefault="00964A5E">
      <w:pPr>
        <w:pStyle w:val="Bodypara"/>
      </w:pPr>
      <w:r>
        <w:t xml:space="preserve">The amount of Unforced Capacity that each Behind-the-Meter </w:t>
      </w:r>
      <w:r>
        <w:t>Net Generation Resource is authorized to supply in the NYCA shall be its Net-UCAP.  Net-UCAP is the lesser of (i) the ISO’s calculation of the Generator of the Behind-the-Meter Net Generation Resource Adjusted DMGC multiplied by one minus its Equivalent De</w:t>
      </w:r>
      <w:r>
        <w:t>mand Forced Outage Rate, and then decreased by its Adjusted Host Load translated into Unforced Capacity terms consistent with Section 5.11.1 of this Tariff, and (ii) the Resource’s Net-ICAP.</w:t>
      </w:r>
    </w:p>
    <w:p w:rsidR="002F692C" w:rsidRDefault="00964A5E">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2F692C" w:rsidRDefault="00964A5E">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w:t>
      </w:r>
      <w:r>
        <w:rPr>
          <w:rFonts w:ascii="Times New Roman" w:hAnsi="Times New Roman"/>
          <w:sz w:val="24"/>
          <w:szCs w:val="24"/>
        </w:rPr>
        <w:t>fter taking an outage that precluded its participation in the Installed Capacity market and which returns with modifications to its operating characteristics determined by the ISO to be material and which, therefore, requires the submission of a new Interc</w:t>
      </w:r>
      <w:r>
        <w:rPr>
          <w:rFonts w:ascii="Times New Roman" w:hAnsi="Times New Roman"/>
          <w:sz w:val="24"/>
          <w:szCs w:val="24"/>
        </w:rPr>
        <w:t>onnection Request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derating factor it would have received as a newly connecting unit in lieu of a derating factor developed from</w:t>
      </w:r>
      <w:r>
        <w:rPr>
          <w:rFonts w:ascii="Times New Roman" w:hAnsi="Times New Roman"/>
          <w:sz w:val="24"/>
          <w:szCs w:val="24"/>
        </w:rPr>
        <w:t xml:space="preserve"> unit-specific data.  </w:t>
      </w:r>
      <w:bookmarkStart w:id="25" w:name="_cp_text_1_122"/>
      <w:r>
        <w:rPr>
          <w:rFonts w:ascii="Times New Roman" w:hAnsi="Times New Roman"/>
          <w:sz w:val="24"/>
          <w:szCs w:val="24"/>
        </w:rPr>
        <w:t xml:space="preserve">A </w:t>
      </w:r>
      <w:bookmarkEnd w:id="25"/>
      <w:r>
        <w:rPr>
          <w:rFonts w:ascii="Times New Roman" w:hAnsi="Times New Roman"/>
          <w:sz w:val="24"/>
          <w:szCs w:val="24"/>
        </w:rPr>
        <w:t xml:space="preserve">Resource returning to the Energy market after taking an outage that precluded its  participation in the Installed Capacity market </w:t>
      </w:r>
      <w:bookmarkStart w:id="26" w:name="_cp_text_2_129"/>
      <w:r>
        <w:rPr>
          <w:rFonts w:ascii="Times New Roman" w:hAnsi="Times New Roman"/>
          <w:sz w:val="24"/>
          <w:szCs w:val="24"/>
        </w:rPr>
        <w:t xml:space="preserve">and which, upon </w:t>
      </w:r>
      <w:bookmarkEnd w:id="26"/>
      <w:r>
        <w:rPr>
          <w:rFonts w:ascii="Times New Roman" w:hAnsi="Times New Roman"/>
          <w:sz w:val="24"/>
          <w:szCs w:val="24"/>
        </w:rPr>
        <w:t>its return, uses as its primary fuel a fuel not previously used at the facility for an</w:t>
      </w:r>
      <w:r>
        <w:rPr>
          <w:rFonts w:ascii="Times New Roman" w:hAnsi="Times New Roman"/>
          <w:sz w:val="24"/>
          <w:szCs w:val="24"/>
        </w:rPr>
        <w:t>y purpose other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default derating factor in lieu of a derating factor developed from unit-specific da</w:t>
      </w:r>
      <w:r>
        <w:rPr>
          <w:rFonts w:ascii="Times New Roman" w:hAnsi="Times New Roman"/>
          <w:sz w:val="24"/>
          <w:szCs w:val="24"/>
        </w:rPr>
        <w:t>ta even if the modifications to allow use of a new primary fuel are not material and do not require the submission of a new Interconnection Request.</w:t>
      </w:r>
    </w:p>
    <w:p w:rsidR="002F692C" w:rsidRDefault="00964A5E">
      <w:pPr>
        <w:pStyle w:val="Bodypara"/>
      </w:pPr>
      <w:r>
        <w:t>This Section 5.12.6.2.1 shall apply to a Resource returning to the Energy market after taking an outage tha</w:t>
      </w:r>
      <w:r>
        <w:t>t started on or after May 1, 2015 and that precluded its participation in the Installed Capacity market.</w:t>
      </w:r>
    </w:p>
    <w:p w:rsidR="002F692C" w:rsidRDefault="00964A5E">
      <w:pPr>
        <w:pStyle w:val="Heading4"/>
      </w:pPr>
      <w:bookmarkStart w:id="27" w:name="_Toc261446156"/>
      <w:r>
        <w:t>5.12.6.3</w:t>
      </w:r>
      <w:r>
        <w:tab/>
        <w:t>Default Unforced Capacity</w:t>
      </w:r>
      <w:bookmarkEnd w:id="27"/>
    </w:p>
    <w:p w:rsidR="002F692C" w:rsidRDefault="00964A5E">
      <w:pPr>
        <w:pStyle w:val="Bodypara"/>
      </w:pPr>
      <w:r>
        <w:t>In its calculation of Unforced Capacity, the ISO shall deem a Resource to be completely forced out for each month fo</w:t>
      </w:r>
      <w:r>
        <w:t xml:space="preserve">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w:t>
      </w:r>
      <w:r>
        <w:t xml:space="preserve">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2F692C" w:rsidRDefault="00964A5E">
      <w:pPr>
        <w:pStyle w:val="Bodypara"/>
      </w:pPr>
      <w:r>
        <w:t xml:space="preserve">Upon a </w:t>
      </w:r>
      <w:r>
        <w:rPr>
          <w:rFonts w:eastAsia="Times New Roman"/>
          <w:snapToGrid w:val="0"/>
          <w:szCs w:val="20"/>
        </w:rPr>
        <w:t>showing</w:t>
      </w:r>
      <w:r>
        <w:t xml:space="preserve"> of extraordinary circumstances, the ISO retains the di</w:t>
      </w:r>
      <w:r>
        <w:t>scretion to accept at any time Operating Data which have not been submitted in a timely manner, or which do not fully conform with the ISO Procedures.</w:t>
      </w:r>
    </w:p>
    <w:p w:rsidR="002F692C" w:rsidRDefault="00964A5E">
      <w:pPr>
        <w:pStyle w:val="Heading4"/>
      </w:pPr>
      <w:bookmarkStart w:id="28" w:name="_Toc261446157"/>
      <w:r>
        <w:t>5.12.6.4</w:t>
      </w:r>
      <w:r>
        <w:tab/>
        <w:t>Exception for Certain Equipment Failures</w:t>
      </w:r>
      <w:bookmarkEnd w:id="28"/>
    </w:p>
    <w:p w:rsidR="002F692C" w:rsidRDefault="00964A5E">
      <w:pPr>
        <w:pStyle w:val="Bodypara"/>
      </w:pPr>
      <w:r>
        <w:t>When a Generator, Special Case Resource, Energy Limited</w:t>
      </w:r>
      <w:r>
        <w:t xml:space="preserve">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w:t>
      </w:r>
      <w:r>
        <w:t>ounted for purposes of calculating that Resource’s Equivalent Demand Forced Outage Rate.</w:t>
      </w:r>
    </w:p>
    <w:p w:rsidR="002F692C" w:rsidRDefault="00964A5E">
      <w:pPr>
        <w:pStyle w:val="Heading4"/>
      </w:pPr>
      <w:r>
        <w:t>5.12.6.5</w:t>
      </w:r>
      <w:r>
        <w:tab/>
        <w:t>Unforced Capacity, Outage Data and Operational Information Associated with External-to-ROS Deliverability Rights</w:t>
      </w:r>
    </w:p>
    <w:p w:rsidR="002F692C" w:rsidRDefault="00964A5E">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w:t>
      </w:r>
      <w:r>
        <w:rPr>
          <w:rFonts w:ascii="Times New Roman" w:hAnsi="Times New Roman"/>
          <w:b w:val="0"/>
          <w:bCs w:val="0"/>
          <w:sz w:val="24"/>
          <w:szCs w:val="24"/>
        </w:rPr>
        <w:t>he External interface associated with each project granted EDRs, in accordance with ISO Procedures.  The availability factor (percentage) of the interface will be used to reduce the amount of EDRs for which Unforced Capacity may be offered.  This calculati</w:t>
      </w:r>
      <w:r>
        <w:rPr>
          <w:rFonts w:ascii="Times New Roman" w:hAnsi="Times New Roman"/>
          <w:b w:val="0"/>
          <w:bCs w:val="0"/>
          <w:sz w:val="24"/>
          <w:szCs w:val="24"/>
        </w:rPr>
        <w:t>on is distinct from and in addition to the calculation the ISO performs for each Installed Capacity Resource qualified for use with EDRs.</w:t>
      </w:r>
    </w:p>
    <w:p w:rsidR="002F692C" w:rsidRDefault="00964A5E">
      <w:pPr>
        <w:pStyle w:val="Heading3"/>
      </w:pPr>
      <w:bookmarkStart w:id="29" w:name="_Toc261446158"/>
      <w:r>
        <w:t>5.12.7</w:t>
      </w:r>
      <w:r>
        <w:tab/>
        <w:t>Availability Requirements</w:t>
      </w:r>
      <w:bookmarkEnd w:id="29"/>
    </w:p>
    <w:p w:rsidR="002F692C" w:rsidRDefault="00964A5E">
      <w:pPr>
        <w:pStyle w:val="Bodypara"/>
        <w:rPr>
          <w:ins w:id="30" w:author="Greg Campbell" w:date="2020-10-28T16:56:00Z"/>
        </w:rPr>
      </w:pPr>
      <w:r>
        <w:t xml:space="preserve">Subsequent to qualifying, each Installed Capacity Supplier shall, except as noted in </w:t>
      </w:r>
      <w:r>
        <w:t>Section 5.12.11 of this Tariff, on a daily basis: (i) schedule a Bilateral Transaction; (ii) Bid Energy in each hour of the Day-Ahead Market in accordance with the applicable provisions of Section 5.12.1 of this Tariff; or (iii) notify the ISO of any outag</w:t>
      </w:r>
      <w:r>
        <w:t xml:space="preserve">es.  </w:t>
      </w:r>
    </w:p>
    <w:p w:rsidR="002F692C" w:rsidRDefault="00964A5E">
      <w:pPr>
        <w:pStyle w:val="Bodypara"/>
        <w:rPr>
          <w:ins w:id="31" w:author="Greg Campbell" w:date="2020-10-28T16:56:00Z"/>
        </w:rPr>
      </w:pPr>
      <w:r>
        <w:t>Installed Capacity Suppliers with Energy Duration Limitations corresponding to a Duration Adjustment Factor, as described in Section 5.12.14 below, must on a daily basis during the Peak Load Window and for the number of consecutive hours that corresp</w:t>
      </w:r>
      <w:r>
        <w:t>ond to its Energy Duration Limitation, or for the entirety of the Peak Load Window for an Energy Storage Resource : (i) schedule a Bilateral Transaction; (ii) Bid Energy in the Day-Ahead Market in accordance with the applicable provisions of Section 5.12.1</w:t>
      </w:r>
      <w:r>
        <w:t xml:space="preserve"> of this Tariff; or (iii) notify the ISO of any outages.  The ISO may adjust the Peak Load Window that Installed Capacity Suppliers with Energy Duration Limitations will be responsible for scheduling, bidding, or notifying for, with scheduling or bidding i</w:t>
      </w:r>
      <w:r>
        <w:t xml:space="preserve">n hours outside the Peak Load Window in Section 5.12.14.  An RMR Generator can only schedule a Bilateral Transaction to the extent expressly authorized in its RMR Agreement.  </w:t>
      </w:r>
    </w:p>
    <w:p w:rsidR="002F692C" w:rsidRDefault="00964A5E">
      <w:pPr>
        <w:pStyle w:val="Bodypara"/>
        <w:rPr>
          <w:ins w:id="32" w:author="Greg Campbell" w:date="2020-10-28T16:56:00Z"/>
        </w:rPr>
      </w:pPr>
      <w:r>
        <w:t xml:space="preserve">The total amount of Energy that an Installed Capacity Supplier schedules, bids, </w:t>
      </w:r>
      <w:r>
        <w:t xml:space="preserve">or declares to be unavailable on a given day must equal or exceed the Installed Capacity Equivalent of the Unforced Capacity it supplies.  </w:t>
      </w:r>
    </w:p>
    <w:p w:rsidR="002F692C" w:rsidRDefault="00964A5E">
      <w:pPr>
        <w:pStyle w:val="Bodypara"/>
      </w:pPr>
      <w:r>
        <w:t>For Energy Storage Resources</w:t>
      </w:r>
      <w:ins w:id="33" w:author="Greg Campbell" w:date="2020-10-28T16:56:00Z">
        <w:r>
          <w:t xml:space="preserve"> without an Energy Duration Limitation</w:t>
        </w:r>
      </w:ins>
      <w:r>
        <w:t>, the total amount of Energy that is scheduled, Bi</w:t>
      </w:r>
      <w:r>
        <w:t>d, or declared to be unavailable shall also include the maximum of the Energy Storage Resource’s (i) negative Installed Capacity Equivalent, or (ii) Lower Operating Limit, such that amount scheduled, Bid, or declared to be unavailable reflects the entire w</w:t>
      </w:r>
      <w:r>
        <w:t>ithdrawal to injection operating range.</w:t>
      </w:r>
      <w:ins w:id="34" w:author="Greg Campbell" w:date="2020-10-28T16:56:00Z">
        <w:r>
          <w:t xml:space="preserve">  Energy Storage Resources with an Energy Duration Limitation must, on a daily basis, and for each hour outside </w:t>
        </w:r>
      </w:ins>
      <w:ins w:id="35" w:author="Greg Campbell" w:date="2020-10-28T16:57:00Z">
        <w:r>
          <w:t>of the Peak Load Window:  (i) Bid in the Day-Ahead Market in accordance with the applicable provisions of</w:t>
        </w:r>
        <w:r>
          <w:t xml:space="preserve"> Section 5.12.1 of this Tariff; or (ii) notify the ISO of any outages, the maximum of the Energy Storage Resource’s (a) negative Installed Capacity Equivalent, or (b) Lower Operating Limit.  The amount scheduled, Bid, and/or declared to be unavailable must</w:t>
        </w:r>
        <w:r>
          <w:t xml:space="preserve"> reflect the Energy Stor</w:t>
        </w:r>
      </w:ins>
      <w:ins w:id="36" w:author="Greg Campbell" w:date="2020-10-28T17:00:00Z">
        <w:r>
          <w:t>a</w:t>
        </w:r>
      </w:ins>
      <w:ins w:id="37" w:author="Greg Campbell" w:date="2020-10-28T16:57:00Z">
        <w:r>
          <w:t xml:space="preserve">ge </w:t>
        </w:r>
      </w:ins>
      <w:ins w:id="38" w:author="Greg Campbell" w:date="2020-10-28T16:58:00Z">
        <w:r>
          <w:t>Resource’s entire withdrawal operating range.</w:t>
        </w:r>
      </w:ins>
      <w:r>
        <w:rPr>
          <w:u w:val="single"/>
        </w:rPr>
        <w:t xml:space="preserve"> </w:t>
      </w:r>
    </w:p>
    <w:p w:rsidR="002F692C" w:rsidRDefault="00964A5E">
      <w:pPr>
        <w:pStyle w:val="Heading3"/>
      </w:pPr>
      <w:bookmarkStart w:id="39" w:name="_Toc261446159"/>
      <w:r>
        <w:t>5.12.8</w:t>
      </w:r>
      <w:r>
        <w:tab/>
        <w:t>Unforced Capacity Sales</w:t>
      </w:r>
      <w:bookmarkEnd w:id="39"/>
    </w:p>
    <w:p w:rsidR="002F692C" w:rsidRDefault="00964A5E">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2F692C" w:rsidRDefault="00964A5E">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w:t>
      </w:r>
      <w:r>
        <w:rPr>
          <w:spacing w:val="-1"/>
        </w:rPr>
        <w:t>, EDRs, or External CRIS</w:t>
      </w:r>
      <w:r>
        <w:t xml:space="preserve"> Rights may not be used to satisfy a Locational Minimum Unforced Capacity Requirement.</w:t>
      </w:r>
    </w:p>
    <w:p w:rsidR="002F692C" w:rsidRDefault="00964A5E">
      <w:pPr>
        <w:pStyle w:val="Bodypara"/>
      </w:pPr>
      <w:r>
        <w:t>UCAP from an RMR Generator may only b</w:t>
      </w:r>
      <w:r>
        <w:t>e offered into the ICAP Spot Market Auction, except and only to the extent that the RMR Agreement expressly permits the RMR Generator’s UCAP to be certified in a Bilateral Transaction.</w:t>
      </w:r>
    </w:p>
    <w:p w:rsidR="002F692C" w:rsidRDefault="00964A5E">
      <w:pPr>
        <w:pStyle w:val="Bodypara"/>
      </w:pPr>
      <w:r>
        <w:t>If an Energy Limited Resource’s, Generator’s, System Resource’s or Control Area System Resource’s DMNC rating, or the DMGC rating of a Generator of a Behind-the-Meter Net Generation Resource, if applicable, is determined to have increased during an Obligat</w:t>
      </w:r>
      <w:r>
        <w:t>ion Procurement Period, pursuant to testing procedures described in the ISO Procedures, the amount of Unforced Capacity that it shall be authorized to supply in that or future Obligation Procurement Periods shall also be increased on a prospective basis in</w:t>
      </w:r>
      <w:r>
        <w:t xml:space="preserve"> accordance with the schedule set forth in the ISO Procedures provided that it first has satisfied the deliverability requirements set forth in the applicable provisions of Attachment X, Attachment Z and Attachment S to the ISO OATT.</w:t>
      </w:r>
    </w:p>
    <w:p w:rsidR="002F692C" w:rsidRDefault="00964A5E">
      <w:pPr>
        <w:pStyle w:val="Bodypara"/>
      </w:pPr>
      <w:r>
        <w:t>New Generators and Gen</w:t>
      </w:r>
      <w:r>
        <w:t xml:space="preserve">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w:t>
      </w:r>
      <w:r>
        <w:t xml:space="preserve">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w:t>
      </w:r>
      <w:r>
        <w:t>ted to the ISO after March 1 and prior to the beginning of the Summer Capability Period DMNC Test Period.  The Generator will be required to verify the claimed DMNC or DMGC rating by performing an additional test during the Summer DMNC Test Period.  Any sh</w:t>
      </w:r>
      <w:r>
        <w:t>ortfall between the amount of Unforced Capacity supplied by the Generator for the Summer Capability Period and the amount verified during the Summer DMNC Test Period will be subject to deficiency charges pursuant to Section 5.14.2 of this Tariff.  The defi</w:t>
      </w:r>
      <w:r>
        <w:t>ciency charges will be applied to no more than the difference between the Generator’s previous Summer Capability Period Unforced Capacity and the amount of Unforced Capacity equivalent the Generator supplied for the Summer Capability Period.</w:t>
      </w:r>
    </w:p>
    <w:p w:rsidR="002F692C" w:rsidRDefault="00964A5E">
      <w:pPr>
        <w:pStyle w:val="Bodypara"/>
      </w:pPr>
      <w:r>
        <w:t>New Generators</w:t>
      </w:r>
      <w:r>
        <w:t xml:space="preserve">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w:t>
      </w:r>
      <w:r>
        <w:t>ment Z and Attachment S to the ISO OATT, qualify to supply Unforced Capacity on a foregoing basis during the Winter Capability Period based upon a DMNC test, or the DMGC test of a Generator of a Behind-the-Meter Net Generation Resource, that is performed a</w:t>
      </w:r>
      <w:r>
        <w:t>nd reported to the ISO after September 1 and prior to the beginning of the Winter Capability Period DMNC Test Period.  The Generator will be required to verify the claimed DMNC or DMGC rating by performing an additional test during the Winter Capability Pe</w:t>
      </w:r>
      <w:r>
        <w:t>riod DMNC Test Period.  Any shortfall between the amount of Unforced Capacity certified by the Generator for the Winter Capability Period and the amount verified during the Winter Capability Period DMNC Test Period will be subject to deficiency charges pur</w:t>
      </w:r>
      <w:r>
        <w:t xml:space="preserve">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w:t>
      </w:r>
      <w:r>
        <w:t xml:space="preserve"> for the Winter Capability Period.</w:t>
      </w:r>
    </w:p>
    <w:p w:rsidR="002F692C" w:rsidRDefault="00964A5E">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w:t>
      </w:r>
      <w:r>
        <w:t>pacity, expressed in terms of Installed Capacity Equivalent, that it certified for that day, rounded down to the nearest 0.1 MW, or rounded down to the nearest whole MW for an External Installed Capacity Supplier, is subject to sanctions pursuant to Sectio</w:t>
      </w:r>
      <w:r>
        <w:t>n 5.12.12.2 of this Tariff.  If an entity other than the owner of an Energy Limited Resource, Generator, System Resource, Behind-the-Meter Net Generation Resource, or Control Area System Resource that is providing Unforced Capacity is responsible for fulfi</w:t>
      </w:r>
      <w:r>
        <w:t>lling bidding, scheduling, and notification requirements, the owner and that entity must designate to the ISO which of them will be responsible for complying with the scheduling, bidding, and notification requirements.  The designated bidding and schedulin</w:t>
      </w:r>
      <w:r>
        <w:t xml:space="preserve">g entity shall be subject to sanctions pursuant to Section 5.12.12.2 of this </w:t>
      </w:r>
      <w:r>
        <w:rPr>
          <w:iCs/>
        </w:rPr>
        <w:t xml:space="preserve">ISO Services </w:t>
      </w:r>
      <w:r>
        <w:t>Tariff.</w:t>
      </w:r>
    </w:p>
    <w:p w:rsidR="002F692C" w:rsidRDefault="00964A5E">
      <w:pPr>
        <w:pStyle w:val="Heading3"/>
      </w:pPr>
      <w:bookmarkStart w:id="40" w:name="_Toc261446160"/>
      <w:r>
        <w:t>5.12.9</w:t>
      </w:r>
      <w:r>
        <w:tab/>
        <w:t>Sales of Unforced Capacity by System Resources</w:t>
      </w:r>
      <w:bookmarkEnd w:id="40"/>
    </w:p>
    <w:p w:rsidR="002F692C" w:rsidRDefault="00964A5E">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w:t>
      </w:r>
      <w:r>
        <w:t xml:space="preserve">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w:t>
      </w:r>
      <w:r>
        <w:t>llowed to supply the amount of Unforced Capacity that the ISO determines pursuant to the ISO Procedures to reflect the appropriate Equivalent Demand Forced Outage Rate.  Installed Capacity Suppliers offering to sell the Unforced Capacity associated with Sy</w:t>
      </w:r>
      <w:r>
        <w:t>stem Resources may only aggregate Resources in acco</w:t>
      </w:r>
      <w:r>
        <w:rPr>
          <w:rStyle w:val="FooterChar"/>
        </w:rPr>
        <w:t>rdance with the ISO Procedures.</w:t>
      </w:r>
    </w:p>
    <w:p w:rsidR="002F692C" w:rsidRDefault="00964A5E">
      <w:pPr>
        <w:pStyle w:val="Heading3"/>
      </w:pPr>
      <w:bookmarkStart w:id="41" w:name="_Toc261446161"/>
      <w:r>
        <w:t>5.12.10</w:t>
      </w:r>
      <w:r>
        <w:tab/>
        <w:t>Curtailment of External Transactions In-Hour</w:t>
      </w:r>
      <w:bookmarkEnd w:id="41"/>
    </w:p>
    <w:p w:rsidR="002F692C" w:rsidRDefault="00964A5E">
      <w:pPr>
        <w:pStyle w:val="Bodypara"/>
      </w:pPr>
      <w:r>
        <w:t>All Unforced Capacity that is not out of service, or scheduled to serve the Internal NYCA Load in the Day-Ahead Market m</w:t>
      </w:r>
      <w:r>
        <w:t xml:space="preserve">ay be scheduled to supply Energy for use in External Transactions provided, however, that such External Transactions shall be subject to Curtailment within the hour, consistent with ISO Procedures.  Such Curtailment shall not exceed the Installed Capacity </w:t>
      </w:r>
      <w:r>
        <w:t>Equivalent committed to the NYCA.</w:t>
      </w:r>
    </w:p>
    <w:p w:rsidR="002F692C" w:rsidRDefault="00964A5E">
      <w:pPr>
        <w:pStyle w:val="Heading3"/>
      </w:pPr>
      <w:bookmarkStart w:id="42" w:name="_Toc261446162"/>
      <w:r>
        <w:t>5.12.11</w:t>
      </w:r>
      <w:r>
        <w:tab/>
        <w:t>Responsible Interface Parties, Municipally-Owned Generation, Energy Limited Resources, Intermittent Power Resources</w:t>
      </w:r>
      <w:bookmarkEnd w:id="42"/>
      <w:r>
        <w:t>, and Installed Capacity Suppliers with Energy Duration Limitations</w:t>
      </w:r>
    </w:p>
    <w:p w:rsidR="002F692C" w:rsidRDefault="00964A5E">
      <w:pPr>
        <w:pStyle w:val="Heading4"/>
      </w:pPr>
      <w:bookmarkStart w:id="43" w:name="_Toc261446163"/>
      <w:r>
        <w:t xml:space="preserve">5.12.11.1  </w:t>
      </w:r>
      <w:r>
        <w:tab/>
      </w:r>
      <w:bookmarkEnd w:id="43"/>
      <w:r>
        <w:t>Responsible Interfa</w:t>
      </w:r>
      <w:r>
        <w:t>ce Parties</w:t>
      </w:r>
    </w:p>
    <w:p w:rsidR="002F692C" w:rsidRDefault="00964A5E">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w:t>
      </w:r>
      <w:r>
        <w:t xml:space="preserve"> available to operate at the direction of the ISO in order to reduce Load from the NYS Transmission System and/or the distribution system for a minimum of four (4) consecutive hours each day, following notice of the potential need to operate twenty-one (21</w:t>
      </w:r>
      <w:r>
        <w:t>) hours in advance if notification is provided by 3:00 P.M. ET, or twenty-four (24) hours in advance otherwise, and a notification to operate two (2) hours ahead.  Special Case Resources will be considered to have a four (4) hour Energy Duration Limitation</w:t>
      </w:r>
      <w:r>
        <w:t xml:space="preserve"> to align with their obligation.  In order for a Responsible Interface Party to enroll an SCR that uses an eligible Local Generator, any amount of generation that can reduce Load from the NYS Transmission System and/or distribution system at the direction </w:t>
      </w:r>
      <w:r>
        <w:t>of the ISO that was produced by the Local Generator during the hour coincident with the NYCA or Locality peaks, upon which the LSE Unforced Capacity Obligation of the LSE that serves that SCR is based, must be accounted for when the LSE’s Unforced Capacity</w:t>
      </w:r>
      <w:r>
        <w:t xml:space="preserve"> Obligation for the upcoming Capability Year is established.  Responsible Interface Parties must provide this generator data in accordance with ISO Procedures so that the ISO can adjust upwards the LSE Unforced Capacity Obligation to prevent double-countin</w:t>
      </w:r>
      <w:r>
        <w:t xml:space="preserve">g.   </w:t>
      </w:r>
    </w:p>
    <w:p w:rsidR="002F692C" w:rsidRDefault="00964A5E">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w:t>
      </w:r>
      <w:r>
        <w:t>ay participate as a Special Case Resource and in the Emergency Demand Response Program provided that the same MWs are not committed both as Unforced Capacity and to the Emergency Demand Response Program.</w:t>
      </w:r>
    </w:p>
    <w:p w:rsidR="002F692C" w:rsidRDefault="00964A5E">
      <w:pPr>
        <w:pStyle w:val="Bodypara"/>
      </w:pPr>
      <w:r>
        <w:t xml:space="preserve">The ISO will </w:t>
      </w:r>
      <w:r>
        <w:rPr>
          <w:rFonts w:eastAsia="Times New Roman"/>
          <w:snapToGrid w:val="0"/>
          <w:szCs w:val="20"/>
        </w:rPr>
        <w:t>have</w:t>
      </w:r>
      <w:r>
        <w:t xml:space="preserve"> discretion, pursuant to ISO Proced</w:t>
      </w:r>
      <w:r>
        <w:t>ures, to exempt Local Generators that are incapable of starting in two (2) hours from the requirement to operate on two (2) hours notification.  Local Generators that can be operated to reduce Load from the NYS Transmission System and/or distribution syste</w:t>
      </w:r>
      <w:r>
        <w:t xml:space="preserv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w:t>
      </w:r>
      <w:r>
        <w:t xml:space="preserve"> available.  </w:t>
      </w:r>
    </w:p>
    <w:p w:rsidR="002F692C" w:rsidRDefault="00964A5E">
      <w:pPr>
        <w:pStyle w:val="Bodypara"/>
      </w:pPr>
      <w:r>
        <w:t>Responsible Interface Parties must submit a Minimum Payment Nomination, in accordance with ISO Procedures.  The ISO may request Special Case Resource performance from less than the total number of Special Case Resources within the NYCA or a L</w:t>
      </w:r>
      <w:r>
        <w:t xml:space="preserve">oad Zone in accordance with </w:t>
      </w:r>
      <w:r>
        <w:rPr>
          <w:rFonts w:eastAsia="Times New Roman"/>
          <w:snapToGrid w:val="0"/>
          <w:szCs w:val="20"/>
        </w:rPr>
        <w:t>ISO</w:t>
      </w:r>
      <w:r>
        <w:t xml:space="preserve"> Procedures.</w:t>
      </w:r>
    </w:p>
    <w:p w:rsidR="002F692C" w:rsidRDefault="00964A5E">
      <w:pPr>
        <w:pStyle w:val="Bodypara"/>
      </w:pPr>
      <w:r>
        <w:t>Special Case Resources with Local Generators that can be operated to reduce Load from the NYS Transmission System and/or distribution system at the direction of the ISO and Special Case Resources with Loads capab</w:t>
      </w:r>
      <w:r>
        <w:t xml:space="preserve">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w:t>
      </w:r>
      <w:r>
        <w:t xml:space="preserve"> DMNC or sustained disconnect, as appropriate, unless agreed to by the customer, except that Special Case Resources not called to supply Energy in a Capability Period will be required to run a test once every Capability Period in accordance with the ISO Pr</w:t>
      </w:r>
      <w:r>
        <w:t>ocedures.</w:t>
      </w:r>
    </w:p>
    <w:p w:rsidR="002F692C" w:rsidRDefault="00964A5E">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w:t>
      </w:r>
      <w:r>
        <w:t>ply with the ISO notification requirements for Special Case Resources.  LSEs and Installed Capacity Marketers may become Responsible Interface Parties and aggregate Special Case Resources and sell the Unforced Capacity associated with them in an ISO-admini</w:t>
      </w:r>
      <w:r>
        <w:t>stered auction if they comply with ISO notification requirements for Special Case Resources.</w:t>
      </w:r>
    </w:p>
    <w:p w:rsidR="002F692C" w:rsidRDefault="00964A5E">
      <w:pPr>
        <w:pStyle w:val="Bodypara"/>
      </w:pPr>
      <w:r>
        <w:t>Responsible Interface Parties that were requested to reduce Load in any month shall submit performance data to the NYISO, within 75 days of each called event or te</w:t>
      </w:r>
      <w:r>
        <w:t xml:space="preserv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Resources for purposes o</w:t>
      </w:r>
      <w:r>
        <w:t>f satisfying the Special Case Resource’s capacity obligation as well as for determining energy payments.  All performance data are subject to audit by the NYISO and its market monitoring unit.  If the ISO determines that it has made an erroneous payment to</w:t>
      </w:r>
      <w:r>
        <w:t xml:space="preserve"> a Responsible Interface Party, the ISO shall have the right to recover it either by reducing other payments to that Responsible Interface Parties or by resolving the issue pursuant to other provisions of this Services Tariff or other lawful means. </w:t>
      </w:r>
    </w:p>
    <w:p w:rsidR="002F692C" w:rsidRDefault="00964A5E">
      <w:pPr>
        <w:pStyle w:val="Bodypara"/>
      </w:pPr>
      <w:r>
        <w:t>Provid</w:t>
      </w:r>
      <w:r>
        <w:t>ed the Responsible Interface Party supplies evidence of such reductions in 75 days, the ISO shall pay the Responsible Interface Party  that, through their Special Case Resources,  caused a verified Load reduction in response to (i) an ISO request to perfor</w:t>
      </w:r>
      <w:r>
        <w:t xml:space="preserve">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w:t>
      </w:r>
      <w:r>
        <w:t xml:space="preserve">ISO, for such Load reduction, in accordance with ISO Procedures.  Subject to performance evidence and verification, in the case of a response pursuant to clauses (i), (ii), of (iii) of this subsection, Suppliers that schedule Responsible Interface Parties </w:t>
      </w:r>
      <w:r>
        <w:t>shall be paid the zonal Real-Time LBMP for the period of requested performance or four (4) hours, whichever is greater, in accordance with ISO Procedures; provided, however, Special Case Resource Capacity shall settle Demand Reductions, in the interval and</w:t>
      </w:r>
      <w:r>
        <w:t xml:space="preserve">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2F692C" w:rsidRDefault="00964A5E">
      <w:pPr>
        <w:pStyle w:val="Bodypara"/>
      </w:pPr>
      <w:r>
        <w:t xml:space="preserve">In the event that a </w:t>
      </w:r>
      <w:r>
        <w:t xml:space="preserve">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w:t>
      </w:r>
      <w:r>
        <w:t>ill be eligible for a Bid Production Cost Guarantee to make up the difference, in accordance with Section 4.23 of this Services Tariff and ISO Procedures; provided, however, the ISO shall set to zero the Minimum Payment Nomination for Special Case Resource</w:t>
      </w:r>
      <w:r>
        <w:t xml:space="preserve"> Capacity in each interval in which such Capacity was scheduled Day-Ahead to provide Operating Reserves, Regulation Service or Energy.  Subject to performance evidence and verification, in the case of a response pursuant to clause (iv) of this subsection, </w:t>
      </w:r>
      <w:r>
        <w:t xml:space="preserve">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2F692C" w:rsidRDefault="00964A5E">
      <w:pPr>
        <w:pStyle w:val="Bodypara"/>
      </w:pPr>
      <w:r>
        <w:t>Transmission Owners that require assistance from enrolled Special Case Resources with Local Generators lar</w:t>
      </w:r>
      <w:r>
        <w:t xml:space="preserve">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w:t>
      </w:r>
      <w:r>
        <w:t xml:space="preserve"> terms of this section.  Within Load Zone J, participation in response to an ISO request to perform made as a result of a request for assistance from a Transmission Owner for less than the total number of Special Case Resources, for Load relief purposes or</w:t>
      </w:r>
      <w:r>
        <w:t xml:space="preserve"> as a result of a Local Reliability Rule, in accordance with ISO Procedures, shall be voluntary and the responsiveness of the Special Case Resource shall not be taken into account for performance measurement.</w:t>
      </w:r>
    </w:p>
    <w:p w:rsidR="002F692C" w:rsidRDefault="00964A5E">
      <w:pPr>
        <w:pStyle w:val="subhead"/>
      </w:pPr>
      <w:r>
        <w:t>5.12.11.1.1</w:t>
      </w:r>
      <w:r>
        <w:tab/>
        <w:t>Special Case Resource Average Coinc</w:t>
      </w:r>
      <w:r>
        <w:t xml:space="preserve">ident Load </w:t>
      </w:r>
    </w:p>
    <w:p w:rsidR="002F692C" w:rsidRDefault="00964A5E">
      <w:pPr>
        <w:pStyle w:val="Bodypara"/>
      </w:pPr>
      <w:r>
        <w:t>The ISO must receive from the Responsible Interface Party that enrolls a Special Case Resource, the applicable metered Load data required to calculate an ACL for that SCR as provided below and in accordance with ISO Procedures.  The ACL shall b</w:t>
      </w:r>
      <w:r>
        <w:t>e computed using the metered Load for the applicable Capability Period SCR Load Zone Peak Hours that indicates the Load consumed by each SCR that is supplied by the NYS Transmission System and/or distribution system and is exclusive of any generation produ</w:t>
      </w:r>
      <w:r>
        <w:t xml:space="preserve">ced by a Local Generator, other behind-the-meter generator, or other supply </w:t>
      </w:r>
      <w:r>
        <w:rPr>
          <w:rFonts w:eastAsia="Times New Roman"/>
          <w:snapToGrid w:val="0"/>
          <w:szCs w:val="20"/>
        </w:rPr>
        <w:t>source</w:t>
      </w:r>
      <w:r>
        <w:t xml:space="preserve"> located behind the SCR’s meter, that served some of the SCR’s Load.  </w:t>
      </w:r>
    </w:p>
    <w:p w:rsidR="002F692C" w:rsidRDefault="00964A5E">
      <w:pPr>
        <w:pStyle w:val="Bodypara"/>
      </w:pPr>
      <w:r>
        <w:t xml:space="preserve">Beginning with the Winter 2011-2012 Capability Period and thereafter, the ISO shall use the average of </w:t>
      </w:r>
      <w:r>
        <w:t>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w:t>
      </w:r>
      <w:r>
        <w:t>on in a Transmission Owner’s demand response program in hours coincident with any of these hours, to create a SCR ACL baseline.  In addition, beginning with the Summer 2014 Capability Period, the resource’s verified Load reduction in either of the ISO’s ec</w:t>
      </w:r>
      <w:r>
        <w:t>onomic demand response programs (the Day Ahead Demand Response Program and the Demand Side Ancillary Services Program) in hours coincident with any of the applicable Capability Period SCR Load Zone Peak Hours will be taken into account when creating the SC</w:t>
      </w:r>
      <w:r>
        <w:t xml:space="preserve">R ACL.  For the Day Ahead Demand Response Program, the verified Load reduction that occurred in response to a DADRP schedule shall be added to the Capability Period SCR Load Zone Peak Hour for which the reduction in response to a DADRP schedule occurred.  </w:t>
      </w:r>
      <w:r>
        <w:t>For the Demand Side Ancillary Services Program, the Load value to be used in calculating the ACL for each hour during the Capability Period SCR Load Zone Peak Hours in which a non-zero Base Point Signal the ISO provides to the resource, shall be the greate</w:t>
      </w:r>
      <w:r>
        <w:t>r of (a) the DSASP Baseline MW value in the interval immediately preceding the first non-zero Base Point Signal in the Capability Period SCR Load Zone Peak Hour and (b) the metered Load of the resource as reported by the RIP for the Capability Period SCR L</w:t>
      </w:r>
      <w:r>
        <w:t>oad Zone Peak Hour.  When the non-zero Base Point Signal dispatch of a DSASP resource begins in one hour and continues into consecutive hours, and the consecutive hour is identified as being a Capability Period SCR Load Zone Peak Hour, the DSASP Baseline M</w:t>
      </w:r>
      <w:r>
        <w:t>W value in effect at the beginning of the dispatch of the non-zero Base Point Signal shall be the MW value used for purposes of determining the applicable Load value for that Capability Period SCR Load Zone Peak Hour, in accordance with the preceding sente</w:t>
      </w:r>
      <w:r>
        <w:t xml:space="preserve">nce.  The ISO will post to its website the Capability Period SCR Load Zone Peak Hours for each zone ninety (90) days prior to the beginning of the Capability Period for which the ACL will be in effect. </w:t>
      </w:r>
    </w:p>
    <w:p w:rsidR="002F692C" w:rsidRDefault="00964A5E">
      <w:pPr>
        <w:pStyle w:val="Bodypara"/>
      </w:pPr>
      <w:r>
        <w:t xml:space="preserve">In the SCR </w:t>
      </w:r>
      <w:r>
        <w:rPr>
          <w:rFonts w:eastAsia="Times New Roman"/>
          <w:snapToGrid w:val="0"/>
          <w:szCs w:val="20"/>
        </w:rPr>
        <w:t>enrollment</w:t>
      </w:r>
      <w:r>
        <w:t xml:space="preserve"> file uploaded by the RIP each m</w:t>
      </w:r>
      <w:r>
        <w:t xml:space="preserve">onth within the Capability Period, among other required information, the RIP shall provide the SCR’s metered Load values for the applicable Capability Period SCR Load Zone Peak Hours necessary to compute the ACL for each SCR. </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w:t>
      </w:r>
      <w:r>
        <w:rPr>
          <w:rFonts w:ascii="Times New Roman" w:hAnsi="Times New Roman"/>
          <w:sz w:val="24"/>
          <w:szCs w:val="24"/>
        </w:rPr>
        <w:t>ment to report the required metered Load data for the ACL, when enrolling a SCR prior to the Summer 2014 Capability Period, is if (i) the SCR has not previously been enrolled with the ISO and (ii) never had interval metering Load data for each month in the</w:t>
      </w:r>
      <w:r>
        <w:rPr>
          <w:rFonts w:ascii="Times New Roman" w:hAnsi="Times New Roman"/>
          <w:sz w:val="24"/>
          <w:szCs w:val="24"/>
        </w:rPr>
        <w:t xml:space="preserve"> Prior Equivalent Capability Period needed to compute the SCR’s ACL.  Beginning with the Summer 2014 Capability Period, the exception to this requirement to report the required metered Load data for the ACL, is dependent upon one or more of the eligibility</w:t>
      </w:r>
      <w:r>
        <w:rPr>
          <w:rFonts w:ascii="Times New Roman" w:hAnsi="Times New Roman"/>
          <w:sz w:val="24"/>
          <w:szCs w:val="24"/>
        </w:rPr>
        <w:t xml:space="preserve"> conditions for SCR enrollment with a Provisional ACL provided in Section 5.12.11.1.2 of this Services Tariff and ISO Procedures.  For SCRs that meet the criteria to enroll with a Provisional ACL, the ISO must receive from the RIP a Provisional ACL as prov</w:t>
      </w:r>
      <w:r>
        <w:rPr>
          <w:rFonts w:ascii="Times New Roman" w:hAnsi="Times New Roman"/>
          <w:sz w:val="24"/>
          <w:szCs w:val="24"/>
        </w:rPr>
        <w:t xml:space="preserve">ided in Section 5.12.11.1.2 of this Services Tariff and in accordance with ISO Procedures. </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w:t>
      </w:r>
      <w:r>
        <w:rPr>
          <w:rFonts w:ascii="Times New Roman" w:hAnsi="Times New Roman"/>
          <w:sz w:val="24"/>
          <w:szCs w:val="24"/>
        </w:rPr>
        <w:t>ty Period SCR Load Zone Peak Hours, in accordance with this Services Tariff and ISO Procedures during the enrollment process, any qualifying increase in a SCR’s Load that will be supplied by the NYS Transmission System and/or distribution system may be rep</w:t>
      </w:r>
      <w:r>
        <w:rPr>
          <w:rFonts w:ascii="Times New Roman" w:hAnsi="Times New Roman"/>
          <w:sz w:val="24"/>
          <w:szCs w:val="24"/>
        </w:rPr>
        <w:t>orted as an Incremental ACL, subject to the limitations and verification reporting requirements provided in Section 5.12.11.1.5 of this Services Tariff and in accordance with ISO Procedures.  Incremental ACL values must be reported using the required enrol</w:t>
      </w:r>
      <w:r>
        <w:rPr>
          <w:rFonts w:ascii="Times New Roman" w:hAnsi="Times New Roman"/>
          <w:sz w:val="24"/>
          <w:szCs w:val="24"/>
        </w:rPr>
        <w:t>lment file that may be uploaded by the RIP during each month’s enrollment period.  RIPs may not report Incremental ACL values for any SCRs that are enrolled in the Capability Period with a Provisional ACL.</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w:t>
      </w:r>
      <w:r>
        <w:rPr>
          <w:rFonts w:ascii="Times New Roman" w:hAnsi="Times New Roman"/>
          <w:sz w:val="24"/>
          <w:szCs w:val="24"/>
        </w:rPr>
        <w:t>e NYS Transmission System and/or distribution system and meets the criteria for a SCR Change of Status must be reported as a SCR Change of Status as provided by Section 5.12.11.1.3 of this Services Tariff and in accordance with ISO Procedures.</w:t>
      </w:r>
    </w:p>
    <w:p w:rsidR="002F692C" w:rsidRDefault="00964A5E">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w:t>
      </w:r>
      <w:r>
        <w:t>it of ICAP for a SCR that has experienced a SCR Change of Status or reported an Incremental ACL shall be the Net ACL.</w:t>
      </w:r>
    </w:p>
    <w:p w:rsidR="002F692C" w:rsidRDefault="00964A5E">
      <w:pPr>
        <w:pStyle w:val="Heading4"/>
      </w:pPr>
      <w:r>
        <w:t>5.12.11.1.2</w:t>
      </w:r>
      <w:r>
        <w:tab/>
        <w:t xml:space="preserve">Use of a Provisional Average Coincident Load </w:t>
      </w:r>
    </w:p>
    <w:p w:rsidR="002F692C" w:rsidRDefault="00964A5E">
      <w:pPr>
        <w:pStyle w:val="Bodypara"/>
      </w:pPr>
      <w:r>
        <w:rPr>
          <w:bCs/>
        </w:rPr>
        <w:t xml:space="preserve">Prior to the Summer 2014 Capability Period, </w:t>
      </w:r>
      <w:r>
        <w:t>as provided in Section 5.12.11.1.1 o</w:t>
      </w:r>
      <w:r>
        <w:t>f this Services Tariff, if a new Special Case Resource has not previously been enrolled with the ISO and never had interval billing meter data from the Prior Equivalent Capability Period, its Installed Capacity value shall be its Provisional Average Coinci</w:t>
      </w:r>
      <w:r>
        <w:t xml:space="preserve">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2F692C" w:rsidRDefault="00964A5E">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2F692C" w:rsidRDefault="00964A5E">
      <w:pPr>
        <w:pStyle w:val="Bodypara"/>
      </w:pPr>
      <w:r>
        <w:t>The Provisional ACL is the RIP’s forecast of the SCR’</w:t>
      </w:r>
      <w:r>
        <w:t>s ACL and shall be the basis for the upper limit of ICAP for which the RIP may enroll the SCR during the Capability Period.</w:t>
      </w:r>
    </w:p>
    <w:p w:rsidR="002F692C" w:rsidRDefault="00964A5E">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In addition, beginning with the Summer 2014 Capability Period, the resource’s verified L</w:t>
      </w:r>
      <w:r>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t>taken into account when creating the SCR Verified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Verified ACL for each hour during the Capability Period SCR Load Zone Peak Hours in which a non-zero Base Point Sig</w:t>
      </w:r>
      <w:r>
        <w:t>nal the ISO provides to the resource, shall be the greater of (a) the DSASP Baseline MW value in the interval immediately preceding the first non-zero Base Point Signal in the Capability Period SCR Load Zone Peak Hour and (b) the metered Load of the resour</w:t>
      </w:r>
      <w:r>
        <w:t>ce as reported by the RIP for the Capability Period SCR Load Zone Peak Hour.  When the non-zero Base Point Signal dispatch of a DSASP resource begins in one hour and continues into consecutive hours, and the consecutive hour is identified as being a Capabi</w:t>
      </w:r>
      <w:r>
        <w:t>lity Period SCR Load Zone Peak Hour, the DSASP Baseline MW value in effect at the beginning of the dispatch of the non-zero Base Point Signal shall be the MW value used for purposes of determining the applicable Load value for that Capability Period SCR Lo</w:t>
      </w:r>
      <w:r>
        <w:t>ad Zone Peak Hour, in accordance with the preceding sentence.</w:t>
      </w:r>
    </w:p>
    <w:p w:rsidR="002F692C" w:rsidRDefault="00964A5E">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w:t>
      </w:r>
      <w:r>
        <w:t>rce.  The ISO shall compare the Provisional ACL to the Verified ACL  to determine, after applying the applicable performance factor, whether the UCAP of the SCR had been oversold and whether a shortfall has occurred as provided under Section 5.14.2 of this</w:t>
      </w:r>
      <w:r>
        <w:t xml:space="preserve"> Services Tariff.  If the RIP fails to provide verification data required to compute the Verified ACL of the resource enrolled with a Provisional ACL by the deadline: (a) the Verified ACL of the resource shall be set to zero for each Capability Period in w</w:t>
      </w:r>
      <w:r>
        <w:t xml:space="preserve">hich the resource with a Provisional ACL was enrolled and verification data was not reported, and (b) the RIP may be subject to penalties in accordance with this Services Tariff.  </w:t>
      </w:r>
    </w:p>
    <w:p w:rsidR="002F692C" w:rsidRDefault="00964A5E">
      <w:pPr>
        <w:pStyle w:val="Heading4"/>
      </w:pPr>
      <w:r>
        <w:t>5.12.11.1.3</w:t>
      </w:r>
      <w:r>
        <w:tab/>
        <w:t xml:space="preserve">Reporting a </w:t>
      </w:r>
      <w:r>
        <w:rPr>
          <w:szCs w:val="24"/>
        </w:rPr>
        <w:t xml:space="preserve">SCR Change of Load or </w:t>
      </w:r>
      <w:r>
        <w:t xml:space="preserve">SCR Change of Status </w:t>
      </w:r>
    </w:p>
    <w:p w:rsidR="002F692C" w:rsidRDefault="00964A5E">
      <w:pPr>
        <w:pStyle w:val="Heading4"/>
      </w:pPr>
      <w:r>
        <w:t>5.12.11</w:t>
      </w:r>
      <w:r>
        <w:t xml:space="preserve">.1.3.1 </w:t>
      </w:r>
      <w:r>
        <w:tab/>
        <w:t>SCR Change of Load</w:t>
      </w:r>
    </w:p>
    <w:p w:rsidR="002F692C" w:rsidRDefault="00964A5E">
      <w:pPr>
        <w:pStyle w:val="Bodypara"/>
      </w:pPr>
      <w:r>
        <w:t>The Responsible Interface Party shall report any SCR Change of Load in accordance with ISO Procedures.  The RIP is required to document the SCR Change of Load and when the total Load reduction for SCRs that have a SCR Change of L</w:t>
      </w:r>
      <w:r>
        <w:t xml:space="preserve">oad within the same Load Zone is greater than or equal to 5 MWs, the RIP shall report the SCR Change of Load for each SCR in accordance with ISO Procedures. </w:t>
      </w:r>
    </w:p>
    <w:p w:rsidR="002F692C" w:rsidRDefault="00964A5E">
      <w:pPr>
        <w:pStyle w:val="Heading4"/>
      </w:pPr>
      <w:r>
        <w:t xml:space="preserve">5.12.11.1.3.2 </w:t>
      </w:r>
      <w:r>
        <w:tab/>
        <w:t>SCR Change of Status</w:t>
      </w:r>
    </w:p>
    <w:p w:rsidR="002F692C" w:rsidRDefault="00964A5E">
      <w:pPr>
        <w:pStyle w:val="Bodypara"/>
      </w:pPr>
      <w:r>
        <w:t>The Responsible Interface Party shall report any SCR Change of</w:t>
      </w:r>
      <w:r>
        <w:t xml:space="preserve"> Status in accordance with ISO Procedures.  The ISO shall adjust the reported ACL of the SCR for a reported SCR Change of Status to the Net ACL, for all prospective months to which the SCR Change of Status is applicable.  When a SCR Change of Status is rep</w:t>
      </w:r>
      <w:r>
        <w:t>orted under clause (i), (ii) or (iii) within the definition of a Qualified Change of Status Condition and the SCR has sold capacity, the SCR shall be evaluated for a potential shortfall under Section 5.14.2 of this Services Tariff.  Failure by the RIP to r</w:t>
      </w:r>
      <w:r>
        <w:t>eport a SCR Change of Status shall be evaluated as a potential shortfall under Section 5.14.2 of this Service Tariff and evaluated for failure to report under Section 5.12.12.2 of this Services Tariff.</w:t>
      </w:r>
    </w:p>
    <w:p w:rsidR="002F692C" w:rsidRDefault="00964A5E">
      <w:pPr>
        <w:pStyle w:val="Bodypara"/>
      </w:pPr>
      <w:r>
        <w:t>Beginning with the Summer 2014 Capability Period, SCRs</w:t>
      </w:r>
      <w:r>
        <w:t xml:space="preserve"> that were required to perform in the first performance test in the Capability Period in accordance with ISO Procedures and that subsequently report or change a reported SCR Change of Status value after the first performance test in the Capability Period s</w:t>
      </w:r>
      <w:r>
        <w:t>hall be required to demonstrate the performance of the resource against the Net ACL value in the second performance test in the Capability Period.  The exceptions to this provision occur when a SCR’s eligible Installed Capacity is set to zero throughout th</w:t>
      </w:r>
      <w:r>
        <w:t>e period of the SCR Change of Status, when a SCR’s eligible Installed Capacity is decreased by at least the same kW value as the reported SCR Change of Status, or if a SCR Change of Status is reported, and prior to the second performance test, the SCR retu</w:t>
      </w:r>
      <w:r>
        <w:t>rns to the full applicable ACL enrolled prior to the SCR Change of Status.  Performance in both performance tests shall be used in calculation of the resource’s performance factors and all associated performance factors, deficiencies and penalties.  If the</w:t>
      </w:r>
      <w:r>
        <w:t xml:space="preserve"> RIP fails to report the performance for a resource that was required to perform in the second performance test in the Capability Period: (a) the resource will be assigned a performance of zero (0) for the test hour, and (b) the RIP shall be evaluated for </w:t>
      </w:r>
      <w:r>
        <w:t>failure to report under Section 5.12.12.2 of this Services Tariff.</w:t>
      </w:r>
    </w:p>
    <w:p w:rsidR="002F692C" w:rsidRDefault="00964A5E">
      <w:pPr>
        <w:pStyle w:val="Heading4"/>
      </w:pPr>
      <w:r>
        <w:t>5.12.11.1.4</w:t>
      </w:r>
      <w:r>
        <w:tab/>
        <w:t>Average Coincident Load of an SCR Aggregation</w:t>
      </w:r>
    </w:p>
    <w:p w:rsidR="002F692C" w:rsidRDefault="00964A5E">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2F692C" w:rsidRDefault="00964A5E">
      <w:pPr>
        <w:pStyle w:val="Heading4"/>
      </w:pPr>
      <w:r>
        <w:t xml:space="preserve">5.12.11.1.5 </w:t>
      </w:r>
      <w:r>
        <w:tab/>
      </w:r>
      <w:r>
        <w:t>Use of an Incremental Average Coincident Load</w:t>
      </w:r>
    </w:p>
    <w:p w:rsidR="002F692C" w:rsidRDefault="00964A5E">
      <w:pPr>
        <w:pStyle w:val="Bodypara"/>
      </w:pPr>
      <w:r>
        <w:t xml:space="preserve">Beginning with the Summer 2014 Capability Period, a Responsible Interface Party may report any qualifying increase to a Special Case Resource’s Average Coincident Load as Incremental Average Coincident Load in </w:t>
      </w:r>
      <w:r>
        <w:t xml:space="preserve">the RIP enrollment file upload and in accordance with this Services Tariff and ISO Procedures. </w:t>
      </w:r>
    </w:p>
    <w:p w:rsidR="002F692C" w:rsidRDefault="00964A5E">
      <w:pPr>
        <w:pStyle w:val="Bodypara"/>
      </w:pPr>
      <w:r>
        <w:t>For SCRs with a total Load increase equal to or greater than twenty (20) percent and less than thirty (30) percent of the applicable ACL, the RIP may enroll the</w:t>
      </w:r>
      <w:r>
        <w:t xml:space="preserve"> SCR with an Incremental ACL provided that the eligible Installed Capacity does not increase from the prior enrollment months within the same Capability Period and prior to enrollment with an Incremental ACL.  If the SCR is enrolled with an Incremental ACL</w:t>
      </w:r>
      <w:r>
        <w:t xml:space="preserve"> and it is the first month of the SCR’s enrollment in the applicable Capability Period, the enrolled eligible Installed Capacity value shall not exceed the maximum eligible Installed Capacity of the SCR from the Prior Equivalent Capability Period.  When no</w:t>
      </w:r>
      <w:r>
        <w:t xml:space="preserve"> enrollment exists for the SCR in the Prior Equivalent Capability Period and it is the first month of the SCR’s enrollment in the applicable Capability Period, the enrolled eligible Installed Capacity of the SCR shall not exceed the ACL calculated from the</w:t>
      </w:r>
      <w:r>
        <w:t xml:space="preserve"> Capability Period SCR Load Zone Peak Hours.  For SCRs with a total Load increase equal to or greater than thirty (30) percent of the applicable ACL, the RIP may enroll the SCR with an Incremental ACL and an increase to the SCR’s eligible Installed Capacit</w:t>
      </w:r>
      <w:r>
        <w:t>y and is required to test as described in this section of the Service Tariff.</w:t>
      </w:r>
    </w:p>
    <w:p w:rsidR="002F692C" w:rsidRDefault="00964A5E">
      <w:pPr>
        <w:pStyle w:val="Bodypara"/>
      </w:pPr>
      <w:r>
        <w:t>The ISO shall adjust the ACL of the SCR for an Incremental ACL for all months for which the Incremental ACL is reported by the RIP.  For resources reporting an Incremental ACL, the Net ACL shall equal the enrolled ACL plus the reported Incremental ACL less</w:t>
      </w:r>
      <w:r>
        <w:t xml:space="preserve"> any applicable SCR Change of Status and shall be the basis for the upper limit of ICAP for which the RIP may enroll the SCR during the Capability Period.   </w:t>
      </w:r>
    </w:p>
    <w:p w:rsidR="002F692C" w:rsidRDefault="00964A5E">
      <w:pPr>
        <w:pStyle w:val="Bodypara"/>
      </w:pPr>
      <w:r>
        <w:t>An Incremental ACL is a discrete change to the SCR operations that is expected to result in an inc</w:t>
      </w:r>
      <w:r>
        <w:t xml:space="preserve">rease to the Load that the SCR will consume from the NYS Transmission System and/or distribution system.  It is not available to account for random fluctuations in Load, such as those caused by weather or other seasonal Load variations. Therefore, the ACL </w:t>
      </w:r>
      <w:r>
        <w:t>of a SCR may only be increased once per Capability Period and the amount of the increase enrolled must remain the same for all months for which the Incremental ACL is reported.  A SCR enrolled in the Capability Period with an Incremental ACL may not be enr</w:t>
      </w:r>
      <w:r>
        <w:t>olled by another RIP for the remainder of the Capability Period.  A SCR enrolled in the Capability Period with a Provisional ACL is not eligible to enroll with an Incremental ACL.</w:t>
      </w:r>
    </w:p>
    <w:p w:rsidR="002F692C" w:rsidRDefault="00964A5E">
      <w:pPr>
        <w:pStyle w:val="Bodypara"/>
      </w:pPr>
      <w:r>
        <w:t>Following the Capability Period for which a SCR has been enrolled with an In</w:t>
      </w:r>
      <w:r>
        <w:t>cremental ACL, the RIP shall provide the hourly metered Load verification data that corresponds to the Monthly SCR Load Zone Peak Hours identified by the ISO for all months in which an Incremental ACL value was reported for the SCR.  For each month for whi</w:t>
      </w:r>
      <w:r>
        <w:t>ch verification data was required to be reported, the ISO shall calculate a Monthly ACL that will be used in the calculation of a Verified ACL.  The Monthly ACL shall equal the average of the SCR’s top twenty (20) one-hour metered Load values that correspo</w:t>
      </w:r>
      <w:r>
        <w:t>nd with the applicable Monthly SCR Load Zone Peak Hours, and taking into account (i) the resource’s reported verified Load reduction in a Transmission Owner’s demand response program in hours coincident with any of these hours and (ii) the resource’s verif</w:t>
      </w:r>
      <w:r>
        <w:t xml:space="preserve">ied Load reduction in either of the ISO’s economic demand response programs (the Day Ahead Demand Response Program and the Demand Side Ancillary Services Program) in hours coincident with any of these hours.  For the Day Ahead Demand Response Program, the </w:t>
      </w:r>
      <w:r>
        <w:t>verified Load reduction that occurred in response to a DADRP schedule shall be added to the Monthly SCR Load Zone Peak Hour for which the reduction in response to a DADRP schedule occurred.  For the Demand Side Ancillary Services Program, the Load value to</w:t>
      </w:r>
      <w:r>
        <w:t xml:space="preserve"> be used in calculating the Monthly ACL for each hour during the Monthly SCR Load Zone Peak Hours in which a non-zero Base Point Signal the ISO provides to the resource, shall be the greater of (a) the DSASP Baseline MW value in the interval immediately pr</w:t>
      </w:r>
      <w:r>
        <w:t>eceding the first non-zero Base Point Signal in the Monthly SCR Load Zone Peak Hour and (b) the metered Load of the resource as reported by the RIP for the Monthly SCR Load Zone Peak Hour.  When the non-zero Base Point Signal dispatch of a DSASP resource b</w:t>
      </w:r>
      <w:r>
        <w:t>egins in one hour and continues into consecutive hours, and the consecutive hour is identified as being a Monthly SCR Load Zone Peak Hour, the DSASP Baseline MW value in effect at the beginning of the dispatch of the non-zero Base Point Signal shall be the</w:t>
      </w:r>
      <w:r>
        <w:t xml:space="preserve"> MW value used for purposes of determining the applicable Load value for that Monthly SCR Load Zone Peak Hour, in accordance with the preceding sentence.  The Verified ACL shall be the average of the two (2) highest Monthly ACLs during the Capability Perio</w:t>
      </w:r>
      <w:r>
        <w:t xml:space="preserve">d in which the SCR was enrolled with an Incremental ACL within the same Capability Period. </w:t>
      </w:r>
    </w:p>
    <w:p w:rsidR="002F692C" w:rsidRDefault="00964A5E">
      <w:pPr>
        <w:pStyle w:val="Bodypara"/>
      </w:pPr>
      <w:r>
        <w:t>For any month in which verification data for the Incremental ACL is required but not timely submitted to the ISO in accordance with ISO procedures, the ISO shall se</w:t>
      </w:r>
      <w:r>
        <w:t xml:space="preserve">t the metered Load values to zero.  When a Monthly ACL is set to zero, the Verified ACL will be calculated as the average of: a) the two (2) highest Monthly ACLs during the Capability Period in which the SCR was enrolled with an Incremental ACL within the </w:t>
      </w:r>
      <w:r>
        <w:t xml:space="preserve">same Capability Period; plus b) the Monthly ACLs for all months in which the SCR was enrolled within the same Capability Period with an Incremental ACL in the Capability Period in which the RIP failed to provide the minimum verification data required.  In </w:t>
      </w:r>
      <w:r>
        <w:t>addition, a RIP may be subject to a penalty for each month for which verification data was required and not reported in accordance with this Services Tariff.</w:t>
      </w:r>
    </w:p>
    <w:p w:rsidR="002F692C" w:rsidRDefault="00964A5E">
      <w:pPr>
        <w:pStyle w:val="Bodypara"/>
      </w:pPr>
      <w:r>
        <w:t>For each SCR that is enrolled with an Incremental ACL, the ISO shall compare the Net ACL calculate</w:t>
      </w:r>
      <w:r>
        <w:t xml:space="preserve">d from the resource enrollment (ACL plus Incremental ACL less any applicable SCR Change of Status) to the Verified ACL calculated for the SCR to determine if the RIP’s use of an Incremental ACL may have resulted in a shortfall pursuant to Section 5.14.2.  </w:t>
      </w:r>
    </w:p>
    <w:p w:rsidR="002F692C" w:rsidRDefault="00964A5E">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 that t</w:t>
      </w:r>
      <w:r>
        <w:t>he SCR is eligible to sell, shall be required to demonstrate performance against the maximum amount of eligible Installed Capacity reported for the SCR in the second performance test in the Capability Period.  Performance in this test shall be measured fro</w:t>
      </w:r>
      <w:r>
        <w:t xml:space="preserve">m the Net ACL.  Performance in both performance tests shall be used in calculation of the resource’s performance factor and all associated performance factors, deficiencies and penalties.  If the RIP fails to report the performance for a resource that was </w:t>
      </w:r>
      <w:r>
        <w:t>required to perform in the second performance test in the Capability Period: (a) the resource will be assigned a performance of zero (0) for the test hour, and (b) the RIP shall be evaluated for failure to report under Section 5.12.12.2 of this Services Ta</w:t>
      </w:r>
      <w:r>
        <w:t>riff.</w:t>
      </w:r>
    </w:p>
    <w:p w:rsidR="002F692C" w:rsidRDefault="00964A5E">
      <w:pPr>
        <w:pStyle w:val="Heading4"/>
      </w:pPr>
      <w:bookmarkStart w:id="44" w:name="_Toc261446164"/>
      <w:r>
        <w:t>5.12.11.2</w:t>
      </w:r>
      <w:r>
        <w:tab/>
        <w:t>Existing Municipally-Owned Generation</w:t>
      </w:r>
      <w:bookmarkEnd w:id="44"/>
    </w:p>
    <w:p w:rsidR="002F692C" w:rsidRDefault="00964A5E">
      <w:pPr>
        <w:pStyle w:val="Bodypara"/>
      </w:pPr>
      <w:r>
        <w:t>A municipal utility that owns existing generation in excess of its Unforced Capacity requirement, net of NYPA-provided Capacity may, consistent with the deliverability requirements set forth in Attachme</w:t>
      </w:r>
      <w:r>
        <w:t>nt X and Attachment S to the ISO OATT, offer the excess Capacity for sale as Installed Capacity provided that it is willing to operate the generation at the ISO’s request, and provided that the Energy produced is deliverable to the New York State Power Sys</w:t>
      </w:r>
      <w:r>
        <w:t>tem.  Such a municipal utility shall not be required to comply with the requirement of Section 5.12.7 of this Tariff that an Installed Capacity Supplier bid into the Energy market or enter into Bilateral Transactions.  Municipal utilities shall, however, b</w:t>
      </w:r>
      <w:r>
        <w:t>e required to submit their typical physical operating parameters, such as their start-up times, to the ISO.  This subsection is only applicable to municipally-owned generation in service or under construction as of December 31, 1999.</w:t>
      </w:r>
    </w:p>
    <w:p w:rsidR="002F692C" w:rsidRDefault="00964A5E">
      <w:pPr>
        <w:pStyle w:val="Heading4"/>
      </w:pPr>
      <w:bookmarkStart w:id="45" w:name="_Toc261446165"/>
      <w:r>
        <w:t>5.12.11.3</w:t>
      </w:r>
      <w:r>
        <w:tab/>
        <w:t xml:space="preserve">Energy </w:t>
      </w:r>
      <w:r>
        <w:t>Limited Resources</w:t>
      </w:r>
      <w:bookmarkEnd w:id="45"/>
    </w:p>
    <w:p w:rsidR="002F692C" w:rsidRDefault="00964A5E">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w:t>
      </w:r>
      <w:r>
        <w:t xml:space="preserve">y-Ahead Market each day and if it is able to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per</w:t>
      </w:r>
      <w:r>
        <w:t xml:space="preserve">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w:t>
      </w:r>
      <w:r>
        <w:t xml:space="preserve">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2F692C" w:rsidRDefault="00964A5E">
      <w:pPr>
        <w:pStyle w:val="Heading4"/>
      </w:pPr>
      <w:bookmarkStart w:id="46" w:name="_Toc261446166"/>
      <w:r>
        <w:t>5.12.11.4</w:t>
      </w:r>
      <w:r>
        <w:tab/>
        <w:t>Intermittent Power Resources</w:t>
      </w:r>
      <w:bookmarkEnd w:id="46"/>
    </w:p>
    <w:p w:rsidR="002F692C" w:rsidRDefault="00964A5E">
      <w:pPr>
        <w:pStyle w:val="Bodypara"/>
      </w:pPr>
      <w:r>
        <w:t>Intermittent Power Reso</w:t>
      </w:r>
      <w:r>
        <w:t>urces that depend upon wind or solar as their fuel may qualify as Installed Capacity Suppliers, without having to comply with the daily bidding and scheduling requirements set forth in Section 5.12.7 of this Tariff, and may, consistent with the deliverabil</w:t>
      </w:r>
      <w:r>
        <w:t xml:space="preserve">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w:t>
      </w:r>
      <w:r>
        <w:t xml:space="preserve">ction 5.12.1 and the outage notification requirements of 5.12.7 of this Tariff.  </w:t>
      </w:r>
    </w:p>
    <w:p w:rsidR="002F692C" w:rsidRDefault="00964A5E">
      <w:pPr>
        <w:pStyle w:val="Heading4"/>
      </w:pPr>
      <w:r>
        <w:t xml:space="preserve">5.12.11.5 </w:t>
      </w:r>
      <w:r>
        <w:tab/>
        <w:t xml:space="preserve">Installed Capacity Suppliers with an Energy Duration Limitation </w:t>
      </w:r>
    </w:p>
    <w:p w:rsidR="002F692C" w:rsidRDefault="00964A5E">
      <w:pPr>
        <w:pStyle w:val="Bodypara"/>
      </w:pPr>
      <w:r>
        <w:t>A Resource with an Energy Duration Limitation may, consistent with the deliverability requirements</w:t>
      </w:r>
      <w:r>
        <w:t xml:space="preserve"> set forth in Attachment X and Attachment S to the ISO OATT, qualify as an Installed Capacity Supplier with an Energy Duration Limitation if it Bids its Installed Capacity Equivalent into the Day-Ahead Market each day and if it is able to provide the Energ</w:t>
      </w:r>
      <w:r>
        <w:t xml:space="preserve">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w:t>
      </w:r>
      <w:r>
        <w:rPr>
          <w:iCs/>
        </w:rPr>
        <w:t>y Upper Operating Limit, as applicable,</w:t>
      </w:r>
      <w:r>
        <w:t xml:space="preserve"> designating </w:t>
      </w:r>
      <w:r>
        <w:rPr>
          <w:iCs/>
        </w:rPr>
        <w:t xml:space="preserve">their </w:t>
      </w:r>
      <w:r>
        <w:t>desired operating limits.  Installed Capacity Suppliers with an Energy Duration Limitation that are not scheduled in the Day-Ahead Market to operate at a level above their bid-in upper operating lim</w:t>
      </w:r>
      <w:r>
        <w:t xml:space="preserve">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2F692C" w:rsidRDefault="00964A5E">
      <w:pPr>
        <w:pStyle w:val="Heading3"/>
      </w:pPr>
      <w:bookmarkStart w:id="47" w:name="_Toc261446167"/>
      <w:r>
        <w:t>5.12.1</w:t>
      </w:r>
      <w:r>
        <w:t>2</w:t>
      </w:r>
      <w:r>
        <w:tab/>
        <w:t>Sanctions Applicable to Installed Capacity Suppliers and Transmission Owners</w:t>
      </w:r>
      <w:bookmarkEnd w:id="47"/>
    </w:p>
    <w:p w:rsidR="002F692C" w:rsidRDefault="00964A5E">
      <w:pPr>
        <w:pStyle w:val="Bodypara"/>
      </w:pPr>
      <w:r>
        <w:t>Pursuant to this section, the ISO may impose financial sanctions on Installed Capacity Suppliers and Transmission Owners that fail to comply with certain provisions of this Tari</w:t>
      </w:r>
      <w:r>
        <w:t xml:space="preserve">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w:t>
      </w:r>
      <w:r>
        <w:t>d be subject to a lesser sanction.  The ISO may impose a sanction lower than the maximum amounts allowed by this section at its sole discretion.  Installed Capacity Suppliers and Transmission Owners may challenge any sanction imposed by the ISO pursuant to</w:t>
      </w:r>
      <w:r>
        <w:t xml:space="preserve"> the ISO Dispute Resolution Procedures.</w:t>
      </w:r>
    </w:p>
    <w:p w:rsidR="002F692C" w:rsidRDefault="00964A5E">
      <w:pPr>
        <w:pStyle w:val="Bodypara"/>
      </w:pPr>
      <w:r>
        <w:t>Any sanctions collected by the ISO pursuant to this section will be applied to reduce the Rate Schedule 1 charge under this Tariff.</w:t>
      </w:r>
    </w:p>
    <w:p w:rsidR="002F692C" w:rsidRDefault="00964A5E">
      <w:pPr>
        <w:pStyle w:val="Heading4"/>
      </w:pPr>
      <w:bookmarkStart w:id="48" w:name="_Toc261446168"/>
      <w:r>
        <w:t>5.12.12.1</w:t>
      </w:r>
      <w:r>
        <w:tab/>
        <w:t>Sanctions for Failing to Provide Required Information</w:t>
      </w:r>
      <w:bookmarkEnd w:id="48"/>
    </w:p>
    <w:p w:rsidR="002F692C" w:rsidRDefault="00964A5E">
      <w:pPr>
        <w:pStyle w:val="Bodypara"/>
      </w:pPr>
      <w:r>
        <w:t xml:space="preserve">If (i) an Installed </w:t>
      </w:r>
      <w:r>
        <w:t>Capacity Supplier fails to provide the information required by Sections 5.12.1.1, 5.12.1.2, 5.12.1.3, 5.12.1.4, 5.12.1.7 or 5.12.1.8 of this Tariff in a timely fashion, or (ii) a Supplier of Unforced Capacity from External System Resources located in an Ex</w:t>
      </w:r>
      <w:r>
        <w:t xml:space="preserve">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w:t>
      </w:r>
      <w:r>
        <w:t>rmation required for certification as an Installed Capacity Supplier established in the ISO Procedures, the ISO may take the following actions:  On the first day that required information is late, the ISO shall notify the Installed Capacity Supplier that r</w:t>
      </w:r>
      <w:r>
        <w:t>equired information is past due and that it reserves the right to impose financial sanctions if the information is not provided by the end of the following day.  Starting on the third day that the required information is late, the ISO may impose a daily fi</w:t>
      </w:r>
      <w:r>
        <w:t xml:space="preserve">nancial sanction of up to the higher of $500 or $5 per MW of Installed Capacity that the Generator, System Resource, or Control Area System Resource in question is capable of providing.  Starting on the tenth day that the required information is late, the </w:t>
      </w:r>
      <w:r>
        <w:t>ISO may impose a daily financial sanction of up to the higher of $1000 or $10 per MW of Installed Capacity that the Generator, System Resource, or Control Area System Resource in question is capable of providing.</w:t>
      </w:r>
    </w:p>
    <w:p w:rsidR="002F692C" w:rsidRDefault="00964A5E">
      <w:pPr>
        <w:pStyle w:val="Bodypara"/>
      </w:pPr>
      <w:r>
        <w:t xml:space="preserve">If an Installed Capacity Supplier fails to </w:t>
      </w:r>
      <w:r>
        <w:t>provide the information required by Subsection 5.12.1.5 of this Tariff in a timely fashion, the ISO may take the following actions:  On the first calendar day that required information is late, the ISO shall notify the Installed Capacity Supplier that requ</w:t>
      </w:r>
      <w:r>
        <w:t xml:space="preserve">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w:t>
      </w:r>
      <w:r>
        <w:t>se a daily financial sanction up to the higher of $500 or $5 per MW of Installed Capacity that the Generator, System Resource, or Control Area System Resource in question is capable of providing.</w:t>
      </w:r>
    </w:p>
    <w:p w:rsidR="002F692C" w:rsidRDefault="00964A5E">
      <w:pPr>
        <w:pStyle w:val="Bodypara"/>
      </w:pPr>
      <w:r>
        <w:t>If a TO fails to provide the information required by Subsect</w:t>
      </w:r>
      <w:r>
        <w:t xml:space="preserve">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day that required info</w:t>
      </w:r>
      <w:r>
        <w:t>rmation is late, the ISO may impose a daily financial sanction up to $10,000.</w:t>
      </w:r>
    </w:p>
    <w:p w:rsidR="002F692C" w:rsidRDefault="00964A5E">
      <w:pPr>
        <w:pStyle w:val="Heading4"/>
      </w:pPr>
      <w:bookmarkStart w:id="49" w:name="_Toc261446169"/>
      <w:r>
        <w:t>5.12.12.2</w:t>
      </w:r>
      <w:r>
        <w:tab/>
        <w:t>Sanctions for Failing to Comply with Scheduling, Bidding, and Notification Requirements</w:t>
      </w:r>
      <w:bookmarkEnd w:id="49"/>
    </w:p>
    <w:p w:rsidR="002F692C" w:rsidRDefault="00964A5E">
      <w:pPr>
        <w:pStyle w:val="Bodypara"/>
      </w:pPr>
      <w:r>
        <w:t>On any day in which an Installed Capacity Supplier fails to comply with the sche</w:t>
      </w:r>
      <w:r>
        <w:t>duling, bidding, or notification requirements of Sections 5.12.1.6 or 5.12.1.10, or with Section 5.12.7 of this Tariff, or in which a Supplier of Installed Capacity from External System Resources or Control Area System Resources located in an External Cont</w:t>
      </w:r>
      <w:r>
        <w:t xml:space="preserve">rol Area that has agreed not to Curtail the Energy associated with such Installed Capacity, or to afford it the same Curtailment priority that it affords its own Control Area Load, fails to comply with scheduling, bidding, or notification requirements for </w:t>
      </w:r>
      <w:r>
        <w:t xml:space="preserve">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w:t>
      </w:r>
      <w:r>
        <w:t>that the Installed Capacity Supplier failed to schedule or Bid in any hour in that day provided, however, that no financial sanction shall apply to any Installed Capacity Supplier who demonstrates that the Energy it schedules, bids, or declares to be unava</w:t>
      </w:r>
      <w:r>
        <w:t xml:space="preserve">ilable on any day is not less than the Installed Capacity that it supplies for that day rounded down to the nearest 0.1 MW, or rounded down to the nearest whole MW for an External Installed Capacity Supplier.  For Installed Capacity Suppliers that have an </w:t>
      </w:r>
      <w:r>
        <w:t>Energy Duration Limitation, the deficiency charge will be pro-rated on a daily basis only taking into account hours during the Peak Load Window corresponding with the Resource’s Energy Duration Limitation obligation, excluding Energy Storage Resources whic</w:t>
      </w:r>
      <w:r>
        <w:t>h will be evaluated over all hours during the Peak Load Window, and the maximum number of MWs that the Installed Capacity Supplier with an Energy Duration Limitation failed to schedule or Bid in any hour in the Peak Load Window of that day provided, howeve</w:t>
      </w:r>
      <w:r>
        <w:t>r, that no financial sanction shall apply to any Installed Capacity Supplier that demonstrates that the Energy it schedules, bids, or declares to be unavailable on any day is not less than the Installed Capacity that it supplies for that day rounded down t</w:t>
      </w:r>
      <w:r>
        <w:t>o the nearest 0.1 MW.  The deficiency charge may be up to one and one-half times the applicable Market-Clearing Price of Unforced Capacity determined in the ICAP Spot Market Auction corresponding to where the Installed Capacity Supplier’s capacity cleared,</w:t>
      </w:r>
      <w:r>
        <w:t xml:space="preserve"> and for each month in which the Installed Capacity Supplier is determined not to have complied with the foregoing requirements.</w:t>
      </w:r>
    </w:p>
    <w:p w:rsidR="002F692C" w:rsidRDefault="00964A5E">
      <w:pPr>
        <w:pStyle w:val="Bodypara"/>
      </w:pPr>
      <w:r>
        <w:t xml:space="preserve">In addition, if any Installed Capacity Supplier fails to comply with the scheduling, bidding, or notification requirements of </w:t>
      </w:r>
      <w:r>
        <w:rPr>
          <w:rFonts w:eastAsia="Times New Roman"/>
          <w:snapToGrid w:val="0"/>
          <w:szCs w:val="20"/>
        </w:rPr>
        <w:t>S</w:t>
      </w:r>
      <w:r>
        <w:rPr>
          <w:rFonts w:eastAsia="Times New Roman"/>
          <w:snapToGrid w:val="0"/>
          <w:szCs w:val="20"/>
        </w:rPr>
        <w:t>ections</w:t>
      </w:r>
      <w:r>
        <w:t xml:space="preserve"> 5.12.1.6 or 5.12.1.10, or with Section 5.12.7 of this Tariff, or if an Installed Capacity Supplier of Unforced Capacity from an External Control Aria fails to comply with the scheduling, bidding, or notification requirements for certification as an</w:t>
      </w:r>
      <w:r>
        <w:t xml:space="preserve"> Installed Capacity Supplier established in the ISO Procedures, during an hour in which the ISO curtails Exports associated with NYCA Installed Capacity Suppliers consistent with Section 5.12.10 of this Tariff and with ISO Procedures, then the ISO may impo</w:t>
      </w:r>
      <w:r>
        <w:t>se an additional financial sanction equal to the product of the number of MWs the Installed Capacity Supplier failed to schedule during that hour and the corresponding Real-Time LBMP at the applicable Proxy Generator Bus.</w:t>
      </w:r>
    </w:p>
    <w:p w:rsidR="002F692C" w:rsidRDefault="00964A5E">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fails to comply with Section 5.12.1.10 of this Tariff, the Installed Capac</w:t>
      </w:r>
      <w:r>
        <w:rPr>
          <w:spacing w:val="-1"/>
        </w:rPr>
        <w:t xml:space="preserve">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Procurement Period:</w:t>
      </w:r>
    </w:p>
    <w:p w:rsidR="002F692C" w:rsidRDefault="00964A5E">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2F692C" w:rsidRDefault="00964A5E">
      <w:pPr>
        <w:pStyle w:val="BodyText"/>
        <w:spacing w:before="240" w:line="480" w:lineRule="auto"/>
        <w:ind w:left="101" w:right="115" w:firstLine="619"/>
      </w:pPr>
      <w:r>
        <w:t>Where:</w:t>
      </w:r>
    </w:p>
    <w:p w:rsidR="002F692C" w:rsidRDefault="00964A5E">
      <w:pPr>
        <w:pStyle w:val="BodyText"/>
        <w:spacing w:before="69" w:line="480" w:lineRule="auto"/>
        <w:ind w:left="1620" w:right="121" w:hanging="720"/>
      </w:pPr>
      <w:r>
        <w:t>N = total number of hours of SRE calls during the relevant Obligation Procurement Period</w:t>
      </w:r>
    </w:p>
    <w:p w:rsidR="002F692C" w:rsidRDefault="00964A5E">
      <w:pPr>
        <w:pStyle w:val="BodyText"/>
        <w:spacing w:before="69" w:line="480" w:lineRule="auto"/>
        <w:ind w:left="1620" w:right="121" w:hanging="720"/>
      </w:pPr>
      <w:r>
        <w:t xml:space="preserve">PRICE = </w:t>
      </w:r>
      <w:r>
        <w:rPr>
          <w:spacing w:val="-1"/>
        </w:rPr>
        <w:t xml:space="preserve">ICAP Spot Market Auction clearing price for the </w:t>
      </w:r>
      <w:r>
        <w:t>relevant Oblig</w:t>
      </w:r>
      <w:r>
        <w:t>ation Procurement Period</w:t>
      </w:r>
    </w:p>
    <w:p w:rsidR="002F692C" w:rsidRDefault="00964A5E">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w:t>
      </w:r>
      <w:r>
        <w:t>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w:t>
      </w:r>
      <w:r>
        <w:t>ternal Installed Capacity Supplier that 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w:t>
      </w:r>
      <w:r>
        <w:t>ol</w:t>
      </w:r>
      <w:r>
        <w:rPr>
          <w:spacing w:val="-1"/>
        </w:rPr>
        <w:t>, and (y) any MWh that were Bid as Imports to the NYCA at the appropriate Proxy Generator Bus at a price that was designed to ensure the Import was scheduled to the greatest extent possible, but that were not scheduled by the ISO</w:t>
      </w:r>
    </w:p>
    <w:p w:rsidR="002F692C" w:rsidRDefault="00964A5E">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2F692C" w:rsidRDefault="00964A5E">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w:t>
      </w:r>
      <w:r>
        <w:rPr>
          <w:rFonts w:ascii="Times New Roman" w:hAnsi="Times New Roman"/>
          <w:sz w:val="24"/>
          <w:szCs w:val="24"/>
        </w:rPr>
        <w:t xml:space="preserve"> this Services Tariff and ISO Procedures, the ISO may impose an additional financial sanction resulting from the failure of the RIP to report the required performance of the SCR against the Net ACL value of the SCR when the SCR was required to perform in t</w:t>
      </w:r>
      <w:r>
        <w:rPr>
          <w:rFonts w:ascii="Times New Roman" w:hAnsi="Times New Roman"/>
          <w:sz w:val="24"/>
          <w:szCs w:val="24"/>
        </w:rPr>
        <w:t>he second performance test in the Capability Period in accordance with Section 5.12.11.1.3.2 of this Services Tariff.  This sanction shall be the value of the Unforced Capacity equivalent of the SCR Change of Status MW reported for the SCR during the month</w:t>
      </w:r>
      <w:r>
        <w:rPr>
          <w:rFonts w:ascii="Times New Roman" w:hAnsi="Times New Roman"/>
          <w:sz w:val="24"/>
          <w:szCs w:val="24"/>
        </w:rPr>
        <w:t>s for which the SCR was enrolled with a SCR Change of Status and was required to demonstrate in the second performance test as specified in Section 5.12.11.1.3.2 of this Services Tariff, multiplied by up to one and one-half times the applicable Market-Clea</w:t>
      </w:r>
      <w:r>
        <w:rPr>
          <w:rFonts w:ascii="Times New Roman" w:hAnsi="Times New Roman"/>
          <w:sz w:val="24"/>
          <w:szCs w:val="24"/>
        </w:rPr>
        <w:t>ring Price of Unforced Capacity determined in the ICAP Spot Market Auction for each such month.</w:t>
      </w:r>
    </w:p>
    <w:p w:rsidR="002F692C" w:rsidRDefault="00964A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w:t>
      </w:r>
      <w:r>
        <w:rPr>
          <w:rFonts w:ascii="Times New Roman" w:hAnsi="Times New Roman"/>
          <w:sz w:val="24"/>
          <w:szCs w:val="24"/>
        </w:rPr>
        <w:t>d Change of Status Condition, and the ISO determines that a SCR Change of Status occurred within a Capability Period, the ISO may impose a financial sanction equal to the difference, if positive, between the enrolled ACL and the maximum one hour metered Lo</w:t>
      </w:r>
      <w:r>
        <w:rPr>
          <w:rFonts w:ascii="Times New Roman" w:hAnsi="Times New Roman"/>
          <w:sz w:val="24"/>
          <w:szCs w:val="24"/>
        </w:rPr>
        <w:t>ad for the month multiplied by up to one-half times the applicable Market-Clearing Price of Unforced Capacity determined in the ICAP Spot Market Auction for each month the Installed Capacity Supplier is deemed to have a shortfall in addition to the corresp</w:t>
      </w:r>
      <w:r>
        <w:rPr>
          <w:rFonts w:ascii="Times New Roman" w:hAnsi="Times New Roman"/>
          <w:sz w:val="24"/>
          <w:szCs w:val="24"/>
        </w:rPr>
        <w:t xml:space="preserve">onding shortfall penalty as provided in Section 5.14.2. </w:t>
      </w:r>
    </w:p>
    <w:p w:rsidR="002F692C" w:rsidRDefault="00964A5E">
      <w:pPr>
        <w:pStyle w:val="Bodypara"/>
      </w:pPr>
      <w:r>
        <w:t>For each month in which a RIP fails to report required verification data and the applicable ACL value is set to zero in accordance with Section 5.12.11 of this Services Tariff, the ISO shall have the</w:t>
      </w:r>
      <w:r>
        <w:t xml:space="preserve"> right to recover any energy payments made to the RIP for performance of the SCR by reducing other payments or other lawful means. </w:t>
      </w:r>
    </w:p>
    <w:p w:rsidR="002F692C" w:rsidRDefault="00964A5E">
      <w:pPr>
        <w:pStyle w:val="Heading3"/>
      </w:pPr>
      <w:r>
        <w:t>5.12.14</w:t>
      </w:r>
      <w:r>
        <w:tab/>
        <w:t>Energy Duration Limitations and Duration Adjustment Factors for Installed Capacity Suppliers</w:t>
      </w:r>
    </w:p>
    <w:p w:rsidR="002F692C" w:rsidRDefault="00964A5E">
      <w:pPr>
        <w:pStyle w:val="Bodypara"/>
      </w:pPr>
      <w:r>
        <w:t>Starting with the Capab</w:t>
      </w:r>
      <w:r>
        <w:t>ility Year that begins on May 1, 2021, Resources with a limited run-time that meet the Energy Duration Limitations identified in the tables below may qualify to participate as Installed Capacity Suppliers.  Resources with a limited run-time must elect an E</w:t>
      </w:r>
      <w:r>
        <w:t>nergy Duration Limitation that is less than or equal to the Resource’s ability to demonstrate sustained output at its qualified MW amount.  Resources that do not have an Energy Duration Limitation will have a Duration Adjustment Factor of 100%.  The Adjust</w:t>
      </w:r>
      <w:r>
        <w:t>ed Installed Capacity for an Installed Capacity Supplier shall be calculated using the applicable Energy Duration Limitations and Duration Adjustment Factors, and in accordance with ISO Procedures, starting with the 2021/2022 Capability Year, as determined</w:t>
      </w:r>
      <w:r>
        <w:t xml:space="preserve"> by the MW count of incremental penetration of Resources with Energy Duration Limitations as listed below:</w:t>
      </w:r>
    </w:p>
    <w:p w:rsidR="002F692C" w:rsidRDefault="00964A5E">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2F692C">
        <w:tc>
          <w:tcPr>
            <w:tcW w:w="9350" w:type="dxa"/>
            <w:gridSpan w:val="2"/>
          </w:tcPr>
          <w:p w:rsidR="002F692C" w:rsidRDefault="00964A5E">
            <w:pPr>
              <w:pStyle w:val="Normal0"/>
              <w:spacing w:line="480" w:lineRule="auto"/>
              <w:jc w:val="center"/>
            </w:pPr>
            <w:r>
              <w:t>Incremental Penetration of Resources with Energy Duration Limitations is less than 1000 MW</w:t>
            </w:r>
          </w:p>
        </w:tc>
      </w:tr>
      <w:tr w:rsidR="002F692C">
        <w:tc>
          <w:tcPr>
            <w:tcW w:w="4675" w:type="dxa"/>
          </w:tcPr>
          <w:p w:rsidR="002F692C" w:rsidRDefault="00964A5E">
            <w:pPr>
              <w:pStyle w:val="Normal0"/>
              <w:spacing w:line="480" w:lineRule="auto"/>
              <w:jc w:val="center"/>
            </w:pPr>
            <w:r>
              <w:t>Energy Duration Limitations (hours)</w:t>
            </w:r>
          </w:p>
        </w:tc>
        <w:tc>
          <w:tcPr>
            <w:tcW w:w="4675" w:type="dxa"/>
          </w:tcPr>
          <w:p w:rsidR="002F692C" w:rsidRDefault="00964A5E">
            <w:pPr>
              <w:pStyle w:val="Normal0"/>
              <w:spacing w:line="480" w:lineRule="auto"/>
              <w:jc w:val="center"/>
            </w:pPr>
            <w:r>
              <w:t>Duration Adj</w:t>
            </w:r>
            <w:r>
              <w:t>ustment Factor (%)</w:t>
            </w:r>
          </w:p>
        </w:tc>
      </w:tr>
      <w:tr w:rsidR="002F692C">
        <w:tc>
          <w:tcPr>
            <w:tcW w:w="4675" w:type="dxa"/>
          </w:tcPr>
          <w:p w:rsidR="002F692C" w:rsidRDefault="00964A5E">
            <w:pPr>
              <w:pStyle w:val="Normal0"/>
              <w:spacing w:line="480" w:lineRule="auto"/>
              <w:jc w:val="center"/>
            </w:pPr>
            <w:r>
              <w:t>8</w:t>
            </w:r>
          </w:p>
        </w:tc>
        <w:tc>
          <w:tcPr>
            <w:tcW w:w="4675" w:type="dxa"/>
          </w:tcPr>
          <w:p w:rsidR="002F692C" w:rsidRDefault="00964A5E">
            <w:pPr>
              <w:pStyle w:val="Normal0"/>
              <w:spacing w:line="480" w:lineRule="auto"/>
              <w:jc w:val="center"/>
            </w:pPr>
            <w:r>
              <w:t>100</w:t>
            </w:r>
          </w:p>
        </w:tc>
      </w:tr>
      <w:tr w:rsidR="002F692C">
        <w:tc>
          <w:tcPr>
            <w:tcW w:w="4675" w:type="dxa"/>
          </w:tcPr>
          <w:p w:rsidR="002F692C" w:rsidRDefault="00964A5E">
            <w:pPr>
              <w:pStyle w:val="Normal0"/>
              <w:spacing w:line="480" w:lineRule="auto"/>
              <w:jc w:val="center"/>
            </w:pPr>
            <w:r>
              <w:t>6</w:t>
            </w:r>
          </w:p>
        </w:tc>
        <w:tc>
          <w:tcPr>
            <w:tcW w:w="4675" w:type="dxa"/>
          </w:tcPr>
          <w:p w:rsidR="002F692C" w:rsidRDefault="00964A5E">
            <w:pPr>
              <w:pStyle w:val="Normal0"/>
              <w:spacing w:line="480" w:lineRule="auto"/>
              <w:jc w:val="center"/>
            </w:pPr>
            <w:r>
              <w:t>100</w:t>
            </w:r>
          </w:p>
        </w:tc>
      </w:tr>
      <w:tr w:rsidR="002F692C">
        <w:tc>
          <w:tcPr>
            <w:tcW w:w="4675" w:type="dxa"/>
          </w:tcPr>
          <w:p w:rsidR="002F692C" w:rsidRDefault="00964A5E">
            <w:pPr>
              <w:pStyle w:val="Normal0"/>
              <w:spacing w:line="480" w:lineRule="auto"/>
              <w:jc w:val="center"/>
            </w:pPr>
            <w:r>
              <w:t>4</w:t>
            </w:r>
          </w:p>
        </w:tc>
        <w:tc>
          <w:tcPr>
            <w:tcW w:w="4675" w:type="dxa"/>
          </w:tcPr>
          <w:p w:rsidR="002F692C" w:rsidRDefault="00964A5E">
            <w:pPr>
              <w:pStyle w:val="Normal0"/>
              <w:spacing w:line="480" w:lineRule="auto"/>
              <w:jc w:val="center"/>
            </w:pPr>
            <w:r>
              <w:t>90</w:t>
            </w:r>
          </w:p>
        </w:tc>
      </w:tr>
      <w:tr w:rsidR="002F692C">
        <w:tc>
          <w:tcPr>
            <w:tcW w:w="4675" w:type="dxa"/>
          </w:tcPr>
          <w:p w:rsidR="002F692C" w:rsidRDefault="00964A5E">
            <w:pPr>
              <w:pStyle w:val="Normal0"/>
              <w:spacing w:line="480" w:lineRule="auto"/>
              <w:jc w:val="center"/>
            </w:pPr>
            <w:r>
              <w:t>2</w:t>
            </w:r>
          </w:p>
        </w:tc>
        <w:tc>
          <w:tcPr>
            <w:tcW w:w="4675" w:type="dxa"/>
          </w:tcPr>
          <w:p w:rsidR="002F692C" w:rsidRDefault="00964A5E">
            <w:pPr>
              <w:pStyle w:val="Normal0"/>
              <w:spacing w:line="480" w:lineRule="auto"/>
              <w:jc w:val="center"/>
            </w:pPr>
            <w:r>
              <w:t>45</w:t>
            </w:r>
          </w:p>
        </w:tc>
      </w:tr>
    </w:tbl>
    <w:p w:rsidR="002F692C" w:rsidRDefault="002F692C">
      <w:pPr>
        <w:pStyle w:val="Normal0"/>
        <w:spacing w:line="480" w:lineRule="auto"/>
      </w:pPr>
    </w:p>
    <w:p w:rsidR="002F692C" w:rsidRDefault="00964A5E">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2F692C">
        <w:tc>
          <w:tcPr>
            <w:tcW w:w="9350" w:type="dxa"/>
            <w:gridSpan w:val="2"/>
          </w:tcPr>
          <w:p w:rsidR="002F692C" w:rsidRDefault="00964A5E">
            <w:pPr>
              <w:pStyle w:val="Normal0"/>
              <w:spacing w:line="480" w:lineRule="auto"/>
              <w:jc w:val="center"/>
            </w:pPr>
            <w:r>
              <w:t xml:space="preserve">Incremental Penetration of Resources with Energy Duration Limitations 1000 MW and above </w:t>
            </w:r>
          </w:p>
        </w:tc>
      </w:tr>
      <w:tr w:rsidR="002F692C">
        <w:tc>
          <w:tcPr>
            <w:tcW w:w="4675" w:type="dxa"/>
          </w:tcPr>
          <w:p w:rsidR="002F692C" w:rsidRDefault="00964A5E">
            <w:pPr>
              <w:pStyle w:val="Normal0"/>
              <w:spacing w:line="480" w:lineRule="auto"/>
              <w:jc w:val="center"/>
            </w:pPr>
            <w:r>
              <w:t>Energy Duration Limitations (hours)</w:t>
            </w:r>
          </w:p>
        </w:tc>
        <w:tc>
          <w:tcPr>
            <w:tcW w:w="4675" w:type="dxa"/>
          </w:tcPr>
          <w:p w:rsidR="002F692C" w:rsidRDefault="00964A5E">
            <w:pPr>
              <w:pStyle w:val="Normal0"/>
              <w:spacing w:line="480" w:lineRule="auto"/>
              <w:jc w:val="center"/>
            </w:pPr>
            <w:r>
              <w:t>Duration Adjustment Factor (%)</w:t>
            </w:r>
          </w:p>
        </w:tc>
      </w:tr>
      <w:tr w:rsidR="002F692C">
        <w:tc>
          <w:tcPr>
            <w:tcW w:w="4675" w:type="dxa"/>
          </w:tcPr>
          <w:p w:rsidR="002F692C" w:rsidRDefault="00964A5E">
            <w:pPr>
              <w:pStyle w:val="Normal0"/>
              <w:spacing w:line="480" w:lineRule="auto"/>
              <w:jc w:val="center"/>
            </w:pPr>
            <w:r>
              <w:t>8</w:t>
            </w:r>
          </w:p>
        </w:tc>
        <w:tc>
          <w:tcPr>
            <w:tcW w:w="4675" w:type="dxa"/>
          </w:tcPr>
          <w:p w:rsidR="002F692C" w:rsidRDefault="00964A5E">
            <w:pPr>
              <w:pStyle w:val="Normal0"/>
              <w:spacing w:line="480" w:lineRule="auto"/>
              <w:jc w:val="center"/>
            </w:pPr>
            <w:r>
              <w:t>100</w:t>
            </w:r>
          </w:p>
        </w:tc>
      </w:tr>
      <w:tr w:rsidR="002F692C">
        <w:tc>
          <w:tcPr>
            <w:tcW w:w="4675" w:type="dxa"/>
          </w:tcPr>
          <w:p w:rsidR="002F692C" w:rsidRDefault="00964A5E">
            <w:pPr>
              <w:pStyle w:val="Normal0"/>
              <w:spacing w:line="480" w:lineRule="auto"/>
              <w:jc w:val="center"/>
            </w:pPr>
            <w:r>
              <w:t>6</w:t>
            </w:r>
          </w:p>
        </w:tc>
        <w:tc>
          <w:tcPr>
            <w:tcW w:w="4675" w:type="dxa"/>
          </w:tcPr>
          <w:p w:rsidR="002F692C" w:rsidRDefault="00964A5E">
            <w:pPr>
              <w:pStyle w:val="Normal0"/>
              <w:spacing w:line="480" w:lineRule="auto"/>
              <w:jc w:val="center"/>
            </w:pPr>
            <w:r>
              <w:t>90</w:t>
            </w:r>
          </w:p>
        </w:tc>
      </w:tr>
      <w:tr w:rsidR="002F692C">
        <w:tc>
          <w:tcPr>
            <w:tcW w:w="4675" w:type="dxa"/>
          </w:tcPr>
          <w:p w:rsidR="002F692C" w:rsidRDefault="00964A5E">
            <w:pPr>
              <w:pStyle w:val="Normal0"/>
              <w:spacing w:line="480" w:lineRule="auto"/>
              <w:jc w:val="center"/>
            </w:pPr>
            <w:r>
              <w:t>4</w:t>
            </w:r>
          </w:p>
        </w:tc>
        <w:tc>
          <w:tcPr>
            <w:tcW w:w="4675" w:type="dxa"/>
          </w:tcPr>
          <w:p w:rsidR="002F692C" w:rsidRDefault="00964A5E">
            <w:pPr>
              <w:pStyle w:val="Normal0"/>
              <w:spacing w:line="480" w:lineRule="auto"/>
              <w:jc w:val="center"/>
            </w:pPr>
            <w:r>
              <w:t>75</w:t>
            </w:r>
          </w:p>
        </w:tc>
      </w:tr>
      <w:tr w:rsidR="002F692C">
        <w:tc>
          <w:tcPr>
            <w:tcW w:w="4675" w:type="dxa"/>
          </w:tcPr>
          <w:p w:rsidR="002F692C" w:rsidRDefault="00964A5E">
            <w:pPr>
              <w:pStyle w:val="Normal0"/>
              <w:spacing w:line="480" w:lineRule="auto"/>
              <w:jc w:val="center"/>
            </w:pPr>
            <w:r>
              <w:t>2</w:t>
            </w:r>
          </w:p>
        </w:tc>
        <w:tc>
          <w:tcPr>
            <w:tcW w:w="4675" w:type="dxa"/>
          </w:tcPr>
          <w:p w:rsidR="002F692C" w:rsidRDefault="00964A5E">
            <w:pPr>
              <w:pStyle w:val="Normal0"/>
              <w:spacing w:line="480" w:lineRule="auto"/>
              <w:jc w:val="center"/>
            </w:pPr>
            <w:r>
              <w:t>37.5</w:t>
            </w:r>
          </w:p>
        </w:tc>
      </w:tr>
    </w:tbl>
    <w:p w:rsidR="002F692C" w:rsidRDefault="002F692C">
      <w:pPr>
        <w:pStyle w:val="Normal0"/>
        <w:spacing w:line="480" w:lineRule="auto"/>
      </w:pPr>
    </w:p>
    <w:p w:rsidR="002F692C" w:rsidRDefault="00964A5E">
      <w:pPr>
        <w:pStyle w:val="Bodypara"/>
      </w:pPr>
      <w:r>
        <w:t xml:space="preserve">While Table 1 </w:t>
      </w:r>
      <w:r>
        <w:t>is in effect, Resources with an Energy Duration Limitation of 6 hours or less must fulfill the availability requirements given in Section 5.12.7 for a 6-hour Peak Load Window.  While Table 2 is in effect, Resources with an Energy Duration Limitation of 6 h</w:t>
      </w:r>
      <w:r>
        <w:t>ours or less must fulfill the availability requirements given in Section 5.12.7 for an 8-hour Peak Load Window.  Resources with an Energy Duration Limitation of 8 hours must always fulfill the availability requirements given in Section 5.12.7 for an 8-hour</w:t>
      </w:r>
      <w:r>
        <w:t xml:space="preserve"> Peak Load Window.  The 6 hour Peak Load Window for the Summer Capability Period is HB 13 through HB 18, and the 6 hour Peak Load Window for the Winter Capability Period is HB 16 through HB 21.  The 8 hour Peak Load Window for the Summer Capability Period </w:t>
      </w:r>
      <w:r>
        <w:t>is HB 12 through HB 19, and the 8 hour Peak Load Window for the Winter Capability Period is HB 14 through HB 21.</w:t>
      </w:r>
    </w:p>
    <w:p w:rsidR="002F692C" w:rsidRDefault="00964A5E">
      <w:pPr>
        <w:pStyle w:val="Heading4"/>
      </w:pPr>
      <w:r>
        <w:t xml:space="preserve">5.12.14.1 Counting Incremental Penetration of Resources with Energy Duration Limitations </w:t>
      </w:r>
    </w:p>
    <w:p w:rsidR="002F692C" w:rsidRDefault="00964A5E">
      <w:pPr>
        <w:pStyle w:val="Bodypara"/>
      </w:pPr>
      <w:r>
        <w:t xml:space="preserve">The penetration levels of CRIS MW will be the sum of </w:t>
      </w:r>
      <w:r>
        <w:t>CRIS for Resources with Energy Duration Limitations that have elected to participate in ISO Administered Markets with less than 8 hour duration and that have entered into service after January 1, 2019 and incremental CRIS awarded after January 1, 2019 to R</w:t>
      </w:r>
      <w:r>
        <w:t xml:space="preserve">esources with Energy Duration Limitations that have elected to participate in ISO Administered Markets with less than 8 hour duration as specified below. </w:t>
      </w:r>
    </w:p>
    <w:p w:rsidR="002F692C" w:rsidRDefault="00964A5E">
      <w:pPr>
        <w:pStyle w:val="Bodypara"/>
      </w:pPr>
      <w:r>
        <w:t>Penetration levels of CRIS MW for Resources with Energy Duration Limitations will be calculated in ac</w:t>
      </w:r>
      <w:r>
        <w:t>cordance with ISO Procedures as the sum of CRIS for Resources with Energy Duration Limitations of 2 hours, CRIS for Resources with Energy Duration Limitations of 4 hours and CRIS for Resources with Energy Duration Limitations of 6 hours that have entered i</w:t>
      </w:r>
      <w:r>
        <w:t>nto service and have participated in the ISO Markets after January 1, 2019.  Penetration levels of Demand Side Resources will be calculated as the sum of the Demand Side Resource MW that have elected to participate in the ISO Capacity markets with less tha</w:t>
      </w:r>
      <w:r>
        <w:t xml:space="preserve">n 8 hour duration as of July 1, as pursuant to ISO Procedures.  The MW count of Resources with Energy Duration Limitations that were in service prior to January 1, 2019 and have Retired will include CRIS for Resources with Energy Duration Limitations of 2 </w:t>
      </w:r>
      <w:r>
        <w:t>hours, CRIS for Resources with Energy Duration Limitations of 4 hours and CRIS for Resources with Energy Duration Limitations of 6 hours that have Retired as of July 1 each year, pursuant to ISO Procedures.  Resources that obtained CRIS and were in service</w:t>
      </w:r>
      <w:r>
        <w:t xml:space="preserve"> prior to January 1, 2019 that qualify as Resources with Energy Duration Limitations at a later date will not be included in the penetration levels of Resources with Energy Duration Limitations. </w:t>
      </w:r>
    </w:p>
    <w:p w:rsidR="002F692C" w:rsidRDefault="00964A5E">
      <w:pPr>
        <w:pStyle w:val="Bodypara"/>
      </w:pPr>
      <w:r>
        <w:t>The MW count of incremental penetration of Resources with En</w:t>
      </w:r>
      <w:r>
        <w:t>ergy Duration Limitations used to determine the applicable Duration Adjustment Factors provided in Section 5.12.14 for the upcoming Capability Year will be calculated in accordance with ISO Procedures as the sum of the penetration levels of CRIS MW, as des</w:t>
      </w:r>
      <w:r>
        <w:t>cribed above, and penetration levels of Demand Side Resources, as described above, less the sum of CRIS MW for Resources with Energy Duration Limitations that have Retired, as described above, and less 1309.1 MW of SCR MW.  The MW count of incremental pene</w:t>
      </w:r>
      <w:r>
        <w:t xml:space="preserve">tration of Resources with Energy Duration Limitations with their Energy Duration Limitation election will be counted as of July 1 and posted by July 15.  Once there are 1000 MW or more incremental penetration of Resources with Energy Duration Limitations, </w:t>
      </w:r>
      <w:r>
        <w:t>the Duration Adjustment Factors listed in Table 2 provided above in Section 5.12.14 will be effective May 1 of the following Capability Year and Table 2 will be effective notwithstanding future MW count of incremental penetration of Resources with Energy D</w:t>
      </w:r>
      <w:r>
        <w:t>uration Limitations.</w:t>
      </w:r>
    </w:p>
    <w:p w:rsidR="002F692C" w:rsidRDefault="00964A5E">
      <w:pPr>
        <w:pStyle w:val="Heading4"/>
      </w:pPr>
      <w:r>
        <w:t xml:space="preserve">5.12.14.2 Adjusted Installed Capacity </w:t>
      </w:r>
    </w:p>
    <w:p w:rsidR="002F692C" w:rsidRDefault="00964A5E">
      <w:pPr>
        <w:pStyle w:val="Bodypara"/>
      </w:pPr>
      <w:r>
        <w:t>Starting with the Capability Year beginning May 1, 2021, a Resource’s Unforced Capacity shall reflect the applicable Duration Adjustment Factor for the Resource’s elected Energy Duration Limitatio</w:t>
      </w:r>
      <w:r>
        <w:t xml:space="preserve">n.  The Adjusted Installed Capacity is equal to a Resource’s Installed Capacity multiplied by the Duration Adjustment Factor.  </w:t>
      </w:r>
      <w:r>
        <w:rPr>
          <w:snapToGrid w:val="0"/>
        </w:rPr>
        <w:t>If a Resource or Aggregation wants to change its duration election it must inform the ISO by August 1 preceding the upcoming Capa</w:t>
      </w:r>
      <w:r>
        <w:rPr>
          <w:snapToGrid w:val="0"/>
        </w:rPr>
        <w:t>bility Year.</w:t>
      </w:r>
    </w:p>
    <w:p w:rsidR="002F692C" w:rsidRDefault="00964A5E">
      <w:pPr>
        <w:pStyle w:val="Heading40"/>
      </w:pPr>
      <w:r>
        <w:t>5.12.14.3  Periodic Review of Capacity Values</w:t>
      </w:r>
    </w:p>
    <w:p w:rsidR="002F692C" w:rsidRDefault="00964A5E">
      <w:pPr>
        <w:pStyle w:val="Bodypara"/>
      </w:pPr>
      <w:r>
        <w:t>Starting in 2022 and occurring every four (4) years, the independent consultant for the ISO shall perform a review of the Capacity Values to re-evaluate the reliability benefit of Resources with En</w:t>
      </w:r>
      <w:r>
        <w:t>ergy Duration Limitations in meeting Resource Adequacy criteria for the four (4) year period coinciding with the four (4) Capability Years covered by the next Demand Curve Reset filing, pursuant to Services Tariff Section 5.14.1.2.2.  The periodic review s</w:t>
      </w:r>
      <w:r>
        <w:t>hall: (i) identify the methodologies and data used to determine the Duration Adjustment Factors, (ii) evaluate the appropriate Energy Duration Limitations, (iii) re-evaluate the Duration Adjustment Factors for Resources with Energy Duration Limitations, (i</w:t>
      </w:r>
      <w:r>
        <w:t>v) re-evaluate the Peak Load Window associated with the bidding requirement for Resources with Energy Duration Limitations specified below, and (v) re-evaluate the hourly weighting factors percentages during the Peak Load Window for wind and solar Resource</w:t>
      </w:r>
      <w:r>
        <w:t xml:space="preserve">s.  </w:t>
      </w:r>
    </w:p>
    <w:p w:rsidR="002F692C" w:rsidRDefault="00964A5E">
      <w:pPr>
        <w:pStyle w:val="Bodypara"/>
      </w:pPr>
      <w:r>
        <w:t>The periodic review shall be conducted in accordance with the schedule and procedures specified in the ISO Procedures.  A proposed schedule will be reviewed with stakeholders no later than September 1 of the second year prior to the Demand Curve Reset</w:t>
      </w:r>
      <w:r>
        <w:t xml:space="preserve"> filing year, pursuant to Section 5.14.1.2.2.  The schedule and procedures shall provide for:</w:t>
      </w:r>
    </w:p>
    <w:p w:rsidR="002F692C" w:rsidRDefault="00964A5E">
      <w:pPr>
        <w:pStyle w:val="alphapara"/>
      </w:pPr>
      <w:r>
        <w:t>5.12.14.3.1</w:t>
      </w:r>
      <w:r>
        <w:tab/>
        <w:t>ISO development, with stakeholder review and comment, of a request for study, scope, assumptions, and methodology to provide consulting services to de</w:t>
      </w:r>
      <w:r>
        <w:t xml:space="preserve">termine recommended values for the Duration Adjustment Factors specified above, and appropriate methodologies for such determination; </w:t>
      </w:r>
    </w:p>
    <w:p w:rsidR="002F692C" w:rsidRDefault="00964A5E">
      <w:pPr>
        <w:pStyle w:val="alphapara"/>
      </w:pPr>
      <w:r>
        <w:t>5.12.14.3.2</w:t>
      </w:r>
      <w:r>
        <w:tab/>
        <w:t>Selection of a consultant in accordance with the request in Section 5.12.14.3.1;</w:t>
      </w:r>
    </w:p>
    <w:p w:rsidR="002F692C" w:rsidRDefault="00964A5E">
      <w:pPr>
        <w:pStyle w:val="alphapara"/>
      </w:pPr>
      <w:r>
        <w:t>5.12.14.3.3</w:t>
      </w:r>
      <w:r>
        <w:tab/>
        <w:t xml:space="preserve">Submission to </w:t>
      </w:r>
      <w:r>
        <w:t>the ISO and the stakeholders of a draft report from the consultant on the consultant’s determination of recommended values for the Energy Duration Limitations and the associated Duration Adjustment Factors, and Peak Load Windows specified above;</w:t>
      </w:r>
    </w:p>
    <w:p w:rsidR="002F692C" w:rsidRDefault="00964A5E">
      <w:pPr>
        <w:pStyle w:val="alphapara"/>
      </w:pPr>
      <w:r>
        <w:t>5.12.14.3.</w:t>
      </w:r>
      <w:r>
        <w:t>4</w:t>
      </w:r>
      <w:r>
        <w:tab/>
        <w:t>Stakeholder review of and comment on the data, assumptions and conclusions in the consultant’s draft report, with participation by the responsible person or persons providing the consulting services;</w:t>
      </w:r>
    </w:p>
    <w:p w:rsidR="002F692C" w:rsidRDefault="00964A5E">
      <w:pPr>
        <w:pStyle w:val="alphapara"/>
      </w:pPr>
      <w:r>
        <w:t>5.12.14.3.5</w:t>
      </w:r>
      <w:r>
        <w:tab/>
        <w:t>An opportunity for the Market Monitoring U</w:t>
      </w:r>
      <w:r>
        <w:t>nit to review and comment on the draft request for the proposals, the consultant’s report, and the ISO’s proposed Energy Duration Limitations and the associated Duration Adjustment Factors, Peak Load Windows for Resources with Energy Duration Limitations (</w:t>
      </w:r>
      <w:r>
        <w:t>the responsibilities of the Market Monitoring Unit that are addressed in this section of the Service’s Tariff are also addressed in Section 30.4.6.3.1 of Attachment O), and Peak Load Windows for wind and solar resources;</w:t>
      </w:r>
    </w:p>
    <w:p w:rsidR="002F692C" w:rsidRDefault="00964A5E">
      <w:pPr>
        <w:pStyle w:val="alphapara"/>
      </w:pPr>
      <w:r>
        <w:t>5.12.14.3.6</w:t>
      </w:r>
      <w:r>
        <w:tab/>
        <w:t>Issuance by the consult</w:t>
      </w:r>
      <w:r>
        <w:t>ant of a final report;</w:t>
      </w:r>
    </w:p>
    <w:p w:rsidR="002F692C" w:rsidRDefault="00964A5E">
      <w:pPr>
        <w:pStyle w:val="alphapara"/>
      </w:pPr>
      <w:r>
        <w:t>5.12.14.3.7</w:t>
      </w:r>
      <w:r>
        <w:tab/>
        <w:t xml:space="preserve">Issuance of a draft of the ISO’s recommended adjustments to the Energy Duration Limitations and the associated Duration Adjustment Factors, Peak Load Windows for Resources with Energy Duration Limitations, and Peak Load </w:t>
      </w:r>
      <w:r>
        <w:t>Windows for wind and solar resources for stakeholder review and comment; and</w:t>
      </w:r>
    </w:p>
    <w:p w:rsidR="002F692C" w:rsidRDefault="00964A5E">
      <w:pPr>
        <w:pStyle w:val="Bodypara"/>
      </w:pPr>
      <w:r>
        <w:t>5.12.14.3.8</w:t>
      </w:r>
      <w:r>
        <w:tab/>
        <w:t>Issuance of the ISO’s proposed Energy Duration Limitations and the associated Duration Adjustment Factors, Peak Load Windows for Resources with Energy Duration Limitat</w:t>
      </w:r>
      <w:r>
        <w:t>ions, and Peak Load Windows for wind and solar resources, taking into account the report of the consultant, the recommendations of the Market Monitoring Unit, and the views of the stakeholders together with the rationale for accepting or rejecting any such</w:t>
      </w:r>
      <w:r>
        <w:t xml:space="preserve"> inputs.</w:t>
      </w:r>
    </w:p>
    <w:sectPr w:rsidR="002F692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4A5E">
      <w:pPr>
        <w:spacing w:after="0" w:line="240" w:lineRule="auto"/>
      </w:pPr>
      <w:r>
        <w:separator/>
      </w:r>
    </w:p>
  </w:endnote>
  <w:endnote w:type="continuationSeparator" w:id="0">
    <w:p w:rsidR="00000000" w:rsidRDefault="0096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pPr>
      <w:jc w:val="right"/>
    </w:pPr>
    <w:r>
      <w:rPr>
        <w:rFonts w:ascii="Arial" w:eastAsia="Arial" w:hAnsi="Arial" w:cs="Arial"/>
        <w:color w:val="000000"/>
        <w:sz w:val="16"/>
      </w:rPr>
      <w:t>Effective Date: 3/1/2021 - Dock</w:t>
    </w:r>
    <w:r>
      <w:rPr>
        <w:rFonts w:ascii="Arial" w:eastAsia="Arial" w:hAnsi="Arial" w:cs="Arial"/>
        <w:color w:val="000000"/>
        <w:sz w:val="16"/>
      </w:rPr>
      <w:t xml:space="preserve">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4A5E">
      <w:pPr>
        <w:spacing w:after="0" w:line="240" w:lineRule="auto"/>
      </w:pPr>
      <w:r>
        <w:separator/>
      </w:r>
    </w:p>
  </w:footnote>
  <w:footnote w:type="continuationSeparator" w:id="0">
    <w:p w:rsidR="00000000" w:rsidRDefault="0096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r>
      <w:rPr>
        <w:rFonts w:ascii="Arial" w:eastAsia="Arial" w:hAnsi="Arial" w:cs="Arial"/>
        <w:color w:val="000000"/>
        <w:sz w:val="16"/>
      </w:rPr>
      <w:t>NYISO Tariffs --&gt; Market Administration and Control Area Services Tariff (MST) --&gt; 5 MST Control Area Services:  Rights and Obligations --&gt; 5.12 MST Requirements Applicable to I</w:t>
    </w:r>
    <w:r>
      <w:rPr>
        <w:rFonts w:ascii="Arial" w:eastAsia="Arial" w:hAnsi="Arial" w:cs="Arial"/>
        <w:color w:val="000000"/>
        <w:sz w:val="16"/>
      </w:rPr>
      <w:t>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2C" w:rsidRDefault="00964A5E">
    <w:r>
      <w:rPr>
        <w:rFonts w:ascii="Arial" w:eastAsia="Arial" w:hAnsi="Arial" w:cs="Arial"/>
        <w:color w:val="000000"/>
        <w:sz w:val="16"/>
      </w:rPr>
      <w:t>NYISO Tariffs --&gt; Market Administration and Control Area Services Tariff (MST) --&gt; 5 MST Control Area Services:  Rights and Obligations --&gt; 5.12 MST Requiremen</w:t>
    </w:r>
    <w:r>
      <w:rPr>
        <w:rFonts w:ascii="Arial" w:eastAsia="Arial" w:hAnsi="Arial" w:cs="Arial"/>
        <w:color w:val="000000"/>
        <w:sz w:val="16"/>
      </w:rPr>
      <w:t>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E0C21CC">
      <w:start w:val="1"/>
      <w:numFmt w:val="bullet"/>
      <w:lvlText w:val=""/>
      <w:lvlJc w:val="left"/>
      <w:pPr>
        <w:tabs>
          <w:tab w:val="num" w:pos="720"/>
        </w:tabs>
        <w:ind w:left="720" w:hanging="360"/>
      </w:pPr>
      <w:rPr>
        <w:rFonts w:ascii="Symbol" w:hAnsi="Symbol" w:hint="default"/>
      </w:rPr>
    </w:lvl>
    <w:lvl w:ilvl="1" w:tplc="02969DD2" w:tentative="1">
      <w:start w:val="1"/>
      <w:numFmt w:val="bullet"/>
      <w:lvlText w:val="o"/>
      <w:lvlJc w:val="left"/>
      <w:pPr>
        <w:tabs>
          <w:tab w:val="num" w:pos="1440"/>
        </w:tabs>
        <w:ind w:left="1440" w:hanging="360"/>
      </w:pPr>
      <w:rPr>
        <w:rFonts w:ascii="Courier New" w:hAnsi="Courier New" w:cs="Courier New" w:hint="default"/>
      </w:rPr>
    </w:lvl>
    <w:lvl w:ilvl="2" w:tplc="EA7EA8B6" w:tentative="1">
      <w:start w:val="1"/>
      <w:numFmt w:val="bullet"/>
      <w:lvlText w:val=""/>
      <w:lvlJc w:val="left"/>
      <w:pPr>
        <w:tabs>
          <w:tab w:val="num" w:pos="2160"/>
        </w:tabs>
        <w:ind w:left="2160" w:hanging="360"/>
      </w:pPr>
      <w:rPr>
        <w:rFonts w:ascii="Wingdings" w:hAnsi="Wingdings" w:hint="default"/>
      </w:rPr>
    </w:lvl>
    <w:lvl w:ilvl="3" w:tplc="D76039D4" w:tentative="1">
      <w:start w:val="1"/>
      <w:numFmt w:val="bullet"/>
      <w:lvlText w:val=""/>
      <w:lvlJc w:val="left"/>
      <w:pPr>
        <w:tabs>
          <w:tab w:val="num" w:pos="2880"/>
        </w:tabs>
        <w:ind w:left="2880" w:hanging="360"/>
      </w:pPr>
      <w:rPr>
        <w:rFonts w:ascii="Symbol" w:hAnsi="Symbol" w:hint="default"/>
      </w:rPr>
    </w:lvl>
    <w:lvl w:ilvl="4" w:tplc="DEBA18AA" w:tentative="1">
      <w:start w:val="1"/>
      <w:numFmt w:val="bullet"/>
      <w:lvlText w:val="o"/>
      <w:lvlJc w:val="left"/>
      <w:pPr>
        <w:tabs>
          <w:tab w:val="num" w:pos="3600"/>
        </w:tabs>
        <w:ind w:left="3600" w:hanging="360"/>
      </w:pPr>
      <w:rPr>
        <w:rFonts w:ascii="Courier New" w:hAnsi="Courier New" w:cs="Courier New" w:hint="default"/>
      </w:rPr>
    </w:lvl>
    <w:lvl w:ilvl="5" w:tplc="79B822C8" w:tentative="1">
      <w:start w:val="1"/>
      <w:numFmt w:val="bullet"/>
      <w:lvlText w:val=""/>
      <w:lvlJc w:val="left"/>
      <w:pPr>
        <w:tabs>
          <w:tab w:val="num" w:pos="4320"/>
        </w:tabs>
        <w:ind w:left="4320" w:hanging="360"/>
      </w:pPr>
      <w:rPr>
        <w:rFonts w:ascii="Wingdings" w:hAnsi="Wingdings" w:hint="default"/>
      </w:rPr>
    </w:lvl>
    <w:lvl w:ilvl="6" w:tplc="9992F418" w:tentative="1">
      <w:start w:val="1"/>
      <w:numFmt w:val="bullet"/>
      <w:lvlText w:val=""/>
      <w:lvlJc w:val="left"/>
      <w:pPr>
        <w:tabs>
          <w:tab w:val="num" w:pos="5040"/>
        </w:tabs>
        <w:ind w:left="5040" w:hanging="360"/>
      </w:pPr>
      <w:rPr>
        <w:rFonts w:ascii="Symbol" w:hAnsi="Symbol" w:hint="default"/>
      </w:rPr>
    </w:lvl>
    <w:lvl w:ilvl="7" w:tplc="04C0AC50" w:tentative="1">
      <w:start w:val="1"/>
      <w:numFmt w:val="bullet"/>
      <w:lvlText w:val="o"/>
      <w:lvlJc w:val="left"/>
      <w:pPr>
        <w:tabs>
          <w:tab w:val="num" w:pos="5760"/>
        </w:tabs>
        <w:ind w:left="5760" w:hanging="360"/>
      </w:pPr>
      <w:rPr>
        <w:rFonts w:ascii="Courier New" w:hAnsi="Courier New" w:cs="Courier New" w:hint="default"/>
      </w:rPr>
    </w:lvl>
    <w:lvl w:ilvl="8" w:tplc="1988BF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5402D7A">
      <w:start w:val="1"/>
      <w:numFmt w:val="upperLetter"/>
      <w:lvlText w:val="%1."/>
      <w:lvlJc w:val="left"/>
      <w:pPr>
        <w:tabs>
          <w:tab w:val="num" w:pos="1440"/>
        </w:tabs>
        <w:ind w:left="1440" w:hanging="720"/>
      </w:pPr>
      <w:rPr>
        <w:rFonts w:hint="default"/>
      </w:rPr>
    </w:lvl>
    <w:lvl w:ilvl="1" w:tplc="05747B24" w:tentative="1">
      <w:start w:val="1"/>
      <w:numFmt w:val="lowerLetter"/>
      <w:lvlText w:val="%2."/>
      <w:lvlJc w:val="left"/>
      <w:pPr>
        <w:tabs>
          <w:tab w:val="num" w:pos="1800"/>
        </w:tabs>
        <w:ind w:left="1800" w:hanging="360"/>
      </w:pPr>
    </w:lvl>
    <w:lvl w:ilvl="2" w:tplc="A2123620" w:tentative="1">
      <w:start w:val="1"/>
      <w:numFmt w:val="lowerRoman"/>
      <w:lvlText w:val="%3."/>
      <w:lvlJc w:val="right"/>
      <w:pPr>
        <w:tabs>
          <w:tab w:val="num" w:pos="2520"/>
        </w:tabs>
        <w:ind w:left="2520" w:hanging="180"/>
      </w:pPr>
    </w:lvl>
    <w:lvl w:ilvl="3" w:tplc="E556DAE2" w:tentative="1">
      <w:start w:val="1"/>
      <w:numFmt w:val="decimal"/>
      <w:lvlText w:val="%4."/>
      <w:lvlJc w:val="left"/>
      <w:pPr>
        <w:tabs>
          <w:tab w:val="num" w:pos="3240"/>
        </w:tabs>
        <w:ind w:left="3240" w:hanging="360"/>
      </w:pPr>
    </w:lvl>
    <w:lvl w:ilvl="4" w:tplc="88CC67E2" w:tentative="1">
      <w:start w:val="1"/>
      <w:numFmt w:val="lowerLetter"/>
      <w:lvlText w:val="%5."/>
      <w:lvlJc w:val="left"/>
      <w:pPr>
        <w:tabs>
          <w:tab w:val="num" w:pos="3960"/>
        </w:tabs>
        <w:ind w:left="3960" w:hanging="360"/>
      </w:pPr>
    </w:lvl>
    <w:lvl w:ilvl="5" w:tplc="B6F2F17A" w:tentative="1">
      <w:start w:val="1"/>
      <w:numFmt w:val="lowerRoman"/>
      <w:lvlText w:val="%6."/>
      <w:lvlJc w:val="right"/>
      <w:pPr>
        <w:tabs>
          <w:tab w:val="num" w:pos="4680"/>
        </w:tabs>
        <w:ind w:left="4680" w:hanging="180"/>
      </w:pPr>
    </w:lvl>
    <w:lvl w:ilvl="6" w:tplc="7E667754" w:tentative="1">
      <w:start w:val="1"/>
      <w:numFmt w:val="decimal"/>
      <w:lvlText w:val="%7."/>
      <w:lvlJc w:val="left"/>
      <w:pPr>
        <w:tabs>
          <w:tab w:val="num" w:pos="5400"/>
        </w:tabs>
        <w:ind w:left="5400" w:hanging="360"/>
      </w:pPr>
    </w:lvl>
    <w:lvl w:ilvl="7" w:tplc="38767088" w:tentative="1">
      <w:start w:val="1"/>
      <w:numFmt w:val="lowerLetter"/>
      <w:lvlText w:val="%8."/>
      <w:lvlJc w:val="left"/>
      <w:pPr>
        <w:tabs>
          <w:tab w:val="num" w:pos="6120"/>
        </w:tabs>
        <w:ind w:left="6120" w:hanging="360"/>
      </w:pPr>
    </w:lvl>
    <w:lvl w:ilvl="8" w:tplc="79C4E38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E241B82">
      <w:start w:val="3"/>
      <w:numFmt w:val="upperLetter"/>
      <w:lvlText w:val="%1."/>
      <w:lvlJc w:val="left"/>
      <w:pPr>
        <w:tabs>
          <w:tab w:val="num" w:pos="1080"/>
        </w:tabs>
        <w:ind w:left="1080" w:hanging="360"/>
      </w:pPr>
      <w:rPr>
        <w:rFonts w:hint="default"/>
      </w:rPr>
    </w:lvl>
    <w:lvl w:ilvl="1" w:tplc="909404C6" w:tentative="1">
      <w:start w:val="1"/>
      <w:numFmt w:val="lowerLetter"/>
      <w:lvlText w:val="%2."/>
      <w:lvlJc w:val="left"/>
      <w:pPr>
        <w:tabs>
          <w:tab w:val="num" w:pos="1800"/>
        </w:tabs>
        <w:ind w:left="1800" w:hanging="360"/>
      </w:pPr>
    </w:lvl>
    <w:lvl w:ilvl="2" w:tplc="83DE6BD4" w:tentative="1">
      <w:start w:val="1"/>
      <w:numFmt w:val="lowerRoman"/>
      <w:lvlText w:val="%3."/>
      <w:lvlJc w:val="right"/>
      <w:pPr>
        <w:tabs>
          <w:tab w:val="num" w:pos="2520"/>
        </w:tabs>
        <w:ind w:left="2520" w:hanging="180"/>
      </w:pPr>
    </w:lvl>
    <w:lvl w:ilvl="3" w:tplc="17429006" w:tentative="1">
      <w:start w:val="1"/>
      <w:numFmt w:val="decimal"/>
      <w:lvlText w:val="%4."/>
      <w:lvlJc w:val="left"/>
      <w:pPr>
        <w:tabs>
          <w:tab w:val="num" w:pos="3240"/>
        </w:tabs>
        <w:ind w:left="3240" w:hanging="360"/>
      </w:pPr>
    </w:lvl>
    <w:lvl w:ilvl="4" w:tplc="D52C75B2" w:tentative="1">
      <w:start w:val="1"/>
      <w:numFmt w:val="lowerLetter"/>
      <w:lvlText w:val="%5."/>
      <w:lvlJc w:val="left"/>
      <w:pPr>
        <w:tabs>
          <w:tab w:val="num" w:pos="3960"/>
        </w:tabs>
        <w:ind w:left="3960" w:hanging="360"/>
      </w:pPr>
    </w:lvl>
    <w:lvl w:ilvl="5" w:tplc="8ED2B56E" w:tentative="1">
      <w:start w:val="1"/>
      <w:numFmt w:val="lowerRoman"/>
      <w:lvlText w:val="%6."/>
      <w:lvlJc w:val="right"/>
      <w:pPr>
        <w:tabs>
          <w:tab w:val="num" w:pos="4680"/>
        </w:tabs>
        <w:ind w:left="4680" w:hanging="180"/>
      </w:pPr>
    </w:lvl>
    <w:lvl w:ilvl="6" w:tplc="EE8C1CA0" w:tentative="1">
      <w:start w:val="1"/>
      <w:numFmt w:val="decimal"/>
      <w:lvlText w:val="%7."/>
      <w:lvlJc w:val="left"/>
      <w:pPr>
        <w:tabs>
          <w:tab w:val="num" w:pos="5400"/>
        </w:tabs>
        <w:ind w:left="5400" w:hanging="360"/>
      </w:pPr>
    </w:lvl>
    <w:lvl w:ilvl="7" w:tplc="6680C27A" w:tentative="1">
      <w:start w:val="1"/>
      <w:numFmt w:val="lowerLetter"/>
      <w:lvlText w:val="%8."/>
      <w:lvlJc w:val="left"/>
      <w:pPr>
        <w:tabs>
          <w:tab w:val="num" w:pos="6120"/>
        </w:tabs>
        <w:ind w:left="6120" w:hanging="360"/>
      </w:pPr>
    </w:lvl>
    <w:lvl w:ilvl="8" w:tplc="4F469CD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EDCFF0A">
      <w:start w:val="1"/>
      <w:numFmt w:val="bullet"/>
      <w:pStyle w:val="Bulletpara"/>
      <w:lvlText w:val=""/>
      <w:lvlJc w:val="left"/>
      <w:pPr>
        <w:tabs>
          <w:tab w:val="num" w:pos="720"/>
        </w:tabs>
        <w:ind w:left="720" w:hanging="360"/>
      </w:pPr>
      <w:rPr>
        <w:rFonts w:ascii="Symbol" w:hAnsi="Symbol" w:hint="default"/>
      </w:rPr>
    </w:lvl>
    <w:lvl w:ilvl="1" w:tplc="D59ED11E" w:tentative="1">
      <w:start w:val="1"/>
      <w:numFmt w:val="bullet"/>
      <w:lvlText w:val="o"/>
      <w:lvlJc w:val="left"/>
      <w:pPr>
        <w:tabs>
          <w:tab w:val="num" w:pos="1440"/>
        </w:tabs>
        <w:ind w:left="1440" w:hanging="360"/>
      </w:pPr>
      <w:rPr>
        <w:rFonts w:ascii="Courier New" w:hAnsi="Courier New" w:cs="Courier New" w:hint="default"/>
      </w:rPr>
    </w:lvl>
    <w:lvl w:ilvl="2" w:tplc="0E88D27A" w:tentative="1">
      <w:start w:val="1"/>
      <w:numFmt w:val="bullet"/>
      <w:lvlText w:val=""/>
      <w:lvlJc w:val="left"/>
      <w:pPr>
        <w:tabs>
          <w:tab w:val="num" w:pos="2160"/>
        </w:tabs>
        <w:ind w:left="2160" w:hanging="360"/>
      </w:pPr>
      <w:rPr>
        <w:rFonts w:ascii="Wingdings" w:hAnsi="Wingdings" w:hint="default"/>
      </w:rPr>
    </w:lvl>
    <w:lvl w:ilvl="3" w:tplc="28A48494" w:tentative="1">
      <w:start w:val="1"/>
      <w:numFmt w:val="bullet"/>
      <w:lvlText w:val=""/>
      <w:lvlJc w:val="left"/>
      <w:pPr>
        <w:tabs>
          <w:tab w:val="num" w:pos="2880"/>
        </w:tabs>
        <w:ind w:left="2880" w:hanging="360"/>
      </w:pPr>
      <w:rPr>
        <w:rFonts w:ascii="Symbol" w:hAnsi="Symbol" w:hint="default"/>
      </w:rPr>
    </w:lvl>
    <w:lvl w:ilvl="4" w:tplc="99CEDB6A" w:tentative="1">
      <w:start w:val="1"/>
      <w:numFmt w:val="bullet"/>
      <w:lvlText w:val="o"/>
      <w:lvlJc w:val="left"/>
      <w:pPr>
        <w:tabs>
          <w:tab w:val="num" w:pos="3600"/>
        </w:tabs>
        <w:ind w:left="3600" w:hanging="360"/>
      </w:pPr>
      <w:rPr>
        <w:rFonts w:ascii="Courier New" w:hAnsi="Courier New" w:cs="Courier New" w:hint="default"/>
      </w:rPr>
    </w:lvl>
    <w:lvl w:ilvl="5" w:tplc="224E5392" w:tentative="1">
      <w:start w:val="1"/>
      <w:numFmt w:val="bullet"/>
      <w:lvlText w:val=""/>
      <w:lvlJc w:val="left"/>
      <w:pPr>
        <w:tabs>
          <w:tab w:val="num" w:pos="4320"/>
        </w:tabs>
        <w:ind w:left="4320" w:hanging="360"/>
      </w:pPr>
      <w:rPr>
        <w:rFonts w:ascii="Wingdings" w:hAnsi="Wingdings" w:hint="default"/>
      </w:rPr>
    </w:lvl>
    <w:lvl w:ilvl="6" w:tplc="7204982A" w:tentative="1">
      <w:start w:val="1"/>
      <w:numFmt w:val="bullet"/>
      <w:lvlText w:val=""/>
      <w:lvlJc w:val="left"/>
      <w:pPr>
        <w:tabs>
          <w:tab w:val="num" w:pos="5040"/>
        </w:tabs>
        <w:ind w:left="5040" w:hanging="360"/>
      </w:pPr>
      <w:rPr>
        <w:rFonts w:ascii="Symbol" w:hAnsi="Symbol" w:hint="default"/>
      </w:rPr>
    </w:lvl>
    <w:lvl w:ilvl="7" w:tplc="194E070A" w:tentative="1">
      <w:start w:val="1"/>
      <w:numFmt w:val="bullet"/>
      <w:lvlText w:val="o"/>
      <w:lvlJc w:val="left"/>
      <w:pPr>
        <w:tabs>
          <w:tab w:val="num" w:pos="5760"/>
        </w:tabs>
        <w:ind w:left="5760" w:hanging="360"/>
      </w:pPr>
      <w:rPr>
        <w:rFonts w:ascii="Courier New" w:hAnsi="Courier New" w:cs="Courier New" w:hint="default"/>
      </w:rPr>
    </w:lvl>
    <w:lvl w:ilvl="8" w:tplc="6944CCD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01AD216">
      <w:start w:val="2"/>
      <w:numFmt w:val="decimal"/>
      <w:lvlText w:val="(%1)"/>
      <w:lvlJc w:val="left"/>
      <w:pPr>
        <w:tabs>
          <w:tab w:val="num" w:pos="1800"/>
        </w:tabs>
        <w:ind w:left="1800" w:hanging="360"/>
      </w:pPr>
      <w:rPr>
        <w:rFonts w:hint="default"/>
        <w:b w:val="0"/>
        <w:sz w:val="24"/>
      </w:rPr>
    </w:lvl>
    <w:lvl w:ilvl="1" w:tplc="508469C2" w:tentative="1">
      <w:start w:val="1"/>
      <w:numFmt w:val="lowerLetter"/>
      <w:lvlText w:val="%2."/>
      <w:lvlJc w:val="left"/>
      <w:pPr>
        <w:tabs>
          <w:tab w:val="num" w:pos="2520"/>
        </w:tabs>
        <w:ind w:left="2520" w:hanging="360"/>
      </w:pPr>
    </w:lvl>
    <w:lvl w:ilvl="2" w:tplc="AB4644FC" w:tentative="1">
      <w:start w:val="1"/>
      <w:numFmt w:val="lowerRoman"/>
      <w:lvlText w:val="%3."/>
      <w:lvlJc w:val="right"/>
      <w:pPr>
        <w:tabs>
          <w:tab w:val="num" w:pos="3240"/>
        </w:tabs>
        <w:ind w:left="3240" w:hanging="180"/>
      </w:pPr>
    </w:lvl>
    <w:lvl w:ilvl="3" w:tplc="D2524CCC" w:tentative="1">
      <w:start w:val="1"/>
      <w:numFmt w:val="decimal"/>
      <w:lvlText w:val="%4."/>
      <w:lvlJc w:val="left"/>
      <w:pPr>
        <w:tabs>
          <w:tab w:val="num" w:pos="3960"/>
        </w:tabs>
        <w:ind w:left="3960" w:hanging="360"/>
      </w:pPr>
    </w:lvl>
    <w:lvl w:ilvl="4" w:tplc="C1E042B4" w:tentative="1">
      <w:start w:val="1"/>
      <w:numFmt w:val="lowerLetter"/>
      <w:lvlText w:val="%5."/>
      <w:lvlJc w:val="left"/>
      <w:pPr>
        <w:tabs>
          <w:tab w:val="num" w:pos="4680"/>
        </w:tabs>
        <w:ind w:left="4680" w:hanging="360"/>
      </w:pPr>
    </w:lvl>
    <w:lvl w:ilvl="5" w:tplc="5C2679C8" w:tentative="1">
      <w:start w:val="1"/>
      <w:numFmt w:val="lowerRoman"/>
      <w:lvlText w:val="%6."/>
      <w:lvlJc w:val="right"/>
      <w:pPr>
        <w:tabs>
          <w:tab w:val="num" w:pos="5400"/>
        </w:tabs>
        <w:ind w:left="5400" w:hanging="180"/>
      </w:pPr>
    </w:lvl>
    <w:lvl w:ilvl="6" w:tplc="861E9E72" w:tentative="1">
      <w:start w:val="1"/>
      <w:numFmt w:val="decimal"/>
      <w:lvlText w:val="%7."/>
      <w:lvlJc w:val="left"/>
      <w:pPr>
        <w:tabs>
          <w:tab w:val="num" w:pos="6120"/>
        </w:tabs>
        <w:ind w:left="6120" w:hanging="360"/>
      </w:pPr>
    </w:lvl>
    <w:lvl w:ilvl="7" w:tplc="E10ACE6E" w:tentative="1">
      <w:start w:val="1"/>
      <w:numFmt w:val="lowerLetter"/>
      <w:lvlText w:val="%8."/>
      <w:lvlJc w:val="left"/>
      <w:pPr>
        <w:tabs>
          <w:tab w:val="num" w:pos="6840"/>
        </w:tabs>
        <w:ind w:left="6840" w:hanging="360"/>
      </w:pPr>
    </w:lvl>
    <w:lvl w:ilvl="8" w:tplc="0A244AF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3065430">
      <w:start w:val="1"/>
      <w:numFmt w:val="decimal"/>
      <w:lvlText w:val="(%1)"/>
      <w:lvlJc w:val="left"/>
      <w:pPr>
        <w:tabs>
          <w:tab w:val="num" w:pos="2160"/>
        </w:tabs>
        <w:ind w:left="2160" w:hanging="720"/>
      </w:pPr>
      <w:rPr>
        <w:rFonts w:hint="default"/>
      </w:rPr>
    </w:lvl>
    <w:lvl w:ilvl="1" w:tplc="2556CCF8" w:tentative="1">
      <w:start w:val="1"/>
      <w:numFmt w:val="lowerLetter"/>
      <w:lvlText w:val="%2."/>
      <w:lvlJc w:val="left"/>
      <w:pPr>
        <w:tabs>
          <w:tab w:val="num" w:pos="2520"/>
        </w:tabs>
        <w:ind w:left="2520" w:hanging="360"/>
      </w:pPr>
    </w:lvl>
    <w:lvl w:ilvl="2" w:tplc="EB7A5F90" w:tentative="1">
      <w:start w:val="1"/>
      <w:numFmt w:val="lowerRoman"/>
      <w:lvlText w:val="%3."/>
      <w:lvlJc w:val="right"/>
      <w:pPr>
        <w:tabs>
          <w:tab w:val="num" w:pos="3240"/>
        </w:tabs>
        <w:ind w:left="3240" w:hanging="180"/>
      </w:pPr>
    </w:lvl>
    <w:lvl w:ilvl="3" w:tplc="7C0E8616" w:tentative="1">
      <w:start w:val="1"/>
      <w:numFmt w:val="decimal"/>
      <w:lvlText w:val="%4."/>
      <w:lvlJc w:val="left"/>
      <w:pPr>
        <w:tabs>
          <w:tab w:val="num" w:pos="3960"/>
        </w:tabs>
        <w:ind w:left="3960" w:hanging="360"/>
      </w:pPr>
    </w:lvl>
    <w:lvl w:ilvl="4" w:tplc="796A3F56" w:tentative="1">
      <w:start w:val="1"/>
      <w:numFmt w:val="lowerLetter"/>
      <w:lvlText w:val="%5."/>
      <w:lvlJc w:val="left"/>
      <w:pPr>
        <w:tabs>
          <w:tab w:val="num" w:pos="4680"/>
        </w:tabs>
        <w:ind w:left="4680" w:hanging="360"/>
      </w:pPr>
    </w:lvl>
    <w:lvl w:ilvl="5" w:tplc="11AEC6AE" w:tentative="1">
      <w:start w:val="1"/>
      <w:numFmt w:val="lowerRoman"/>
      <w:lvlText w:val="%6."/>
      <w:lvlJc w:val="right"/>
      <w:pPr>
        <w:tabs>
          <w:tab w:val="num" w:pos="5400"/>
        </w:tabs>
        <w:ind w:left="5400" w:hanging="180"/>
      </w:pPr>
    </w:lvl>
    <w:lvl w:ilvl="6" w:tplc="8C982676" w:tentative="1">
      <w:start w:val="1"/>
      <w:numFmt w:val="decimal"/>
      <w:lvlText w:val="%7."/>
      <w:lvlJc w:val="left"/>
      <w:pPr>
        <w:tabs>
          <w:tab w:val="num" w:pos="6120"/>
        </w:tabs>
        <w:ind w:left="6120" w:hanging="360"/>
      </w:pPr>
    </w:lvl>
    <w:lvl w:ilvl="7" w:tplc="E5CC620E" w:tentative="1">
      <w:start w:val="1"/>
      <w:numFmt w:val="lowerLetter"/>
      <w:lvlText w:val="%8."/>
      <w:lvlJc w:val="left"/>
      <w:pPr>
        <w:tabs>
          <w:tab w:val="num" w:pos="6840"/>
        </w:tabs>
        <w:ind w:left="6840" w:hanging="360"/>
      </w:pPr>
    </w:lvl>
    <w:lvl w:ilvl="8" w:tplc="0A162EE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C3AC6BA">
      <w:start w:val="1"/>
      <w:numFmt w:val="lowerRoman"/>
      <w:lvlText w:val="(%1)"/>
      <w:lvlJc w:val="left"/>
      <w:pPr>
        <w:tabs>
          <w:tab w:val="num" w:pos="1440"/>
        </w:tabs>
        <w:ind w:left="1440" w:hanging="720"/>
      </w:pPr>
      <w:rPr>
        <w:rFonts w:hint="default"/>
      </w:rPr>
    </w:lvl>
    <w:lvl w:ilvl="1" w:tplc="66E245DA" w:tentative="1">
      <w:start w:val="1"/>
      <w:numFmt w:val="lowerLetter"/>
      <w:lvlText w:val="%2."/>
      <w:lvlJc w:val="left"/>
      <w:pPr>
        <w:tabs>
          <w:tab w:val="num" w:pos="1800"/>
        </w:tabs>
        <w:ind w:left="1800" w:hanging="360"/>
      </w:pPr>
    </w:lvl>
    <w:lvl w:ilvl="2" w:tplc="53D457FC" w:tentative="1">
      <w:start w:val="1"/>
      <w:numFmt w:val="lowerRoman"/>
      <w:lvlText w:val="%3."/>
      <w:lvlJc w:val="right"/>
      <w:pPr>
        <w:tabs>
          <w:tab w:val="num" w:pos="2520"/>
        </w:tabs>
        <w:ind w:left="2520" w:hanging="180"/>
      </w:pPr>
    </w:lvl>
    <w:lvl w:ilvl="3" w:tplc="CA62B45A" w:tentative="1">
      <w:start w:val="1"/>
      <w:numFmt w:val="decimal"/>
      <w:lvlText w:val="%4."/>
      <w:lvlJc w:val="left"/>
      <w:pPr>
        <w:tabs>
          <w:tab w:val="num" w:pos="3240"/>
        </w:tabs>
        <w:ind w:left="3240" w:hanging="360"/>
      </w:pPr>
    </w:lvl>
    <w:lvl w:ilvl="4" w:tplc="6EDC5ADE" w:tentative="1">
      <w:start w:val="1"/>
      <w:numFmt w:val="lowerLetter"/>
      <w:lvlText w:val="%5."/>
      <w:lvlJc w:val="left"/>
      <w:pPr>
        <w:tabs>
          <w:tab w:val="num" w:pos="3960"/>
        </w:tabs>
        <w:ind w:left="3960" w:hanging="360"/>
      </w:pPr>
    </w:lvl>
    <w:lvl w:ilvl="5" w:tplc="7FFAF68A" w:tentative="1">
      <w:start w:val="1"/>
      <w:numFmt w:val="lowerRoman"/>
      <w:lvlText w:val="%6."/>
      <w:lvlJc w:val="right"/>
      <w:pPr>
        <w:tabs>
          <w:tab w:val="num" w:pos="4680"/>
        </w:tabs>
        <w:ind w:left="4680" w:hanging="180"/>
      </w:pPr>
    </w:lvl>
    <w:lvl w:ilvl="6" w:tplc="BC48ADDE" w:tentative="1">
      <w:start w:val="1"/>
      <w:numFmt w:val="decimal"/>
      <w:lvlText w:val="%7."/>
      <w:lvlJc w:val="left"/>
      <w:pPr>
        <w:tabs>
          <w:tab w:val="num" w:pos="5400"/>
        </w:tabs>
        <w:ind w:left="5400" w:hanging="360"/>
      </w:pPr>
    </w:lvl>
    <w:lvl w:ilvl="7" w:tplc="CA2EBF08" w:tentative="1">
      <w:start w:val="1"/>
      <w:numFmt w:val="lowerLetter"/>
      <w:lvlText w:val="%8."/>
      <w:lvlJc w:val="left"/>
      <w:pPr>
        <w:tabs>
          <w:tab w:val="num" w:pos="6120"/>
        </w:tabs>
        <w:ind w:left="6120" w:hanging="360"/>
      </w:pPr>
    </w:lvl>
    <w:lvl w:ilvl="8" w:tplc="0FEAF76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D7C9000">
      <w:start w:val="1"/>
      <w:numFmt w:val="lowerRoman"/>
      <w:lvlText w:val="(%1)"/>
      <w:lvlJc w:val="left"/>
      <w:pPr>
        <w:tabs>
          <w:tab w:val="num" w:pos="2448"/>
        </w:tabs>
        <w:ind w:left="2448" w:hanging="648"/>
      </w:pPr>
      <w:rPr>
        <w:rFonts w:hint="default"/>
        <w:b w:val="0"/>
        <w:i w:val="0"/>
        <w:u w:val="none"/>
      </w:rPr>
    </w:lvl>
    <w:lvl w:ilvl="1" w:tplc="DA069CA4" w:tentative="1">
      <w:start w:val="1"/>
      <w:numFmt w:val="lowerLetter"/>
      <w:lvlText w:val="%2."/>
      <w:lvlJc w:val="left"/>
      <w:pPr>
        <w:tabs>
          <w:tab w:val="num" w:pos="1440"/>
        </w:tabs>
        <w:ind w:left="1440" w:hanging="360"/>
      </w:pPr>
    </w:lvl>
    <w:lvl w:ilvl="2" w:tplc="D2604FEC" w:tentative="1">
      <w:start w:val="1"/>
      <w:numFmt w:val="lowerRoman"/>
      <w:lvlText w:val="%3."/>
      <w:lvlJc w:val="right"/>
      <w:pPr>
        <w:tabs>
          <w:tab w:val="num" w:pos="2160"/>
        </w:tabs>
        <w:ind w:left="2160" w:hanging="180"/>
      </w:pPr>
    </w:lvl>
    <w:lvl w:ilvl="3" w:tplc="7EA64DC2" w:tentative="1">
      <w:start w:val="1"/>
      <w:numFmt w:val="decimal"/>
      <w:lvlText w:val="%4."/>
      <w:lvlJc w:val="left"/>
      <w:pPr>
        <w:tabs>
          <w:tab w:val="num" w:pos="2880"/>
        </w:tabs>
        <w:ind w:left="2880" w:hanging="360"/>
      </w:pPr>
    </w:lvl>
    <w:lvl w:ilvl="4" w:tplc="7F22A252" w:tentative="1">
      <w:start w:val="1"/>
      <w:numFmt w:val="lowerLetter"/>
      <w:lvlText w:val="%5."/>
      <w:lvlJc w:val="left"/>
      <w:pPr>
        <w:tabs>
          <w:tab w:val="num" w:pos="3600"/>
        </w:tabs>
        <w:ind w:left="3600" w:hanging="360"/>
      </w:pPr>
    </w:lvl>
    <w:lvl w:ilvl="5" w:tplc="C5029858" w:tentative="1">
      <w:start w:val="1"/>
      <w:numFmt w:val="lowerRoman"/>
      <w:lvlText w:val="%6."/>
      <w:lvlJc w:val="right"/>
      <w:pPr>
        <w:tabs>
          <w:tab w:val="num" w:pos="4320"/>
        </w:tabs>
        <w:ind w:left="4320" w:hanging="180"/>
      </w:pPr>
    </w:lvl>
    <w:lvl w:ilvl="6" w:tplc="FEBACD46" w:tentative="1">
      <w:start w:val="1"/>
      <w:numFmt w:val="decimal"/>
      <w:lvlText w:val="%7."/>
      <w:lvlJc w:val="left"/>
      <w:pPr>
        <w:tabs>
          <w:tab w:val="num" w:pos="5040"/>
        </w:tabs>
        <w:ind w:left="5040" w:hanging="360"/>
      </w:pPr>
    </w:lvl>
    <w:lvl w:ilvl="7" w:tplc="A2EA8AC6" w:tentative="1">
      <w:start w:val="1"/>
      <w:numFmt w:val="lowerLetter"/>
      <w:lvlText w:val="%8."/>
      <w:lvlJc w:val="left"/>
      <w:pPr>
        <w:tabs>
          <w:tab w:val="num" w:pos="5760"/>
        </w:tabs>
        <w:ind w:left="5760" w:hanging="360"/>
      </w:pPr>
    </w:lvl>
    <w:lvl w:ilvl="8" w:tplc="624C82C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69926B9A">
      <w:start w:val="1"/>
      <w:numFmt w:val="lowerLetter"/>
      <w:lvlText w:val="%1."/>
      <w:lvlJc w:val="left"/>
      <w:pPr>
        <w:tabs>
          <w:tab w:val="num" w:pos="2160"/>
        </w:tabs>
        <w:ind w:left="2160" w:hanging="720"/>
      </w:pPr>
      <w:rPr>
        <w:rFonts w:hint="default"/>
      </w:rPr>
    </w:lvl>
    <w:lvl w:ilvl="1" w:tplc="87EE4FD0" w:tentative="1">
      <w:start w:val="1"/>
      <w:numFmt w:val="lowerLetter"/>
      <w:lvlText w:val="%2."/>
      <w:lvlJc w:val="left"/>
      <w:pPr>
        <w:tabs>
          <w:tab w:val="num" w:pos="2520"/>
        </w:tabs>
        <w:ind w:left="2520" w:hanging="360"/>
      </w:pPr>
    </w:lvl>
    <w:lvl w:ilvl="2" w:tplc="62E0A51A" w:tentative="1">
      <w:start w:val="1"/>
      <w:numFmt w:val="lowerRoman"/>
      <w:lvlText w:val="%3."/>
      <w:lvlJc w:val="right"/>
      <w:pPr>
        <w:tabs>
          <w:tab w:val="num" w:pos="3240"/>
        </w:tabs>
        <w:ind w:left="3240" w:hanging="180"/>
      </w:pPr>
    </w:lvl>
    <w:lvl w:ilvl="3" w:tplc="4830CD58" w:tentative="1">
      <w:start w:val="1"/>
      <w:numFmt w:val="decimal"/>
      <w:lvlText w:val="%4."/>
      <w:lvlJc w:val="left"/>
      <w:pPr>
        <w:tabs>
          <w:tab w:val="num" w:pos="3960"/>
        </w:tabs>
        <w:ind w:left="3960" w:hanging="360"/>
      </w:pPr>
    </w:lvl>
    <w:lvl w:ilvl="4" w:tplc="4694F344" w:tentative="1">
      <w:start w:val="1"/>
      <w:numFmt w:val="lowerLetter"/>
      <w:lvlText w:val="%5."/>
      <w:lvlJc w:val="left"/>
      <w:pPr>
        <w:tabs>
          <w:tab w:val="num" w:pos="4680"/>
        </w:tabs>
        <w:ind w:left="4680" w:hanging="360"/>
      </w:pPr>
    </w:lvl>
    <w:lvl w:ilvl="5" w:tplc="0F942624" w:tentative="1">
      <w:start w:val="1"/>
      <w:numFmt w:val="lowerRoman"/>
      <w:lvlText w:val="%6."/>
      <w:lvlJc w:val="right"/>
      <w:pPr>
        <w:tabs>
          <w:tab w:val="num" w:pos="5400"/>
        </w:tabs>
        <w:ind w:left="5400" w:hanging="180"/>
      </w:pPr>
    </w:lvl>
    <w:lvl w:ilvl="6" w:tplc="AC281E76" w:tentative="1">
      <w:start w:val="1"/>
      <w:numFmt w:val="decimal"/>
      <w:lvlText w:val="%7."/>
      <w:lvlJc w:val="left"/>
      <w:pPr>
        <w:tabs>
          <w:tab w:val="num" w:pos="6120"/>
        </w:tabs>
        <w:ind w:left="6120" w:hanging="360"/>
      </w:pPr>
    </w:lvl>
    <w:lvl w:ilvl="7" w:tplc="090EDB12" w:tentative="1">
      <w:start w:val="1"/>
      <w:numFmt w:val="lowerLetter"/>
      <w:lvlText w:val="%8."/>
      <w:lvlJc w:val="left"/>
      <w:pPr>
        <w:tabs>
          <w:tab w:val="num" w:pos="6840"/>
        </w:tabs>
        <w:ind w:left="6840" w:hanging="360"/>
      </w:pPr>
    </w:lvl>
    <w:lvl w:ilvl="8" w:tplc="BD54EF9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B4A23DC4">
      <w:start w:val="1"/>
      <w:numFmt w:val="bullet"/>
      <w:lvlText w:val=""/>
      <w:lvlJc w:val="left"/>
      <w:pPr>
        <w:tabs>
          <w:tab w:val="num" w:pos="5760"/>
        </w:tabs>
        <w:ind w:left="5760" w:hanging="360"/>
      </w:pPr>
      <w:rPr>
        <w:rFonts w:ascii="Symbol" w:hAnsi="Symbol" w:hint="default"/>
        <w:color w:val="auto"/>
        <w:u w:val="none"/>
      </w:rPr>
    </w:lvl>
    <w:lvl w:ilvl="1" w:tplc="129E8B8E" w:tentative="1">
      <w:start w:val="1"/>
      <w:numFmt w:val="bullet"/>
      <w:lvlText w:val="o"/>
      <w:lvlJc w:val="left"/>
      <w:pPr>
        <w:tabs>
          <w:tab w:val="num" w:pos="3600"/>
        </w:tabs>
        <w:ind w:left="3600" w:hanging="360"/>
      </w:pPr>
      <w:rPr>
        <w:rFonts w:ascii="Courier New" w:hAnsi="Courier New" w:hint="default"/>
      </w:rPr>
    </w:lvl>
    <w:lvl w:ilvl="2" w:tplc="52A048E8" w:tentative="1">
      <w:start w:val="1"/>
      <w:numFmt w:val="bullet"/>
      <w:lvlText w:val=""/>
      <w:lvlJc w:val="left"/>
      <w:pPr>
        <w:tabs>
          <w:tab w:val="num" w:pos="4320"/>
        </w:tabs>
        <w:ind w:left="4320" w:hanging="360"/>
      </w:pPr>
      <w:rPr>
        <w:rFonts w:ascii="Wingdings" w:hAnsi="Wingdings" w:hint="default"/>
      </w:rPr>
    </w:lvl>
    <w:lvl w:ilvl="3" w:tplc="5D68D132">
      <w:start w:val="1"/>
      <w:numFmt w:val="bullet"/>
      <w:lvlText w:val=""/>
      <w:lvlJc w:val="left"/>
      <w:pPr>
        <w:tabs>
          <w:tab w:val="num" w:pos="5040"/>
        </w:tabs>
        <w:ind w:left="5040" w:hanging="360"/>
      </w:pPr>
      <w:rPr>
        <w:rFonts w:ascii="Symbol" w:hAnsi="Symbol" w:hint="default"/>
      </w:rPr>
    </w:lvl>
    <w:lvl w:ilvl="4" w:tplc="ECF03438" w:tentative="1">
      <w:start w:val="1"/>
      <w:numFmt w:val="bullet"/>
      <w:lvlText w:val="o"/>
      <w:lvlJc w:val="left"/>
      <w:pPr>
        <w:tabs>
          <w:tab w:val="num" w:pos="5760"/>
        </w:tabs>
        <w:ind w:left="5760" w:hanging="360"/>
      </w:pPr>
      <w:rPr>
        <w:rFonts w:ascii="Courier New" w:hAnsi="Courier New" w:hint="default"/>
      </w:rPr>
    </w:lvl>
    <w:lvl w:ilvl="5" w:tplc="96585B50" w:tentative="1">
      <w:start w:val="1"/>
      <w:numFmt w:val="bullet"/>
      <w:lvlText w:val=""/>
      <w:lvlJc w:val="left"/>
      <w:pPr>
        <w:tabs>
          <w:tab w:val="num" w:pos="6480"/>
        </w:tabs>
        <w:ind w:left="6480" w:hanging="360"/>
      </w:pPr>
      <w:rPr>
        <w:rFonts w:ascii="Wingdings" w:hAnsi="Wingdings" w:hint="default"/>
      </w:rPr>
    </w:lvl>
    <w:lvl w:ilvl="6" w:tplc="975E96D6" w:tentative="1">
      <w:start w:val="1"/>
      <w:numFmt w:val="bullet"/>
      <w:lvlText w:val=""/>
      <w:lvlJc w:val="left"/>
      <w:pPr>
        <w:tabs>
          <w:tab w:val="num" w:pos="7200"/>
        </w:tabs>
        <w:ind w:left="7200" w:hanging="360"/>
      </w:pPr>
      <w:rPr>
        <w:rFonts w:ascii="Symbol" w:hAnsi="Symbol" w:hint="default"/>
      </w:rPr>
    </w:lvl>
    <w:lvl w:ilvl="7" w:tplc="1DE41930" w:tentative="1">
      <w:start w:val="1"/>
      <w:numFmt w:val="bullet"/>
      <w:lvlText w:val="o"/>
      <w:lvlJc w:val="left"/>
      <w:pPr>
        <w:tabs>
          <w:tab w:val="num" w:pos="7920"/>
        </w:tabs>
        <w:ind w:left="7920" w:hanging="360"/>
      </w:pPr>
      <w:rPr>
        <w:rFonts w:ascii="Courier New" w:hAnsi="Courier New" w:hint="default"/>
      </w:rPr>
    </w:lvl>
    <w:lvl w:ilvl="8" w:tplc="CF94FC7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B6C971E">
      <w:start w:val="1"/>
      <w:numFmt w:val="upperRoman"/>
      <w:lvlText w:val="%1."/>
      <w:lvlJc w:val="left"/>
      <w:pPr>
        <w:tabs>
          <w:tab w:val="num" w:pos="0"/>
        </w:tabs>
        <w:ind w:left="0" w:hanging="360"/>
      </w:pPr>
      <w:rPr>
        <w:rFonts w:hint="default"/>
      </w:rPr>
    </w:lvl>
    <w:lvl w:ilvl="1" w:tplc="ECBC8974" w:tentative="1">
      <w:start w:val="1"/>
      <w:numFmt w:val="lowerLetter"/>
      <w:lvlText w:val="%2."/>
      <w:lvlJc w:val="left"/>
      <w:pPr>
        <w:tabs>
          <w:tab w:val="num" w:pos="1440"/>
        </w:tabs>
        <w:ind w:left="1440" w:hanging="360"/>
      </w:pPr>
    </w:lvl>
    <w:lvl w:ilvl="2" w:tplc="BE4CE224" w:tentative="1">
      <w:start w:val="1"/>
      <w:numFmt w:val="lowerRoman"/>
      <w:lvlText w:val="%3."/>
      <w:lvlJc w:val="right"/>
      <w:pPr>
        <w:tabs>
          <w:tab w:val="num" w:pos="2160"/>
        </w:tabs>
        <w:ind w:left="2160" w:hanging="180"/>
      </w:pPr>
    </w:lvl>
    <w:lvl w:ilvl="3" w:tplc="1B1A3BA0" w:tentative="1">
      <w:start w:val="1"/>
      <w:numFmt w:val="decimal"/>
      <w:lvlText w:val="%4."/>
      <w:lvlJc w:val="left"/>
      <w:pPr>
        <w:tabs>
          <w:tab w:val="num" w:pos="2880"/>
        </w:tabs>
        <w:ind w:left="2880" w:hanging="360"/>
      </w:pPr>
    </w:lvl>
    <w:lvl w:ilvl="4" w:tplc="C214F832" w:tentative="1">
      <w:start w:val="1"/>
      <w:numFmt w:val="lowerLetter"/>
      <w:lvlText w:val="%5."/>
      <w:lvlJc w:val="left"/>
      <w:pPr>
        <w:tabs>
          <w:tab w:val="num" w:pos="3600"/>
        </w:tabs>
        <w:ind w:left="3600" w:hanging="360"/>
      </w:pPr>
    </w:lvl>
    <w:lvl w:ilvl="5" w:tplc="3A4E2B00" w:tentative="1">
      <w:start w:val="1"/>
      <w:numFmt w:val="lowerRoman"/>
      <w:lvlText w:val="%6."/>
      <w:lvlJc w:val="right"/>
      <w:pPr>
        <w:tabs>
          <w:tab w:val="num" w:pos="4320"/>
        </w:tabs>
        <w:ind w:left="4320" w:hanging="180"/>
      </w:pPr>
    </w:lvl>
    <w:lvl w:ilvl="6" w:tplc="0B4A85AE" w:tentative="1">
      <w:start w:val="1"/>
      <w:numFmt w:val="decimal"/>
      <w:lvlText w:val="%7."/>
      <w:lvlJc w:val="left"/>
      <w:pPr>
        <w:tabs>
          <w:tab w:val="num" w:pos="5040"/>
        </w:tabs>
        <w:ind w:left="5040" w:hanging="360"/>
      </w:pPr>
    </w:lvl>
    <w:lvl w:ilvl="7" w:tplc="0882B8AA" w:tentative="1">
      <w:start w:val="1"/>
      <w:numFmt w:val="lowerLetter"/>
      <w:lvlText w:val="%8."/>
      <w:lvlJc w:val="left"/>
      <w:pPr>
        <w:tabs>
          <w:tab w:val="num" w:pos="5760"/>
        </w:tabs>
        <w:ind w:left="5760" w:hanging="360"/>
      </w:pPr>
    </w:lvl>
    <w:lvl w:ilvl="8" w:tplc="DDB288F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57E8CBB6">
      <w:start w:val="1"/>
      <w:numFmt w:val="bullet"/>
      <w:lvlText w:val=""/>
      <w:lvlJc w:val="left"/>
      <w:pPr>
        <w:tabs>
          <w:tab w:val="num" w:pos="720"/>
        </w:tabs>
        <w:ind w:left="720" w:hanging="360"/>
      </w:pPr>
      <w:rPr>
        <w:rFonts w:ascii="Symbol" w:hAnsi="Symbol" w:hint="default"/>
      </w:rPr>
    </w:lvl>
    <w:lvl w:ilvl="1" w:tplc="C33A2642" w:tentative="1">
      <w:start w:val="1"/>
      <w:numFmt w:val="bullet"/>
      <w:lvlText w:val="o"/>
      <w:lvlJc w:val="left"/>
      <w:pPr>
        <w:tabs>
          <w:tab w:val="num" w:pos="1440"/>
        </w:tabs>
        <w:ind w:left="1440" w:hanging="360"/>
      </w:pPr>
      <w:rPr>
        <w:rFonts w:ascii="Courier New" w:hAnsi="Courier New" w:hint="default"/>
      </w:rPr>
    </w:lvl>
    <w:lvl w:ilvl="2" w:tplc="2E92041A" w:tentative="1">
      <w:start w:val="1"/>
      <w:numFmt w:val="bullet"/>
      <w:lvlText w:val=""/>
      <w:lvlJc w:val="left"/>
      <w:pPr>
        <w:tabs>
          <w:tab w:val="num" w:pos="2160"/>
        </w:tabs>
        <w:ind w:left="2160" w:hanging="360"/>
      </w:pPr>
      <w:rPr>
        <w:rFonts w:ascii="Wingdings" w:hAnsi="Wingdings" w:hint="default"/>
      </w:rPr>
    </w:lvl>
    <w:lvl w:ilvl="3" w:tplc="DA0222F8" w:tentative="1">
      <w:start w:val="1"/>
      <w:numFmt w:val="bullet"/>
      <w:lvlText w:val=""/>
      <w:lvlJc w:val="left"/>
      <w:pPr>
        <w:tabs>
          <w:tab w:val="num" w:pos="2880"/>
        </w:tabs>
        <w:ind w:left="2880" w:hanging="360"/>
      </w:pPr>
      <w:rPr>
        <w:rFonts w:ascii="Symbol" w:hAnsi="Symbol" w:hint="default"/>
      </w:rPr>
    </w:lvl>
    <w:lvl w:ilvl="4" w:tplc="EDE2804E" w:tentative="1">
      <w:start w:val="1"/>
      <w:numFmt w:val="bullet"/>
      <w:lvlText w:val="o"/>
      <w:lvlJc w:val="left"/>
      <w:pPr>
        <w:tabs>
          <w:tab w:val="num" w:pos="3600"/>
        </w:tabs>
        <w:ind w:left="3600" w:hanging="360"/>
      </w:pPr>
      <w:rPr>
        <w:rFonts w:ascii="Courier New" w:hAnsi="Courier New" w:hint="default"/>
      </w:rPr>
    </w:lvl>
    <w:lvl w:ilvl="5" w:tplc="A4746074" w:tentative="1">
      <w:start w:val="1"/>
      <w:numFmt w:val="bullet"/>
      <w:lvlText w:val=""/>
      <w:lvlJc w:val="left"/>
      <w:pPr>
        <w:tabs>
          <w:tab w:val="num" w:pos="4320"/>
        </w:tabs>
        <w:ind w:left="4320" w:hanging="360"/>
      </w:pPr>
      <w:rPr>
        <w:rFonts w:ascii="Wingdings" w:hAnsi="Wingdings" w:hint="default"/>
      </w:rPr>
    </w:lvl>
    <w:lvl w:ilvl="6" w:tplc="9DA2FE64" w:tentative="1">
      <w:start w:val="1"/>
      <w:numFmt w:val="bullet"/>
      <w:lvlText w:val=""/>
      <w:lvlJc w:val="left"/>
      <w:pPr>
        <w:tabs>
          <w:tab w:val="num" w:pos="5040"/>
        </w:tabs>
        <w:ind w:left="5040" w:hanging="360"/>
      </w:pPr>
      <w:rPr>
        <w:rFonts w:ascii="Symbol" w:hAnsi="Symbol" w:hint="default"/>
      </w:rPr>
    </w:lvl>
    <w:lvl w:ilvl="7" w:tplc="C83408D8" w:tentative="1">
      <w:start w:val="1"/>
      <w:numFmt w:val="bullet"/>
      <w:lvlText w:val="o"/>
      <w:lvlJc w:val="left"/>
      <w:pPr>
        <w:tabs>
          <w:tab w:val="num" w:pos="5760"/>
        </w:tabs>
        <w:ind w:left="5760" w:hanging="360"/>
      </w:pPr>
      <w:rPr>
        <w:rFonts w:ascii="Courier New" w:hAnsi="Courier New" w:hint="default"/>
      </w:rPr>
    </w:lvl>
    <w:lvl w:ilvl="8" w:tplc="BB60D1E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81899E4">
      <w:start w:val="6"/>
      <w:numFmt w:val="lowerRoman"/>
      <w:lvlText w:val="(%1)"/>
      <w:lvlJc w:val="left"/>
      <w:pPr>
        <w:tabs>
          <w:tab w:val="num" w:pos="1440"/>
        </w:tabs>
        <w:ind w:left="1440" w:hanging="720"/>
      </w:pPr>
      <w:rPr>
        <w:rFonts w:hint="default"/>
        <w:u w:val="double"/>
      </w:rPr>
    </w:lvl>
    <w:lvl w:ilvl="1" w:tplc="591E6032" w:tentative="1">
      <w:start w:val="1"/>
      <w:numFmt w:val="lowerLetter"/>
      <w:lvlText w:val="%2."/>
      <w:lvlJc w:val="left"/>
      <w:pPr>
        <w:tabs>
          <w:tab w:val="num" w:pos="1800"/>
        </w:tabs>
        <w:ind w:left="1800" w:hanging="360"/>
      </w:pPr>
    </w:lvl>
    <w:lvl w:ilvl="2" w:tplc="EF58884A" w:tentative="1">
      <w:start w:val="1"/>
      <w:numFmt w:val="lowerRoman"/>
      <w:lvlText w:val="%3."/>
      <w:lvlJc w:val="right"/>
      <w:pPr>
        <w:tabs>
          <w:tab w:val="num" w:pos="2520"/>
        </w:tabs>
        <w:ind w:left="2520" w:hanging="180"/>
      </w:pPr>
    </w:lvl>
    <w:lvl w:ilvl="3" w:tplc="E8F20CF8" w:tentative="1">
      <w:start w:val="1"/>
      <w:numFmt w:val="decimal"/>
      <w:lvlText w:val="%4."/>
      <w:lvlJc w:val="left"/>
      <w:pPr>
        <w:tabs>
          <w:tab w:val="num" w:pos="3240"/>
        </w:tabs>
        <w:ind w:left="3240" w:hanging="360"/>
      </w:pPr>
    </w:lvl>
    <w:lvl w:ilvl="4" w:tplc="D5A6E7EC" w:tentative="1">
      <w:start w:val="1"/>
      <w:numFmt w:val="lowerLetter"/>
      <w:lvlText w:val="%5."/>
      <w:lvlJc w:val="left"/>
      <w:pPr>
        <w:tabs>
          <w:tab w:val="num" w:pos="3960"/>
        </w:tabs>
        <w:ind w:left="3960" w:hanging="360"/>
      </w:pPr>
    </w:lvl>
    <w:lvl w:ilvl="5" w:tplc="E1B6BDE6" w:tentative="1">
      <w:start w:val="1"/>
      <w:numFmt w:val="lowerRoman"/>
      <w:lvlText w:val="%6."/>
      <w:lvlJc w:val="right"/>
      <w:pPr>
        <w:tabs>
          <w:tab w:val="num" w:pos="4680"/>
        </w:tabs>
        <w:ind w:left="4680" w:hanging="180"/>
      </w:pPr>
    </w:lvl>
    <w:lvl w:ilvl="6" w:tplc="C47C50C6" w:tentative="1">
      <w:start w:val="1"/>
      <w:numFmt w:val="decimal"/>
      <w:lvlText w:val="%7."/>
      <w:lvlJc w:val="left"/>
      <w:pPr>
        <w:tabs>
          <w:tab w:val="num" w:pos="5400"/>
        </w:tabs>
        <w:ind w:left="5400" w:hanging="360"/>
      </w:pPr>
    </w:lvl>
    <w:lvl w:ilvl="7" w:tplc="2A601626" w:tentative="1">
      <w:start w:val="1"/>
      <w:numFmt w:val="lowerLetter"/>
      <w:lvlText w:val="%8."/>
      <w:lvlJc w:val="left"/>
      <w:pPr>
        <w:tabs>
          <w:tab w:val="num" w:pos="6120"/>
        </w:tabs>
        <w:ind w:left="6120" w:hanging="360"/>
      </w:pPr>
    </w:lvl>
    <w:lvl w:ilvl="8" w:tplc="F1AE25A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2C"/>
    <w:rsid w:val="002F692C"/>
    <w:rsid w:val="0096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45AEE-A141-4EE4-9D6D-1A8240FA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16726</Words>
  <Characters>95339</Characters>
  <Application>Microsoft Office Word</Application>
  <DocSecurity>4</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2021-03-03T20:00:00Z</dcterms:created>
  <dcterms:modified xsi:type="dcterms:W3CDTF">2021-03-03T20:00:00Z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