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3507FE" w:rsidP="00C32B72">
      <w:pPr>
        <w:pStyle w:val="Heading2"/>
      </w:pPr>
      <w:bookmarkStart w:id="0" w:name="_Toc261445998"/>
      <w:r>
        <w:t>2</w:t>
      </w:r>
      <w:r w:rsidRPr="00134068">
        <w:t>.</w:t>
      </w:r>
      <w:r>
        <w:t>6</w:t>
      </w:r>
      <w:r w:rsidRPr="00134068">
        <w:tab/>
        <w:t xml:space="preserve">Definitions - </w:t>
      </w:r>
      <w:r>
        <w:t>F</w:t>
      </w:r>
      <w:bookmarkEnd w:id="0"/>
    </w:p>
    <w:p w:rsidR="0058348D" w:rsidRDefault="003507FE" w:rsidP="003C0CCC">
      <w:pPr>
        <w:pStyle w:val="Definition"/>
      </w:pPr>
      <w:r>
        <w:rPr>
          <w:b/>
          <w:bCs/>
        </w:rPr>
        <w:t>Facility Flow-Based Methodology</w:t>
      </w:r>
      <w:r>
        <w:t xml:space="preserve">: </w:t>
      </w:r>
      <w:r>
        <w:t xml:space="preserve">The methodology, </w:t>
      </w:r>
      <w:r w:rsidRPr="000D5C5E">
        <w:t xml:space="preserve">as described in Section </w:t>
      </w:r>
      <w:r w:rsidRPr="000D5C5E">
        <w:t>17.5.</w:t>
      </w:r>
      <w:r w:rsidRPr="000D5C5E">
        <w:t>3.7 of Attachment B, used to allocate Net Auction Revenue among Tr</w:t>
      </w:r>
      <w:r>
        <w:t>ansmission Owners.</w:t>
      </w:r>
    </w:p>
    <w:p w:rsidR="0058348D" w:rsidRDefault="003507FE" w:rsidP="003C0CCC">
      <w:pPr>
        <w:pStyle w:val="Definition"/>
      </w:pPr>
      <w:r>
        <w:rPr>
          <w:b/>
          <w:bCs/>
        </w:rPr>
        <w:t>Federal Power Act (“FPA”)</w:t>
      </w:r>
      <w:r>
        <w:t xml:space="preserve">: </w:t>
      </w:r>
      <w:r>
        <w:t xml:space="preserve">The Federal Power Act, as </w:t>
      </w:r>
      <w:r w:rsidRPr="003C0CCC">
        <w:rPr>
          <w:bCs/>
          <w:iCs/>
        </w:rPr>
        <w:t>may</w:t>
      </w:r>
      <w:r>
        <w:t xml:space="preserve"> be amended from time</w:t>
      </w:r>
      <w:r>
        <w:noBreakHyphen/>
        <w:t>to</w:t>
      </w:r>
      <w:r>
        <w:noBreakHyphen/>
        <w:t>time (</w:t>
      </w:r>
      <w:r>
        <w:rPr>
          <w:u w:val="single"/>
        </w:rPr>
        <w:t>See</w:t>
      </w:r>
      <w:r>
        <w:t xml:space="preserve"> 16 U.S.C. § 796</w:t>
      </w:r>
      <w:r>
        <w:t xml:space="preserve">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</w:t>
      </w:r>
      <w:r>
        <w:t>.).</w:t>
      </w:r>
    </w:p>
    <w:p w:rsidR="0058348D" w:rsidRDefault="003507FE" w:rsidP="003C0CCC">
      <w:pPr>
        <w:pStyle w:val="Definition"/>
        <w:rPr>
          <w:b/>
        </w:rPr>
      </w:pPr>
      <w:r>
        <w:rPr>
          <w:b/>
        </w:rPr>
        <w:t>Firm Point</w:t>
      </w:r>
      <w:r>
        <w:rPr>
          <w:b/>
        </w:rPr>
        <w:noBreakHyphen/>
        <w:t>To</w:t>
      </w:r>
      <w:r>
        <w:rPr>
          <w:b/>
        </w:rPr>
        <w:noBreakHyphen/>
        <w:t>Point Transmission Service</w:t>
      </w:r>
      <w:r>
        <w:t xml:space="preserve">: </w:t>
      </w:r>
      <w:r>
        <w:t>Transmission Service under this Tariff that is scheduled between specified Points of Receipt and Delivery pursuant to the ISO OATT.  Firm Point</w:t>
      </w:r>
      <w:r>
        <w:noBreakHyphen/>
        <w:t>To</w:t>
      </w:r>
      <w:r>
        <w:noBreakHyphen/>
        <w:t xml:space="preserve">Point </w:t>
      </w:r>
      <w:r>
        <w:t>Transmission Service is service for which the Transmission Customer has agreed to pay the Congestion associated with its service.  A Transmission Customer may fix the price of Congestion associated with its Firm Point</w:t>
      </w:r>
      <w:r>
        <w:noBreakHyphen/>
        <w:t>To</w:t>
      </w:r>
      <w:r>
        <w:noBreakHyphen/>
        <w:t>Point Transmission Service by acqui</w:t>
      </w:r>
      <w:r>
        <w:t>ring sufficient TCCs with the same Points of Receipt and Delivery as its Transmission Service.</w:t>
      </w:r>
    </w:p>
    <w:p w:rsidR="0058348D" w:rsidRDefault="003507FE" w:rsidP="003C0CCC">
      <w:pPr>
        <w:pStyle w:val="Definition"/>
      </w:pPr>
      <w:r>
        <w:rPr>
          <w:b/>
        </w:rPr>
        <w:t>Firm Transmission Service</w:t>
      </w:r>
      <w:r>
        <w:t xml:space="preserve">: </w:t>
      </w:r>
      <w:r>
        <w:t>Transmission service reque</w:t>
      </w:r>
      <w:r w:rsidRPr="003C0CCC">
        <w:rPr>
          <w:bCs/>
          <w:iCs/>
        </w:rPr>
        <w:t>s</w:t>
      </w:r>
      <w:r>
        <w:t xml:space="preserve">ted by a Transmission Customer willing to pay Congestion </w:t>
      </w:r>
      <w:r w:rsidRPr="003C0CCC">
        <w:rPr>
          <w:bCs/>
          <w:iCs/>
        </w:rPr>
        <w:t>Rent</w:t>
      </w:r>
      <w:r>
        <w:t>.</w:t>
      </w:r>
    </w:p>
    <w:p w:rsidR="00431597" w:rsidRDefault="003507FE" w:rsidP="003C0CCC">
      <w:pPr>
        <w:pStyle w:val="Definition"/>
      </w:pPr>
      <w:r>
        <w:rPr>
          <w:b/>
        </w:rPr>
        <w:t>First Settlement</w:t>
      </w:r>
      <w:r>
        <w:t xml:space="preserve">: </w:t>
      </w:r>
      <w:r>
        <w:t>The process of establishin</w:t>
      </w:r>
      <w:r>
        <w:t>g binding financial commitments on the part of Customers participating in the Day</w:t>
      </w:r>
      <w:r>
        <w:noBreakHyphen/>
        <w:t>Ahead Market based on Day</w:t>
      </w:r>
      <w:r>
        <w:noBreakHyphen/>
        <w:t>Ahead LBMP.</w:t>
      </w:r>
    </w:p>
    <w:p w:rsidR="00431597" w:rsidRDefault="003507FE" w:rsidP="003C0CCC">
      <w:pPr>
        <w:pStyle w:val="Definition"/>
      </w:pPr>
      <w:r w:rsidRPr="0019246A">
        <w:rPr>
          <w:b/>
        </w:rPr>
        <w:t>Fixed Block Unit</w:t>
      </w:r>
      <w:r w:rsidRPr="0019246A">
        <w:rPr>
          <w:b/>
        </w:rPr>
        <w:t xml:space="preserve">: </w:t>
      </w:r>
      <w:r>
        <w:t>A unit that, due to operational characteristics, can only be dispatched in one of two states: either turned completely</w:t>
      </w:r>
      <w:r>
        <w:t xml:space="preserve"> off, or turned on and run at a fixed capacity level.</w:t>
      </w:r>
    </w:p>
    <w:p w:rsidR="00431597" w:rsidRPr="002A51A7" w:rsidRDefault="003507FE" w:rsidP="003C0CCC">
      <w:pPr>
        <w:pStyle w:val="Definition"/>
      </w:pPr>
      <w:r w:rsidRPr="002A51A7">
        <w:rPr>
          <w:b/>
        </w:rPr>
        <w:t>Fixed Price TCC</w:t>
      </w:r>
      <w:r>
        <w:t xml:space="preserve">: </w:t>
      </w:r>
      <w:r w:rsidRPr="002A51A7">
        <w:t xml:space="preserve">A series of TCCs, each with a </w:t>
      </w:r>
      <w:r w:rsidRPr="003C0CCC">
        <w:rPr>
          <w:bCs/>
          <w:iCs/>
        </w:rPr>
        <w:t>duration</w:t>
      </w:r>
      <w:r w:rsidRPr="002A51A7">
        <w:t xml:space="preserve"> of one year, renewable annually for a period of at least five years at a fixed price that is obtained through the conversion of expired or expirin</w:t>
      </w:r>
      <w:r w:rsidRPr="002A51A7">
        <w:t xml:space="preserve">g ETAs in accordance with </w:t>
      </w:r>
      <w:r w:rsidRPr="000D4196">
        <w:t xml:space="preserve">Section </w:t>
      </w:r>
      <w:r>
        <w:t>19.2.1</w:t>
      </w:r>
      <w:r w:rsidRPr="002A51A7">
        <w:t xml:space="preserve"> </w:t>
      </w:r>
      <w:r w:rsidRPr="002A51A7">
        <w:t xml:space="preserve">of Attachment </w:t>
      </w:r>
      <w:r>
        <w:t>M</w:t>
      </w:r>
      <w:r w:rsidRPr="002A51A7">
        <w:t xml:space="preserve"> of th</w:t>
      </w:r>
      <w:r>
        <w:t>e</w:t>
      </w:r>
      <w:r w:rsidRPr="002A51A7">
        <w:t xml:space="preserve"> </w:t>
      </w:r>
      <w:r>
        <w:t>ISO OATT</w:t>
      </w:r>
      <w:r w:rsidRPr="002A51A7">
        <w:t>.</w:t>
      </w:r>
    </w:p>
    <w:p w:rsidR="00C9509C" w:rsidRDefault="003507FE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5D" w:rsidRDefault="002A695D" w:rsidP="002A695D">
      <w:pPr>
        <w:spacing w:after="0" w:line="240" w:lineRule="auto"/>
      </w:pPr>
      <w:r>
        <w:separator/>
      </w:r>
    </w:p>
  </w:endnote>
  <w:endnote w:type="continuationSeparator" w:id="0">
    <w:p w:rsidR="002A695D" w:rsidRDefault="002A695D" w:rsidP="002A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5D" w:rsidRDefault="003507F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A695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A695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5D" w:rsidRDefault="003507F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</w:t>
    </w:r>
    <w:r>
      <w:rPr>
        <w:rFonts w:ascii="Arial" w:eastAsia="Arial" w:hAnsi="Arial" w:cs="Arial"/>
        <w:color w:val="000000"/>
        <w:sz w:val="16"/>
      </w:rPr>
      <w:t xml:space="preserve">57-000 - Page </w:t>
    </w:r>
    <w:r w:rsidR="002A695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A695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5D" w:rsidRDefault="003507F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A695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A695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5D" w:rsidRDefault="002A695D" w:rsidP="002A695D">
      <w:pPr>
        <w:spacing w:after="0" w:line="240" w:lineRule="auto"/>
      </w:pPr>
      <w:r>
        <w:separator/>
      </w:r>
    </w:p>
  </w:footnote>
  <w:footnote w:type="continuationSeparator" w:id="0">
    <w:p w:rsidR="002A695D" w:rsidRDefault="002A695D" w:rsidP="002A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5D" w:rsidRDefault="003507F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 MST Definitions --&gt; 2.6 MST </w:t>
    </w:r>
    <w:r>
      <w:rPr>
        <w:rFonts w:ascii="Arial" w:eastAsia="Arial" w:hAnsi="Arial" w:cs="Arial"/>
        <w:color w:val="000000"/>
        <w:sz w:val="16"/>
      </w:rPr>
      <w:t>Definitions - 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5D" w:rsidRDefault="003507F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5D" w:rsidRDefault="003507F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662E4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21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48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0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E84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A67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E5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A0C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6C7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44F4CC6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96E16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8076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28B3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C449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24EA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D6E8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5E5C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18B3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72C4635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A03A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925E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145C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96F2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02B9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B87E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14CE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4AA0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4426F94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AB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F21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67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08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7EF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8D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E3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503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9404FDF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1070F31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7BEB6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32A0E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8027F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962618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09A18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F48E8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8781C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DF42A25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AAA002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C129A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3BE9E8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03825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1009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E8D7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17C86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ADC6D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F8E03F0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9637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8CA5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7E2B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700C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E6F8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D467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B686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5AED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D2242BF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B6E7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2AB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1CE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ADE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40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2B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C3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64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7500005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2B224B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3F43A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14861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0D6F9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7EE49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D2C34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B661E2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32ED0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53AEA33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F040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002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68AC8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7BE1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CE62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63A2FB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24208F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9361CA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5F48B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9E1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3CF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22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00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60E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0C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61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FC4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3AC8774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5C56C9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5698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C881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5A11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2894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421E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B4C9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AAFE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95D"/>
    <w:rsid w:val="002A695D"/>
    <w:rsid w:val="0035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7B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A695D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A695D"/>
    <w:rPr>
      <w:sz w:val="16"/>
      <w:szCs w:val="16"/>
    </w:rPr>
  </w:style>
  <w:style w:type="paragraph" w:styleId="CommentText">
    <w:name w:val="annotation text"/>
    <w:basedOn w:val="Normal"/>
    <w:semiHidden/>
    <w:rsid w:val="002A695D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2A695D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2017-12-13T19:29:00Z</dcterms:created>
  <dcterms:modified xsi:type="dcterms:W3CDTF">2017-12-13T19:29:00Z</dcterms:modified>
</cp:coreProperties>
</file>