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BA0A23">
      <w:pPr>
        <w:pStyle w:val="Heading2"/>
      </w:pPr>
      <w:bookmarkStart w:id="0" w:name="_Toc261444341"/>
      <w:r>
        <w:t>1.19</w:t>
      </w:r>
      <w:r>
        <w:tab/>
        <w:t>Definitions - S</w:t>
      </w:r>
      <w:bookmarkEnd w:id="0"/>
    </w:p>
    <w:p w:rsidR="004A724A" w:rsidRDefault="00BA0A23">
      <w:pPr>
        <w:pStyle w:val="Definition"/>
      </w:pPr>
      <w:r>
        <w:rPr>
          <w:b/>
        </w:rPr>
        <w:t>Safe Operations:</w:t>
      </w:r>
      <w:r>
        <w:t xml:space="preserve"> Actions which avoid placing personnel and equipment in peril with regard to the safety of life and equipment damage.</w:t>
      </w:r>
    </w:p>
    <w:p w:rsidR="004A724A" w:rsidRDefault="00BA0A23">
      <w:pPr>
        <w:pStyle w:val="Definition"/>
      </w:pPr>
      <w:r>
        <w:rPr>
          <w:b/>
          <w:bCs/>
        </w:rPr>
        <w:t>Scheduled Energy Injection:</w:t>
      </w:r>
      <w:r>
        <w:t xml:space="preserve"> Energy injections which are scheduled on a real-time basis by RTC.</w:t>
      </w:r>
    </w:p>
    <w:p w:rsidR="00C16007" w:rsidRDefault="00BA0A23"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Withdrawals which are scheduled on a real-time basis by RTC.</w:t>
      </w:r>
    </w:p>
    <w:p w:rsidR="004A724A" w:rsidRDefault="00BA0A23">
      <w:pPr>
        <w:pStyle w:val="Definition"/>
      </w:pPr>
      <w:r w:rsidRPr="002221B3">
        <w:rPr>
          <w:b/>
          <w:bCs/>
        </w:rPr>
        <w:t xml:space="preserve">Scheduled Line: </w:t>
      </w:r>
      <w:r w:rsidRPr="002221B3">
        <w:t>A transmission facility or set of transmission facilities: (a) that provide a distinct scheduling path interconnecting the ISO with an adjacen</w:t>
      </w:r>
      <w:r w:rsidRPr="002221B3">
        <w:t>t control area, (b) over which Customers are permitted to schedule External Transactions, (c) for which the NYISO separately posts TTC and ATC, and (d) for which there is the capability to maintain the Scheduled Line actual interchange at the DNI, or withi</w:t>
      </w:r>
      <w:r w:rsidRPr="002221B3">
        <w:t xml:space="preserve">n the tolerances dictated by Good Utility Practice.  Each Scheduled Line is associated with a distinct Proxy Generator Bus.  Transmission facilities shall only become Scheduled Lines after the Commission accepts for filing revisions to the NYISO’s tariffs </w:t>
      </w:r>
      <w:r w:rsidRPr="002221B3">
        <w:t xml:space="preserve">that identify a specific set or group of transmission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BA0A23">
      <w:pPr>
        <w:pStyle w:val="Definition"/>
      </w:pPr>
      <w:r>
        <w:rPr>
          <w:b/>
        </w:rPr>
        <w:t>SCUC:</w:t>
      </w:r>
      <w:r>
        <w:t xml:space="preserve"> Security Constrained Unit Commitment, described in Atta</w:t>
      </w:r>
      <w:r>
        <w:t>chment C of the Tariff.</w:t>
      </w:r>
    </w:p>
    <w:p w:rsidR="004A724A" w:rsidRDefault="00BA0A23">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w:t>
      </w:r>
      <w:r>
        <w:t>Transmission Customers. Second Contingency Design and Operation criteria do not include the simultaneous loss of two (2) facilities, but rather consider the loss of one (1) facility and the restoration of the system to within acceptable operating parameter</w:t>
      </w:r>
      <w:r>
        <w:t>s, prior to the loss of a second facility.  These criteria apply to thermal, voltage and stability limits and are generally equal to or more stringent than NYPP, NPCC and NERC criteria.</w:t>
      </w:r>
    </w:p>
    <w:p w:rsidR="004A724A" w:rsidRDefault="00BA0A23">
      <w:pPr>
        <w:pStyle w:val="Definition"/>
      </w:pPr>
      <w:r>
        <w:rPr>
          <w:b/>
        </w:rPr>
        <w:t>Second Settlement:</w:t>
      </w:r>
      <w:r>
        <w:t xml:space="preserve">  The process of: (1) identifying differences betwee</w:t>
      </w:r>
      <w:r>
        <w:t>n Energy production, Energy consumption or NYS Transmission System usage scheduled in a First Settlement, and the actual production, consumption, or NYS Transmission System usage during the Dispatch Day; and (2) assigning financial responsibility for those</w:t>
      </w:r>
      <w:r>
        <w:t xml:space="preserve"> differences to the appropriate Customers and Market Participants.  Charges for Energy supplied (to replace Generation deficiencies or unscheduled consumption), and payments for Energy consumed (to absorb consumption </w:t>
      </w:r>
      <w:r>
        <w:lastRenderedPageBreak/>
        <w:t>deficiencies or excess Energy supply) o</w:t>
      </w:r>
      <w:r>
        <w:t>r changes in transmission usage will be based on the Real</w:t>
      </w:r>
      <w:r>
        <w:noBreakHyphen/>
        <w:t>Time LBMPs.</w:t>
      </w:r>
    </w:p>
    <w:p w:rsidR="004A724A" w:rsidRDefault="00BA0A23">
      <w:pPr>
        <w:pStyle w:val="Definition"/>
      </w:pPr>
      <w:r>
        <w:rPr>
          <w:b/>
        </w:rPr>
        <w:t>Secondary Holder</w:t>
      </w:r>
      <w:r>
        <w:t>: Entities that purchase TCCs and have not been certified as a Primary Holder by the ISO.</w:t>
      </w:r>
    </w:p>
    <w:p w:rsidR="004A724A" w:rsidRDefault="00BA0A23">
      <w:pPr>
        <w:pStyle w:val="Definition"/>
      </w:pPr>
      <w:r>
        <w:rPr>
          <w:b/>
        </w:rPr>
        <w:t>Secondary Market</w:t>
      </w:r>
      <w:r>
        <w:t>: A market in which Primary and Secondary Holders sell TCCs by m</w:t>
      </w:r>
      <w:r>
        <w:t>echanisms other than through the Centralized TCC Auction, Reconfiguration Auction, or by Direct Sale.</w:t>
      </w:r>
    </w:p>
    <w:p w:rsidR="004A724A" w:rsidRDefault="00BA0A23">
      <w:pPr>
        <w:pStyle w:val="Definition"/>
      </w:pPr>
      <w:r>
        <w:rPr>
          <w:b/>
        </w:rPr>
        <w:t>Security Coordinator</w:t>
      </w:r>
      <w:r>
        <w:t>:  An entity that provides the security assessment and Emergency operations coordination for a group of Control Areas. A Security Coor</w:t>
      </w:r>
      <w:r>
        <w:t>dinator must not participate in the wholesale or retail merchant functions.</w:t>
      </w:r>
    </w:p>
    <w:p w:rsidR="004A724A" w:rsidRDefault="00BA0A23">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BA0A23">
      <w:pPr>
        <w:pStyle w:val="Definition"/>
        <w:rPr>
          <w:bCs/>
        </w:rPr>
      </w:pPr>
      <w:r>
        <w:rPr>
          <w:b/>
        </w:rPr>
        <w:t>Self-Committed Flexible:</w:t>
      </w:r>
      <w:r>
        <w:rPr>
          <w:bCs/>
        </w:rPr>
        <w:t xml:space="preserve">  A bi</w:t>
      </w:r>
      <w:r>
        <w:rPr>
          <w:bCs/>
        </w:rPr>
        <w:t xml:space="preserve">dding mode in which a dispatchable Generator follows Base Point Signals within a portion of its operating range, </w:t>
      </w:r>
      <w:r>
        <w:t>but</w:t>
      </w:r>
      <w:r>
        <w:rPr>
          <w:bCs/>
        </w:rPr>
        <w:t xml:space="preserve"> self-commits.</w:t>
      </w:r>
    </w:p>
    <w:p w:rsidR="004A724A" w:rsidRDefault="00BA0A23">
      <w:pPr>
        <w:pStyle w:val="Definition"/>
      </w:pPr>
      <w:r>
        <w:rPr>
          <w:b/>
        </w:rPr>
        <w:t>Self-Supply:</w:t>
      </w:r>
      <w:r>
        <w:t xml:space="preserve"> The provision of certain Ancillary Services, or the provision of Energy to replace Marginal Losses by a Transmis</w:t>
      </w:r>
      <w:r>
        <w:t>sion Customer using either the Transmission Customer’s own Generators or generation obtained from an entity other than the ISO.</w:t>
      </w:r>
    </w:p>
    <w:p w:rsidR="004A724A" w:rsidRDefault="00BA0A23">
      <w:pPr>
        <w:pStyle w:val="Definition"/>
      </w:pPr>
      <w:r>
        <w:rPr>
          <w:b/>
        </w:rPr>
        <w:t>Service Agreement:</w:t>
      </w:r>
      <w:r>
        <w:t xml:space="preserve"> The initial agreement and any amendments or supplements thereto entered into by the Transmission Customer and</w:t>
      </w:r>
      <w:r>
        <w:t xml:space="preserve"> the ISO for service under the Tariff or any unexecuted Service Agreement, amendments on supplements thereto, that the ISO unilaterally files with the Commission.   </w:t>
      </w:r>
    </w:p>
    <w:p w:rsidR="004A724A" w:rsidRDefault="00BA0A23">
      <w:pPr>
        <w:pStyle w:val="Definition"/>
      </w:pPr>
      <w:r>
        <w:rPr>
          <w:b/>
        </w:rPr>
        <w:t xml:space="preserve">Service Commencement Date:  </w:t>
      </w:r>
      <w:r>
        <w:t>The date the ISO begins to provide service pursuant to the ter</w:t>
      </w:r>
      <w:r>
        <w:t>ms of an executed Service Agreement, or the date the ISO begins to provide service in accordance with Section 3.3.3 or Section 4.2.1 under the Tariff.</w:t>
      </w:r>
    </w:p>
    <w:p w:rsidR="004A724A" w:rsidRDefault="00BA0A23">
      <w:pPr>
        <w:pStyle w:val="Definition"/>
      </w:pPr>
      <w:r>
        <w:rPr>
          <w:b/>
        </w:rPr>
        <w:t xml:space="preserve">Settlement:  </w:t>
      </w:r>
      <w:r>
        <w:t>The process of determining the charges to be paid to, or by a Transmission Customer to satis</w:t>
      </w:r>
      <w:r>
        <w:t>fy its obligations</w:t>
      </w:r>
    </w:p>
    <w:p w:rsidR="004A724A" w:rsidRDefault="00BA0A23">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rsidRDefault="00BA0A23">
      <w:pPr>
        <w:pStyle w:val="Definition"/>
      </w:pPr>
      <w:r>
        <w:rPr>
          <w:b/>
        </w:rPr>
        <w:lastRenderedPageBreak/>
        <w:t xml:space="preserve">Shift Factor (“SF”): </w:t>
      </w:r>
      <w:r>
        <w:t>A ratio, calculated by the IS</w:t>
      </w:r>
      <w:r>
        <w:t>O, that compares the change in power flow through a transmission facility resulting from the incremental injection and withdrawal of power on the NYS Transmission System.</w:t>
      </w:r>
    </w:p>
    <w:p w:rsidR="004A724A" w:rsidRDefault="00BA0A23">
      <w:pPr>
        <w:pStyle w:val="Definition"/>
      </w:pPr>
      <w:r>
        <w:rPr>
          <w:b/>
        </w:rPr>
        <w:t>Short-Term Firm Point-To-Point Transmission Service:</w:t>
      </w:r>
      <w:r>
        <w:t xml:space="preserve">  Firm Point-to-Point Service, th</w:t>
      </w:r>
      <w:r>
        <w:t xml:space="preserve">e price of which is fixed for a short term by a Transmission Customer acquiring sufficient TCCs with the same Points of Receipt and Delivery as its Transmission Service. </w:t>
      </w:r>
    </w:p>
    <w:p w:rsidR="004A724A" w:rsidRDefault="00BA0A23">
      <w:pPr>
        <w:pStyle w:val="Definition"/>
        <w:rPr>
          <w:bCs/>
        </w:rPr>
      </w:pPr>
      <w:r w:rsidRPr="002221B3">
        <w:rPr>
          <w:b/>
        </w:rPr>
        <w:t>Sink Price Cap Bid:</w:t>
      </w:r>
      <w:r w:rsidRPr="002221B3">
        <w:rPr>
          <w:bCs/>
        </w:rPr>
        <w:t xml:space="preserve">  A monotonically increasing Bid curve provided by an entity engag</w:t>
      </w:r>
      <w:r w:rsidRPr="002221B3">
        <w:rPr>
          <w:bCs/>
        </w:rPr>
        <w:t xml:space="preserve">ed in an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w:t>
      </w:r>
      <w:r w:rsidRPr="002221B3">
        <w:t>rve represent the desired increments of Energy that the entity is willing to purchase at various price points</w:t>
      </w:r>
      <w:r w:rsidRPr="002221B3">
        <w:rPr>
          <w:bCs/>
        </w:rPr>
        <w:t>.</w:t>
      </w:r>
    </w:p>
    <w:p w:rsidR="009B4574" w:rsidRPr="002221B3" w:rsidRDefault="00BA0A23">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BA0A23">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w:t>
      </w:r>
      <w:r>
        <w:rPr>
          <w:bCs/>
          <w:szCs w:val="24"/>
        </w:rPr>
        <w:t xml:space="preserve">er-market “seams” issues with </w:t>
      </w:r>
      <w:r>
        <w:rPr>
          <w:bCs/>
        </w:rPr>
        <w:t>neighboring</w:t>
      </w:r>
      <w:r>
        <w:rPr>
          <w:bCs/>
          <w:szCs w:val="24"/>
        </w:rPr>
        <w:t xml:space="preserve"> control area operators.</w:t>
      </w:r>
      <w:r>
        <w:rPr>
          <w:b/>
          <w:bCs/>
          <w:szCs w:val="24"/>
        </w:rPr>
        <w:t xml:space="preserve">  </w:t>
      </w:r>
    </w:p>
    <w:p w:rsidR="004A724A" w:rsidRDefault="00BA0A23">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w:t>
      </w:r>
      <w:r>
        <w:rPr>
          <w:bCs/>
        </w:rPr>
        <w:t xml:space="preserve">te or a Demand Side </w:t>
      </w:r>
      <w:r>
        <w:t>Resource</w:t>
      </w:r>
      <w:r>
        <w:rPr>
          <w:bCs/>
        </w:rPr>
        <w:t xml:space="preserve"> from a level of no Demand Reduction to its specified minimum level of Demand Reduction.</w:t>
      </w:r>
    </w:p>
    <w:p w:rsidR="004A724A" w:rsidRDefault="00BA0A23">
      <w:pPr>
        <w:pStyle w:val="BodyTextIndent3"/>
        <w:widowControl w:val="0"/>
        <w:spacing w:after="240" w:line="240" w:lineRule="auto"/>
        <w:rPr>
          <w:bCs/>
          <w:snapToGrid w:val="0"/>
          <w:szCs w:val="20"/>
        </w:rPr>
      </w:pPr>
      <w:r>
        <w:rPr>
          <w:bCs/>
          <w:snapToGrid w:val="0"/>
          <w:szCs w:val="20"/>
        </w:rPr>
        <w:t>Start-Up Bids submitted for a Generator that is not able to complete its specified minimum run time (of up to a maximum of 24 hours) within</w:t>
      </w:r>
      <w:r>
        <w:rPr>
          <w:bCs/>
          <w:snapToGrid w:val="0"/>
          <w:szCs w:val="20"/>
        </w:rPr>
        <w:t xml:space="preserve"> the Dispatch Day are expected to include expected net costs related to the hour(s) that a Generator needs to run on the day following the Dispatch Day in order to complete its minimum run time.  The component of the Start-Up Bid that incorporates costs th</w:t>
      </w:r>
      <w:r>
        <w:rPr>
          <w:bCs/>
          <w:snapToGrid w:val="0"/>
          <w:szCs w:val="20"/>
        </w:rPr>
        <w:t>at the Generator expects to incur on the day following the Dispatch Day is expected to reflect the operating costs that the Supplier does not expect to be able to recover through LBMP revenues while operating to meet the Generator’s minimum run time, at th</w:t>
      </w:r>
      <w:r>
        <w:rPr>
          <w:bCs/>
          <w:snapToGrid w:val="0"/>
          <w:szCs w:val="20"/>
        </w:rPr>
        <w:t xml:space="preserve">e minimum operating level Bid for that Generator for the hour of the Dispatch Day in which the Generator is scheduled to start-up.  Settlement rules addressing Start-Up Bids that incorporates costs related to the hours that a Generator needs to run on the </w:t>
      </w:r>
      <w:r>
        <w:rPr>
          <w:bCs/>
          <w:snapToGrid w:val="0"/>
          <w:szCs w:val="20"/>
        </w:rPr>
        <w:t>day following the Dispatch Day on which the Generator is committed are set forth in Attachment C to the ISO Services Tariff.</w:t>
      </w:r>
    </w:p>
    <w:p w:rsidR="004A724A" w:rsidRDefault="00BA0A23">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w:t>
      </w:r>
      <w:r>
        <w:t>e operated in a more conservative manner by reducing transmission transfer limits.</w:t>
      </w:r>
    </w:p>
    <w:p w:rsidR="004A724A" w:rsidRDefault="00BA0A23">
      <w:pPr>
        <w:pStyle w:val="Definition"/>
      </w:pPr>
      <w:r>
        <w:rPr>
          <w:b/>
        </w:rPr>
        <w:t xml:space="preserve">Strandable Costs:  </w:t>
      </w:r>
      <w:r>
        <w:t>Prudent and verifiable expenditures and commitments made pursuant to a Transmission Owner’s legal obligations that are currently recovered in the Transmis</w:t>
      </w:r>
      <w:r>
        <w:t>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w:t>
      </w:r>
      <w:r>
        <w:t xml:space="preserve">mission service suppliers. </w:t>
      </w:r>
    </w:p>
    <w:p w:rsidR="004A724A" w:rsidRDefault="00BA0A23">
      <w:pPr>
        <w:pStyle w:val="Definition"/>
      </w:pPr>
      <w:r>
        <w:rPr>
          <w:b/>
        </w:rPr>
        <w:t xml:space="preserve">Stranded Investment Recovery Charge (“SIRC”):  </w:t>
      </w:r>
      <w:r>
        <w:t>A charge established by a Transmission Owner to recover Strandable Costs.</w:t>
      </w:r>
    </w:p>
    <w:p w:rsidR="004A724A" w:rsidRDefault="00BA0A23">
      <w:pPr>
        <w:pStyle w:val="Definition"/>
      </w:pPr>
      <w:r>
        <w:rPr>
          <w:b/>
        </w:rPr>
        <w:t xml:space="preserve">Sub-Auctions: </w:t>
      </w:r>
      <w:r>
        <w:t xml:space="preserve"> The set of rounds in a given Capability Period Auction in which TCCs of a given duration may be purchased. </w:t>
      </w:r>
    </w:p>
    <w:p w:rsidR="004A724A" w:rsidRDefault="00BA0A23">
      <w:pPr>
        <w:pStyle w:val="Definition"/>
      </w:pPr>
      <w:r>
        <w:rPr>
          <w:b/>
        </w:rPr>
        <w:t>Subzone</w:t>
      </w:r>
      <w:r>
        <w:t>: That portion of a Load Zone in a Transmission Owner’s Transmission District.</w:t>
      </w:r>
    </w:p>
    <w:p w:rsidR="004A724A" w:rsidRDefault="00BA0A23">
      <w:pPr>
        <w:pStyle w:val="Definition"/>
      </w:pPr>
      <w:r>
        <w:rPr>
          <w:b/>
        </w:rPr>
        <w:t xml:space="preserve">Supplier: </w:t>
      </w:r>
      <w:r>
        <w:t>A Party that is supplying the Capacity, Energy and/</w:t>
      </w:r>
      <w:r>
        <w:t>or associated Ancillary Services to be made available under the ISO OATT or the ISO Services Tariff, including Generators and Demand Side Resources that satisfy all applicable ISO requirements.</w:t>
      </w:r>
    </w:p>
    <w:p w:rsidR="004A724A" w:rsidRDefault="00BA0A23">
      <w:pPr>
        <w:pStyle w:val="Definition"/>
      </w:pPr>
      <w:r>
        <w:rPr>
          <w:b/>
        </w:rPr>
        <w:t>Supplemental Event Interval</w:t>
      </w:r>
      <w:r>
        <w:t>: Any RTD interval in which there i</w:t>
      </w:r>
      <w:r>
        <w:t>s a maximum generation pickup or a large event reserve pickup or which is one of the three RTD intervals following the termination of the maximum generation pickup or the large event reserve pickup.</w:t>
      </w:r>
    </w:p>
    <w:p w:rsidR="004A724A" w:rsidRDefault="00BA0A23">
      <w:pPr>
        <w:pStyle w:val="Definition"/>
      </w:pPr>
      <w:r>
        <w:rPr>
          <w:b/>
        </w:rPr>
        <w:t>Supplemental Resource Evaluation (“SRE”):</w:t>
      </w:r>
      <w:r>
        <w:t xml:space="preserve">  A determinatio</w:t>
      </w:r>
      <w:r>
        <w:t>n of the least cost selection of additional Generators, which are to be committed, to meet: (i) changed or local system conditions for the Dispatch Day that may cause the Day-Ahead schedules for the Dispatch Day to be inadequate to meet the reliability req</w:t>
      </w:r>
      <w:r>
        <w:t>uirements of the Transmission Owner’s local system or to meet Load or reliability requirements of the ISO; or (ii) forecast Load and reserve requirements over the six-day period that follows the Dispatch Day.</w:t>
      </w:r>
    </w:p>
    <w:p w:rsidR="004A724A" w:rsidRDefault="00BA0A23">
      <w:pPr>
        <w:pStyle w:val="Definition"/>
      </w:pPr>
      <w:r>
        <w:rPr>
          <w:b/>
        </w:rPr>
        <w:t>System Impact Study:</w:t>
      </w:r>
      <w:r>
        <w:t xml:space="preserve">  An assessment by the ISO </w:t>
      </w:r>
      <w:r>
        <w:t>of (i) the adequacy of the NYS Transmission System to accommodate a request to build facilities in order to create incremental transfer capability, resulting in incremental TCCs, in connection with a request for either Firm Point-To-Point Transmission Serv</w:t>
      </w:r>
      <w:r>
        <w:t>ice or Network Integration Transmission Service; and (ii) the additional costs to be incurred in order to provide the incremental transfer capability.</w:t>
      </w:r>
    </w:p>
    <w:sectPr w:rsidR="004A724A" w:rsidSect="002512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2B9" w:rsidRDefault="002512B9" w:rsidP="002512B9">
      <w:r>
        <w:separator/>
      </w:r>
    </w:p>
  </w:endnote>
  <w:endnote w:type="continuationSeparator" w:id="0">
    <w:p w:rsidR="002512B9" w:rsidRDefault="002512B9" w:rsidP="00251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B9" w:rsidRDefault="00BA0A23">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512B9">
      <w:rPr>
        <w:rFonts w:ascii="Arial" w:eastAsia="Arial" w:hAnsi="Arial" w:cs="Arial"/>
        <w:color w:val="000000"/>
        <w:sz w:val="16"/>
      </w:rPr>
      <w:fldChar w:fldCharType="begin"/>
    </w:r>
    <w:r>
      <w:rPr>
        <w:rFonts w:ascii="Arial" w:eastAsia="Arial" w:hAnsi="Arial" w:cs="Arial"/>
        <w:color w:val="000000"/>
        <w:sz w:val="16"/>
      </w:rPr>
      <w:instrText>PAGE</w:instrText>
    </w:r>
    <w:r w:rsidR="002512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B9" w:rsidRDefault="00BA0A23">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512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12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B9" w:rsidRDefault="00BA0A23">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512B9">
      <w:rPr>
        <w:rFonts w:ascii="Arial" w:eastAsia="Arial" w:hAnsi="Arial" w:cs="Arial"/>
        <w:color w:val="000000"/>
        <w:sz w:val="16"/>
      </w:rPr>
      <w:fldChar w:fldCharType="begin"/>
    </w:r>
    <w:r>
      <w:rPr>
        <w:rFonts w:ascii="Arial" w:eastAsia="Arial" w:hAnsi="Arial" w:cs="Arial"/>
        <w:color w:val="000000"/>
        <w:sz w:val="16"/>
      </w:rPr>
      <w:instrText>PAGE</w:instrText>
    </w:r>
    <w:r w:rsidR="002512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2B9" w:rsidRDefault="002512B9" w:rsidP="002512B9">
      <w:r>
        <w:separator/>
      </w:r>
    </w:p>
  </w:footnote>
  <w:footnote w:type="continuationSeparator" w:id="0">
    <w:p w:rsidR="002512B9" w:rsidRDefault="002512B9" w:rsidP="00251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B9" w:rsidRDefault="00BA0A23">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B9" w:rsidRDefault="00BA0A2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B9" w:rsidRDefault="00BA0A2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6B02F98">
      <w:start w:val="1"/>
      <w:numFmt w:val="bullet"/>
      <w:pStyle w:val="Bulletpara"/>
      <w:lvlText w:val=""/>
      <w:lvlJc w:val="left"/>
      <w:pPr>
        <w:tabs>
          <w:tab w:val="num" w:pos="720"/>
        </w:tabs>
        <w:ind w:left="720" w:hanging="360"/>
      </w:pPr>
      <w:rPr>
        <w:rFonts w:ascii="Symbol" w:hAnsi="Symbol" w:hint="default"/>
      </w:rPr>
    </w:lvl>
    <w:lvl w:ilvl="1" w:tplc="6A6E5946" w:tentative="1">
      <w:start w:val="1"/>
      <w:numFmt w:val="bullet"/>
      <w:lvlText w:val="o"/>
      <w:lvlJc w:val="left"/>
      <w:pPr>
        <w:tabs>
          <w:tab w:val="num" w:pos="1440"/>
        </w:tabs>
        <w:ind w:left="1440" w:hanging="360"/>
      </w:pPr>
      <w:rPr>
        <w:rFonts w:ascii="Courier New" w:hAnsi="Courier New" w:cs="Courier New" w:hint="default"/>
      </w:rPr>
    </w:lvl>
    <w:lvl w:ilvl="2" w:tplc="43A80FD4" w:tentative="1">
      <w:start w:val="1"/>
      <w:numFmt w:val="bullet"/>
      <w:lvlText w:val=""/>
      <w:lvlJc w:val="left"/>
      <w:pPr>
        <w:tabs>
          <w:tab w:val="num" w:pos="2160"/>
        </w:tabs>
        <w:ind w:left="2160" w:hanging="360"/>
      </w:pPr>
      <w:rPr>
        <w:rFonts w:ascii="Wingdings" w:hAnsi="Wingdings" w:hint="default"/>
      </w:rPr>
    </w:lvl>
    <w:lvl w:ilvl="3" w:tplc="A5ECF15E" w:tentative="1">
      <w:start w:val="1"/>
      <w:numFmt w:val="bullet"/>
      <w:lvlText w:val=""/>
      <w:lvlJc w:val="left"/>
      <w:pPr>
        <w:tabs>
          <w:tab w:val="num" w:pos="2880"/>
        </w:tabs>
        <w:ind w:left="2880" w:hanging="360"/>
      </w:pPr>
      <w:rPr>
        <w:rFonts w:ascii="Symbol" w:hAnsi="Symbol" w:hint="default"/>
      </w:rPr>
    </w:lvl>
    <w:lvl w:ilvl="4" w:tplc="4D3A17F0" w:tentative="1">
      <w:start w:val="1"/>
      <w:numFmt w:val="bullet"/>
      <w:lvlText w:val="o"/>
      <w:lvlJc w:val="left"/>
      <w:pPr>
        <w:tabs>
          <w:tab w:val="num" w:pos="3600"/>
        </w:tabs>
        <w:ind w:left="3600" w:hanging="360"/>
      </w:pPr>
      <w:rPr>
        <w:rFonts w:ascii="Courier New" w:hAnsi="Courier New" w:cs="Courier New" w:hint="default"/>
      </w:rPr>
    </w:lvl>
    <w:lvl w:ilvl="5" w:tplc="C82E1124" w:tentative="1">
      <w:start w:val="1"/>
      <w:numFmt w:val="bullet"/>
      <w:lvlText w:val=""/>
      <w:lvlJc w:val="left"/>
      <w:pPr>
        <w:tabs>
          <w:tab w:val="num" w:pos="4320"/>
        </w:tabs>
        <w:ind w:left="4320" w:hanging="360"/>
      </w:pPr>
      <w:rPr>
        <w:rFonts w:ascii="Wingdings" w:hAnsi="Wingdings" w:hint="default"/>
      </w:rPr>
    </w:lvl>
    <w:lvl w:ilvl="6" w:tplc="DE20F782" w:tentative="1">
      <w:start w:val="1"/>
      <w:numFmt w:val="bullet"/>
      <w:lvlText w:val=""/>
      <w:lvlJc w:val="left"/>
      <w:pPr>
        <w:tabs>
          <w:tab w:val="num" w:pos="5040"/>
        </w:tabs>
        <w:ind w:left="5040" w:hanging="360"/>
      </w:pPr>
      <w:rPr>
        <w:rFonts w:ascii="Symbol" w:hAnsi="Symbol" w:hint="default"/>
      </w:rPr>
    </w:lvl>
    <w:lvl w:ilvl="7" w:tplc="FBF443D6" w:tentative="1">
      <w:start w:val="1"/>
      <w:numFmt w:val="bullet"/>
      <w:lvlText w:val="o"/>
      <w:lvlJc w:val="left"/>
      <w:pPr>
        <w:tabs>
          <w:tab w:val="num" w:pos="5760"/>
        </w:tabs>
        <w:ind w:left="5760" w:hanging="360"/>
      </w:pPr>
      <w:rPr>
        <w:rFonts w:ascii="Courier New" w:hAnsi="Courier New" w:cs="Courier New" w:hint="default"/>
      </w:rPr>
    </w:lvl>
    <w:lvl w:ilvl="8" w:tplc="F7B688E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D3A03B4">
      <w:start w:val="1"/>
      <w:numFmt w:val="bullet"/>
      <w:lvlText w:val="­"/>
      <w:lvlJc w:val="left"/>
      <w:pPr>
        <w:tabs>
          <w:tab w:val="num" w:pos="720"/>
        </w:tabs>
        <w:ind w:left="720" w:hanging="360"/>
      </w:pPr>
      <w:rPr>
        <w:rFonts w:ascii="Courier New" w:hAnsi="Courier New" w:hint="default"/>
      </w:rPr>
    </w:lvl>
    <w:lvl w:ilvl="1" w:tplc="5F1E6568" w:tentative="1">
      <w:start w:val="1"/>
      <w:numFmt w:val="bullet"/>
      <w:lvlText w:val="o"/>
      <w:lvlJc w:val="left"/>
      <w:pPr>
        <w:tabs>
          <w:tab w:val="num" w:pos="1440"/>
        </w:tabs>
        <w:ind w:left="1440" w:hanging="360"/>
      </w:pPr>
      <w:rPr>
        <w:rFonts w:ascii="Courier New" w:hAnsi="Courier New" w:cs="Courier New" w:hint="default"/>
      </w:rPr>
    </w:lvl>
    <w:lvl w:ilvl="2" w:tplc="DD164BE0" w:tentative="1">
      <w:start w:val="1"/>
      <w:numFmt w:val="bullet"/>
      <w:lvlText w:val=""/>
      <w:lvlJc w:val="left"/>
      <w:pPr>
        <w:tabs>
          <w:tab w:val="num" w:pos="2160"/>
        </w:tabs>
        <w:ind w:left="2160" w:hanging="360"/>
      </w:pPr>
      <w:rPr>
        <w:rFonts w:ascii="Wingdings" w:hAnsi="Wingdings" w:hint="default"/>
      </w:rPr>
    </w:lvl>
    <w:lvl w:ilvl="3" w:tplc="6158DD8A" w:tentative="1">
      <w:start w:val="1"/>
      <w:numFmt w:val="bullet"/>
      <w:lvlText w:val=""/>
      <w:lvlJc w:val="left"/>
      <w:pPr>
        <w:tabs>
          <w:tab w:val="num" w:pos="2880"/>
        </w:tabs>
        <w:ind w:left="2880" w:hanging="360"/>
      </w:pPr>
      <w:rPr>
        <w:rFonts w:ascii="Symbol" w:hAnsi="Symbol" w:hint="default"/>
      </w:rPr>
    </w:lvl>
    <w:lvl w:ilvl="4" w:tplc="8CD2C30C" w:tentative="1">
      <w:start w:val="1"/>
      <w:numFmt w:val="bullet"/>
      <w:lvlText w:val="o"/>
      <w:lvlJc w:val="left"/>
      <w:pPr>
        <w:tabs>
          <w:tab w:val="num" w:pos="3600"/>
        </w:tabs>
        <w:ind w:left="3600" w:hanging="360"/>
      </w:pPr>
      <w:rPr>
        <w:rFonts w:ascii="Courier New" w:hAnsi="Courier New" w:cs="Courier New" w:hint="default"/>
      </w:rPr>
    </w:lvl>
    <w:lvl w:ilvl="5" w:tplc="4F48168E" w:tentative="1">
      <w:start w:val="1"/>
      <w:numFmt w:val="bullet"/>
      <w:lvlText w:val=""/>
      <w:lvlJc w:val="left"/>
      <w:pPr>
        <w:tabs>
          <w:tab w:val="num" w:pos="4320"/>
        </w:tabs>
        <w:ind w:left="4320" w:hanging="360"/>
      </w:pPr>
      <w:rPr>
        <w:rFonts w:ascii="Wingdings" w:hAnsi="Wingdings" w:hint="default"/>
      </w:rPr>
    </w:lvl>
    <w:lvl w:ilvl="6" w:tplc="A37A1A7A" w:tentative="1">
      <w:start w:val="1"/>
      <w:numFmt w:val="bullet"/>
      <w:lvlText w:val=""/>
      <w:lvlJc w:val="left"/>
      <w:pPr>
        <w:tabs>
          <w:tab w:val="num" w:pos="5040"/>
        </w:tabs>
        <w:ind w:left="5040" w:hanging="360"/>
      </w:pPr>
      <w:rPr>
        <w:rFonts w:ascii="Symbol" w:hAnsi="Symbol" w:hint="default"/>
      </w:rPr>
    </w:lvl>
    <w:lvl w:ilvl="7" w:tplc="148232D4" w:tentative="1">
      <w:start w:val="1"/>
      <w:numFmt w:val="bullet"/>
      <w:lvlText w:val="o"/>
      <w:lvlJc w:val="left"/>
      <w:pPr>
        <w:tabs>
          <w:tab w:val="num" w:pos="5760"/>
        </w:tabs>
        <w:ind w:left="5760" w:hanging="360"/>
      </w:pPr>
      <w:rPr>
        <w:rFonts w:ascii="Courier New" w:hAnsi="Courier New" w:cs="Courier New" w:hint="default"/>
      </w:rPr>
    </w:lvl>
    <w:lvl w:ilvl="8" w:tplc="36EA191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170732E">
      <w:start w:val="1"/>
      <w:numFmt w:val="lowerRoman"/>
      <w:lvlText w:val="(%1)"/>
      <w:lvlJc w:val="left"/>
      <w:pPr>
        <w:tabs>
          <w:tab w:val="num" w:pos="2448"/>
        </w:tabs>
        <w:ind w:left="2448" w:hanging="648"/>
      </w:pPr>
      <w:rPr>
        <w:rFonts w:hint="default"/>
        <w:b w:val="0"/>
        <w:i w:val="0"/>
        <w:u w:val="none"/>
      </w:rPr>
    </w:lvl>
    <w:lvl w:ilvl="1" w:tplc="372CF43E" w:tentative="1">
      <w:start w:val="1"/>
      <w:numFmt w:val="lowerLetter"/>
      <w:lvlText w:val="%2."/>
      <w:lvlJc w:val="left"/>
      <w:pPr>
        <w:tabs>
          <w:tab w:val="num" w:pos="1440"/>
        </w:tabs>
        <w:ind w:left="1440" w:hanging="360"/>
      </w:pPr>
    </w:lvl>
    <w:lvl w:ilvl="2" w:tplc="9E5CE05A" w:tentative="1">
      <w:start w:val="1"/>
      <w:numFmt w:val="lowerRoman"/>
      <w:lvlText w:val="%3."/>
      <w:lvlJc w:val="right"/>
      <w:pPr>
        <w:tabs>
          <w:tab w:val="num" w:pos="2160"/>
        </w:tabs>
        <w:ind w:left="2160" w:hanging="180"/>
      </w:pPr>
    </w:lvl>
    <w:lvl w:ilvl="3" w:tplc="90AE0738" w:tentative="1">
      <w:start w:val="1"/>
      <w:numFmt w:val="decimal"/>
      <w:lvlText w:val="%4."/>
      <w:lvlJc w:val="left"/>
      <w:pPr>
        <w:tabs>
          <w:tab w:val="num" w:pos="2880"/>
        </w:tabs>
        <w:ind w:left="2880" w:hanging="360"/>
      </w:pPr>
    </w:lvl>
    <w:lvl w:ilvl="4" w:tplc="4FDC22BC" w:tentative="1">
      <w:start w:val="1"/>
      <w:numFmt w:val="lowerLetter"/>
      <w:lvlText w:val="%5."/>
      <w:lvlJc w:val="left"/>
      <w:pPr>
        <w:tabs>
          <w:tab w:val="num" w:pos="3600"/>
        </w:tabs>
        <w:ind w:left="3600" w:hanging="360"/>
      </w:pPr>
    </w:lvl>
    <w:lvl w:ilvl="5" w:tplc="FC26C6EA" w:tentative="1">
      <w:start w:val="1"/>
      <w:numFmt w:val="lowerRoman"/>
      <w:lvlText w:val="%6."/>
      <w:lvlJc w:val="right"/>
      <w:pPr>
        <w:tabs>
          <w:tab w:val="num" w:pos="4320"/>
        </w:tabs>
        <w:ind w:left="4320" w:hanging="180"/>
      </w:pPr>
    </w:lvl>
    <w:lvl w:ilvl="6" w:tplc="A814A322" w:tentative="1">
      <w:start w:val="1"/>
      <w:numFmt w:val="decimal"/>
      <w:lvlText w:val="%7."/>
      <w:lvlJc w:val="left"/>
      <w:pPr>
        <w:tabs>
          <w:tab w:val="num" w:pos="5040"/>
        </w:tabs>
        <w:ind w:left="5040" w:hanging="360"/>
      </w:pPr>
    </w:lvl>
    <w:lvl w:ilvl="7" w:tplc="D80832BA" w:tentative="1">
      <w:start w:val="1"/>
      <w:numFmt w:val="lowerLetter"/>
      <w:lvlText w:val="%8."/>
      <w:lvlJc w:val="left"/>
      <w:pPr>
        <w:tabs>
          <w:tab w:val="num" w:pos="5760"/>
        </w:tabs>
        <w:ind w:left="5760" w:hanging="360"/>
      </w:pPr>
    </w:lvl>
    <w:lvl w:ilvl="8" w:tplc="5328B2F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880F062">
      <w:start w:val="1"/>
      <w:numFmt w:val="bullet"/>
      <w:lvlText w:val=""/>
      <w:lvlJc w:val="left"/>
      <w:pPr>
        <w:tabs>
          <w:tab w:val="num" w:pos="5760"/>
        </w:tabs>
        <w:ind w:left="5760" w:hanging="360"/>
      </w:pPr>
      <w:rPr>
        <w:rFonts w:ascii="Symbol" w:hAnsi="Symbol" w:hint="default"/>
        <w:color w:val="auto"/>
        <w:u w:val="none"/>
      </w:rPr>
    </w:lvl>
    <w:lvl w:ilvl="1" w:tplc="8E92FB40" w:tentative="1">
      <w:start w:val="1"/>
      <w:numFmt w:val="bullet"/>
      <w:lvlText w:val="o"/>
      <w:lvlJc w:val="left"/>
      <w:pPr>
        <w:tabs>
          <w:tab w:val="num" w:pos="3600"/>
        </w:tabs>
        <w:ind w:left="3600" w:hanging="360"/>
      </w:pPr>
      <w:rPr>
        <w:rFonts w:ascii="Courier New" w:hAnsi="Courier New" w:hint="default"/>
      </w:rPr>
    </w:lvl>
    <w:lvl w:ilvl="2" w:tplc="6E1455D0" w:tentative="1">
      <w:start w:val="1"/>
      <w:numFmt w:val="bullet"/>
      <w:lvlText w:val=""/>
      <w:lvlJc w:val="left"/>
      <w:pPr>
        <w:tabs>
          <w:tab w:val="num" w:pos="4320"/>
        </w:tabs>
        <w:ind w:left="4320" w:hanging="360"/>
      </w:pPr>
      <w:rPr>
        <w:rFonts w:ascii="Wingdings" w:hAnsi="Wingdings" w:hint="default"/>
      </w:rPr>
    </w:lvl>
    <w:lvl w:ilvl="3" w:tplc="8D0EDD18">
      <w:start w:val="1"/>
      <w:numFmt w:val="bullet"/>
      <w:lvlText w:val=""/>
      <w:lvlJc w:val="left"/>
      <w:pPr>
        <w:tabs>
          <w:tab w:val="num" w:pos="5040"/>
        </w:tabs>
        <w:ind w:left="5040" w:hanging="360"/>
      </w:pPr>
      <w:rPr>
        <w:rFonts w:ascii="Symbol" w:hAnsi="Symbol" w:hint="default"/>
      </w:rPr>
    </w:lvl>
    <w:lvl w:ilvl="4" w:tplc="5CE4285E" w:tentative="1">
      <w:start w:val="1"/>
      <w:numFmt w:val="bullet"/>
      <w:lvlText w:val="o"/>
      <w:lvlJc w:val="left"/>
      <w:pPr>
        <w:tabs>
          <w:tab w:val="num" w:pos="5760"/>
        </w:tabs>
        <w:ind w:left="5760" w:hanging="360"/>
      </w:pPr>
      <w:rPr>
        <w:rFonts w:ascii="Courier New" w:hAnsi="Courier New" w:hint="default"/>
      </w:rPr>
    </w:lvl>
    <w:lvl w:ilvl="5" w:tplc="19C643B8" w:tentative="1">
      <w:start w:val="1"/>
      <w:numFmt w:val="bullet"/>
      <w:lvlText w:val=""/>
      <w:lvlJc w:val="left"/>
      <w:pPr>
        <w:tabs>
          <w:tab w:val="num" w:pos="6480"/>
        </w:tabs>
        <w:ind w:left="6480" w:hanging="360"/>
      </w:pPr>
      <w:rPr>
        <w:rFonts w:ascii="Wingdings" w:hAnsi="Wingdings" w:hint="default"/>
      </w:rPr>
    </w:lvl>
    <w:lvl w:ilvl="6" w:tplc="637CE678" w:tentative="1">
      <w:start w:val="1"/>
      <w:numFmt w:val="bullet"/>
      <w:lvlText w:val=""/>
      <w:lvlJc w:val="left"/>
      <w:pPr>
        <w:tabs>
          <w:tab w:val="num" w:pos="7200"/>
        </w:tabs>
        <w:ind w:left="7200" w:hanging="360"/>
      </w:pPr>
      <w:rPr>
        <w:rFonts w:ascii="Symbol" w:hAnsi="Symbol" w:hint="default"/>
      </w:rPr>
    </w:lvl>
    <w:lvl w:ilvl="7" w:tplc="07E89F2C" w:tentative="1">
      <w:start w:val="1"/>
      <w:numFmt w:val="bullet"/>
      <w:lvlText w:val="o"/>
      <w:lvlJc w:val="left"/>
      <w:pPr>
        <w:tabs>
          <w:tab w:val="num" w:pos="7920"/>
        </w:tabs>
        <w:ind w:left="7920" w:hanging="360"/>
      </w:pPr>
      <w:rPr>
        <w:rFonts w:ascii="Courier New" w:hAnsi="Courier New" w:hint="default"/>
      </w:rPr>
    </w:lvl>
    <w:lvl w:ilvl="8" w:tplc="CD3066C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12B9"/>
    <w:rsid w:val="002512B9"/>
    <w:rsid w:val="00BA0A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2B9"/>
    <w:pPr>
      <w:widowControl w:val="0"/>
    </w:pPr>
    <w:rPr>
      <w:snapToGrid w:val="0"/>
      <w:sz w:val="24"/>
    </w:rPr>
  </w:style>
  <w:style w:type="paragraph" w:styleId="Heading1">
    <w:name w:val="heading 1"/>
    <w:basedOn w:val="Normal"/>
    <w:next w:val="Normal"/>
    <w:link w:val="Heading1Char"/>
    <w:qFormat/>
    <w:rsid w:val="002512B9"/>
    <w:pPr>
      <w:keepNext/>
      <w:spacing w:before="240" w:after="240"/>
      <w:ind w:left="720" w:hanging="720"/>
      <w:outlineLvl w:val="0"/>
    </w:pPr>
    <w:rPr>
      <w:b/>
    </w:rPr>
  </w:style>
  <w:style w:type="paragraph" w:styleId="Heading2">
    <w:name w:val="heading 2"/>
    <w:basedOn w:val="Normal"/>
    <w:next w:val="Normal"/>
    <w:qFormat/>
    <w:rsid w:val="002512B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512B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512B9"/>
    <w:pPr>
      <w:keepNext/>
      <w:tabs>
        <w:tab w:val="left" w:pos="1800"/>
      </w:tabs>
      <w:spacing w:before="240" w:after="240"/>
      <w:ind w:left="1800" w:hanging="1080"/>
      <w:outlineLvl w:val="3"/>
    </w:pPr>
    <w:rPr>
      <w:b/>
    </w:rPr>
  </w:style>
  <w:style w:type="paragraph" w:styleId="Heading5">
    <w:name w:val="heading 5"/>
    <w:basedOn w:val="Normal"/>
    <w:next w:val="Normal"/>
    <w:qFormat/>
    <w:rsid w:val="002512B9"/>
    <w:pPr>
      <w:keepNext/>
      <w:spacing w:line="480" w:lineRule="auto"/>
      <w:ind w:left="1440" w:right="-90" w:hanging="720"/>
      <w:outlineLvl w:val="4"/>
    </w:pPr>
    <w:rPr>
      <w:b/>
    </w:rPr>
  </w:style>
  <w:style w:type="paragraph" w:styleId="Heading6">
    <w:name w:val="heading 6"/>
    <w:basedOn w:val="Normal"/>
    <w:next w:val="Normal"/>
    <w:qFormat/>
    <w:rsid w:val="002512B9"/>
    <w:pPr>
      <w:keepNext/>
      <w:spacing w:line="480" w:lineRule="auto"/>
      <w:ind w:left="1080" w:right="-90" w:hanging="360"/>
      <w:outlineLvl w:val="5"/>
    </w:pPr>
    <w:rPr>
      <w:b/>
    </w:rPr>
  </w:style>
  <w:style w:type="paragraph" w:styleId="Heading7">
    <w:name w:val="heading 7"/>
    <w:basedOn w:val="Normal"/>
    <w:next w:val="Normal"/>
    <w:qFormat/>
    <w:rsid w:val="002512B9"/>
    <w:pPr>
      <w:keepNext/>
      <w:spacing w:line="480" w:lineRule="auto"/>
      <w:ind w:left="720" w:right="630"/>
      <w:outlineLvl w:val="6"/>
    </w:pPr>
    <w:rPr>
      <w:b/>
    </w:rPr>
  </w:style>
  <w:style w:type="paragraph" w:styleId="Heading8">
    <w:name w:val="heading 8"/>
    <w:basedOn w:val="Normal"/>
    <w:next w:val="Normal"/>
    <w:qFormat/>
    <w:rsid w:val="002512B9"/>
    <w:pPr>
      <w:keepNext/>
      <w:spacing w:line="480" w:lineRule="auto"/>
      <w:ind w:left="720" w:right="-90"/>
      <w:outlineLvl w:val="7"/>
    </w:pPr>
    <w:rPr>
      <w:b/>
    </w:rPr>
  </w:style>
  <w:style w:type="paragraph" w:styleId="Heading9">
    <w:name w:val="heading 9"/>
    <w:basedOn w:val="Normal"/>
    <w:next w:val="Normal"/>
    <w:qFormat/>
    <w:rsid w:val="002512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2B9"/>
    <w:rPr>
      <w:b/>
      <w:snapToGrid w:val="0"/>
      <w:sz w:val="24"/>
      <w:lang w:val="en-US" w:eastAsia="en-US" w:bidi="ar-SA"/>
    </w:rPr>
  </w:style>
  <w:style w:type="character" w:customStyle="1" w:styleId="Heading3Char">
    <w:name w:val="Heading 3 Char"/>
    <w:basedOn w:val="DefaultParagraphFont"/>
    <w:link w:val="Heading3"/>
    <w:rsid w:val="002512B9"/>
    <w:rPr>
      <w:b/>
      <w:snapToGrid w:val="0"/>
      <w:sz w:val="24"/>
      <w:lang w:val="en-US" w:eastAsia="en-US" w:bidi="ar-SA"/>
    </w:rPr>
  </w:style>
  <w:style w:type="character" w:styleId="FootnoteReference">
    <w:name w:val="footnote reference"/>
    <w:semiHidden/>
    <w:rsid w:val="002512B9"/>
  </w:style>
  <w:style w:type="paragraph" w:customStyle="1" w:styleId="Definition">
    <w:name w:val="Definition"/>
    <w:basedOn w:val="Normal"/>
    <w:rsid w:val="002512B9"/>
    <w:pPr>
      <w:widowControl/>
      <w:spacing w:before="240" w:after="240"/>
    </w:pPr>
  </w:style>
  <w:style w:type="paragraph" w:customStyle="1" w:styleId="Definitionindent">
    <w:name w:val="Definition indent"/>
    <w:basedOn w:val="Definition"/>
    <w:rsid w:val="002512B9"/>
    <w:pPr>
      <w:spacing w:before="120" w:after="120"/>
      <w:ind w:left="720"/>
    </w:pPr>
  </w:style>
  <w:style w:type="paragraph" w:customStyle="1" w:styleId="Bodypara">
    <w:name w:val="Body para"/>
    <w:basedOn w:val="Normal"/>
    <w:rsid w:val="002512B9"/>
    <w:pPr>
      <w:spacing w:line="480" w:lineRule="auto"/>
      <w:ind w:firstLine="720"/>
    </w:pPr>
  </w:style>
  <w:style w:type="paragraph" w:customStyle="1" w:styleId="alphapara">
    <w:name w:val="alpha para"/>
    <w:basedOn w:val="Bodypara"/>
    <w:rsid w:val="002512B9"/>
    <w:pPr>
      <w:ind w:left="1440" w:hanging="720"/>
    </w:pPr>
  </w:style>
  <w:style w:type="paragraph" w:styleId="Header">
    <w:name w:val="header"/>
    <w:basedOn w:val="Normal"/>
    <w:rsid w:val="002512B9"/>
    <w:pPr>
      <w:widowControl/>
      <w:tabs>
        <w:tab w:val="center" w:pos="4680"/>
        <w:tab w:val="right" w:pos="9360"/>
      </w:tabs>
    </w:pPr>
    <w:rPr>
      <w:snapToGrid/>
      <w:szCs w:val="24"/>
    </w:rPr>
  </w:style>
  <w:style w:type="paragraph" w:styleId="Date">
    <w:name w:val="Date"/>
    <w:basedOn w:val="Normal"/>
    <w:next w:val="Normal"/>
    <w:rsid w:val="002512B9"/>
    <w:pPr>
      <w:widowControl/>
    </w:pPr>
  </w:style>
  <w:style w:type="paragraph" w:customStyle="1" w:styleId="TOCheading">
    <w:name w:val="TOC heading"/>
    <w:basedOn w:val="Normal"/>
    <w:rsid w:val="002512B9"/>
    <w:pPr>
      <w:spacing w:before="240" w:after="240"/>
    </w:pPr>
    <w:rPr>
      <w:b/>
    </w:rPr>
  </w:style>
  <w:style w:type="paragraph" w:styleId="DocumentMap">
    <w:name w:val="Document Map"/>
    <w:basedOn w:val="Normal"/>
    <w:semiHidden/>
    <w:rsid w:val="002512B9"/>
    <w:pPr>
      <w:shd w:val="clear" w:color="auto" w:fill="000080"/>
    </w:pPr>
    <w:rPr>
      <w:rFonts w:ascii="Tahoma" w:hAnsi="Tahoma" w:cs="Tahoma"/>
      <w:sz w:val="20"/>
    </w:rPr>
  </w:style>
  <w:style w:type="paragraph" w:styleId="BalloonText">
    <w:name w:val="Balloon Text"/>
    <w:basedOn w:val="Normal"/>
    <w:semiHidden/>
    <w:rsid w:val="002512B9"/>
    <w:rPr>
      <w:rFonts w:ascii="Tahoma" w:hAnsi="Tahoma" w:cs="Tahoma"/>
      <w:sz w:val="16"/>
      <w:szCs w:val="16"/>
    </w:rPr>
  </w:style>
  <w:style w:type="paragraph" w:customStyle="1" w:styleId="Footers">
    <w:name w:val="Footers"/>
    <w:basedOn w:val="Heading1"/>
    <w:rsid w:val="002512B9"/>
    <w:pPr>
      <w:tabs>
        <w:tab w:val="left" w:pos="1440"/>
        <w:tab w:val="left" w:pos="7020"/>
        <w:tab w:val="right" w:pos="9360"/>
      </w:tabs>
    </w:pPr>
    <w:rPr>
      <w:b w:val="0"/>
      <w:sz w:val="20"/>
    </w:rPr>
  </w:style>
  <w:style w:type="paragraph" w:customStyle="1" w:styleId="subhead">
    <w:name w:val="subhead"/>
    <w:basedOn w:val="Heading4"/>
    <w:rsid w:val="002512B9"/>
    <w:pPr>
      <w:tabs>
        <w:tab w:val="clear" w:pos="1800"/>
      </w:tabs>
      <w:ind w:left="720" w:firstLine="0"/>
    </w:pPr>
  </w:style>
  <w:style w:type="paragraph" w:customStyle="1" w:styleId="alphaheading">
    <w:name w:val="alpha heading"/>
    <w:basedOn w:val="Normal"/>
    <w:rsid w:val="002512B9"/>
    <w:pPr>
      <w:keepNext/>
      <w:tabs>
        <w:tab w:val="left" w:pos="1440"/>
      </w:tabs>
      <w:spacing w:before="240" w:after="240"/>
      <w:ind w:left="1440" w:hanging="720"/>
    </w:pPr>
    <w:rPr>
      <w:b/>
      <w:szCs w:val="24"/>
    </w:rPr>
  </w:style>
  <w:style w:type="paragraph" w:customStyle="1" w:styleId="romannumeralpara">
    <w:name w:val="roman numeral para"/>
    <w:basedOn w:val="Normal"/>
    <w:rsid w:val="002512B9"/>
    <w:pPr>
      <w:spacing w:line="480" w:lineRule="auto"/>
      <w:ind w:left="1440" w:hanging="720"/>
    </w:pPr>
  </w:style>
  <w:style w:type="paragraph" w:customStyle="1" w:styleId="Bulletpara">
    <w:name w:val="Bullet para"/>
    <w:basedOn w:val="Normal"/>
    <w:rsid w:val="002512B9"/>
    <w:pPr>
      <w:widowControl/>
      <w:numPr>
        <w:numId w:val="10"/>
      </w:numPr>
      <w:tabs>
        <w:tab w:val="left" w:pos="900"/>
      </w:tabs>
      <w:spacing w:before="120" w:after="120"/>
    </w:pPr>
    <w:rPr>
      <w:szCs w:val="24"/>
    </w:rPr>
  </w:style>
  <w:style w:type="paragraph" w:styleId="TOC1">
    <w:name w:val="toc 1"/>
    <w:basedOn w:val="Normal"/>
    <w:next w:val="Normal"/>
    <w:semiHidden/>
    <w:rsid w:val="002512B9"/>
  </w:style>
  <w:style w:type="paragraph" w:customStyle="1" w:styleId="Tarifftitle">
    <w:name w:val="Tariff title"/>
    <w:basedOn w:val="Normal"/>
    <w:rsid w:val="002512B9"/>
    <w:rPr>
      <w:b/>
      <w:sz w:val="28"/>
      <w:szCs w:val="28"/>
    </w:rPr>
  </w:style>
  <w:style w:type="paragraph" w:styleId="TOC2">
    <w:name w:val="toc 2"/>
    <w:basedOn w:val="Normal"/>
    <w:next w:val="Normal"/>
    <w:semiHidden/>
    <w:rsid w:val="002512B9"/>
    <w:pPr>
      <w:ind w:left="240"/>
    </w:pPr>
  </w:style>
  <w:style w:type="character" w:styleId="Hyperlink">
    <w:name w:val="Hyperlink"/>
    <w:basedOn w:val="DefaultParagraphFont"/>
    <w:rsid w:val="002512B9"/>
    <w:rPr>
      <w:color w:val="0000FF"/>
      <w:u w:val="single"/>
    </w:rPr>
  </w:style>
  <w:style w:type="paragraph" w:styleId="TOC3">
    <w:name w:val="toc 3"/>
    <w:basedOn w:val="Normal"/>
    <w:next w:val="Normal"/>
    <w:semiHidden/>
    <w:rsid w:val="002512B9"/>
    <w:pPr>
      <w:ind w:left="480"/>
    </w:pPr>
  </w:style>
  <w:style w:type="paragraph" w:styleId="TOC4">
    <w:name w:val="toc 4"/>
    <w:basedOn w:val="Normal"/>
    <w:next w:val="Normal"/>
    <w:semiHidden/>
    <w:rsid w:val="002512B9"/>
    <w:pPr>
      <w:ind w:left="720"/>
    </w:pPr>
  </w:style>
  <w:style w:type="paragraph" w:styleId="TOC5">
    <w:name w:val="toc 5"/>
    <w:basedOn w:val="Normal"/>
    <w:next w:val="Normal"/>
    <w:semiHidden/>
    <w:rsid w:val="002512B9"/>
    <w:pPr>
      <w:widowControl/>
      <w:ind w:left="960"/>
    </w:pPr>
    <w:rPr>
      <w:snapToGrid/>
      <w:szCs w:val="24"/>
    </w:rPr>
  </w:style>
  <w:style w:type="paragraph" w:styleId="TOC6">
    <w:name w:val="toc 6"/>
    <w:basedOn w:val="Normal"/>
    <w:next w:val="Normal"/>
    <w:semiHidden/>
    <w:rsid w:val="002512B9"/>
    <w:pPr>
      <w:widowControl/>
      <w:ind w:left="1200"/>
    </w:pPr>
    <w:rPr>
      <w:snapToGrid/>
      <w:szCs w:val="24"/>
    </w:rPr>
  </w:style>
  <w:style w:type="paragraph" w:styleId="TOC7">
    <w:name w:val="toc 7"/>
    <w:basedOn w:val="Normal"/>
    <w:next w:val="Normal"/>
    <w:semiHidden/>
    <w:rsid w:val="002512B9"/>
    <w:pPr>
      <w:widowControl/>
      <w:ind w:left="1440"/>
    </w:pPr>
    <w:rPr>
      <w:snapToGrid/>
      <w:szCs w:val="24"/>
    </w:rPr>
  </w:style>
  <w:style w:type="paragraph" w:styleId="TOC8">
    <w:name w:val="toc 8"/>
    <w:basedOn w:val="Normal"/>
    <w:next w:val="Normal"/>
    <w:semiHidden/>
    <w:rsid w:val="002512B9"/>
    <w:pPr>
      <w:widowControl/>
      <w:ind w:left="1680"/>
    </w:pPr>
    <w:rPr>
      <w:snapToGrid/>
      <w:szCs w:val="24"/>
    </w:rPr>
  </w:style>
  <w:style w:type="paragraph" w:styleId="TOC9">
    <w:name w:val="toc 9"/>
    <w:basedOn w:val="Normal"/>
    <w:next w:val="Normal"/>
    <w:semiHidden/>
    <w:rsid w:val="002512B9"/>
    <w:pPr>
      <w:widowControl/>
      <w:ind w:left="1920"/>
    </w:pPr>
    <w:rPr>
      <w:snapToGrid/>
      <w:szCs w:val="24"/>
    </w:rPr>
  </w:style>
  <w:style w:type="paragraph" w:customStyle="1" w:styleId="a">
    <w:name w:val="_"/>
    <w:basedOn w:val="Normal"/>
    <w:rsid w:val="002512B9"/>
    <w:pPr>
      <w:ind w:left="1800" w:hanging="630"/>
    </w:pPr>
  </w:style>
  <w:style w:type="character" w:styleId="CommentReference">
    <w:name w:val="annotation reference"/>
    <w:basedOn w:val="DefaultParagraphFont"/>
    <w:semiHidden/>
    <w:rsid w:val="002512B9"/>
    <w:rPr>
      <w:sz w:val="16"/>
      <w:szCs w:val="16"/>
    </w:rPr>
  </w:style>
  <w:style w:type="paragraph" w:styleId="CommentText">
    <w:name w:val="annotation text"/>
    <w:basedOn w:val="Normal"/>
    <w:semiHidden/>
    <w:rsid w:val="002512B9"/>
    <w:rPr>
      <w:sz w:val="20"/>
    </w:rPr>
  </w:style>
  <w:style w:type="paragraph" w:styleId="CommentSubject">
    <w:name w:val="annotation subject"/>
    <w:basedOn w:val="CommentText"/>
    <w:next w:val="CommentText"/>
    <w:semiHidden/>
    <w:rsid w:val="002512B9"/>
    <w:rPr>
      <w:b/>
      <w:bCs/>
    </w:rPr>
  </w:style>
  <w:style w:type="paragraph" w:styleId="Footer">
    <w:name w:val="footer"/>
    <w:basedOn w:val="Normal"/>
    <w:rsid w:val="002512B9"/>
    <w:pPr>
      <w:tabs>
        <w:tab w:val="center" w:pos="4320"/>
        <w:tab w:val="right" w:pos="8640"/>
      </w:tabs>
    </w:pPr>
  </w:style>
  <w:style w:type="character" w:styleId="PageNumber">
    <w:name w:val="page number"/>
    <w:basedOn w:val="DefaultParagraphFont"/>
    <w:rsid w:val="002512B9"/>
  </w:style>
  <w:style w:type="paragraph" w:styleId="BodyTextIndent3">
    <w:name w:val="Body Text Indent 3"/>
    <w:basedOn w:val="Normal"/>
    <w:rsid w:val="002512B9"/>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2017-03-24T09:26:00Z</dcterms:created>
  <dcterms:modified xsi:type="dcterms:W3CDTF">2017-03-24T09:26:00Z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ies>
</file>