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EF" w:rsidRDefault="00B27BE7">
      <w:pPr>
        <w:pStyle w:val="Heading2"/>
      </w:pPr>
      <w:bookmarkStart w:id="51" w:name="_Toc261439729"/>
      <w:r>
        <w:t>31.2</w:t>
      </w:r>
      <w:r>
        <w:tab/>
        <w:t>Reliability Planning Process</w:t>
      </w:r>
      <w:bookmarkEnd w:id="51"/>
    </w:p>
    <w:p w:rsidR="00676CEF" w:rsidRDefault="00B27BE7">
      <w:pPr>
        <w:pStyle w:val="Heading3"/>
      </w:pPr>
      <w:bookmarkStart w:id="52" w:name="_Toc261439730"/>
      <w:r>
        <w:t>31.2.1</w:t>
      </w:r>
      <w:r>
        <w:tab/>
        <w:t>Local Transmission Owner Planning Process</w:t>
      </w:r>
      <w:bookmarkEnd w:id="52"/>
    </w:p>
    <w:p w:rsidR="00676CEF" w:rsidRDefault="00B27BE7">
      <w:pPr>
        <w:pStyle w:val="Heading4"/>
      </w:pPr>
      <w:bookmarkStart w:id="53" w:name="_Toc261439731"/>
      <w:r>
        <w:t>31.2.1.1</w:t>
      </w:r>
      <w:r>
        <w:tab/>
        <w:t>Scope</w:t>
      </w:r>
    </w:p>
    <w:p w:rsidR="00676CEF" w:rsidRDefault="00B27BE7">
      <w:pPr>
        <w:pStyle w:val="Heading4"/>
      </w:pPr>
      <w:r>
        <w:t>31.2.1.1.1</w:t>
      </w:r>
      <w:r>
        <w:tab/>
        <w:t>Criteria, Assumptions and Data</w:t>
      </w:r>
      <w:bookmarkEnd w:id="53"/>
    </w:p>
    <w:p w:rsidR="00676CEF" w:rsidRDefault="00B27BE7">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76CEF" w:rsidRDefault="00B27BE7">
      <w:pPr>
        <w:pStyle w:val="Heading4"/>
      </w:pPr>
      <w:r>
        <w:t>31.2.1.1.2</w:t>
      </w:r>
      <w:r>
        <w:tab/>
        <w:t>Consideration of Transmission Needs Driven by Public Policy Requirements</w:t>
      </w:r>
    </w:p>
    <w:p w:rsidR="00676CEF" w:rsidRDefault="00B27BE7">
      <w:pPr>
        <w:pStyle w:val="Heading4"/>
      </w:pPr>
      <w:r>
        <w:t>31.2.1.1.2.1  Procedures for the Identification of Transmission Needs Driven by Public Policy Requirements in Lo</w:t>
      </w:r>
      <w:r>
        <w:t>cal Transmission Plans and for the Consideration of Transmission Solutions</w:t>
      </w:r>
    </w:p>
    <w:p w:rsidR="00676CEF" w:rsidRDefault="00B27BE7">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Transmission Owner will give consideration to the objectives of the </w:t>
      </w:r>
      <w:r>
        <w:t xml:space="preserve">Public Policy Requirement(s) driving the need for transmission.  </w:t>
      </w:r>
    </w:p>
    <w:p w:rsidR="00676CEF" w:rsidRDefault="00B27BE7">
      <w:pPr>
        <w:pStyle w:val="Heading4"/>
      </w:pPr>
      <w:r>
        <w:t>31.2.1.1.2.2  Determination of Local Transmission Needs Driven by Public Policy Requirements</w:t>
      </w:r>
    </w:p>
    <w:p w:rsidR="00676CEF" w:rsidRDefault="00B27BE7">
      <w:pPr>
        <w:pStyle w:val="Bodypara"/>
      </w:pPr>
      <w:r>
        <w:t>As part of its LTP process pursuant to Section 31.2.1.2 below, each Transmission Owner will consi</w:t>
      </w:r>
      <w:r>
        <w:t>der whether there is a transmission need on its local system that is being driven by a Public Policy Requirement for which a local transmission solution should be evaluated, including needs proposed by market participants and other interested parties.  A m</w:t>
      </w:r>
      <w: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t>to assist the Transmission Owner in its determination.  The Transmission Owner, after considering the input provided by the NYDPS and any information provided by a market participant or other party, will determine whether there are transmission needs drive</w:t>
      </w:r>
      <w:r>
        <w:t>n by Public Policy Requirements for which local transmission solutions should be evaluated.  The Transmission Owner will post on its website a list of the transmission needs driven by Public Policy Requirements for which local transmission solutions should</w:t>
      </w:r>
      <w:r>
        <w:t xml:space="preserve"> be evaluated, with an explanation of why the Transmission Owner identified those transmission needs and declined to identify other proposed transmission needs.</w:t>
      </w:r>
    </w:p>
    <w:p w:rsidR="00676CEF" w:rsidRDefault="00B27BE7">
      <w:pPr>
        <w:pStyle w:val="Heading4"/>
      </w:pPr>
      <w:r>
        <w:t>31.2.1.1.2.3  Evaluation of Proposed Local Transmission Solutions</w:t>
      </w:r>
    </w:p>
    <w:p w:rsidR="00676CEF" w:rsidRDefault="00B27BE7">
      <w:pPr>
        <w:pStyle w:val="Bodypara"/>
      </w:pPr>
      <w:r>
        <w:t>In evaluating potential trans</w:t>
      </w:r>
      <w:r>
        <w:t>mission solutions, if any, the Transmission Owner will give consideration to the objectives of the Public Policy Requirement driving the need for a local transmission solution.  The Transmission Owner will evaluate solutions to identified transmission need</w:t>
      </w:r>
      <w:r>
        <w:t>s, including transmission solutions proposed by market participants and other parties for inclusion in its LTP.  The Transmission Owner, in consultation with the NYDPS, will evaluate proposed transmission solutions on its local system to determine the more</w:t>
      </w:r>
      <w: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t xml:space="preserve">evaluation the Transmission Owner will use criteria that are relevant to the Public Policy Requirement driving the transmission need, which may include its published local planning criteria and assumptions. </w:t>
      </w:r>
    </w:p>
    <w:p w:rsidR="00676CEF" w:rsidRDefault="00B27BE7">
      <w:pPr>
        <w:pStyle w:val="Heading4"/>
      </w:pPr>
      <w:bookmarkStart w:id="54" w:name="_Toc261439732"/>
      <w:r>
        <w:t>31.2.1.2</w:t>
      </w:r>
      <w:r>
        <w:tab/>
        <w:t>Process Timeline</w:t>
      </w:r>
      <w:bookmarkEnd w:id="54"/>
    </w:p>
    <w:p w:rsidR="00676CEF" w:rsidRDefault="00B27BE7">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676CEF" w:rsidRDefault="00B27BE7">
      <w:pPr>
        <w:pStyle w:val="Bulletpara"/>
        <w:tabs>
          <w:tab w:val="clear" w:pos="720"/>
          <w:tab w:val="clear" w:pos="900"/>
        </w:tabs>
        <w:spacing w:before="0" w:after="240"/>
        <w:ind w:left="1800"/>
      </w:pPr>
      <w:r>
        <w:t>identification of the planning horizon covered by the LTP,</w:t>
      </w:r>
    </w:p>
    <w:p w:rsidR="00676CEF" w:rsidRDefault="00B27BE7">
      <w:pPr>
        <w:pStyle w:val="Bulletpara"/>
        <w:tabs>
          <w:tab w:val="clear" w:pos="720"/>
          <w:tab w:val="clear" w:pos="900"/>
        </w:tabs>
        <w:spacing w:after="240"/>
        <w:ind w:left="1800"/>
      </w:pPr>
      <w:r>
        <w:t>data and models used,</w:t>
      </w:r>
    </w:p>
    <w:p w:rsidR="00676CEF" w:rsidRDefault="00B27BE7">
      <w:pPr>
        <w:pStyle w:val="Bulletpara"/>
        <w:tabs>
          <w:tab w:val="clear" w:pos="720"/>
          <w:tab w:val="clear" w:pos="900"/>
        </w:tabs>
        <w:spacing w:after="240"/>
        <w:ind w:left="1800"/>
      </w:pPr>
      <w:r>
        <w:t>reliability needs, needs driven by Public Policy Requirements, and other needs addressed,</w:t>
      </w:r>
    </w:p>
    <w:p w:rsidR="00676CEF" w:rsidRDefault="00B27BE7">
      <w:pPr>
        <w:pStyle w:val="Bulletpara"/>
        <w:tabs>
          <w:tab w:val="clear" w:pos="720"/>
          <w:tab w:val="clear" w:pos="900"/>
        </w:tabs>
        <w:spacing w:after="240"/>
        <w:ind w:left="1800"/>
      </w:pPr>
      <w:r>
        <w:t>potent</w:t>
      </w:r>
      <w:r>
        <w:t>ial solutions under consideration, and,</w:t>
      </w:r>
    </w:p>
    <w:p w:rsidR="00676CEF" w:rsidRDefault="00B27BE7">
      <w:pPr>
        <w:pStyle w:val="Bulletpara"/>
        <w:tabs>
          <w:tab w:val="clear" w:pos="720"/>
          <w:tab w:val="clear" w:pos="900"/>
        </w:tabs>
        <w:spacing w:after="240"/>
        <w:ind w:left="1800"/>
      </w:pPr>
      <w:r>
        <w:t>a description of the transmission facilities covered by the plan.</w:t>
      </w:r>
    </w:p>
    <w:p w:rsidR="00676CEF" w:rsidRDefault="00B27BE7">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676CEF" w:rsidRDefault="00B27BE7">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676CEF" w:rsidRDefault="00B27BE7">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676CEF" w:rsidRDefault="00B27BE7">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676CEF" w:rsidRDefault="00B27BE7">
      <w:pPr>
        <w:pStyle w:val="Heading4"/>
      </w:pPr>
      <w:r>
        <w:t xml:space="preserve">31.2.1.3 </w:t>
      </w:r>
      <w:r>
        <w:tab/>
        <w:t>ISO Evaluation of Transmission Owner Local Transmission Plans in Relation to Regional and Local Transmission Needs</w:t>
      </w:r>
    </w:p>
    <w:p w:rsidR="00676CEF" w:rsidRDefault="00B27BE7">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676CEF" w:rsidRDefault="00B27BE7">
      <w:pPr>
        <w:pStyle w:val="Heading4"/>
      </w:pPr>
      <w:bookmarkStart w:id="55" w:name="_Toc261439733"/>
      <w:r>
        <w:t>31.2.1.4</w:t>
      </w:r>
      <w:r>
        <w:tab/>
        <w:t>LTP Dispute Resolution Process</w:t>
      </w:r>
      <w:bookmarkEnd w:id="55"/>
    </w:p>
    <w:p w:rsidR="00676CEF" w:rsidRDefault="00B27BE7">
      <w:pPr>
        <w:pStyle w:val="Heading4"/>
      </w:pPr>
      <w:bookmarkStart w:id="56" w:name="_Toc261439734"/>
      <w:r>
        <w:t>31.2.1.4.1</w:t>
      </w:r>
      <w:r>
        <w:tab/>
        <w:t>Disputes Related to the LTPP; Objective; Notice</w:t>
      </w:r>
      <w:bookmarkEnd w:id="56"/>
    </w:p>
    <w:p w:rsidR="00676CEF" w:rsidRDefault="00B27BE7">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676CEF" w:rsidRDefault="00B27BE7">
      <w:pPr>
        <w:pStyle w:val="Heading4"/>
      </w:pPr>
      <w:bookmarkStart w:id="57" w:name="_Toc261439735"/>
      <w:r>
        <w:t>31.2.1.4.2</w:t>
      </w:r>
      <w:r>
        <w:tab/>
        <w:t>Review by the ESPWG/TPAS</w:t>
      </w:r>
      <w:bookmarkEnd w:id="57"/>
    </w:p>
    <w:p w:rsidR="00676CEF" w:rsidRDefault="00B27BE7">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676CEF" w:rsidRDefault="00B27BE7">
      <w:pPr>
        <w:pStyle w:val="Heading4"/>
      </w:pPr>
      <w:bookmarkStart w:id="58" w:name="_Toc261439736"/>
      <w:r>
        <w:t>31.2.1.4.3</w:t>
      </w:r>
      <w:r>
        <w:tab/>
        <w:t>Information Discussions</w:t>
      </w:r>
      <w:bookmarkEnd w:id="58"/>
    </w:p>
    <w:p w:rsidR="00676CEF" w:rsidRDefault="00B27BE7">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676CEF" w:rsidRDefault="00B27BE7">
      <w:pPr>
        <w:pStyle w:val="Heading4"/>
      </w:pPr>
      <w:bookmarkStart w:id="59" w:name="_Toc261439737"/>
      <w:r>
        <w:t>31.2.1.4.4</w:t>
      </w:r>
      <w:r>
        <w:tab/>
        <w:t>Alternative Dispute Resolution</w:t>
      </w:r>
      <w:bookmarkEnd w:id="59"/>
    </w:p>
    <w:p w:rsidR="00676CEF" w:rsidRDefault="00B27BE7">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676CEF" w:rsidRDefault="00B27BE7">
      <w:pPr>
        <w:pStyle w:val="Heading4"/>
      </w:pPr>
      <w:bookmarkStart w:id="60" w:name="_Toc261439738"/>
      <w:r>
        <w:t>31.2.1.4.5</w:t>
      </w:r>
      <w:r>
        <w:tab/>
        <w:t>Notice of Results of Dispute Resolution</w:t>
      </w:r>
      <w:bookmarkEnd w:id="60"/>
    </w:p>
    <w:p w:rsidR="00676CEF" w:rsidRDefault="00B27BE7">
      <w:pPr>
        <w:pStyle w:val="Bodypara"/>
      </w:pPr>
      <w:r>
        <w:t>The Affected TO shall notify the ISO and ESPWG and TPAS of the results of the DRP and update its LTP to the extent necessary.  The ISO shall use in its planning pr</w:t>
      </w:r>
      <w:r>
        <w:t>ocess the LTP provided by the Affected TO.</w:t>
      </w:r>
    </w:p>
    <w:p w:rsidR="00676CEF" w:rsidRDefault="00B27BE7">
      <w:pPr>
        <w:pStyle w:val="Heading4"/>
      </w:pPr>
      <w:bookmarkStart w:id="61" w:name="_Toc261439739"/>
      <w:r>
        <w:t>31.2.1.4.6</w:t>
      </w:r>
      <w:r>
        <w:tab/>
        <w:t>Rights Under the Federal Power Act</w:t>
      </w:r>
      <w:bookmarkEnd w:id="61"/>
    </w:p>
    <w:p w:rsidR="00676CEF" w:rsidRDefault="00B27BE7">
      <w:pPr>
        <w:pStyle w:val="Bodypara"/>
      </w:pPr>
      <w:r>
        <w:t>Nothing in the DRP shall affect the rights of any party to file a complaint with the Commission under relevant provisions of the FPA.</w:t>
      </w:r>
    </w:p>
    <w:p w:rsidR="00676CEF" w:rsidRDefault="00B27BE7">
      <w:pPr>
        <w:pStyle w:val="Heading4"/>
      </w:pPr>
      <w:bookmarkStart w:id="62" w:name="_Toc261439740"/>
      <w:r>
        <w:t>31.2.1.4.7</w:t>
      </w:r>
      <w:r>
        <w:tab/>
        <w:t>Confidentiality</w:t>
      </w:r>
      <w:bookmarkEnd w:id="62"/>
    </w:p>
    <w:p w:rsidR="00676CEF" w:rsidRDefault="00B27BE7">
      <w:pPr>
        <w:pStyle w:val="Bodypara"/>
      </w:pPr>
      <w:r>
        <w:t>All in</w:t>
      </w:r>
      <w:r>
        <w:t>formation disclosed in the course of the DRP shall be subject to the same protections accorded to confidential information and CEII by the ISO under its confidentiality and CEII policies.</w:t>
      </w:r>
    </w:p>
    <w:p w:rsidR="00676CEF" w:rsidRDefault="00B27BE7">
      <w:pPr>
        <w:pStyle w:val="Heading3"/>
      </w:pPr>
      <w:bookmarkStart w:id="63" w:name="_Toc261439741"/>
      <w:r>
        <w:t>31.2.2</w:t>
      </w:r>
      <w:r>
        <w:tab/>
        <w:t>Reliability Needs Assessment</w:t>
      </w:r>
      <w:bookmarkStart w:id="64" w:name="_DV_M49"/>
      <w:bookmarkEnd w:id="63"/>
      <w:bookmarkEnd w:id="64"/>
    </w:p>
    <w:p w:rsidR="00676CEF" w:rsidRDefault="00B27BE7">
      <w:pPr>
        <w:pStyle w:val="Heading4"/>
      </w:pPr>
      <w:bookmarkStart w:id="65" w:name="_DV_M50"/>
      <w:bookmarkStart w:id="66" w:name="_Toc77394187"/>
      <w:bookmarkStart w:id="67" w:name="_Toc261439742"/>
      <w:bookmarkEnd w:id="65"/>
      <w:r>
        <w:t>31.2.2.1</w:t>
      </w:r>
      <w:r>
        <w:tab/>
        <w:t>General</w:t>
      </w:r>
      <w:bookmarkEnd w:id="66"/>
      <w:bookmarkEnd w:id="67"/>
    </w:p>
    <w:p w:rsidR="00676CEF" w:rsidRDefault="00B27BE7">
      <w:pPr>
        <w:pStyle w:val="Bodypara"/>
      </w:pPr>
      <w:bookmarkStart w:id="68" w:name="_DV_M51"/>
      <w:bookmarkEnd w:id="68"/>
      <w:r>
        <w:t>The ISO shall p</w:t>
      </w:r>
      <w:r>
        <w:t>repare and publish the RNA as described below.  The RNA will identify Reliability Needs.  The ISO shall also designate in the RNA the Responsible Transmission Owner with respect to each Reliability Need.</w:t>
      </w:r>
      <w:bookmarkStart w:id="69" w:name="_DV_M52"/>
      <w:bookmarkEnd w:id="69"/>
    </w:p>
    <w:p w:rsidR="00676CEF" w:rsidRDefault="00B27BE7">
      <w:pPr>
        <w:pStyle w:val="Heading4"/>
      </w:pPr>
      <w:bookmarkStart w:id="70" w:name="_Toc261439743"/>
      <w:r>
        <w:t>31.2.2.2</w:t>
      </w:r>
      <w:r>
        <w:tab/>
        <w:t>Interested Party Participation in the Devel</w:t>
      </w:r>
      <w:r>
        <w:t>opment of the RNA</w:t>
      </w:r>
      <w:bookmarkEnd w:id="70"/>
    </w:p>
    <w:p w:rsidR="00676CEF" w:rsidRDefault="00B27BE7">
      <w:pPr>
        <w:pStyle w:val="Bodypara"/>
      </w:pPr>
      <w:bookmarkStart w:id="71" w:name="_DV_M53"/>
      <w:bookmarkEnd w:id="7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676CEF" w:rsidRDefault="00B27BE7">
      <w:pPr>
        <w:pStyle w:val="Heading4"/>
      </w:pPr>
      <w:bookmarkStart w:id="72" w:name="_DV_M54"/>
      <w:bookmarkStart w:id="73" w:name="_Toc77394188"/>
      <w:bookmarkStart w:id="74" w:name="_Toc261439744"/>
      <w:bookmarkEnd w:id="72"/>
      <w:r>
        <w:t>31.2.2.3</w:t>
      </w:r>
      <w:r>
        <w:tab/>
        <w:t>Preparation of the Reliability Needs Assessment</w:t>
      </w:r>
      <w:bookmarkStart w:id="75" w:name="_DV_M55"/>
      <w:bookmarkEnd w:id="73"/>
      <w:bookmarkEnd w:id="74"/>
      <w:bookmarkEnd w:id="75"/>
    </w:p>
    <w:p w:rsidR="00676CEF" w:rsidRDefault="00B27BE7">
      <w:pPr>
        <w:pStyle w:val="alphapara"/>
      </w:pPr>
      <w:bookmarkStart w:id="76" w:name="_DV_M56"/>
      <w:bookmarkEnd w:id="76"/>
      <w:r>
        <w:t>31.2.2.3.1</w:t>
      </w:r>
      <w:r>
        <w:tab/>
        <w:t>The ISO shall evaluate bulk power</w:t>
      </w:r>
      <w:r>
        <w:t xml:space="preserve"> system needs in the RNA over the Study Period.</w:t>
      </w:r>
      <w:bookmarkStart w:id="77" w:name="_DV_M57"/>
      <w:bookmarkEnd w:id="77"/>
    </w:p>
    <w:p w:rsidR="00676CEF" w:rsidRDefault="00B27BE7">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rmines may impact the BPTFs; and (4) data submitted pursuant to paragraph 31.2.2.4 below.  The details of the development of the RNA Base Case are contained in the ISO Procedures.</w:t>
      </w:r>
      <w:bookmarkStart w:id="78" w:name="_DV_M58"/>
      <w:bookmarkEnd w:id="78"/>
      <w:r>
        <w:t xml:space="preserve">  The RNA Base Case shall also include Interregional Transmission Projects th</w:t>
      </w:r>
      <w:r>
        <w:t>at have been approved by the NYPSC transmission siting process and meet the base case inclusion requirements in the ISO Procedures.</w:t>
      </w:r>
    </w:p>
    <w:p w:rsidR="00676CEF" w:rsidRDefault="00B27BE7">
      <w:pPr>
        <w:pStyle w:val="alphapara"/>
      </w:pPr>
      <w:r>
        <w:t>31.2.2.3.3</w:t>
      </w:r>
      <w:r>
        <w:tab/>
        <w:t>The ISO shall assess the RNA Base Case to determine whether the BPTFs meet all Reliability Criteria for both reso</w:t>
      </w:r>
      <w:r>
        <w:t>urce and transmission adequacy in each year, and report the results of its evaluation in the RNA.  Transmission analyses will include thermal, voltage, short circuit, and stability studies.  Then, if any Reliability Criteria are not met in any year, the IS</w:t>
      </w:r>
      <w:r>
        <w:t>O shall perform additional analyses to determine whether additional resources and/or transmission capacity expansion are needed to meet those requirements, and to determine the Target Year of need for those additional resources and/or transmission.  A shor</w:t>
      </w:r>
      <w:r>
        <w:t>t circuit assessment will be performed for the tenth year of the Study Period.  The study will not seek to identify specific additional facilities.  Reliability Needs will be defined in terms of total deficiencies relative to Reliability Criteria and not n</w:t>
      </w:r>
      <w:r>
        <w:t>ecessarily in terms of specific facilities.</w:t>
      </w:r>
      <w:bookmarkStart w:id="79" w:name="_DV_M59"/>
      <w:bookmarkStart w:id="80" w:name="_DV_M60"/>
      <w:bookmarkEnd w:id="79"/>
      <w:bookmarkEnd w:id="80"/>
      <w:r>
        <w:t xml:space="preserve"> </w:t>
      </w:r>
    </w:p>
    <w:p w:rsidR="00676CEF" w:rsidRDefault="00B27BE7">
      <w:pPr>
        <w:pStyle w:val="Heading4"/>
      </w:pPr>
      <w:bookmarkStart w:id="81" w:name="_DV_M61"/>
      <w:bookmarkStart w:id="82" w:name="_Toc261439745"/>
      <w:bookmarkEnd w:id="81"/>
      <w:r>
        <w:t>31.2.2.4</w:t>
      </w:r>
      <w:r>
        <w:tab/>
        <w:t>Planning Participant Data Input</w:t>
      </w:r>
      <w:bookmarkEnd w:id="82"/>
    </w:p>
    <w:p w:rsidR="00676CEF" w:rsidRDefault="00B27BE7">
      <w:pPr>
        <w:pStyle w:val="alphapara"/>
      </w:pPr>
      <w:bookmarkStart w:id="83" w:name="_DV_M62"/>
      <w:bookmarkEnd w:id="83"/>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84" w:name="_DV_M63"/>
      <w:bookmarkEnd w:id="84"/>
    </w:p>
    <w:p w:rsidR="00676CEF" w:rsidRDefault="00B27BE7">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85" w:name="_DV_M64"/>
      <w:bookmarkEnd w:id="85"/>
    </w:p>
    <w:p w:rsidR="00676CEF" w:rsidRDefault="00B27BE7">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676CEF" w:rsidRDefault="00B27BE7">
      <w:pPr>
        <w:pStyle w:val="Heading4"/>
      </w:pPr>
      <w:bookmarkStart w:id="86" w:name="_Toc261439746"/>
      <w:r>
        <w:t>31.2.2.5</w:t>
      </w:r>
      <w:r>
        <w:tab/>
        <w:t>Reliability Scenario Development</w:t>
      </w:r>
      <w:bookmarkEnd w:id="86"/>
      <w:r>
        <w:t xml:space="preserve"> </w:t>
      </w:r>
    </w:p>
    <w:p w:rsidR="00676CEF" w:rsidRDefault="00B27BE7">
      <w:pPr>
        <w:pStyle w:val="Bodypara"/>
      </w:pPr>
      <w:bookmarkStart w:id="87" w:name="_DV_M65"/>
      <w:bookmarkEnd w:id="87"/>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88" w:name="_DV_M66"/>
      <w:bookmarkEnd w:id="88"/>
    </w:p>
    <w:p w:rsidR="00676CEF" w:rsidRDefault="00B27BE7">
      <w:pPr>
        <w:pStyle w:val="Heading4"/>
      </w:pPr>
      <w:bookmarkStart w:id="89" w:name="_Toc261439747"/>
      <w:r>
        <w:t>31.2.2.6</w:t>
      </w:r>
      <w:r>
        <w:tab/>
        <w:t>Evaluation of  Reliability Scenarios</w:t>
      </w:r>
      <w:bookmarkEnd w:id="89"/>
    </w:p>
    <w:p w:rsidR="00676CEF" w:rsidRDefault="00B27BE7">
      <w:pPr>
        <w:pStyle w:val="Bodypara"/>
      </w:pPr>
      <w:bookmarkStart w:id="90" w:name="_DV_M67"/>
      <w:bookmarkEnd w:id="90"/>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676CEF" w:rsidRDefault="00B27BE7">
      <w:pPr>
        <w:pStyle w:val="Heading4"/>
      </w:pPr>
      <w:bookmarkStart w:id="91" w:name="_DV_M68"/>
      <w:bookmarkStart w:id="92" w:name="_Toc261439748"/>
      <w:bookmarkEnd w:id="91"/>
      <w:r>
        <w:t>31.2.2.7</w:t>
      </w:r>
      <w:r>
        <w:tab/>
        <w:t>Consequences for Other Regions</w:t>
      </w:r>
    </w:p>
    <w:p w:rsidR="00676CEF" w:rsidRDefault="00B27BE7">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676CEF" w:rsidRDefault="00B27BE7">
      <w:pPr>
        <w:pStyle w:val="Heading4"/>
      </w:pPr>
      <w:r>
        <w:t>31.2.2.8</w:t>
      </w:r>
      <w:r>
        <w:tab/>
        <w:t>Reliability Needs Assessment Report Preparation</w:t>
      </w:r>
      <w:bookmarkEnd w:id="92"/>
    </w:p>
    <w:p w:rsidR="00676CEF" w:rsidRDefault="00B27BE7">
      <w:pPr>
        <w:pStyle w:val="Bodypara"/>
      </w:pPr>
      <w:bookmarkStart w:id="93" w:name="_DV_M69"/>
      <w:bookmarkEnd w:id="93"/>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676CEF" w:rsidRDefault="00B27BE7">
      <w:pPr>
        <w:pStyle w:val="Heading3"/>
      </w:pPr>
      <w:bookmarkStart w:id="94" w:name="_DV_M70"/>
      <w:bookmarkStart w:id="95" w:name="_Toc77394189"/>
      <w:bookmarkStart w:id="96" w:name="_Toc77408250"/>
      <w:bookmarkStart w:id="97" w:name="_Toc261439749"/>
      <w:bookmarkEnd w:id="94"/>
      <w:r>
        <w:t>31.2.3</w:t>
      </w:r>
      <w:r>
        <w:tab/>
        <w:t>RNA Review Process</w:t>
      </w:r>
      <w:bookmarkStart w:id="98" w:name="_DV_M71"/>
      <w:bookmarkEnd w:id="95"/>
      <w:bookmarkEnd w:id="96"/>
      <w:bookmarkEnd w:id="97"/>
      <w:bookmarkEnd w:id="98"/>
      <w:r>
        <w:t xml:space="preserve"> </w:t>
      </w:r>
    </w:p>
    <w:p w:rsidR="00676CEF" w:rsidRDefault="00B27BE7">
      <w:pPr>
        <w:pStyle w:val="Heading4"/>
      </w:pPr>
      <w:bookmarkStart w:id="99" w:name="_DV_M72"/>
      <w:bookmarkStart w:id="100" w:name="_Toc77394190"/>
      <w:bookmarkStart w:id="101" w:name="_Toc261439750"/>
      <w:bookmarkEnd w:id="99"/>
      <w:r>
        <w:t>31.2.3.1</w:t>
      </w:r>
      <w:r>
        <w:tab/>
      </w:r>
      <w:bookmarkStart w:id="102" w:name="_DV_M73"/>
      <w:bookmarkEnd w:id="100"/>
      <w:bookmarkEnd w:id="102"/>
      <w:r>
        <w:t>Collaborative Governance Process</w:t>
      </w:r>
      <w:bookmarkEnd w:id="101"/>
    </w:p>
    <w:p w:rsidR="00676CEF" w:rsidRDefault="00B27BE7">
      <w:pPr>
        <w:pStyle w:val="Bodypara"/>
      </w:pPr>
      <w:bookmarkStart w:id="103" w:name="_DV_M74"/>
      <w:bookmarkEnd w:id="103"/>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676CEF" w:rsidRDefault="00B27BE7">
      <w:pPr>
        <w:pStyle w:val="Heading4"/>
      </w:pPr>
      <w:bookmarkStart w:id="104" w:name="_DV_M75"/>
      <w:bookmarkStart w:id="105" w:name="_Toc77394191"/>
      <w:bookmarkStart w:id="106" w:name="_Toc261439751"/>
      <w:bookmarkEnd w:id="104"/>
      <w:r>
        <w:t>31.2.3.2</w:t>
      </w:r>
      <w:r>
        <w:tab/>
        <w:t>Board Action</w:t>
      </w:r>
      <w:bookmarkEnd w:id="105"/>
      <w:bookmarkEnd w:id="106"/>
    </w:p>
    <w:p w:rsidR="00676CEF" w:rsidRDefault="00B27BE7">
      <w:pPr>
        <w:pStyle w:val="Bodypara"/>
      </w:pPr>
      <w:bookmarkStart w:id="107" w:name="_DV_M76"/>
      <w:bookmarkEnd w:id="107"/>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108" w:name="_DV_M77"/>
      <w:bookmarkEnd w:id="108"/>
    </w:p>
    <w:p w:rsidR="00676CEF" w:rsidRDefault="00B27BE7">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676CEF" w:rsidRDefault="00B27BE7">
      <w:pPr>
        <w:pStyle w:val="Heading4"/>
      </w:pPr>
      <w:bookmarkStart w:id="109" w:name="_Toc261439752"/>
      <w:r>
        <w:t>31.2.3.3</w:t>
      </w:r>
      <w:r>
        <w:tab/>
        <w:t>Needs Assessment Disputes</w:t>
      </w:r>
      <w:bookmarkEnd w:id="109"/>
    </w:p>
    <w:p w:rsidR="00676CEF" w:rsidRDefault="00B27BE7">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676CEF" w:rsidRDefault="00B27BE7">
      <w:pPr>
        <w:pStyle w:val="Heading4"/>
      </w:pPr>
      <w:bookmarkStart w:id="110" w:name="_DV_M78"/>
      <w:bookmarkStart w:id="111" w:name="_Toc77394192"/>
      <w:bookmarkStart w:id="112" w:name="_Toc261439753"/>
      <w:bookmarkEnd w:id="110"/>
      <w:r>
        <w:t>31.2.3.4</w:t>
      </w:r>
      <w:r>
        <w:tab/>
        <w:t>Public Information Sessions</w:t>
      </w:r>
      <w:bookmarkStart w:id="113" w:name="_DV_M79"/>
      <w:bookmarkEnd w:id="111"/>
      <w:bookmarkEnd w:id="112"/>
      <w:bookmarkEnd w:id="113"/>
      <w:r>
        <w:t xml:space="preserve"> </w:t>
      </w:r>
    </w:p>
    <w:p w:rsidR="00676CEF" w:rsidRDefault="00B27BE7">
      <w:pPr>
        <w:pStyle w:val="Bodypara"/>
      </w:pPr>
      <w:bookmarkStart w:id="114" w:name="_DV_M80"/>
      <w:bookmarkEnd w:id="114"/>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676CEF" w:rsidRDefault="00B27BE7">
      <w:pPr>
        <w:pStyle w:val="Heading3"/>
        <w:keepNext w:val="0"/>
        <w:keepLines w:val="0"/>
      </w:pPr>
      <w:bookmarkStart w:id="115" w:name="_DV_M81"/>
      <w:bookmarkStart w:id="116" w:name="_Toc77394193"/>
      <w:bookmarkStart w:id="117" w:name="_Toc77408251"/>
      <w:bookmarkStart w:id="118" w:name="_Toc261439754"/>
      <w:bookmarkEnd w:id="115"/>
      <w:r>
        <w:t>31.2.4</w:t>
      </w:r>
      <w:r>
        <w:tab/>
        <w:t>Development of Solutions to Reliability Needs</w:t>
      </w:r>
      <w:bookmarkStart w:id="119" w:name="_DV_M82"/>
      <w:bookmarkStart w:id="120" w:name="_DV_C16"/>
      <w:bookmarkEnd w:id="116"/>
      <w:bookmarkEnd w:id="117"/>
      <w:bookmarkEnd w:id="118"/>
      <w:bookmarkEnd w:id="119"/>
    </w:p>
    <w:p w:rsidR="00676CEF" w:rsidRDefault="00B27BE7">
      <w:pPr>
        <w:pStyle w:val="Heading4"/>
        <w:keepNext w:val="0"/>
      </w:pPr>
      <w:bookmarkStart w:id="121" w:name="_DV_C17"/>
      <w:bookmarkStart w:id="122" w:name="_Toc261439755"/>
      <w:bookmarkEnd w:id="120"/>
      <w:r>
        <w:t>31.2.4.1</w:t>
      </w:r>
      <w:r>
        <w:tab/>
        <w:t>Eligibility and Qualification Criteria for Developers and Projects</w:t>
      </w:r>
    </w:p>
    <w:p w:rsidR="00676CEF" w:rsidRDefault="00B27BE7">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676CEF" w:rsidRDefault="00B27BE7">
      <w:pPr>
        <w:pStyle w:val="Heading4"/>
      </w:pPr>
      <w:r>
        <w:t>31.2.4.1.1</w:t>
      </w:r>
      <w:r>
        <w:tab/>
        <w:t>Developer Quali</w:t>
      </w:r>
      <w:r>
        <w:t>fication and Timing</w:t>
      </w:r>
    </w:p>
    <w:p w:rsidR="00676CEF" w:rsidRDefault="00B27BE7">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676CEF" w:rsidRDefault="00B27BE7">
      <w:pPr>
        <w:pStyle w:val="Heading4"/>
      </w:pPr>
      <w:r>
        <w:t>31.2.4.1.1.1</w:t>
      </w:r>
      <w:r>
        <w:tab/>
        <w:t>Developer Qualification Crit</w:t>
      </w:r>
      <w:r>
        <w:t>eria</w:t>
      </w:r>
    </w:p>
    <w:p w:rsidR="00676CEF" w:rsidRDefault="00B27BE7">
      <w:pPr>
        <w:pStyle w:val="Bodypara"/>
      </w:pPr>
      <w:r>
        <w:t xml:space="preserve">The ISO shall make a determination on the qualification of a Developer to propose to develop a transmission project as a solution to an identified Reliability Need based on the following criteria: </w:t>
      </w:r>
    </w:p>
    <w:p w:rsidR="00676CEF" w:rsidRDefault="00B27BE7">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676CEF" w:rsidRDefault="00B27BE7">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676CEF" w:rsidRDefault="00B27BE7">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676CEF" w:rsidRDefault="00B27BE7">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676CEF" w:rsidRDefault="00B27BE7">
      <w:pPr>
        <w:pStyle w:val="alphapara"/>
      </w:pPr>
      <w:r>
        <w:t xml:space="preserve">(2)  </w:t>
      </w:r>
      <w:r>
        <w:tab/>
        <w:t>its audited annual financial statements from</w:t>
      </w:r>
      <w:r>
        <w:t xml:space="preserve"> the most recent three years and its most recent quarterly financial statement, or equivalent information;</w:t>
      </w:r>
    </w:p>
    <w:p w:rsidR="00676CEF" w:rsidRDefault="00B27BE7">
      <w:pPr>
        <w:pStyle w:val="alphapara"/>
      </w:pPr>
      <w:r>
        <w:t xml:space="preserve">(3)  </w:t>
      </w:r>
      <w:r>
        <w:tab/>
        <w:t>its credit rating from Moody’s Investor Services, Standard &amp; Poor’s, or Fitch, or equivalent information, if available;</w:t>
      </w:r>
    </w:p>
    <w:p w:rsidR="00676CEF" w:rsidRDefault="00B27BE7">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676CEF" w:rsidRDefault="00B27BE7">
      <w:pPr>
        <w:pStyle w:val="alphapara"/>
      </w:pPr>
      <w:r>
        <w:t xml:space="preserve">(5) </w:t>
      </w:r>
      <w:r>
        <w:tab/>
        <w:t xml:space="preserve">such other evidence that demonstrates its current and expected </w:t>
      </w:r>
      <w:r>
        <w:t xml:space="preserve">capability to finance a project to solve a Reliability Need. </w:t>
      </w:r>
    </w:p>
    <w:p w:rsidR="00676CEF" w:rsidRDefault="00B27BE7">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676CEF" w:rsidRDefault="00B27BE7">
      <w:pPr>
        <w:pStyle w:val="Heading4"/>
      </w:pPr>
      <w:r>
        <w:t>31.2.4.1.1</w:t>
      </w:r>
      <w:r>
        <w:t>.2</w:t>
      </w:r>
      <w:r>
        <w:tab/>
        <w:t>Developer Qualification Determination</w:t>
      </w:r>
    </w:p>
    <w:p w:rsidR="00676CEF" w:rsidRDefault="00B27BE7">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676CEF" w:rsidRDefault="00B27BE7">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676CEF" w:rsidRDefault="00B27BE7">
      <w:pPr>
        <w:pStyle w:val="Heading4"/>
      </w:pPr>
      <w:r>
        <w:t>31.2.4.2</w:t>
      </w:r>
      <w:r>
        <w:tab/>
        <w:t>Interregional Transmission Projects</w:t>
      </w:r>
    </w:p>
    <w:p w:rsidR="00676CEF" w:rsidRDefault="00B27BE7">
      <w:pPr>
        <w:pStyle w:val="Bodypara"/>
      </w:pPr>
      <w:r>
        <w:t xml:space="preserve">Interregional Transmission Projects may be proposed as regulated backstop solutions, alternative regulated solutions, or market-based solutions.  Interregional Transmission Projects proposed as </w:t>
      </w:r>
      <w:r>
        <w:t xml:space="preserve">regulated backstop solutions, alternative regulated solutions or market-based solutions shall be subject to the applicable requirements of the reliability planning process of this Attachment Y.  </w:t>
      </w:r>
    </w:p>
    <w:p w:rsidR="00676CEF" w:rsidRDefault="00B27BE7">
      <w:pPr>
        <w:pStyle w:val="Heading4"/>
      </w:pPr>
      <w:r>
        <w:t>31.2.4.3</w:t>
      </w:r>
      <w:r>
        <w:tab/>
        <w:t>Regulated Backstop Solutions</w:t>
      </w:r>
      <w:bookmarkEnd w:id="121"/>
      <w:bookmarkEnd w:id="122"/>
    </w:p>
    <w:p w:rsidR="00676CEF" w:rsidRDefault="00B27BE7">
      <w:pPr>
        <w:pStyle w:val="alphapara"/>
      </w:pPr>
      <w:bookmarkStart w:id="123" w:name="_DV_M83"/>
      <w:bookmarkEnd w:id="123"/>
      <w:r>
        <w:t>31.2.4.3.1</w:t>
      </w:r>
      <w:r>
        <w:tab/>
        <w:t>When a Reli</w:t>
      </w:r>
      <w:r>
        <w:t>ability Need is identified in any RNA issued under this tariff, the ISO shall request and the Responsible Transmission Owner shall provide to the ISO, as set forth in Section 31.2.5 below, a proposal for a regulated solution or combination of solutions tha</w:t>
      </w:r>
      <w:r>
        <w:t>t shall serve as a backstop to meet the Reliability Need if requested by the ISO due to the lack of sufficient viable market-based solutions to meet such Reliability Needs identified for the Study Period.  The Responsible Transmission Owner shall be eligib</w:t>
      </w:r>
      <w:r>
        <w:t>le to recover its costs for developing its proposal and seeking necessary approvals under Rate Schedule 10 of the ISO OATT.  Regulated backstop solutions may include generation, transmission, or demand side resources.  Such proposals may include reasonable</w:t>
      </w:r>
      <w:r>
        <w:t xml:space="preserve"> alternatives that would effectively address the Reliability Need; provided however, the Responsible Transmission Owner’s obligation to propose and implement regulated backstop solutions under this tariff is limited to regulated transmission solutions.  Pr</w:t>
      </w:r>
      <w:r>
        <w:t>ior to providing its response to the RNA, each Responsible Transmission Owner will present for discussion at the ESPWG and TPAS any updates in its LTP that impact a Reliability Need identified in the RNA.  The ISO will present at the ESPWG and TPAS any upd</w:t>
      </w:r>
      <w:r>
        <w:t>ates to its determination under Section 31.2.2.4.2 with respect to the Transmission Owners’ LTPs.  Should more than one regulated backstop solution be proposed by a Responsible Transmission Owner to address a Reliability Need, it will be the responsibility</w:t>
      </w:r>
      <w:r>
        <w:t xml:space="preserve"> of that Responsible Transmission Owner to determine which of the regulated backstop solutions will proceed following a finding by the ISO under Section 31.2.</w:t>
      </w:r>
      <w:del w:id="124" w:author="TMSServices" w:date="2016-10-06T07:58:00Z">
        <w:r>
          <w:delText>10</w:delText>
        </w:r>
      </w:del>
      <w:ins w:id="125" w:author="TMSServices" w:date="2016-10-06T07:58:00Z">
        <w:r>
          <w:t>8</w:t>
        </w:r>
      </w:ins>
      <w:r>
        <w:t xml:space="preserve"> of this Attachment Y.  The determination by the Responsible Transmission Owner will be made prior to the approval of the CRP which precedes the Trigger Date for the regulated backstop solution with the longest lead time.  Contemporaneous with the request </w:t>
      </w:r>
      <w:r>
        <w:t xml:space="preserve">to the Responsible Transmission Owner, the ISO shall solicit market-based and alternative regulated responses as set forth in Sections 31.2.4.5 and 31.2.4.7, which shall not be a formal RFP process.  </w:t>
      </w:r>
    </w:p>
    <w:p w:rsidR="00676CEF" w:rsidRDefault="00B27BE7">
      <w:pPr>
        <w:pStyle w:val="Heading4"/>
      </w:pPr>
      <w:r>
        <w:t>31.2.4.4</w:t>
      </w:r>
      <w:r>
        <w:tab/>
        <w:t>Qualifications for Regulated Backstop Solution</w:t>
      </w:r>
      <w:r>
        <w:t>s</w:t>
      </w:r>
    </w:p>
    <w:p w:rsidR="00676CEF" w:rsidRDefault="00B27BE7">
      <w:pPr>
        <w:pStyle w:val="alphapara"/>
      </w:pPr>
      <w:r>
        <w:t>31.2.4.4.1</w:t>
      </w:r>
      <w:r>
        <w:tab/>
        <w:t>The submission of a regulated backstop solution to a Reliability Need for purposes of the ISO’s evaluation under Section 31.2.5 of the viability and sufficiency of the proposed solution and the determination of the Trigger Date for the propose</w:t>
      </w:r>
      <w:r>
        <w:t>d solution shall include, at a minimum, the following details:  (1) contact information; (2) the lead time necessary to complete the project, including, if available, the construction windows in which the Responsible Transmission Owner can perform construc</w:t>
      </w:r>
      <w:r>
        <w:t>tion and what, if any, outages may be required during these periods; (3) a description of the project, including type, size, and geographic and electrical location, as well as planning and engineering specifications and drawings as appropriate; (4) evidenc</w:t>
      </w:r>
      <w:r>
        <w:t xml:space="preserve">e of a commercially viable technology, (5) a major milestone schedule; (6) the schedule for obtaining any permits and other certifications, if available; (7) status of ISO interconnection studies and interconnection agreement, if available; and (8) status </w:t>
      </w:r>
      <w:r>
        <w:t>of equipment availability and procurement, if available.</w:t>
      </w:r>
    </w:p>
    <w:p w:rsidR="00676CEF" w:rsidRDefault="00B27BE7">
      <w:pPr>
        <w:pStyle w:val="alphapara"/>
      </w:pPr>
      <w:r>
        <w:t>31.2.4.4.2  The submission of a regulated backstop solution to a Reliability Need for purposes of the ISO’s evaluation of the proposed solution for possible selection as the more efficient or cost ef</w:t>
      </w:r>
      <w:r>
        <w:t>fective solution to the Reliability Need shall include, at a minimum, the following details:  (1) updates to the information required under Section 31.2.4.4.1; (2) the schedule for obtaining required permits and other certifications; (3) a demonstration of</w:t>
      </w:r>
      <w:r>
        <w:t xml:space="preserve"> Site Control or a schedule for obtaining such control; (4) the status of any contracts (other than an Interconnection Agreement) that are under negotiation or in place, including any contracts with third-party contractors; (5) status of ISO interconnectio</w:t>
      </w:r>
      <w:r>
        <w:t>n studies and interconnection agreement; (6) status of equipment availability and procurement; (7) evidence of financing or ability to finance the project; (8) capital cost estimates for the project; (9) a description of permitting or other risks facing th</w:t>
      </w:r>
      <w:r>
        <w:t xml:space="preserve">e project at the stage of project development, including evidence of the reasonableness of project cost estimates, all based on the information available at the time of the submission; and (10) any other information requested by the ISO.   </w:t>
      </w:r>
    </w:p>
    <w:p w:rsidR="00676CEF" w:rsidRDefault="00B27BE7">
      <w:pPr>
        <w:pStyle w:val="alphapara"/>
      </w:pPr>
      <w:r>
        <w:tab/>
      </w:r>
      <w:r>
        <w:tab/>
        <w:t>A Responsible</w:t>
      </w:r>
      <w:r>
        <w:t xml:space="preserve"> Transmission Owner shall submit the following information to indicate the status of any contracts: (i) copies of all final contracts the ISO determines are relevant to its consideration, or (ii) where one or more contracts are pending, a timeline on the s</w:t>
      </w:r>
      <w:r>
        <w:t>tatus of discussions and negotiations with the relevant documents and when the negotiations are expected to be completed.  The final contracts shall be submitted to the ISO when available.  The ISO shall treat on a confidential basis in accordance with the</w:t>
      </w:r>
      <w:r>
        <w:t xml:space="preserve"> requirements of its Code of Conduct in Attachment F of the ISO OATT any contract that is submitted to the ISO and is designated by the Responsible Transmission Owner as “Confidential Information.”  </w:t>
      </w:r>
    </w:p>
    <w:p w:rsidR="00676CEF" w:rsidRDefault="00B27BE7">
      <w:pPr>
        <w:pStyle w:val="alphapara"/>
      </w:pPr>
      <w:r>
        <w:tab/>
      </w:r>
      <w:r>
        <w:tab/>
        <w:t>A Responsible Transmission Owner shall submit the foll</w:t>
      </w:r>
      <w:r>
        <w:t>owing information to indicate the status of any required permits: (i) copies of all final permits received that the ISO determines are relevant to its consideration, or (ii) where one or more permits are pending, the completed permit application(s) with in</w:t>
      </w:r>
      <w:r>
        <w:t xml:space="preserve">formation on what additional actions must be taken to meet the permit requirements and a timeline providing the expected timing for finalization and receipt of the final permit(s).  The final permits shall be submitted to the ISO when available. </w:t>
      </w:r>
    </w:p>
    <w:p w:rsidR="00676CEF" w:rsidRDefault="00B27BE7">
      <w:pPr>
        <w:pStyle w:val="alphapara"/>
      </w:pPr>
      <w:r>
        <w:tab/>
      </w:r>
      <w:r>
        <w:tab/>
        <w:t>A Respo</w:t>
      </w:r>
      <w:r>
        <w:t>nsible Transmission Owner shall submit the following information, as appropriate, to indicate evidence of financing by it or any Affiliate upon which it is relying for financing: (i) evidence of self-financing or project financing through approved rates or</w:t>
      </w:r>
      <w:r>
        <w:t xml:space="preserve"> the ability to do so, (ii) copies of all loan commitment letter(s) and signed financing contract(s), or (iii) where such financing is pending, the status of the application for any relevant financing, including a timeline providing the status of discussio</w:t>
      </w:r>
      <w:r>
        <w:t>ns and negotiations of relevant documents and when the negotiations are expected to be completed.  The final contracts or approved rates shall be submitted to the ISO when available.</w:t>
      </w:r>
    </w:p>
    <w:p w:rsidR="00676CEF" w:rsidRDefault="00B27BE7">
      <w:pPr>
        <w:pStyle w:val="alphapara"/>
      </w:pPr>
      <w:r>
        <w:t>31.2.4.4.3</w:t>
      </w:r>
      <w:r>
        <w:tab/>
        <w:t>If the regulated backstop solution does not meet the Reliabili</w:t>
      </w:r>
      <w:r>
        <w:t>ty Needs , the ISO will provide sufficient information to the Responsible Transmission Owner to determine how the regulated backstop should be modified to meet the identified Reliability Needs. The Responsible Transmission Owner will make necessary changes</w:t>
      </w:r>
      <w:r>
        <w:t xml:space="preserve"> to its proposed regulated backstop solution to address reliability deficiencies identified by the ISO, and submit a revised proposal to the ISO for review and approval.</w:t>
      </w:r>
      <w:bookmarkStart w:id="126" w:name="_DV_M85"/>
      <w:bookmarkEnd w:id="126"/>
      <w:r>
        <w:tab/>
        <w:t xml:space="preserve"> </w:t>
      </w:r>
    </w:p>
    <w:p w:rsidR="00676CEF" w:rsidRDefault="00B27BE7">
      <w:pPr>
        <w:pStyle w:val="Heading4"/>
      </w:pPr>
      <w:bookmarkStart w:id="127" w:name="_DV_M86"/>
      <w:bookmarkStart w:id="128" w:name="_Toc77394194"/>
      <w:bookmarkStart w:id="129" w:name="_Toc261439756"/>
      <w:bookmarkEnd w:id="127"/>
      <w:r>
        <w:t>31.2.4.5</w:t>
      </w:r>
      <w:r>
        <w:tab/>
        <w:t>Market-Based Responses</w:t>
      </w:r>
      <w:bookmarkStart w:id="130" w:name="_DV_M87"/>
      <w:bookmarkEnd w:id="128"/>
      <w:bookmarkEnd w:id="129"/>
      <w:bookmarkEnd w:id="130"/>
      <w:r>
        <w:t xml:space="preserve"> </w:t>
      </w:r>
    </w:p>
    <w:p w:rsidR="00676CEF" w:rsidRDefault="00B27BE7">
      <w:pPr>
        <w:pStyle w:val="Bodypara"/>
      </w:pPr>
      <w:bookmarkStart w:id="131" w:name="_DV_M88"/>
      <w:bookmarkStart w:id="132" w:name="_DV_C21"/>
      <w:bookmarkEnd w:id="131"/>
      <w:r>
        <w:t>At the same time that a proposal for a regulated ba</w:t>
      </w:r>
      <w:r>
        <w:t>ckstop solution is requested from the Responsible Transmission Owner under Section 31.2.4.3, the</w:t>
      </w:r>
      <w:bookmarkStart w:id="133" w:name="_DV_M89"/>
      <w:bookmarkEnd w:id="132"/>
      <w:bookmarkEnd w:id="133"/>
      <w:r>
        <w:t xml:space="preserve"> ISO shall also request market-based responses from the market place.  Subject to the execution of appropriately drawn confidentiality agreements and the Commis</w:t>
      </w:r>
      <w:r>
        <w:t>sion’s standards of conduct, the ISO and the appropriate Transmission Owner or Transmission Owners shall provide any party who wishes to develop such a response access to the data that is necessary to develop its response.  Such data shall only be used for</w:t>
      </w:r>
      <w:r>
        <w:t xml:space="preserve"> the purposes of preparing a market-based response to a Reliability Need under this section.  Such responses will be open on a comparable basis to all resources, including generation, demand response providers, and merchant transmission Developers. </w:t>
      </w:r>
    </w:p>
    <w:p w:rsidR="00676CEF" w:rsidRDefault="00B27BE7">
      <w:pPr>
        <w:pStyle w:val="Heading4"/>
      </w:pPr>
      <w:bookmarkStart w:id="134" w:name="_DV_M90"/>
      <w:bookmarkStart w:id="135" w:name="_Toc261439757"/>
      <w:bookmarkEnd w:id="134"/>
      <w:r>
        <w:t>31.2.4</w:t>
      </w:r>
      <w:r>
        <w:t>.6</w:t>
      </w:r>
      <w:r>
        <w:tab/>
        <w:t>Qualifications for a Valid</w:t>
      </w:r>
      <w:bookmarkStart w:id="136" w:name="_DV_C22"/>
      <w:r>
        <w:t xml:space="preserve"> Market-Based</w:t>
      </w:r>
      <w:bookmarkStart w:id="137" w:name="_DV_M91"/>
      <w:bookmarkEnd w:id="136"/>
      <w:bookmarkEnd w:id="137"/>
      <w:r>
        <w:t xml:space="preserve"> Response</w:t>
      </w:r>
      <w:bookmarkEnd w:id="135"/>
      <w:r>
        <w:t xml:space="preserve"> </w:t>
      </w:r>
    </w:p>
    <w:p w:rsidR="00676CEF" w:rsidRDefault="00B27BE7">
      <w:pPr>
        <w:pStyle w:val="Bodypara"/>
      </w:pPr>
      <w:bookmarkStart w:id="138" w:name="_DV_M92"/>
      <w:bookmarkEnd w:id="138"/>
      <w:r>
        <w:t>The submission of a proposed market-based solution must include, at a minimum:  (1) contact information; (2) the lead time necessary to complete the project, including, if available, the construction win</w:t>
      </w:r>
      <w:r>
        <w:t>dows in which the Developer can perform construction and what, if any, outages may be required during these periods; (3) a description of the project, including type, size, and geographic and electrical location, as well as planning and engineering specifi</w:t>
      </w:r>
      <w:r>
        <w:t>cations and drawings as appropriate; (4) evidence of a commercially viable technology; (5) a major milestone schedule; (6) a schedule for obtaining any required permits and other certifications; (7) a demonstration of Site Control or a schedule for obtaini</w:t>
      </w:r>
      <w:r>
        <w:t>ng Site Control; (8) the status of any contracts (other than an Interconnection Agreement) that are under negotiation or in place; (9) the status of ISO interconnection studies and interconnection agreement; (10) the status of equipment availability and pr</w:t>
      </w:r>
      <w:r>
        <w:t xml:space="preserve">ocurement; (11) evidence of financing or ability to finance the project; and (12) any other information requested by the ISO.  </w:t>
      </w:r>
    </w:p>
    <w:p w:rsidR="00676CEF" w:rsidRDefault="00B27BE7">
      <w:pPr>
        <w:pStyle w:val="Bodypara"/>
      </w:pPr>
      <w:r>
        <w:t>A Developer shall submit the following information to indicate the status of any contracts: (i) copies of all final contracts th</w:t>
      </w:r>
      <w:r>
        <w:t>e ISO determines are relevant to its consideration, or (ii) where one or more contracts are pending, a timeline on the status of discussions and negotiations with the relevant documents and when the negotiations are expected to be completed.  The final con</w:t>
      </w:r>
      <w:r>
        <w:t xml:space="preserve">tracts shall be submitted to the ISO when available.  The ISO shall treat on a confidential basis in accordance with the requirements of its Code of Conduct in Attachment F of the ISO OATT any contract that is submitted to the ISO and is designated by the </w:t>
      </w:r>
      <w:r>
        <w:t>Developer as “Confidential Information.”</w:t>
      </w:r>
      <w:r>
        <w:rPr>
          <w:rFonts w:ascii="Calibri" w:hAnsi="Calibri" w:cs="Calibri"/>
        </w:rPr>
        <w:t xml:space="preserve">   </w:t>
      </w:r>
    </w:p>
    <w:p w:rsidR="00676CEF" w:rsidRDefault="00B27BE7">
      <w:pPr>
        <w:pStyle w:val="Bodypara"/>
      </w:pPr>
      <w:r>
        <w:t>A Developer shall submit the following information to indicate the status of any required permits: (i) copies of all final permits received that the ISO determines are relevant to its consideration, or (ii) where</w:t>
      </w:r>
      <w:r>
        <w:t xml:space="preserv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676CEF" w:rsidRDefault="00B27BE7">
      <w:pPr>
        <w:pStyle w:val="Bodypara"/>
        <w:rPr>
          <w:b/>
        </w:rPr>
      </w:pPr>
      <w:r>
        <w:t xml:space="preserve">A Developer shall submit the following information, as appropriate, to indicate evidence of financing by it or any Affiliate upon which it is relying for financing: (i) copies of all loan </w:t>
      </w:r>
      <w:r>
        <w:t>commitment letter(s) and signed financing contract(s), or (ii) where such financing is pending, the status of the application for any relevant financing, including a timeline providing the status of discussions and negotiations of relevant documents and wh</w:t>
      </w:r>
      <w:r>
        <w:t xml:space="preserve">en the negotiations are expected to be completed.  The final contracts shall be submitted to the ISO when available. </w:t>
      </w:r>
    </w:p>
    <w:p w:rsidR="00676CEF" w:rsidRDefault="00B27BE7">
      <w:pPr>
        <w:pStyle w:val="Bodypara"/>
      </w:pPr>
      <w:r>
        <w:t>Failure to provide any data requested by the ISO within the timeframe set forth in Section 31.2.5.1 of this Attachment Y will result in th</w:t>
      </w:r>
      <w:r>
        <w:t xml:space="preserve">e rejection of the proposed market-based solution from further consideration during that planning cycle.  </w:t>
      </w:r>
    </w:p>
    <w:p w:rsidR="00676CEF" w:rsidRDefault="00B27BE7">
      <w:pPr>
        <w:pStyle w:val="Heading4"/>
      </w:pPr>
      <w:bookmarkStart w:id="139" w:name="_DV_M93"/>
      <w:bookmarkStart w:id="140" w:name="_Toc77394195"/>
      <w:bookmarkStart w:id="141" w:name="_Toc261439758"/>
      <w:bookmarkEnd w:id="139"/>
      <w:r>
        <w:t>31.2.4.7</w:t>
      </w:r>
      <w:r>
        <w:tab/>
        <w:t>Alternative Regulated Responses</w:t>
      </w:r>
      <w:bookmarkStart w:id="142" w:name="_DV_M94"/>
      <w:bookmarkEnd w:id="140"/>
      <w:bookmarkEnd w:id="141"/>
      <w:bookmarkEnd w:id="142"/>
      <w:r>
        <w:t xml:space="preserve"> </w:t>
      </w:r>
    </w:p>
    <w:p w:rsidR="00676CEF" w:rsidRDefault="00B27BE7">
      <w:pPr>
        <w:pStyle w:val="alphapara"/>
      </w:pPr>
      <w:bookmarkStart w:id="143" w:name="_DV_M95"/>
      <w:bookmarkEnd w:id="143"/>
      <w:r>
        <w:t>31.2.4.7.1</w:t>
      </w:r>
      <w:r>
        <w:tab/>
        <w:t>The ISO will request</w:t>
      </w:r>
      <w:bookmarkStart w:id="144" w:name="_DV_M96"/>
      <w:bookmarkStart w:id="145" w:name="_DV_C26"/>
      <w:bookmarkEnd w:id="144"/>
      <w:r>
        <w:t xml:space="preserve"> alternative </w:t>
      </w:r>
      <w:bookmarkStart w:id="146" w:name="_DV_M97"/>
      <w:bookmarkEnd w:id="145"/>
      <w:bookmarkEnd w:id="146"/>
      <w:r>
        <w:t xml:space="preserve">regulated responses to Reliability Needs at the same time that it requests market-based responses and regulated backstop solutions.  </w:t>
      </w:r>
      <w:bookmarkStart w:id="147" w:name="_DV_M98"/>
      <w:bookmarkEnd w:id="147"/>
      <w:r>
        <w:t>Such proposals may include reasonable alternatives that would effectively address the identified Reliability Need.</w:t>
      </w:r>
    </w:p>
    <w:p w:rsidR="00676CEF" w:rsidRDefault="00B27BE7">
      <w:pPr>
        <w:pStyle w:val="alphapara"/>
      </w:pPr>
      <w:r>
        <w:t>31.2.4.7</w:t>
      </w:r>
      <w:r>
        <w:t>.2</w:t>
      </w:r>
      <w:r>
        <w:tab/>
        <w:t xml:space="preserve">In response to the ISO’s request, Other Developers may develop </w:t>
      </w:r>
      <w:bookmarkStart w:id="148" w:name="_DV_C27"/>
      <w:r>
        <w:t xml:space="preserve">alternative </w:t>
      </w:r>
      <w:bookmarkStart w:id="149" w:name="_DV_M102"/>
      <w:bookmarkEnd w:id="148"/>
      <w:bookmarkEnd w:id="149"/>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150" w:name="_DV_M103"/>
      <w:bookmarkEnd w:id="150"/>
      <w:r>
        <w:t>be used</w:t>
      </w:r>
      <w:bookmarkStart w:id="151" w:name="_DV_C29"/>
      <w:r>
        <w:t xml:space="preserve"> only</w:t>
      </w:r>
      <w:bookmarkStart w:id="152" w:name="_DV_M104"/>
      <w:bookmarkEnd w:id="151"/>
      <w:bookmarkEnd w:id="152"/>
      <w:r>
        <w:t xml:space="preserve"> for purposes of preparing an alte</w:t>
      </w:r>
      <w:r>
        <w:t>rnative regulated proposal in response to a Reliability Need.</w:t>
      </w:r>
    </w:p>
    <w:p w:rsidR="00676CEF" w:rsidRDefault="00B27BE7">
      <w:pPr>
        <w:pStyle w:val="Heading4"/>
      </w:pPr>
      <w:r>
        <w:t>31.2.4.8</w:t>
      </w:r>
      <w:r>
        <w:tab/>
        <w:t>Qualifications for Alternative Regulated Solutions</w:t>
      </w:r>
    </w:p>
    <w:p w:rsidR="00676CEF" w:rsidRDefault="00B27BE7">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676CEF" w:rsidRDefault="00B27BE7">
      <w:pPr>
        <w:pStyle w:val="alphapara"/>
      </w:pPr>
      <w:r>
        <w:t>31.2.4.8.2</w:t>
      </w:r>
      <w:r>
        <w:tab/>
        <w:t>The submission of a proposed alternative regulated soluti</w:t>
      </w:r>
      <w:r>
        <w:t>on to a Reliability Need for purposes of the ISO’s evaluation of the proposed solution for possible selection as the more efficient or cost effective solution for the Reliability Need must include, at a minimum: (1) updates to the information required unde</w:t>
      </w:r>
      <w:r>
        <w:t>r Section 31.2.4.8.1;   (2) a demonstration of Site Control or a schedule for obtaining Site Control; (3) the status of any contracts (other than an Interconnection Agreement) that are under negotiation or in place, including any contracts with third-party</w:t>
      </w:r>
      <w:r>
        <w:t xml:space="preserve"> contractors; (4) the status of any interconnection studies and interconnection agreement; (5) the schedule for obtaining any required permits and other certifications; (6) the status of equipment availability and procurement; (7) evidence of financing or </w:t>
      </w:r>
      <w:r>
        <w:t>ability to finance the project; (8) capital cost estimates for the project; (9) a description of permitting or other risks facing the project at the stage of project development, including evidence of the reasonableness of project cost estimates, all based</w:t>
      </w:r>
      <w:r>
        <w:t xml:space="preserve"> on the information available at the time of the submission; and (10) any other information requested by the ISO.  </w:t>
      </w:r>
    </w:p>
    <w:p w:rsidR="00676CEF" w:rsidRDefault="00B27BE7">
      <w:pPr>
        <w:pStyle w:val="alphapara"/>
      </w:pPr>
      <w:r>
        <w:tab/>
      </w:r>
      <w:r>
        <w:tab/>
        <w:t>An Other Developer or Transmission Owner shall submit the following information to indicate the status of any contracts: (i) copies of all</w:t>
      </w:r>
      <w:r>
        <w:t xml:space="preserve"> final contracts the ISO determines are relevant to its consideration, or (ii) where one or more contracts are pending, a timeline on the status of discussions and negotiations with the relevant documents and when the negotiations are expected to be comple</w:t>
      </w:r>
      <w:r>
        <w:t>ted.  The final contracts shall be submitted to the ISO when available.  The ISO shall treat on a confidential basis in accordance with the requirements of its Code of Conduct in Attachment F of the ISO OATT any contract that is submitted to the ISO and is</w:t>
      </w:r>
      <w:r>
        <w:t xml:space="preserve"> designated by the Other Developer or Transmission Owner as “Confidential Information.”     </w:t>
      </w:r>
    </w:p>
    <w:p w:rsidR="00676CEF" w:rsidRDefault="00B27BE7">
      <w:pPr>
        <w:pStyle w:val="alphapara"/>
      </w:pPr>
      <w:r>
        <w:tab/>
      </w:r>
      <w:r>
        <w:tab/>
        <w:t>An Other Developer or Transmission Owner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 xml:space="preserve">roviding the expected timing for finalization and receipt of the final permit(s).  The final permits shall be submitted to the ISO when available. </w:t>
      </w:r>
    </w:p>
    <w:p w:rsidR="00676CEF" w:rsidRDefault="00B27BE7">
      <w:pPr>
        <w:pStyle w:val="alphapara"/>
      </w:pPr>
      <w:r>
        <w:tab/>
      </w:r>
      <w:r>
        <w:tab/>
        <w:t>An Other Developer or Transmission Owner shall submit the following information, as appropriate, to indica</w:t>
      </w:r>
      <w:r>
        <w:t>te evidence of financing by it or any Affiliate upon which it is relying for financing: (i) evidence of self-financing or project financing through approved rates or the ability to do so, (ii) copies of all loan commitment letter(s) and signed financing co</w:t>
      </w:r>
      <w:r>
        <w:t>ntract(s), or (iii) where such financing is pending, the status of the application for any relevant financing, including a timeline providing the status of discussions and negotiations of relevant documents and when the negotiations are expected to be comp</w:t>
      </w:r>
      <w:r>
        <w:t>leted.  The final contracts or approved rates shall be submitted to the ISO when available.</w:t>
      </w:r>
    </w:p>
    <w:p w:rsidR="00676CEF" w:rsidRDefault="00B27BE7">
      <w:pPr>
        <w:pStyle w:val="alphapara"/>
      </w:pPr>
      <w:r>
        <w:t>31.2.4.8.3</w:t>
      </w:r>
      <w:r>
        <w:tab/>
        <w:t xml:space="preserve">Failure to provide any data requested by the ISO within the timeframe provided in Sections 31.2.5.1 and 31.2.6.1 of this Attachment Y will result in the </w:t>
      </w:r>
      <w:r>
        <w:t>rejection of the proposed alternative regulated solution from further consideration during that planning cycle.  A proponent of a proposed alternative regulated solution must notify the ISO immediately of any material change in status of a proposed alterna</w:t>
      </w:r>
      <w:r>
        <w:t>tive regulated solution.  For purposes of this provision, a material change includes, but is not limited to, a change in the financial viability of the developer, a change in the siting status of the project, or a change in a major element of the project’s</w:t>
      </w:r>
      <w:r>
        <w:t xml:space="preserve"> development.  If the ISO, at any time, learns of a material change in the status of a proposed alternative regulated solution, it may, at that time, make a determination as to the continued viability of the proposed alternative regulated solution.</w:t>
      </w:r>
    </w:p>
    <w:p w:rsidR="00676CEF" w:rsidRDefault="00B27BE7">
      <w:pPr>
        <w:pStyle w:val="Heading4"/>
      </w:pPr>
      <w:bookmarkStart w:id="153" w:name="_Toc261439759"/>
      <w:r>
        <w:t>31.2.4.</w:t>
      </w:r>
      <w:r>
        <w:t>9</w:t>
      </w:r>
      <w:r>
        <w:tab/>
        <w:t>Additional Solutions</w:t>
      </w:r>
      <w:bookmarkEnd w:id="153"/>
    </w:p>
    <w:p w:rsidR="00676CEF" w:rsidRDefault="00B27BE7">
      <w:pPr>
        <w:pStyle w:val="Bodypara"/>
      </w:pPr>
      <w:r>
        <w:t>Should the ISO determine that it has not received adequate regulated backstop or market-based solutions to satisfy the Reliability Need, the ISO may, in its discretion, solicit additional regulated backstop or market-based solutions.</w:t>
      </w:r>
      <w:r>
        <w:t xml:space="preserve">  Other Developers or Transmission Owners may submit additional alternative regulated solutions for the ISO’s consideration at that time.</w:t>
      </w:r>
    </w:p>
    <w:p w:rsidR="00676CEF" w:rsidRDefault="00B27BE7">
      <w:pPr>
        <w:pStyle w:val="Heading3"/>
      </w:pPr>
      <w:bookmarkStart w:id="154" w:name="_DV_M105"/>
      <w:bookmarkStart w:id="155" w:name="_Toc77394196"/>
      <w:bookmarkStart w:id="156" w:name="_Toc77408252"/>
      <w:bookmarkStart w:id="157" w:name="_Toc261439760"/>
      <w:bookmarkEnd w:id="154"/>
      <w:r>
        <w:t>31.2.5</w:t>
      </w:r>
      <w:r>
        <w:tab/>
        <w:t>ISO Evaluation of Viability, Sufficiency, and Trigger Date of Proposed Solutions</w:t>
      </w:r>
      <w:bookmarkStart w:id="158" w:name="_DV_C30"/>
      <w:bookmarkEnd w:id="155"/>
      <w:bookmarkEnd w:id="156"/>
      <w:r>
        <w:t xml:space="preserve"> to Reliability Needs</w:t>
      </w:r>
      <w:bookmarkEnd w:id="157"/>
    </w:p>
    <w:p w:rsidR="00676CEF" w:rsidRDefault="00B27BE7">
      <w:pPr>
        <w:pStyle w:val="Heading4"/>
      </w:pPr>
      <w:bookmarkStart w:id="159" w:name="_DV_M106"/>
      <w:bookmarkStart w:id="160" w:name="_Toc261439761"/>
      <w:bookmarkEnd w:id="158"/>
      <w:bookmarkEnd w:id="159"/>
      <w:r>
        <w:t>31.2.5.1</w:t>
      </w:r>
      <w:r>
        <w:tab/>
      </w:r>
      <w:r>
        <w:t>Timing for Submittal of Project Information and Developer Qualification Information and Opportunity to Provide Additional Information</w:t>
      </w:r>
    </w:p>
    <w:p w:rsidR="00676CEF" w:rsidRDefault="00B27BE7">
      <w:pPr>
        <w:pStyle w:val="Bodypara"/>
      </w:pPr>
      <w:r>
        <w:t>Within 60 days after a request for solutions to a Reliability Need is made by the ISO after completion of the RNA, a Devel</w:t>
      </w:r>
      <w:r>
        <w:t>oper proposing a solution to an identified Reliability Need shall submit to the ISO for purposes of its evaluation the project information, as applicable, for: (i) a proposed regulated backstop solution under Section 31.2.4.4.1, (ii) a proposed market-base</w:t>
      </w:r>
      <w:r>
        <w:t>d solution under Section 31.2.4.6, or (iii) a proposed alternative regulated solution under Section 31.2.4.8.1 of this Attachment Y.</w:t>
      </w:r>
    </w:p>
    <w:p w:rsidR="00676CEF" w:rsidRDefault="00B27BE7">
      <w:pPr>
        <w:pStyle w:val="Bodypara"/>
      </w:pPr>
      <w:r>
        <w:t>Any Developer that the ISO has determined under Section 31.2.4.1.1.2 or as set forth in this Section 31.2.5.1 below to be q</w:t>
      </w:r>
      <w:r>
        <w:t xml:space="preserve">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w:t>
      </w:r>
      <w:r>
        <w:t xml:space="preserve"> based on the actual identified need, the ISO may request that the qualified Developer provide additional Developer qualification information.  Any Developer that has not been determined by the ISO to be qualified, but that wants to propose to develop a pr</w:t>
      </w:r>
      <w:r>
        <w:t>oject, must submit to the ISO the information required for Developer qualification under Section 31.2.4.1.1 within 30 days after a request for solutions is made by the ISO.  The ISO shall within 30 days of a Developer’s submittal of its Developer qualifica</w:t>
      </w:r>
      <w:r>
        <w:t xml:space="preserve">tion information, notify the Developer if this information is incomplete.  The Developer shall submit additional Developer qualification information or project information required by the ISO within 15 days of the ISO’s request.  A Developer that fails to </w:t>
      </w:r>
      <w:r>
        <w:t>submit the additional Developer qualification information or the required project information will not be eligible for its project to be considered in that planning cycle.</w:t>
      </w:r>
    </w:p>
    <w:p w:rsidR="00676CEF" w:rsidRDefault="00B27BE7">
      <w:pPr>
        <w:pStyle w:val="Heading4"/>
      </w:pPr>
      <w:r>
        <w:t>31.2.5.2</w:t>
      </w:r>
      <w:r>
        <w:tab/>
        <w:t>Comparable Evaluation of All Proposed Solutions</w:t>
      </w:r>
      <w:bookmarkEnd w:id="160"/>
    </w:p>
    <w:p w:rsidR="00676CEF" w:rsidRDefault="00B27BE7">
      <w:pPr>
        <w:pStyle w:val="Bodypara"/>
      </w:pPr>
      <w:r>
        <w:t>The ISO shall evaluate: (i)</w:t>
      </w:r>
      <w:r>
        <w:t xml:space="preserve"> any proposed market-based solution submitted by a Developer pursuant to Section 31.2.4.5, (ii) any proposed regulated backstop solution submitted by a Responsible Transmission Owner pursuant to Section 31.2.4.3, and (iii) any proposed alternative regulate</w:t>
      </w:r>
      <w:r>
        <w:t>d solution submitted by a Transmission Owner or Other Developer pursuant to Section 31.2.4.7.  The ISO will evaluate whether each proposed solution is viable and is sufficient to satisfy the identified Reliability Need by the need date pursuant to Sections</w:t>
      </w:r>
      <w:r>
        <w:t xml:space="preserve"> 31.2.5.3 and 31.2.5.4.  The proposed solutions may include multiple components and resource types.  When evaluating proposed solutions to Reliability Needs from any Developer, all resource types – generation, transmission, demand response, or a combinatio</w:t>
      </w:r>
      <w:r>
        <w:t xml:space="preserve">n of these resource types – shall be considered on a comparable basis as potential solutions to the Reliability Needs identified.  All solutions will be evaluated in the same general time frame. </w:t>
      </w:r>
    </w:p>
    <w:p w:rsidR="00676CEF" w:rsidRDefault="00B27BE7">
      <w:pPr>
        <w:pStyle w:val="Heading4"/>
      </w:pPr>
      <w:bookmarkStart w:id="161" w:name="_DV_M111"/>
      <w:bookmarkStart w:id="162" w:name="_DV_M113"/>
      <w:bookmarkStart w:id="163" w:name="_DV_M114"/>
      <w:bookmarkStart w:id="164" w:name="_DV_M115"/>
      <w:bookmarkStart w:id="165" w:name="_DV_M117"/>
      <w:bookmarkStart w:id="166" w:name="_DV_M119"/>
      <w:bookmarkStart w:id="167" w:name="_DV_M120"/>
      <w:bookmarkStart w:id="168" w:name="_DV_M121"/>
      <w:bookmarkStart w:id="169" w:name="_DV_M122"/>
      <w:bookmarkStart w:id="170" w:name="_Toc261439765"/>
      <w:bookmarkEnd w:id="161"/>
      <w:bookmarkEnd w:id="162"/>
      <w:bookmarkEnd w:id="163"/>
      <w:bookmarkEnd w:id="164"/>
      <w:bookmarkEnd w:id="165"/>
      <w:bookmarkEnd w:id="166"/>
      <w:bookmarkEnd w:id="167"/>
      <w:bookmarkEnd w:id="168"/>
      <w:bookmarkEnd w:id="169"/>
      <w:r>
        <w:t>31.2.5.3</w:t>
      </w:r>
      <w:r>
        <w:tab/>
        <w:t>Evaluation of Viability of Proposed Solution</w:t>
      </w:r>
      <w:r>
        <w:tab/>
      </w:r>
    </w:p>
    <w:p w:rsidR="00676CEF" w:rsidRDefault="00B27BE7">
      <w:pPr>
        <w:pStyle w:val="Bodypara"/>
      </w:pPr>
      <w:r>
        <w:t>The I</w:t>
      </w:r>
      <w:r>
        <w:t>SO will determine the viability of a solution – transmission, generation, demand response, or a combination of these resource types – proposed to satisfy a Reliability Need.  For purposes of its analysis, the ISO will evaluate whether: (i) the Developer ha</w:t>
      </w:r>
      <w:r>
        <w:t>s provided the required Developer qualification data pursuant to Section 31.2.4.1 and the required project information data under Sections 31.2.4.4.1, 31.2.4.6, or 31.2.4.8.1; (ii) the proposed solution is technically practicable; (iii) the Developer has i</w:t>
      </w:r>
      <w:r>
        <w:t>ndicated possession of, or an approach for acquiring, any necessary rights-of-way, property, and facilities that will make the proposal reasonably feasible in the required timeframe; and (iv) the proposed solution can be completed in the required timeframe</w:t>
      </w:r>
      <w:r>
        <w:t>.  If the ISO determines that the proposed solution is not viable and, for regulated solutions, the Developer does not address any identified deficiency pursuant to Section 31.2.5.6, the ISO shall reject the proposed solution from further consideration dur</w:t>
      </w:r>
      <w:r>
        <w:t>ing that planning cycle.</w:t>
      </w:r>
    </w:p>
    <w:p w:rsidR="00676CEF" w:rsidRDefault="00B27BE7">
      <w:pPr>
        <w:pStyle w:val="Heading4"/>
      </w:pPr>
      <w:r>
        <w:t>31.2.5.4</w:t>
      </w:r>
      <w:r>
        <w:tab/>
        <w:t>Evaluation of Sufficiency of Proposed Solution</w:t>
      </w:r>
    </w:p>
    <w:p w:rsidR="00676CEF" w:rsidRDefault="00B27BE7">
      <w:pPr>
        <w:pStyle w:val="Bodypara"/>
      </w:pPr>
      <w:r>
        <w:t xml:space="preserve">The ISO will perform a comparable analysis of each proposed solution – transmission, generation, demand response, or a combination of these resource types – through the Study </w:t>
      </w:r>
      <w:r>
        <w:t>Period to identify whether it satisfies the Reliability Need(s).  The ISO will evaluate each solution to determine whether the solution proposed by the Developer fully eliminates the Reliability Need(s).  If the ISO determines that a proposed regulated sol</w:t>
      </w:r>
      <w:r>
        <w:t>ution is not sufficient and the Developer does not address any identified deficiency pursuant to Section 31.2.5.6, the ISO shall reject the proposed regulated solution from further consideration during that planning cycle.</w:t>
      </w:r>
    </w:p>
    <w:p w:rsidR="00676CEF" w:rsidRDefault="00B27BE7">
      <w:pPr>
        <w:pStyle w:val="Heading4"/>
      </w:pPr>
      <w:r>
        <w:t>31.2.5.5</w:t>
      </w:r>
      <w:r>
        <w:tab/>
        <w:t>Establishment of Trigger</w:t>
      </w:r>
      <w:r>
        <w:t xml:space="preserve"> Date of Proposed Regulated Solutions</w:t>
      </w:r>
    </w:p>
    <w:p w:rsidR="00676CEF" w:rsidRDefault="00B27BE7">
      <w:pPr>
        <w:pStyle w:val="Bodypara"/>
      </w:pPr>
      <w:r>
        <w:t>Upon receipt of all Developers’ proposed regulated solutions pursuant to Section 31.2.5.1, the ISO will notify all Developers if any Developer has proposed a lead time for the implementation of its regulated solution t</w:t>
      </w:r>
      <w:r>
        <w:t>hat could result in a Trigger Date for the regulated solution within thirty-six months of the date of the ISO’s presentation of the Viability and Sufficiency Assessment to the ESPWG, provided that the ISO will not disclose the identity of such Developer or</w:t>
      </w:r>
      <w:r>
        <w:t xml:space="preserve"> the details of its project at that time.  The ISO will independently analyze the lead time proposed by each Developer for the implementation of its regulated solution.  The ISO will use the Developer’s estimate and the ISO’s analysis to establish the ISO’</w:t>
      </w:r>
      <w:r>
        <w:t xml:space="preserve">s Trigger Date for each regulated solution.  The ISO will also establish benchmark lead times for proposed market-based solutions.  </w:t>
      </w:r>
    </w:p>
    <w:p w:rsidR="00676CEF" w:rsidRDefault="00B27BE7">
      <w:pPr>
        <w:pStyle w:val="Heading4"/>
      </w:pPr>
      <w:r>
        <w:t>31.2.5.6</w:t>
      </w:r>
      <w:r>
        <w:tab/>
        <w:t>Resolution of Deficiencies</w:t>
      </w:r>
      <w:bookmarkEnd w:id="170"/>
    </w:p>
    <w:p w:rsidR="00676CEF" w:rsidRDefault="00B27BE7">
      <w:pPr>
        <w:pStyle w:val="Bodypara"/>
      </w:pPr>
      <w:r>
        <w:t>Following initial review of the proposals</w:t>
      </w:r>
      <w:bookmarkStart w:id="171" w:name="_DV_C54"/>
      <w:r>
        <w:t>, as described above</w:t>
      </w:r>
      <w:bookmarkStart w:id="172" w:name="_DV_M125"/>
      <w:bookmarkEnd w:id="171"/>
      <w:bookmarkEnd w:id="172"/>
      <w:r>
        <w:t xml:space="preserve">, ISO staff will identify </w:t>
      </w:r>
      <w:r>
        <w:t>any reliability deficiencies in each of the proposed solutions.  The Responsible Transmission Owner, Transmission Owner or Other Developer will discuss any identified deficiencies with the ISO staff.  Other Developers and Transmission Owners that propose a</w:t>
      </w:r>
      <w:r>
        <w:t xml:space="preserve">lternative regulated solutions shall have the option to remedy their proposals to address any deficiency within 30 days of notification by the ISO.  </w:t>
      </w:r>
      <w:bookmarkStart w:id="173" w:name="_DV_C56"/>
      <w:r>
        <w:t>With respect to regulated backstop solutions proposed by a Responsible Transmission Owner pursuant to Secti</w:t>
      </w:r>
      <w:r>
        <w:t>on 31.2.4.3, the</w:t>
      </w:r>
      <w:bookmarkStart w:id="174" w:name="_DV_M126"/>
      <w:bookmarkEnd w:id="173"/>
      <w:bookmarkEnd w:id="174"/>
      <w:r>
        <w:rPr>
          <w:bCs/>
        </w:rPr>
        <w:t xml:space="preserve"> </w:t>
      </w:r>
      <w:r>
        <w:t xml:space="preserve">Responsible Transmission Owner shall make necessary changes to its proposed backstop solution to address </w:t>
      </w:r>
      <w:bookmarkStart w:id="175" w:name="_DV_C58"/>
      <w:r>
        <w:t>any</w:t>
      </w:r>
      <w:bookmarkStart w:id="176" w:name="_DV_M127"/>
      <w:bookmarkEnd w:id="175"/>
      <w:bookmarkEnd w:id="176"/>
      <w:r>
        <w:t xml:space="preserve"> reliability deficiencies</w:t>
      </w:r>
      <w:bookmarkStart w:id="177" w:name="_DV_C59"/>
      <w:r>
        <w:t xml:space="preserve"> identified by the ISO,</w:t>
      </w:r>
      <w:bookmarkStart w:id="178" w:name="_DV_M128"/>
      <w:bookmarkEnd w:id="177"/>
      <w:bookmarkEnd w:id="178"/>
      <w:r>
        <w:t xml:space="preserve"> and submit a revised proposal to the ISO for review within 30 days.  The ISO shall</w:t>
      </w:r>
      <w:r>
        <w:t xml:space="preserve"> review all such revised proposals to determine whether the identified deficiencies have been resolved.</w:t>
      </w:r>
      <w:bookmarkStart w:id="179" w:name="_DV_M129"/>
      <w:bookmarkEnd w:id="179"/>
    </w:p>
    <w:p w:rsidR="00676CEF" w:rsidRDefault="00B27BE7">
      <w:pPr>
        <w:pStyle w:val="Heading4"/>
      </w:pPr>
      <w:r>
        <w:t>31.2.5.7</w:t>
      </w:r>
      <w:r>
        <w:tab/>
        <w:t>ISO Report of Evaluation Results</w:t>
      </w:r>
    </w:p>
    <w:p w:rsidR="00676CEF" w:rsidRDefault="00B27BE7">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Sectio</w:t>
      </w:r>
      <w:r>
        <w:t xml:space="preserve">n 31.2.5 will have a Trigger Date within thirty-six months of the date of the ISO’s presentation of the Viability and Sufficiency Assessment to the ESPWG.   </w:t>
      </w:r>
    </w:p>
    <w:p w:rsidR="00676CEF" w:rsidRDefault="00B27BE7">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676CEF" w:rsidRDefault="00B27BE7">
      <w:pPr>
        <w:pStyle w:val="Heading3"/>
      </w:pPr>
      <w:r>
        <w:t>31.2.6</w:t>
      </w:r>
      <w:r>
        <w:tab/>
        <w:t>ISO Evaluation and Selection of Proposed Regulated Transmission Solutions</w:t>
      </w:r>
    </w:p>
    <w:p w:rsidR="00676CEF" w:rsidRDefault="00B27BE7">
      <w:pPr>
        <w:pStyle w:val="Heading4"/>
      </w:pPr>
      <w:r>
        <w:t>31.2.6.1</w:t>
      </w:r>
      <w:r>
        <w:tab/>
        <w:t>Submission of Project Information for Selection of Proposed Regul</w:t>
      </w:r>
      <w:r>
        <w:t>ated Transmission Solution</w:t>
      </w:r>
    </w:p>
    <w:p w:rsidR="00676CEF" w:rsidRDefault="00B27BE7">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676CEF" w:rsidRDefault="00B27BE7">
      <w:pPr>
        <w:pStyle w:val="Bodypara"/>
      </w:pPr>
      <w:r>
        <w:t>The ISO will make its request, if necessary, for project information under this Section 31.2.6.1 sufficiently in advance of the earliest Trigger Date of the viable and suffic</w:t>
      </w:r>
      <w:r>
        <w:t>ient regulated solutions to enable the ISO to evaluate and select the more efficient or cost effective transmission solution.  Upon the ISO’s request for project information, the Developer shall submit such information for its regulated transmission soluti</w:t>
      </w:r>
      <w:r>
        <w:t>on within thirty (30) days or such other additional period as the ISO determines is reasonable.  The Developer shall submit additional project information required by the ISO within 15 days of the ISO’s request.  A Developer that fails to submit the requir</w:t>
      </w:r>
      <w:r>
        <w:t>ed project information will not be eligible for its project to be considered in that planning cycle.</w:t>
      </w:r>
    </w:p>
    <w:p w:rsidR="00676CEF" w:rsidRDefault="00B27BE7">
      <w:pPr>
        <w:pStyle w:val="Heading4"/>
      </w:pPr>
      <w:r>
        <w:t>31.2.6.2</w:t>
      </w:r>
      <w:r>
        <w:tab/>
        <w:t xml:space="preserve">Study Deposit for Proposed Regulated Transmission Solutions </w:t>
      </w:r>
    </w:p>
    <w:p w:rsidR="00676CEF" w:rsidRDefault="00B27BE7">
      <w:pPr>
        <w:pStyle w:val="Bodypara"/>
      </w:pPr>
      <w:r>
        <w:t>A Developer that proposes a regulated backstop transmission solution or an alternativ</w:t>
      </w:r>
      <w:r>
        <w:t>e regulated transmission solution to satisfy the identified Reliability Need shall submit to the ISO, at the same time that it provides the project information required pursuant to Section 31.2.6.1, a study deposit of $100,000, which shall be applied to st</w:t>
      </w:r>
      <w:r>
        <w:t xml:space="preserve">udy costs and subject to refund as described in this Section 31.2.6.2.  </w:t>
      </w:r>
    </w:p>
    <w:p w:rsidR="00676CEF" w:rsidRDefault="00B27BE7">
      <w:pPr>
        <w:pStyle w:val="Bodypara"/>
      </w:pPr>
      <w:r>
        <w:t>The ISO shall charge, and a Developer proposing a regulated backstop transmission solution or an alternative regulated transmission solution shall pay, the actual costs of the ISO’s e</w:t>
      </w:r>
      <w:r>
        <w:t>valuation of the Developer’s proposed transmission solution for purposes of the ISO’s selection of the more efficient or cost effective transmission solution to satisfy a Reliability Need for cost allocation purposes, including costs associated with the IS</w:t>
      </w:r>
      <w:r>
        <w:t>O’s use of subcontractors.  The ISO will track its staff and administrative costs, including any costs associated with using subcontractors, that it incurs in performing the evaluation of a Developer’s proposed transmission solution under this Section 31.2</w:t>
      </w:r>
      <w:r>
        <w:t>.6 and any supplemental evaluation or re-evaluation of the proposed transmission solution.  If the ISO or its subcontractors perform study work for multiple proposed transmission solutions on a combined basis, the ISO will allocate the costs of the combine</w:t>
      </w:r>
      <w:r>
        <w:t>d study work equally among the applicable Developers. The ISO shall invoice the Developer monthly for study costs incurred by the ISO in evaluating the Developer’s proposed transmission solution as described above.  Such invoice shall include a description</w:t>
      </w:r>
      <w:r>
        <w:t xml:space="preserve"> and an accounting of the study costs incurred by the ISO and estimated subcontractor costs.  The Developer shall pay the invoiced amount within thirty (30) calendar days of the ISO’s issuance of the monthly invoice.  The ISO shall continue to hold the ful</w:t>
      </w:r>
      <w:r>
        <w:t xml:space="preserve">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w:t>
      </w:r>
      <w:r>
        <w:t xml:space="preserve">ount as described below, the ISO may draw upon the study deposit to recover the owed amount.  If the ISO must draw on the study deposit, the ISO shall provide notice to the Developer, and the Developer shall within thirty (30) calendar days of such notice </w:t>
      </w:r>
      <w:r>
        <w:t>make payments to the ISO to restore the full study deposit amount.  If the Developer fails to make such payments, the ISO may halt its evaluation of the Developer’s proposed transmission solution and may disqualify the Developer’s proposed transmission sol</w:t>
      </w:r>
      <w:r>
        <w:t>ution from further consideration.  After the conclusion of the ISO’s evaluation of the Developer’s proposed transmission solution or if the Developer: (i) withdraws its proposed transmission solution or (ii) fails to pay an invoiced amount and the ISO halt</w:t>
      </w:r>
      <w:r>
        <w:t xml:space="preserve">s its evaluation of the proposed transmission solution, the ISO shall issue a final invoice and refund to the Developer any portion of the Developer’s study deposit submitted to the ISO under this Section 31.2.6.2 that exceeds outstanding amounts that the </w:t>
      </w:r>
      <w:r>
        <w:t>ISO has incurred in evaluating that Developer’s proposed transmission solution, including interest on the refunded amount calculated in accordance with Section 35.19a(a)(2) of FERC’s regulations.  The ISO shall refund the remaining portion within sixty (60</w:t>
      </w:r>
      <w:r>
        <w:t xml:space="preserve">) days of the ISO’s receipt of all final invoices from its subcontractors and involved Transmission Owners. </w:t>
      </w:r>
    </w:p>
    <w:p w:rsidR="00676CEF" w:rsidRDefault="00B27BE7">
      <w:pPr>
        <w:pStyle w:val="Bodypara"/>
      </w:pPr>
      <w:r>
        <w:t>In the event of a Developer’s dispute over invoiced amounts, the Developer shall: (i) timely pay any undisputed amounts to the ISO, and (ii) pay in</w:t>
      </w:r>
      <w:r>
        <w:t xml:space="preserve">to an independent escrow account the portion of the invoice in dispute, pending resolution of such dispute.  If the Developer fails to meet these two requirements, then the ISO shall not be obligated to perform or continue to perform its evaluation of the </w:t>
      </w:r>
      <w:r>
        <w:t xml:space="preserve">Developer’s proposed transmission solution.  Disputes arising under this section shall be addressed through the Dispute Resolution Procedures set forth in Section 2.16 of the ISO OATT and Section 11 of the ISO Services Tariff.  Within thirty (30) Calendar </w:t>
      </w:r>
      <w:r>
        <w:t>Days after resolution of the dispute, the Developer will pay the ISO any amounts due with interest calculated in accordance with Section 35.19a(a)(2) of FERC’s regulations.</w:t>
      </w:r>
    </w:p>
    <w:p w:rsidR="00676CEF" w:rsidRDefault="00B27BE7">
      <w:pPr>
        <w:pStyle w:val="Heading4"/>
      </w:pPr>
      <w:r>
        <w:t>31.2.6.3</w:t>
      </w:r>
      <w:r>
        <w:tab/>
        <w:t xml:space="preserve">Evaluation of System Impact of Proposed Regulated Transmission Solution </w:t>
      </w:r>
    </w:p>
    <w:p w:rsidR="00676CEF" w:rsidRDefault="00B27BE7">
      <w:pPr>
        <w:pStyle w:val="Bodypara"/>
      </w:pPr>
      <w:r>
        <w:t>A</w:t>
      </w:r>
      <w:r>
        <w:t xml:space="preserve"> proposed regulated transmission solution that will have a significant adverse impact on the reliability of the New York State Transmission System shall not be eligible for selection by the ISO under Section 31.2.6.5.  The ISO shall evaluate the system imp</w:t>
      </w:r>
      <w:r>
        <w:t>acts for the entire Study Period of a proposed regulated transmission solution that the ISO has determined under Section 31.2.5 is viable and sufficient.  The ISO shall perform power flow and short circuit studies for the proposed regulated transmission so</w:t>
      </w:r>
      <w:r>
        <w:t>lutions and additional studies, as appropriate. If the ISO identifies a significant adverse impact based on these studies, the ISO shall request that the Developer make an adjustment to its proposed regulated transmission solution to address this impact an</w:t>
      </w:r>
      <w:r>
        <w:t>d remain eligible for selection.  The Developer shall submit the adjustment within 30 days of the ISO’s notification.</w:t>
      </w:r>
    </w:p>
    <w:p w:rsidR="00676CEF" w:rsidRDefault="00B27BE7">
      <w:pPr>
        <w:pStyle w:val="Bodypara"/>
      </w:pPr>
      <w:r>
        <w:t>If the Developer modifies its proposed regulated transmission solution, the ISO shall confirm that the adjusted solution still satisfies t</w:t>
      </w:r>
      <w:r>
        <w:t xml:space="preserve">he viability and sufficiency requirements set forth in Section 31.2.5.  If the ISO determines that the proposed regulated transmission solution does not satisfy the viability and sufficiency requirements or continues to have a significantly adverse impact </w:t>
      </w:r>
      <w:r>
        <w:t>on the reliability of the New York State Transmission System, the ISO shall remove the proposed solution from further consideration during that planning cycle.</w:t>
      </w:r>
    </w:p>
    <w:p w:rsidR="00676CEF" w:rsidRDefault="00B27BE7">
      <w:pPr>
        <w:pStyle w:val="Heading4"/>
      </w:pPr>
      <w:r>
        <w:t>31.2.6.4</w:t>
      </w:r>
      <w:r>
        <w:tab/>
        <w:t>Evaluation of Regional Transmission Solutions to Address Local and Regional Reliability</w:t>
      </w:r>
      <w:r>
        <w:t xml:space="preserve"> Needs More Efficiently or More Cost Effectively Than Local Transmission Solutions</w:t>
      </w:r>
      <w:r>
        <w:rPr>
          <w:vertAlign w:val="superscript"/>
        </w:rPr>
        <w:t xml:space="preserve"> </w:t>
      </w:r>
    </w:p>
    <w:p w:rsidR="00676CEF" w:rsidRDefault="00B27BE7">
      <w:pPr>
        <w:pStyle w:val="Bodypara"/>
      </w:pPr>
      <w:r>
        <w:t xml:space="preserve">The ISO will review the LTPs as they relate to BPTFs.  The results of the ISO’s analysis will be reported in the CRP.  </w:t>
      </w:r>
    </w:p>
    <w:p w:rsidR="00676CEF" w:rsidRDefault="00B27BE7">
      <w:pPr>
        <w:pStyle w:val="Heading4"/>
      </w:pPr>
      <w:r>
        <w:t>31.2.6.4.1</w:t>
      </w:r>
      <w:r>
        <w:tab/>
        <w:t>Evaluation of Regional Transmission Solut</w:t>
      </w:r>
      <w:r>
        <w:t>ions to Address Local Reliability Needs Identified in Local Transmission Plans More Efficiently or More Cost Effectively than Local Transmission Solutions</w:t>
      </w:r>
    </w:p>
    <w:p w:rsidR="00676CEF" w:rsidRDefault="00B27BE7">
      <w:pPr>
        <w:pStyle w:val="Bodypara"/>
      </w:pPr>
      <w:r>
        <w:t xml:space="preserve">The ISO, using engineering judgment, will determine whether proposed regional transmission solutions </w:t>
      </w:r>
      <w:r>
        <w:t>on the BPTFs may more efficiently or cost effectively satisfy reliability needs identified in the LTPs.  If the ISO identifies that a regional transmission solution on the BPTFs has the potential to more efficiently or cost effectively satisfy the reliabil</w:t>
      </w:r>
      <w:r>
        <w:t>ity need identified in the LTPs, it will perform a sensitivity analysis to determine whether the proposed regional transmission solution on the BPTFs would satisfy the reliability needs identified in the LTPs.  If the ISO determines that the proposed regio</w:t>
      </w:r>
      <w:r>
        <w:t>nal transmission solutions on the BPTFs would satisfy the reliability need, the ISO will evaluate the proposed regional transmission solution using the metrics set forth in Section 31.2.6.5.1 to determine whether it may be a more efficient or cost effectiv</w:t>
      </w:r>
      <w:r>
        <w:t xml:space="preserve">e solution on the BPTFs to satisfy the reliability needs identified in the LTPs than the local solutions proposed in the LTPs.  </w:t>
      </w:r>
      <w:bookmarkStart w:id="180" w:name="OLE_LINK1"/>
      <w:bookmarkStart w:id="181" w:name="OLE_LINK2"/>
    </w:p>
    <w:p w:rsidR="00676CEF" w:rsidRDefault="00B27BE7">
      <w:pPr>
        <w:pStyle w:val="Heading4"/>
      </w:pPr>
      <w:r>
        <w:t>31.2.6.4.2</w:t>
      </w:r>
      <w:r>
        <w:tab/>
        <w:t>Evaluation of Regional Transmission Solutions to Address Regional Reliability Needs More Efficiently or More Cost Ef</w:t>
      </w:r>
      <w:r>
        <w:t>fectively than Local Transmission Solutions</w:t>
      </w:r>
    </w:p>
    <w:p w:rsidR="00676CEF" w:rsidRDefault="00B27BE7">
      <w:pPr>
        <w:pStyle w:val="Bodypara"/>
      </w:pPr>
      <w:r>
        <w:t>As referenced in Section 31.2.1.3, the ISO, using engineering judgment, will determine whether a regional transmission solution might more efficiently or more cost effectively satisfy an identified regional Relia</w:t>
      </w:r>
      <w:r>
        <w:t>bility Need on the BPTFs that impacts more than one Transmission District than any local transmission solutions identified by the Transmission Owners in their LTPs in the event the LTPs specify such transmission solutions are included to address local reli</w:t>
      </w:r>
      <w:r>
        <w:t>ability needs.</w:t>
      </w:r>
      <w:bookmarkEnd w:id="180"/>
      <w:bookmarkEnd w:id="181"/>
      <w:r>
        <w:t xml:space="preserve">  </w:t>
      </w:r>
    </w:p>
    <w:p w:rsidR="00676CEF" w:rsidRDefault="00B27BE7">
      <w:pPr>
        <w:pStyle w:val="Heading4"/>
      </w:pPr>
      <w:r>
        <w:t xml:space="preserve">31.2.6.5 </w:t>
      </w:r>
      <w:r>
        <w:tab/>
        <w:t>ISO Selection of More Efficient or Cost Effective Transmission Solution for Cost Allocation Purposes</w:t>
      </w:r>
    </w:p>
    <w:p w:rsidR="00676CEF" w:rsidRDefault="00B27BE7">
      <w:pPr>
        <w:pStyle w:val="Bodypara"/>
      </w:pPr>
      <w:r>
        <w:t>A proposed regulated transmission solution – including a regulated backstop transmission solution submitted by a Responsible Tra</w:t>
      </w:r>
      <w:r>
        <w:t>nsmission Owner pursuant to Section 31.2.4.3 and an alternative regulated transmission solution submitted by a Transmission Owner or Other Developer pursuant to Section 31.2.4.7 – that the ISO has determined satisfies the viability and sufficiency requirem</w:t>
      </w:r>
      <w:r>
        <w:t>ents in Section 31.2.5 and the system impact requirements in Section 31.2.6.3 shall be eligible under this Section 31.2.6.5 for selection in the CRP for the purpose of cost allocation and recovery under the ISO Tariffs.  The ISO shall evaluate any eligible</w:t>
      </w:r>
      <w:r>
        <w:t xml:space="preserve"> proposed regulated transmission solutions for the planning cycle using the metrics set forth in Section 31.2.6.5.1 below.  For purposes of this evaluation, the ISO will review the information submitted by the Developer and determine whether it is reasonab</w:t>
      </w:r>
      <w:r>
        <w:t>le and how such information should be used for purposes of the ISO evaluating each metric.  The ISO may engage an independent consultant to review the reasonableness and comprehensiveness of the information submitted by the Developer and may rely on the in</w:t>
      </w:r>
      <w:r>
        <w:t xml:space="preserve">dependent consultant’s analysis in evaluating each metric.  The ISO shall select in the CRP for cost allocation purposes the more efficient or cost effective transmission solution to satisfy a Reliability Need in the manner set forth in Section 31.2.6.5.2 </w:t>
      </w:r>
      <w:r>
        <w:t>below.</w:t>
      </w:r>
    </w:p>
    <w:p w:rsidR="00676CEF" w:rsidRDefault="00B27BE7">
      <w:pPr>
        <w:pStyle w:val="Heading4"/>
      </w:pPr>
      <w:r>
        <w:t xml:space="preserve">31.2.6.5.1  Metrics for Evaluating More Efficient or Cost Effective Regulated Transmission Solution to Satisfy Reliability Need </w:t>
      </w:r>
    </w:p>
    <w:p w:rsidR="00676CEF" w:rsidRDefault="00B27BE7">
      <w:pPr>
        <w:pStyle w:val="Bodypara"/>
      </w:pPr>
      <w:r>
        <w:t>In determining which of the eligible proposed regulated transmission solutions is the more efficient or cost effective s</w:t>
      </w:r>
      <w:r>
        <w:t>olution to satisfy the Reliability Need, the ISO will consider, and will consult with the NYDPS regarding, the following metrics set forth in this Section 31.2.6.5.1 and rank each proposed solution based on the quality of its satisfaction of these metrics:</w:t>
      </w:r>
    </w:p>
    <w:p w:rsidR="00676CEF" w:rsidRDefault="00B27BE7">
      <w:pPr>
        <w:pStyle w:val="alphapara"/>
      </w:pPr>
      <w:r>
        <w:t xml:space="preserve">31.2.6.5.1.1  </w:t>
      </w:r>
      <w:r>
        <w:tab/>
        <w:t xml:space="preserve">The capital cost estimates for the proposed regulated transmission solutions, including the accuracy of the proposed estimates.  For this evaluation, the Developer shall provide the ISO with credible capital cost estimates for its proposed </w:t>
      </w:r>
      <w:r>
        <w:t>solution, with itemized supporting work sheets that identify all material and labor cost assumptions, and related drawings to the extent applicable and available.  The work sheets should include an estimated quantification of cost variance, providing an as</w:t>
      </w:r>
      <w:r>
        <w:t xml:space="preserve">sumed plus/minus range around the capital cost estimate. </w:t>
      </w:r>
    </w:p>
    <w:p w:rsidR="00676CEF" w:rsidRDefault="00B27BE7">
      <w:pPr>
        <w:pStyle w:val="alphapara"/>
        <w:ind w:firstLine="720"/>
      </w:pPr>
      <w:r>
        <w:t>The estimate shall include all components that are needed to meet the Reliability Need throughout the Study Period.  To the extent information is available, the Developer should itemize: material an</w:t>
      </w:r>
      <w:r>
        <w:t>d labor cost by equipment, engineering and design work, permitting, site acquisition, procurement and construction work, and commissioning needed for the proposed solution, all in accordance with Good Utility Practice.  For each of these cost categories, t</w:t>
      </w:r>
      <w:r>
        <w:t>he Developer should specify the nature and estimated cost of all major project components and estimate the cost of the work to be done at each substation and/or on each feeder to physically and electrically connect each facility to the existing system.  Th</w:t>
      </w:r>
      <w:r>
        <w:t>e work sheets should itemize to the extent applicable and available all equipment for: (i) the proposed project; (ii) interconnection facilities (including Attachment Facilities and Direct Assignment Facilities); and (iii) System Upgrade Facilities, System</w:t>
      </w:r>
      <w:r>
        <w:t xml:space="preserve"> Deliverability Upgrades, Network Upgrades, and Distribution Upgrades.</w:t>
      </w:r>
    </w:p>
    <w:p w:rsidR="00676CEF" w:rsidRDefault="00B27BE7">
      <w:pPr>
        <w:pStyle w:val="alphapara"/>
      </w:pPr>
      <w:r>
        <w:t xml:space="preserve">31.2.6.5.1.2  </w:t>
      </w:r>
      <w:r>
        <w:tab/>
        <w:t>The cost per MW ratio of the proposed regulated transmission solutions.  For this evaluation, the ISO will first determine the present worth, in dollars, of the total cap</w:t>
      </w:r>
      <w:r>
        <w:t>ital cost of the proposed solution in current year dollars.  The ISO will then determine the MW value of the solution by summing the Reliability Need, in MW, with the additional improvement, in MW, that the proposed solution offers beyond serving the Relia</w:t>
      </w:r>
      <w:r>
        <w:t xml:space="preserve">bility Need.  The ISO will then determine the cost per MW ratio by dividing the present worth of the total capital cost by the MW value.     </w:t>
      </w:r>
    </w:p>
    <w:p w:rsidR="00676CEF" w:rsidRDefault="00B27BE7">
      <w:pPr>
        <w:pStyle w:val="alphapara"/>
      </w:pPr>
      <w:r>
        <w:t>31.2.6.5.1.3</w:t>
      </w:r>
      <w:r>
        <w:rPr>
          <w:vertAlign w:val="superscript"/>
        </w:rPr>
        <w:t xml:space="preserve"> </w:t>
      </w:r>
      <w:r>
        <w:t xml:space="preserve"> </w:t>
      </w:r>
      <w:r>
        <w:tab/>
        <w:t>The expandability of the proposed regulated transmission solution.  The ISO will consider the impac</w:t>
      </w:r>
      <w:r>
        <w:t xml:space="preserve">t of the proposed solution on future construction.  The ISO will also consider the extent to which any subsequent expansion will continue to use this proposed solution within the context of system expansion.  </w:t>
      </w:r>
    </w:p>
    <w:p w:rsidR="00676CEF" w:rsidRDefault="00B27BE7">
      <w:pPr>
        <w:pStyle w:val="alphapara"/>
      </w:pPr>
      <w:r>
        <w:t xml:space="preserve">31.2.6.5.1.4  </w:t>
      </w:r>
      <w:r>
        <w:tab/>
        <w:t>The operability of the proposed</w:t>
      </w:r>
      <w:r>
        <w:t xml:space="preserve"> regulated transmission solution.  The ISO will consider how the proposed solution may affect additional flexibility in operating the system, such as dispatch of generation, access to operating reserves, access to ancillary services, or ability to remove t</w:t>
      </w:r>
      <w:r>
        <w:t>ransmission for maintenance.  The ISO will also consider how the proposed solution may affect the cost of operating the system, such as how it may affect the need for operating generation out of merit for reliability needs, reducing the need to cycle gener</w:t>
      </w:r>
      <w:r>
        <w:t xml:space="preserve">ation, or providing more balance in the system to respond to system conditions that are more severe than design conditions.  </w:t>
      </w:r>
    </w:p>
    <w:p w:rsidR="00676CEF" w:rsidRDefault="00B27BE7">
      <w:pPr>
        <w:pStyle w:val="alphapara"/>
      </w:pPr>
      <w:r>
        <w:t xml:space="preserve">31.2.6.5.1.5  </w:t>
      </w:r>
      <w:r>
        <w:tab/>
        <w:t>The performance of the proposed regulated transmission solution.  The ISO will consider how the proposed project ma</w:t>
      </w:r>
      <w:r>
        <w:t>y affect the utilization of the system (</w:t>
      </w:r>
      <w:r>
        <w:rPr>
          <w:i/>
        </w:rPr>
        <w:t>e.g.</w:t>
      </w:r>
      <w:r>
        <w:t xml:space="preserve"> interface flows, percent loading of facilities).</w:t>
      </w:r>
    </w:p>
    <w:p w:rsidR="00676CEF" w:rsidRDefault="00B27BE7">
      <w:pPr>
        <w:pStyle w:val="alphapara"/>
      </w:pPr>
      <w:r>
        <w:t xml:space="preserve">31.2.6.5.1.6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676CEF" w:rsidRDefault="00B27BE7">
      <w:pPr>
        <w:pStyle w:val="alphapara"/>
      </w:pPr>
      <w:r>
        <w:t xml:space="preserve">31.2.6.5.1.7 </w:t>
      </w:r>
      <w:r>
        <w:tab/>
        <w:t>The potential issues associated with delay in constructing the proposed regulated transmission solution consistent with the major milestone schedule and the schedule for obtaining an</w:t>
      </w:r>
      <w:r>
        <w:t xml:space="preserve">y permits and other certifications as required to timely meet the need. </w:t>
      </w:r>
    </w:p>
    <w:p w:rsidR="00676CEF" w:rsidRDefault="00B27BE7">
      <w:pPr>
        <w:pStyle w:val="Heading4"/>
      </w:pPr>
      <w:r>
        <w:t>31.2.6.5.2</w:t>
      </w:r>
      <w:r>
        <w:tab/>
        <w:t xml:space="preserve">ISO Selection of More Efficient or Cost Effective Regulated Transmission Solution to Satisfy Reliability Need </w:t>
      </w:r>
    </w:p>
    <w:p w:rsidR="00676CEF" w:rsidRDefault="00B27BE7">
      <w:pPr>
        <w:pStyle w:val="Bodypara"/>
      </w:pPr>
      <w:r>
        <w:t>The ISO shall select under this Section 31.2.6.5.2 the propos</w:t>
      </w:r>
      <w:r>
        <w:t>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w:t>
      </w:r>
      <w:r>
        <w:t>the CRP.  The selected regulated transmission solution reported in the CRP shall be eligible to be triggered by the ISO to satisfy the identified Reliability Need pursuant to Section 31.2.8 at any point within thirty-six months of the date of the ISO’s pre</w:t>
      </w:r>
      <w:r>
        <w:t>sentation of the Viability and Sufficiency Assessment to the ESPWG.  An Other Developer or Transmission Owner of an alternative regulated transmission project shall not be eligible for cost allocation and  cost recovery under the ISO OATT for its project u</w:t>
      </w:r>
      <w:r>
        <w:t>nless its project is selected pursuant to this Section 31.2.6.5.2.  Once such project is selected, the Other Developer or Transmission Owner shall be eligible for cost allocation and cost recovery under the ISO OATT for its project.  Within thirty (30) day</w:t>
      </w:r>
      <w:r>
        <w:t xml:space="preserve">s of the ISO’s selection of an alternative regulated transmission solution, the Other Developer or Transmission Owner shall submit to the ISO for the ISO’s approval a proposed schedule and scope of work that describe the preparation work, if any, that the </w:t>
      </w:r>
      <w:r>
        <w:t>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 in Rate</w:t>
      </w:r>
      <w:r>
        <w:t xml:space="preserve"> Schedule 10 of the ISO OATT, or as otherwise determined by the Commission.  Actual project cost recovery, including any issues related to cost recovery and project cost overruns, will be submitted to and decided by the Commission.    </w:t>
      </w:r>
    </w:p>
    <w:p w:rsidR="00676CEF" w:rsidRDefault="00B27BE7">
      <w:pPr>
        <w:pStyle w:val="Heading3"/>
      </w:pPr>
      <w:r>
        <w:t>31.2.7</w:t>
      </w:r>
      <w:r>
        <w:tab/>
        <w:t>Comprehensive</w:t>
      </w:r>
      <w:r>
        <w:t xml:space="preserve"> Reliability Plan</w:t>
      </w:r>
    </w:p>
    <w:p w:rsidR="00676CEF" w:rsidRDefault="00B27BE7">
      <w:pPr>
        <w:pStyle w:val="Bodypara"/>
      </w:pPr>
      <w:r>
        <w:t>Following the ISO’s evaluation of the proposed market-based and regulated solutions to Reliability Need(s), the ISO will prepare a draft CRP that sets forth the ISO’s findings regarding the viability and sufficiency of solutions, the trig</w:t>
      </w:r>
      <w:r>
        <w:t>ger dates of regulated solutions, and any recommendations that implementation of regulated solutions (which may be a Gap Solution) is necessary to ensure system reliability.  The draft CRP will reflect any input from the NYDPS.  If the CRP cannot be comple</w:t>
      </w:r>
      <w:r>
        <w:t xml:space="preserve">ted in the two-year planning cycle, the ISO will notify stakeholders and provide an estimated completion date and an explanation of the reasons the additional time is required.   </w:t>
      </w:r>
    </w:p>
    <w:p w:rsidR="00676CEF" w:rsidRDefault="00B27BE7">
      <w:pPr>
        <w:pStyle w:val="Bodypara"/>
      </w:pPr>
      <w:r>
        <w:t>The ISO will include in the draft CRP the list of Developers that qualify pu</w:t>
      </w:r>
      <w:r>
        <w:t>rsuant to Section 31.2.4.1 and will identify the proposed solutions that it has determined under Section 31.2.5 are viable and sufficient to satisfy the identified Reliability Need(s) by the need date.  The ISO will identify in the CRP the regulated backst</w:t>
      </w:r>
      <w:r>
        <w:t>op solution that the ISO has determined will meet the Reliability Need by the need date and the Responsible Transmission Owner.  If the ISO determines at the time of the issuance of the CRP that sufficient market-based solutions will not be available in ti</w:t>
      </w:r>
      <w:r>
        <w:t>me to meet a Reliability Need, and finds that it is necessary to take action to ensure reliability, it will state in the CRP that  the development of regulated solutions (regulated backstop or alternative regulated solution) is necessary.  The draft CRP wi</w:t>
      </w:r>
      <w:r>
        <w:t xml:space="preserve">ll also include the results of the ISO’s analysis of the LTPs consistent with Section 31.2.6.4.   </w:t>
      </w:r>
    </w:p>
    <w:p w:rsidR="00676CEF" w:rsidRDefault="00B27BE7">
      <w:pPr>
        <w:pStyle w:val="Bodypara"/>
      </w:pPr>
      <w:r>
        <w:t>The draft CRP shall indicate whether the ISO has determined that the Trigger Date to any proposed regulated solution will occur within thirty-six months of t</w:t>
      </w:r>
      <w:r>
        <w:t>he date of ISO’s presentation of the Viability and Sufficiency Assessment to the ESPWG.  If the Trigger Date of any proposed regulated solution will occur within the thirty-six month period and the ISO makes a selection of the more efficient or cost effect</w:t>
      </w:r>
      <w:r>
        <w:t>ive transmission solution under Section 31.2.6.5.2, the draft CRP shall include the regulated transmission solution selected for cost allocation purposes pursuant to Section 31.2.6.5.2 as the more efficient or cost effective transmission solution to satisf</w:t>
      </w:r>
      <w:r>
        <w:t>y the Reliability Need(s) and shall indicate whether that transmission solution should be triggered.  If: (i) none of the proposed regulated solutions has a Trigger Date within the thirty-six month period, or (ii) the Trigger Date of any proposed regulated</w:t>
      </w:r>
      <w:r>
        <w:t xml:space="preserve"> solution will occur within the thirty-six month period but the ISO determines in its discretion that it is not necessary at that time to select a more efficient or cost effective transmission solution under Section 31.2.6.5.2 prior to the completion of th</w:t>
      </w:r>
      <w:r>
        <w:t>e CRP, the draft CRP will not select a regulated transmission solution.  If: (i) the Trigger Date of any proposed regulated solution will occur within the thirty-six month period, and (ii) the ISO selects a more efficient or cost effective solution subsequ</w:t>
      </w:r>
      <w:r>
        <w:t>ent to the completion of the CRP but prior to the completion of that thirty-six month period, the ISO shall issue an updated CRP report pursuant to Section 31.2.7.3 that includes the regulated transmission solution selected for cost allocation purposes pur</w:t>
      </w:r>
      <w:r>
        <w:t>suant to Section 31.2.6.5.2 as the more efficient or cost effective transmission solution to satisfy the Reliability Need(s) and shall indicate whether that transmission solution should be triggered.</w:t>
      </w:r>
    </w:p>
    <w:p w:rsidR="00676CEF" w:rsidRDefault="00B27BE7">
      <w:pPr>
        <w:pStyle w:val="Bodypara"/>
        <w:rPr>
          <w:b/>
        </w:rPr>
      </w:pPr>
      <w:r>
        <w:t>The draft CRP shall include a comparison of a proposed r</w:t>
      </w:r>
      <w:r>
        <w:t>egional solution to an identified Reliability Need to an Interregional Transmission Project identified and evaluated under the “Analysis and Consideration of Interregional Transmission Projects” section of the Interregional Planning Protocol, if any.  An I</w:t>
      </w:r>
      <w:r>
        <w:t>nterregional Transmission Project proposed in the ISO’s reliability planning process may be selected as a market based response, regulated backstop solution, or an alternative regulated solution under the provisions of the ISO’s reliability planning proces</w:t>
      </w:r>
      <w:r>
        <w:t xml:space="preserve">s. </w:t>
      </w:r>
    </w:p>
    <w:p w:rsidR="00676CEF" w:rsidRDefault="00B27BE7">
      <w:pPr>
        <w:pStyle w:val="Heading4"/>
      </w:pPr>
      <w:r>
        <w:t>31.2.7.1</w:t>
      </w:r>
      <w:r>
        <w:tab/>
        <w:t>Collaborative Governance Process</w:t>
      </w:r>
    </w:p>
    <w:p w:rsidR="00676CEF" w:rsidRDefault="00B27BE7">
      <w:pPr>
        <w:pStyle w:val="Bodypara"/>
      </w:pPr>
      <w:r>
        <w:t>The ISO staff shall submit the draft CRP to the TPAS and ESPWG for review and comment.  The ISO shall make available to any interested party sufficient information to replicate the results of the draft CRP.  Th</w:t>
      </w:r>
      <w:r>
        <w:t>e information made available will be electronically masked and made available pursuant to a process that the ISO reasonably determines is necessary to prevent the disclosure of any Confidential Information or Critical Energy Infrastructure Information cont</w:t>
      </w:r>
      <w:r>
        <w:t>ained in the information made available.  Following completion of the TPAS and ESPWG review, the draft CRP reflecting the revisions resulting from the TPAS and ESPWG review shall be forwarded to the Operating Committee for a discussion and action.  The ISO</w:t>
      </w:r>
      <w:r>
        <w:t xml:space="preserve"> shall notify the Business Issues Committee of the date of the Operating Committee meeting at which the draft CRP is to be presented.  Following the Operating Committee vote, the draft CRP will be transmitted to the Management Committee for a discussion an</w:t>
      </w:r>
      <w:r>
        <w:t>d action.</w:t>
      </w:r>
    </w:p>
    <w:p w:rsidR="00676CEF" w:rsidRDefault="00B27BE7">
      <w:pPr>
        <w:pStyle w:val="Heading4"/>
      </w:pPr>
      <w:r>
        <w:t>31.2.7.2</w:t>
      </w:r>
      <w:r>
        <w:tab/>
        <w:t xml:space="preserve">Board Review, Consideration, and Approval of CRP </w:t>
      </w:r>
    </w:p>
    <w:p w:rsidR="00676CEF" w:rsidRDefault="00B27BE7">
      <w:pPr>
        <w:pStyle w:val="Bodypara"/>
      </w:pPr>
      <w:r>
        <w:t xml:space="preserve">Following the Management Committee vote, the draft CRP, with working group, Operating Committee, and Management Committee input, will be forwarded to the ISO Board for review and action. </w:t>
      </w:r>
      <w:r>
        <w:t xml:space="preserve">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w:t>
      </w:r>
      <w:r>
        <w:t xml:space="preserve"> approve the draft CRP as submitted or propose modifications on its own motion, including the recommendations regarding the selection of transmission projects for cost allocation and cost recovery under the ISO Tariffs if such selection will occur during t</w:t>
      </w:r>
      <w:r>
        <w:t xml:space="preserve">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w:t>
      </w:r>
      <w:r>
        <w:t xml:space="preserve">ts.  Upon final approval by the Board, the ISO shall issue the CRP to the marketplace by posting the CRP on its website.  The ISO will provide the CRP to the appropriate regulatory agency(ies) for consideration and appropriate action. </w:t>
      </w:r>
    </w:p>
    <w:p w:rsidR="00676CEF" w:rsidRDefault="00B27BE7">
      <w:pPr>
        <w:pStyle w:val="Bodypara"/>
      </w:pPr>
      <w:r>
        <w:t>The responsibilities</w:t>
      </w:r>
      <w:r>
        <w:t xml:space="preserve"> of the Market Monitoring Unit that are addressed in the above section of Attachment Y to the ISO OATT are also addressed in Section 30.4.6.8.3 of the Market Monitoring Plan, Attachment O to the ISO Services Tariff.</w:t>
      </w:r>
    </w:p>
    <w:p w:rsidR="00676CEF" w:rsidRDefault="00B27BE7">
      <w:pPr>
        <w:pStyle w:val="Heading4"/>
      </w:pPr>
      <w:r>
        <w:t xml:space="preserve">31.2.7.3  </w:t>
      </w:r>
      <w:r>
        <w:tab/>
        <w:t>Updated CRP Report</w:t>
      </w:r>
    </w:p>
    <w:p w:rsidR="00676CEF" w:rsidRDefault="00B27BE7">
      <w:pPr>
        <w:pStyle w:val="Bodypara"/>
      </w:pPr>
      <w:r>
        <w:t>If, pursua</w:t>
      </w:r>
      <w:r>
        <w:t>nt to Section 31.2.7, the ISO identifies a proposed regulated transmission solution as the more efficient or cost effective transmission solution following the completion of the CRP, the ISO will prepare a draft updated CRP report that indicates the regula</w:t>
      </w:r>
      <w:r>
        <w:t>ted transmission solution recommended for selection for cost allocation purposes pursuant to Section 31.2.6.5.2 as the more efficient or cost effective transmission solution to satisfy the Reliability Need(s) and shall indicate whether that transmission so</w:t>
      </w:r>
      <w:r>
        <w:t>lution should be triggered at that time.  The draft updated CRP report shall be reviewed in accordance with the stakeholder process set forth in Section 31.2.7.1 and will be then forwarded to the ISO Board for its review and action pursuant to Section 31.2</w:t>
      </w:r>
      <w:r>
        <w:t>.7.2.</w:t>
      </w:r>
    </w:p>
    <w:p w:rsidR="00676CEF" w:rsidRDefault="00B27BE7">
      <w:pPr>
        <w:pStyle w:val="Heading4"/>
      </w:pPr>
      <w:r>
        <w:t>31.2.7.4</w:t>
      </w:r>
      <w:r>
        <w:tab/>
        <w:t>Reliability Disputes</w:t>
      </w:r>
    </w:p>
    <w:p w:rsidR="00676CEF" w:rsidRDefault="00B27BE7">
      <w:pPr>
        <w:pStyle w:val="Bodypara"/>
      </w:pPr>
      <w:r>
        <w:t>Notwithstanding any provision to the contrary in this Attachment, the ISO OATT, or the ISO Services Tariff, in the event that a Market Participant or other interested party raises a dispute solely within the NYPSC’s juri</w:t>
      </w:r>
      <w:r>
        <w:t>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w:t>
      </w:r>
      <w:r>
        <w:t>ded for in the ISO Procedures.  The NYPSC’s final determination of such disputes shall be binding, subject only to judicial review in the courts of the State of New York pursuant to Article 78 of the New York Civil Practice Law and Rules.</w:t>
      </w:r>
    </w:p>
    <w:p w:rsidR="00676CEF" w:rsidRDefault="00B27BE7">
      <w:pPr>
        <w:pStyle w:val="Heading4"/>
      </w:pPr>
      <w:r>
        <w:t>31.2.7.5</w:t>
      </w:r>
      <w:r>
        <w:tab/>
        <w:t xml:space="preserve">Posting </w:t>
      </w:r>
      <w:r>
        <w:t>of Approved Solutions</w:t>
      </w:r>
    </w:p>
    <w:p w:rsidR="00676CEF" w:rsidRDefault="00B27BE7">
      <w:pPr>
        <w:pStyle w:val="Bodypara"/>
      </w:pPr>
      <w:bookmarkStart w:id="182" w:name="_Toc261439766"/>
      <w:r>
        <w:t>The ISO shall post on its website a list of all Developers that have undertaken a commitment to the ISO to build a project (which may be a regulated backstop solution, market-based response, alternative regulated response or gap solut</w:t>
      </w:r>
      <w:r>
        <w:t>ion) that is necessary to ensure system reliability, as identified in the CRP and approved by the appropriate governmental agency(ies) and/or authority(ies).</w:t>
      </w:r>
    </w:p>
    <w:p w:rsidR="00676CEF" w:rsidRDefault="00B27BE7">
      <w:pPr>
        <w:pStyle w:val="Heading3"/>
      </w:pPr>
      <w:r>
        <w:t>31.2.8</w:t>
      </w:r>
      <w:r>
        <w:tab/>
        <w:t>Determination of Necessity</w:t>
      </w:r>
      <w:bookmarkEnd w:id="182"/>
      <w:r>
        <w:t xml:space="preserve">  </w:t>
      </w:r>
    </w:p>
    <w:p w:rsidR="00676CEF" w:rsidRDefault="00B27BE7">
      <w:pPr>
        <w:pStyle w:val="Heading4"/>
      </w:pPr>
      <w:bookmarkStart w:id="183" w:name="_DV_M130"/>
      <w:bookmarkEnd w:id="183"/>
      <w:r>
        <w:t>31.2.8.1</w:t>
      </w:r>
      <w:r>
        <w:tab/>
        <w:t>Determination of Necessity of a Regulated Solution</w:t>
      </w:r>
    </w:p>
    <w:p w:rsidR="00676CEF" w:rsidRDefault="00B27BE7">
      <w:pPr>
        <w:pStyle w:val="alphapara"/>
      </w:pPr>
      <w:r>
        <w:t>31</w:t>
      </w:r>
      <w:r>
        <w:t>.2.8.1.1</w:t>
      </w:r>
      <w:r>
        <w:tab/>
        <w:t>The ISO shall review proposals for market-based solutions pursuant to Sections 31.2.5, 31.2.8.3, and 31.2.</w:t>
      </w:r>
      <w:del w:id="184" w:author="TMSServices" w:date="2016-10-06T07:58:00Z">
        <w:r>
          <w:delText>12</w:delText>
        </w:r>
      </w:del>
      <w:ins w:id="185" w:author="TMSServices" w:date="2016-10-06T07:58:00Z">
        <w:r>
          <w:t>13</w:t>
        </w:r>
      </w:ins>
      <w:r>
        <w:t>.1</w:t>
      </w:r>
      <w:r>
        <w:rPr>
          <w:vertAlign w:val="superscript"/>
        </w:rPr>
        <w:t xml:space="preserve"> </w:t>
      </w:r>
      <w:r>
        <w:t>of this Attachment Y.  The ISO will not trigger a regulated solution if, based on this review, it determines prior to or at the Trigge</w:t>
      </w:r>
      <w:r>
        <w:t>r Date for a regulated solution that sufficient market-based solutions are timely progressing to meet the Reliability Need by the need date.  If the ISO decides not to trigger a regulated backstop solution or selected alternative regulated transmission sol</w:t>
      </w:r>
      <w:r>
        <w:t>ution, the Responsible Transmission Owner, Other Developer, or Transmission Owner will be eligible to recover its costs incurred up to that point in the same manner it may recover the costs of a halted project in accordance with Section 31.2.8.2.</w:t>
      </w:r>
      <w:del w:id="186" w:author="TMSServices" w:date="2016-10-06T07:58:00Z">
        <w:r>
          <w:delText>2</w:delText>
        </w:r>
      </w:del>
      <w:ins w:id="187" w:author="TMSServices" w:date="2016-10-06T07:58:00Z">
        <w:r>
          <w:t>1</w:t>
        </w:r>
      </w:ins>
      <w:r>
        <w:t xml:space="preserve"> for the</w:t>
      </w:r>
      <w:r>
        <w:t xml:space="preserve"> Responsible Transmission Owner and Section 31.2.8.2.</w:t>
      </w:r>
      <w:del w:id="188" w:author="TMSServices" w:date="2016-10-06T07:58:00Z">
        <w:r>
          <w:delText>3</w:delText>
        </w:r>
      </w:del>
      <w:ins w:id="189" w:author="TMSServices" w:date="2016-10-06T07:58:00Z">
        <w:r>
          <w:t>2</w:t>
        </w:r>
      </w:ins>
      <w:r>
        <w:t xml:space="preserve"> for the Other Developer or Transmission Owner.</w:t>
      </w:r>
    </w:p>
    <w:p w:rsidR="00676CEF" w:rsidRDefault="00B27BE7">
      <w:pPr>
        <w:pStyle w:val="alphapara"/>
      </w:pPr>
      <w:r>
        <w:t>31.2.8.1.2</w:t>
      </w:r>
      <w:r>
        <w:tab/>
        <w:t>If: (i) the ISO determines that there are not sufficient market-based solutions to meet the identified Reliability Need by the need date, (ii)</w:t>
      </w:r>
      <w:r>
        <w:t xml:space="preserve"> the regulated backstop solution proposed by the Responsible Transmission Owner is the only proposed viable and sufficient regulated solution or is selected by the ISO as the more efficient or cost effective transmission solution to meet the identified Rel</w:t>
      </w:r>
      <w:r>
        <w:t>iability Need, and (iii) the Trigger Date for the regulated backstop solution has or will occur within thirty-six months of the date of the ISO’s presentation of the Viability and Sufficiency Assessment to the ESPWG, the ISO will trigger the regulated back</w:t>
      </w:r>
      <w:r>
        <w:t>stop solution at its Trigger Date.  The ISO will inform the Responsible Transmission Owner that it should submit the regulated backstop solution to the appropriate governmental agency(ies) and/or authority(ies) to begin the necessary approval process to si</w:t>
      </w:r>
      <w:r>
        <w:t>te, construct, and operate the solution.  In response to the ISO’s request, the Responsible Transmission Owner shall make such a submission to the appropriate governmental agency(ies) and/or authority(ies).</w:t>
      </w:r>
    </w:p>
    <w:p w:rsidR="00676CEF" w:rsidRDefault="00B27BE7">
      <w:pPr>
        <w:pStyle w:val="alphapara"/>
      </w:pPr>
      <w:r>
        <w:t>31.2.8.1.3</w:t>
      </w:r>
      <w:r>
        <w:tab/>
        <w:t xml:space="preserve">If: (i) the ISO determines that there </w:t>
      </w:r>
      <w:r>
        <w:t>are not sufficient market-based solutions to meet the identified Reliability Need by the need date; (ii) the ISO selects an alternative regulated transmission solution as the more efficient or cost-effective transmission solution to meet the identified Rel</w:t>
      </w:r>
      <w:r>
        <w:t>iability Need; (iii) the Trigger Date for the regulated backstop solution is later than the Trigger Date for the selected alternative regulated transmission solution; and (iv) the Trigger Date for the selected alternative regulated transmission solution ha</w:t>
      </w:r>
      <w:r>
        <w:t>s or will occur within thirty-six months of the date of the ISO’s presentation of the Viability and Sufficiency Assessment to the ESPWG, the ISO shall trigger the selected alternative regulated transmission solution at its Trigger Date.  The ISO will infor</w:t>
      </w:r>
      <w:r>
        <w:t>m the Other Developer or Transmission Owner that it should submit the selected alternative regulated transmission solution to the appropriate governmental agency(ies) and/or authority(ies) to begin the necessary approval process to site, construct, and ope</w:t>
      </w:r>
      <w:r>
        <w:t xml:space="preserve">rate the solution.  In response to the ISO’s request, the Other Developer or Transmission Owner shall make such a submission to the appropriate governmental agency(ies) and/or authority(ies).  Prior to the Trigger Date for the regulated backstop solution, </w:t>
      </w:r>
      <w:r>
        <w:t xml:space="preserve">the ISO will review the status of the development </w:t>
      </w:r>
      <w:ins w:id="190" w:author="TMSServices" w:date="2016-10-06T07:58:00Z">
        <w:r>
          <w:t xml:space="preserve">by the Other Developer or Transmission Owner </w:t>
        </w:r>
      </w:ins>
      <w:r>
        <w:t>of the selected alternative regulated transmission solution, including</w:t>
      </w:r>
      <w:ins w:id="191" w:author="TMSServices" w:date="2016-10-06T07:58:00Z">
        <w:r>
          <w:t>, but not limited to, reviewing: (i)</w:t>
        </w:r>
      </w:ins>
      <w:r>
        <w:t xml:space="preserve"> whether the </w:t>
      </w:r>
      <w:del w:id="192" w:author="TMSServices" w:date="2016-10-06T07:58:00Z">
        <w:r>
          <w:delText>Other Developer or Transmission Owner of t</w:delText>
        </w:r>
        <w:r>
          <w:delText>he alternative regulated transmission solution</w:delText>
        </w:r>
      </w:del>
      <w:ins w:id="193" w:author="TMSServices" w:date="2016-10-06T07:58:00Z">
        <w:r>
          <w:t>Developer</w:t>
        </w:r>
      </w:ins>
      <w:r>
        <w:t xml:space="preserve"> has </w:t>
      </w:r>
      <w:del w:id="194" w:author="TMSServices" w:date="2016-10-06T07:58:00Z">
        <w:r>
          <w:delText>satisfied</w:delText>
        </w:r>
      </w:del>
      <w:ins w:id="195" w:author="TMSServices" w:date="2016-10-06T07:58:00Z">
        <w:r>
          <w:t>executed a Development Agreement or requested that it be filed unexecuted with</w:t>
        </w:r>
      </w:ins>
      <w:r>
        <w:t xml:space="preserve"> the </w:t>
      </w:r>
      <w:del w:id="196" w:author="TMSServices" w:date="2016-10-06T07:58:00Z">
        <w:r>
          <w:delText>requirements of</w:delText>
        </w:r>
      </w:del>
      <w:ins w:id="197" w:author="TMSServices" w:date="2016-10-06T07:58:00Z">
        <w:r>
          <w:t>Commission pursuant to</w:t>
        </w:r>
      </w:ins>
      <w:r>
        <w:t xml:space="preserve"> Section 31.2.8.1.6</w:t>
      </w:r>
      <w:del w:id="198" w:author="TMSServices" w:date="2016-10-06T07:58:00Z">
        <w:r>
          <w:delText xml:space="preserve"> and</w:delText>
        </w:r>
      </w:del>
      <w:ins w:id="199" w:author="TMSServices" w:date="2016-10-06T07:58:00Z">
        <w:r>
          <w:t>; (ii) whether the Developer is timely progr</w:t>
        </w:r>
        <w:r>
          <w:t>essing against the  milestones set forth in the Development Agreement; and (iii) the status of the Developer’s obtaining required permits or authorizations, including whether the Developer has</w:t>
        </w:r>
      </w:ins>
      <w:r>
        <w:t xml:space="preserve"> received its Article VII certification or other applicable siti</w:t>
      </w:r>
      <w:r>
        <w:t xml:space="preserve">ng permits or authorizations under New York State law.  If, based on its review, the ISO determines prior to or at the Trigger Date for the regulated backstop solution that it is necessary for the Responsible Transmission Owner to proceed with a regulated </w:t>
      </w:r>
      <w:r>
        <w:t>backstop solution in parallel with the selected alternative regulated transmission solution to ensure the identified Reliability Need is satisfied by the need date, the ISO will trigger the regulated backstop solution and report to stakeholders the reasons</w:t>
      </w:r>
      <w:r>
        <w:t xml:space="preserve"> for its determination.  The Responsible Transmission Owner shall proceed with due diligence to develop its regulated backstop solution in accordance with Good Utility Practice and to submit its proposed solution to the appropriate governmental agency(ies)</w:t>
      </w:r>
      <w:r>
        <w:t xml:space="preserve"> and/or authority(ies), unless or until notified by the ISO that it has determined that the regulated backstop solution is no longer needed as described in Section 31.2.8.2.</w:t>
      </w:r>
      <w:del w:id="200" w:author="TMSServices" w:date="2016-10-06T07:58:00Z">
        <w:r>
          <w:delText>2</w:delText>
        </w:r>
      </w:del>
      <w:ins w:id="201" w:author="TMSServices" w:date="2016-10-06T07:58:00Z">
        <w:r>
          <w:t>1</w:t>
        </w:r>
      </w:ins>
      <w:r>
        <w:t xml:space="preserve"> below.  If, based on its review, the ISO decides not to trigger the regulated ba</w:t>
      </w:r>
      <w:r>
        <w:t>ckstop solution, the ISO will notify the Responsible Transmission Owner that its regulated backstop solution is no longer needed and will not be triggered.  In such case, the Responsible Transmission Owner shall be eligible to recover its costs incurred up</w:t>
      </w:r>
      <w:r>
        <w:t xml:space="preserve"> to that point in the same manner as it may recover the costs of a halted project in accordance with Section 31.2.8.2.</w:t>
      </w:r>
      <w:del w:id="202" w:author="TMSServices" w:date="2016-10-06T07:58:00Z">
        <w:r>
          <w:delText>2.</w:delText>
        </w:r>
      </w:del>
      <w:ins w:id="203" w:author="TMSServices" w:date="2016-10-06T07:58:00Z">
        <w:r>
          <w:t>1.</w:t>
        </w:r>
      </w:ins>
      <w:r>
        <w:rPr>
          <w:vertAlign w:val="superscript"/>
        </w:rPr>
        <w:t xml:space="preserve"> </w:t>
      </w:r>
    </w:p>
    <w:p w:rsidR="00676CEF" w:rsidRDefault="00B27BE7">
      <w:pPr>
        <w:pStyle w:val="alphapara"/>
      </w:pPr>
      <w:r>
        <w:t>31.2.8.1.4</w:t>
      </w:r>
      <w:r>
        <w:tab/>
        <w:t>If: (i) the ISO determines that there are not sufficient market-based solutions to meet the identified Reliability Need b</w:t>
      </w:r>
      <w:r>
        <w:t>y the need date; (ii) the ISO selects an alternative regulated transmission solution as the more efficient or cost-effective transmission solution to meet the identified Reliability Need; (iii) the Trigger Date for the regulated backstop solution is earlie</w:t>
      </w:r>
      <w:r>
        <w:t>r than the Trigger Date for the selected alternative regulated transmission solution; and (iv) the Trigger Date for the regulated backstop solution has or will occur within thirty-six months of the date of the ISO’s presentation of the Viability and Suffic</w:t>
      </w:r>
      <w:r>
        <w:t>iency Assessment to the ESPWG, the ISO shall trigger both the selected alternative regulated transmission solution and the regulated backstop solution at the Trigger Date for the regulated backstop solution.  The ISO will inform the Responsible Transmissio</w:t>
      </w:r>
      <w:r>
        <w:t>n Owner that proposed the regulated backstop solution and the Other Developer or Transmission Owner that proposed the selected alternative regulated transmission solution that they should submit the proposed solutions to the appropriate governmental agency</w:t>
      </w:r>
      <w:r>
        <w:t>(ies) and/or authority(ies) to begin the necessary approval process to site, construct, and operate the solution.  In response to the ISO’s request, the Responsible Transmission Owner, Other Developer or Transmission Owner shall make such a submission to t</w:t>
      </w:r>
      <w:r>
        <w:t xml:space="preserve">he appropriate governmental agency(ies) and/or authority(ies).    </w:t>
      </w:r>
    </w:p>
    <w:p w:rsidR="00676CEF" w:rsidRDefault="00B27BE7">
      <w:pPr>
        <w:pStyle w:val="alphapara"/>
      </w:pPr>
      <w:r>
        <w:t>31.2.8.1.5</w:t>
      </w:r>
      <w:r>
        <w:tab/>
        <w:t>The ISO may make its determination regarding the triggering of a regulated solution pursuant to Sections 31.2.8.1.1 through 31.2.8.1.4 in the CRP or at any time before the approv</w:t>
      </w:r>
      <w:r>
        <w:t xml:space="preserve">al of the next CRP. </w:t>
      </w:r>
      <w:del w:id="204" w:author="TMSServices" w:date="2016-10-06T07:58:00Z">
        <w:r>
          <w:delText>31.2.8.1.6</w:delText>
        </w:r>
        <w:r>
          <w:tab/>
          <w:delText>If the selected regulated solution is an alternative regulated transmission solution, the Other Developer or Transmission Owner that proposed the selected alternative regulated solution shall within 60 days of the ISO’s trigg</w:delText>
        </w:r>
        <w:r>
          <w:delText>ering the proposed solution, or such other reasonable time period as determined by the ISO: (i) execute an agreement with the ISO committing the Other Developer or Transmission Owner to seek all necessary approvals required for its proposed project, to dev</w:delText>
        </w:r>
        <w:r>
          <w:delText>elop and construct its proposed project if approvals are received, and to abide by the related requirements set forth in Attachment Y of the ISO OATT, the ISO Tariffs, and ISO Procedures, and (ii) provide construction milestones necessary to develop and co</w:delText>
        </w:r>
        <w:r>
          <w:delText>nstruct its proposed project to achieve the required in-service date, including milestone dates for obtaining all necessary approvals.  The Other Developer or Transmission Owner shall inform the ISO of any material changes to its construction milestones wi</w:delText>
        </w:r>
        <w:r>
          <w:delText xml:space="preserve">thin thirty days of the change.  If the Other Developer or Transmission Owner does not perform the actions set forth in this Section 31.2.8.1.6, it shall not be eligible for cost allocation under the ISO Tariffs. </w:delText>
        </w:r>
      </w:del>
    </w:p>
    <w:p w:rsidR="00676CEF" w:rsidRDefault="00B27BE7">
      <w:pPr>
        <w:pStyle w:val="alphapara"/>
        <w:rPr>
          <w:ins w:id="205" w:author="TMSServices" w:date="2016-10-06T07:58:00Z"/>
        </w:rPr>
      </w:pPr>
      <w:del w:id="206" w:author="TMSServices" w:date="2016-10-06T07:58:00Z">
        <w:r>
          <w:delText>31.2.8.1.7</w:delText>
        </w:r>
      </w:del>
      <w:ins w:id="207" w:author="TMSServices" w:date="2016-10-06T07:58:00Z">
        <w:r>
          <w:t>31.2.8.1.6</w:t>
        </w:r>
        <w:r>
          <w:tab/>
          <w:t>If the selected regul</w:t>
        </w:r>
        <w:r>
          <w:t>ated transmission solution is an alternative regulated transmission solution, the ISO shall tender the Other Developer or Transmission Owner that proposed the selected alternative regulated transmission solution  – as soon as reasonably practicable conside</w:t>
        </w:r>
        <w:r>
          <w:t>ring the project’s Trigger Date following the ISO’s selection of the proposed solution – a draft Development Agreement with draft appendices completed by the ISO to the extent practicable for review and completion by the Developer.  The draft Development A</w:t>
        </w:r>
        <w:r>
          <w:t>greement shall be in the form of the ISO’s Commission-approved Development Agreement, which is in Appendix C in Section 31.7 of this Attachment Y.  The ISO and the Developer shall finalize the Development Agreement and appendices and negotiate concerning a</w:t>
        </w:r>
        <w:r>
          <w:t>ny disputed provisions.  For purposes of finalizing the Development Agreement, the ISO shall provide the Developer with the date by which the selected project must be in-service to satisfy the Reliability Need, and the ISO and Developer shall develop the d</w:t>
        </w:r>
        <w:r>
          <w:t>escription and dates for the milestones necessary to develop and construct the selected project by the required in-service date, including the milestones for obtaining all necessary authorizations.  Unless otherwise agreed by the ISO and the Developer, the</w:t>
        </w:r>
        <w:r>
          <w:t xml:space="preserve"> Developer must execute the Development Agreement within three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Development Agreement in unexecuted form with the Commission.  If the Development Agreement resulting from th</w:t>
        </w:r>
        <w:r>
          <w:t>e negotiation between the ISO and the Developer does not conform with the Commission-approved standard form in Appendix C in Section 31.7 of this Attachment Y, the ISO shall file the agreement with the Commission for its acceptance within thirty (30) Busin</w:t>
        </w:r>
        <w:r>
          <w:t xml:space="preserve">ess Days after the execution of the Development Agreement by both parties.  If the Developer requests that the Development Agreement be filed unexecuted, the ISO shall file the agreement at the Commission within thirty (30) Business Days of receipt of the </w:t>
        </w:r>
        <w:r>
          <w:t>request from the Developer.  The ISO will draft to the extent practicable the portions of the Development Agreement and appendices that are in dispute and will provide an explanation to the Commission of any matters as to which the parties disagree.  The D</w:t>
        </w:r>
        <w:r>
          <w:t xml:space="preserve">eveloper will provide in a separate filing any comments that it has on the unexecuted agreement, including any alternative positions it may have with respect to the disputed provisions. </w:t>
        </w:r>
      </w:ins>
    </w:p>
    <w:p w:rsidR="00676CEF" w:rsidRDefault="00B27BE7">
      <w:pPr>
        <w:pStyle w:val="alphapara"/>
        <w:rPr>
          <w:ins w:id="208" w:author="TMSServices" w:date="2016-10-06T07:58:00Z"/>
        </w:rPr>
      </w:pPr>
      <w:ins w:id="209" w:author="TMSServices" w:date="2016-10-06T07:58:00Z">
        <w:r>
          <w:t>31.2.8.1.7</w:t>
        </w:r>
        <w:r>
          <w:tab/>
          <w:t xml:space="preserve">Upon the ISO’s and Developer’s execution of the </w:t>
        </w:r>
        <w:r>
          <w:t xml:space="preserve">Development Agreement or the ISO’s filing of an unexecuted Development Agreement with the Commission pursuant to Section 31.2.8.1.6, the ISO and Developer shall perform their respective obligations in accordance with the terms of the Development Agreement </w:t>
        </w:r>
        <w:r>
          <w:t>that are not in dispute, subject to modifications by the Commission.   The Connecting Transmission Owner(s) and Affected Transmission Owner(s) that are identified in Attachment X of the ISO OATT in connection with the selected alternative regulated transmi</w:t>
        </w:r>
        <w:r>
          <w:t>ssion solution shall act in good faith in timely performing their obligations that are required for the Developer to satisfy its obligations under the Development Agreement.</w:t>
        </w:r>
      </w:ins>
    </w:p>
    <w:p w:rsidR="00676CEF" w:rsidRDefault="00B27BE7">
      <w:pPr>
        <w:pStyle w:val="alphapara"/>
      </w:pPr>
      <w:ins w:id="210" w:author="TMSServices" w:date="2016-10-06T07:58:00Z">
        <w:r>
          <w:t>31.2.8.1.8</w:t>
        </w:r>
      </w:ins>
      <w:r>
        <w:tab/>
        <w:t>Other Developers and Transmission Owners proposing alternative regulate</w:t>
      </w:r>
      <w:r>
        <w:t>d solutions that the ISO has determined will resolve the identified Reliability Need may submit these proposals to the appropriate governmental agency(ies) and/or authority(ies) for review.  The ISO does not determine the solution that will be permitted by</w:t>
      </w:r>
      <w:r>
        <w:t xml:space="preserve"> the appropriate governmental agency(ies) and/or authority(ies) with jurisdiction over siting or whether the regulated backstop solution or an alternative regulated solution will be constructed to address the identified Reliability Need.  If the appropriat</w:t>
      </w:r>
      <w:r>
        <w:t>e governmental agency(ies) and/or authority(ies) makes a final determination that an alternative regulated solution should be permitted and constructed to satisfy a Reliability Need and that the regulated backstop solution should not proceed, implementatio</w:t>
      </w:r>
      <w:r>
        <w:t xml:space="preserve">n of the alternative regulated solution will be the responsibility of the Transmission Owner or Other Developer that proposed the alternative regulated solution, and the Responsible Transmission Owner will not be responsible for addressing the Reliability </w:t>
      </w:r>
      <w:r>
        <w:t>Need through the implementation of its regulated backstop solution.  Should a regulated solution not be implemented, the ISO may request a Gap Solution pursuant to Section 31.2.</w:t>
      </w:r>
      <w:del w:id="211" w:author="TMSServices" w:date="2016-10-06T07:58:00Z">
        <w:r>
          <w:delText>10</w:delText>
        </w:r>
      </w:del>
      <w:ins w:id="212" w:author="TMSServices" w:date="2016-10-06T07:58:00Z">
        <w:r>
          <w:t>11</w:t>
        </w:r>
      </w:ins>
      <w:r>
        <w:t xml:space="preserve"> of this Attachment Y. </w:t>
      </w:r>
    </w:p>
    <w:p w:rsidR="00676CEF" w:rsidRDefault="00B27BE7">
      <w:pPr>
        <w:pStyle w:val="Heading4"/>
      </w:pPr>
      <w:r>
        <w:t>31.2.8.2  Halting and Related Cost Recovery Require</w:t>
      </w:r>
      <w:r>
        <w:t xml:space="preserve">ments </w:t>
      </w:r>
    </w:p>
    <w:p w:rsidR="007F584C" w:rsidRDefault="00B27BE7">
      <w:pPr>
        <w:pStyle w:val="alphapara"/>
        <w:rPr>
          <w:del w:id="213" w:author="TMSServices" w:date="2016-10-06T07:58:00Z"/>
        </w:rPr>
      </w:pPr>
      <w:del w:id="214" w:author="TMSServices" w:date="2016-10-06T07:58:00Z">
        <w:r>
          <w:delText>31.2.8.2.1  If, after consultation with: (i) the Responsible Transmission Owner or (ii) the Other Developer or Transmission Owner of an alternative regulated transmission solution selected by the ISO as the more efficient or cost efficient solution,</w:delText>
        </w:r>
        <w:r>
          <w:delText xml:space="preserve"> the ISO determines that the Responsible Transmission Owner, Other Developer, or Transmission Owner has not submitted its proposed regulated backstop solution for necessary regulatory action within a reasonable period of time, or that the Responsible Trans</w:delText>
        </w:r>
        <w:r>
          <w:delText>mission Owner, Other Developer, or Transmission Owner has been unable to obtain the approvals or property rights necessary under applicable law to construct the project, the ISO shall submit a report to the Commission for its consideration and determinatio</w:delText>
        </w:r>
        <w:r>
          <w:delText xml:space="preserve">n of whether any action is appropriate under federal law.  </w:delText>
        </w:r>
      </w:del>
    </w:p>
    <w:p w:rsidR="00676CEF" w:rsidRDefault="00B27BE7">
      <w:pPr>
        <w:pStyle w:val="alphapara"/>
      </w:pPr>
      <w:del w:id="215" w:author="TMSServices" w:date="2016-10-06T07:58:00Z">
        <w:r>
          <w:delText>31.2.8.2.2</w:delText>
        </w:r>
      </w:del>
      <w:ins w:id="216" w:author="TMSServices" w:date="2016-10-06T07:58:00Z">
        <w:r>
          <w:t>31.2.8.2.1</w:t>
        </w:r>
      </w:ins>
      <w:r>
        <w:tab/>
        <w:t>If the ISO has triggered a regulated backstop solution under Sections 31.2.8.1.2, 31.2.8.1.3, 31.2.8.1.4, or 31.2.8.1.5, the ISO will immediately notify the Responsible Transm</w:t>
      </w:r>
      <w:r>
        <w:t>ission Owner, post such notice on its website, and will state in the next CRP if it determines that the regulated backstop solution is no longer needed and should be halted because either: (i) the ISO has determined that there are sufficient market-based s</w:t>
      </w:r>
      <w:r>
        <w:t>olutions to ensure that the identified Reliability Need is met by the need date, or (ii) the ISO</w:t>
      </w:r>
      <w:ins w:id="217" w:author="TMSServices" w:date="2016-10-06T07:58:00Z">
        <w:r>
          <w:t>: (A)</w:t>
        </w:r>
      </w:ins>
      <w:r>
        <w:t xml:space="preserve"> has triggered an alternative regulated transmission solution that the ISO selected in the CRP as the more efficient or cost effective transmission solutio</w:t>
      </w:r>
      <w:r>
        <w:t xml:space="preserve">n and </w:t>
      </w:r>
      <w:del w:id="218" w:author="TMSServices" w:date="2016-10-06T07:58:00Z">
        <w:r>
          <w:delText>the Other Developer or Transmission Owner proposing this selected alternative regulated transmission solution has both satisfied the requirements of Section 31.2.8.1.6 and</w:delText>
        </w:r>
      </w:del>
      <w:ins w:id="219" w:author="TMSServices" w:date="2016-10-06T07:58:00Z">
        <w:r>
          <w:t>(B) has determined that it is no longer necessary for the Responsible Transmiss</w:t>
        </w:r>
        <w:r>
          <w:t>ion Owner to proceed with a regulated backstop solution in parallel with the selected alternative regulated transmission solution to ensure the identified Reliability Need is satisfied by the need date.  In making its determination under Section 31.2.8.2.1</w:t>
        </w:r>
        <w:r>
          <w:t>(ii), the ISO will review the status of the development by the Other Developer or Transmission Owner of the selected alternative regulated transmission solution, including, but not limited to, reviewing: (i) whether the Developer has executed a Development</w:t>
        </w:r>
        <w:r>
          <w:t xml:space="preserve"> Agreement or requested that it be filed unexecuted with the Commission pursuant to Section 31.2.8.1.6; (ii) whether the Developer is timely progressing against the  milestones set forth in the Development Agreement; and (iii) the status of the Developer’s</w:t>
        </w:r>
        <w:r>
          <w:t xml:space="preserve"> obtaining required permits or authorizations, including whether the Developer has</w:t>
        </w:r>
      </w:ins>
      <w:r>
        <w:t xml:space="preserve"> received its Article VII certification or other applicable siting permits or authorizations under New York State law.</w:t>
      </w:r>
    </w:p>
    <w:p w:rsidR="00676CEF" w:rsidRDefault="00B27BE7">
      <w:pPr>
        <w:pStyle w:val="alphapara"/>
        <w:rPr>
          <w:ins w:id="220" w:author="TMSServices" w:date="2016-10-06T07:58:00Z"/>
          <w:vertAlign w:val="superscript"/>
        </w:rPr>
      </w:pPr>
      <w:r>
        <w:tab/>
      </w:r>
      <w:r>
        <w:tab/>
        <w:t>If a regulated backstop solution is halted by the ISO</w:t>
      </w:r>
      <w:r>
        <w:t>, all of the costs incurred and commitments made by the Responsible Transmission Owner up to that point, including reasonable and necessary expenses incurred to implement an orderly termination of the project, will be recoverable by the Responsible Transmi</w:t>
      </w:r>
      <w:r>
        <w:t>ssion Owner under the cost recovery mechanism in Rate Schedule 10 of this tariff regardless of the nature of the solution.</w:t>
      </w:r>
      <w:r>
        <w:rPr>
          <w:vertAlign w:val="superscript"/>
        </w:rPr>
        <w:t xml:space="preserve">  </w:t>
      </w:r>
    </w:p>
    <w:p w:rsidR="00676CEF" w:rsidRDefault="00B27BE7">
      <w:pPr>
        <w:pStyle w:val="alphapara"/>
      </w:pPr>
      <w:r>
        <w:t>31.2.8.2.</w:t>
      </w:r>
      <w:del w:id="221" w:author="TMSServices" w:date="2016-10-06T07:58:00Z">
        <w:r>
          <w:delText>3</w:delText>
        </w:r>
      </w:del>
      <w:ins w:id="222" w:author="TMSServices" w:date="2016-10-06T07:58:00Z">
        <w:r>
          <w:t>2</w:t>
        </w:r>
      </w:ins>
      <w:r>
        <w:tab/>
        <w:t>If the ISO has triggered an alternative regulated transmission project under Sections 31.2.8.1.3 or 31.2.8.1.4 that the</w:t>
      </w:r>
      <w:r>
        <w:t xml:space="preserve"> ISO has selected as the more efficient or cost effective solution, the ISO will immediately notify the Other Developer or Transmission Owner, post such notice on its website, and will state in the next CRP if it determines that the regulated transmission </w:t>
      </w:r>
      <w:r>
        <w:t xml:space="preserve">solution is no longer needed and should be halted because the ISO has determined that there are sufficient market-based solutions to ensure that the identified Reliability Need is met by the need date.  </w:t>
      </w:r>
    </w:p>
    <w:p w:rsidR="00676CEF" w:rsidRDefault="00B27BE7">
      <w:pPr>
        <w:pStyle w:val="alphapara"/>
        <w:ind w:firstLine="720"/>
      </w:pPr>
      <w:r>
        <w:t>If a selected alternative regulated transmission sol</w:t>
      </w:r>
      <w:r>
        <w:t>ution is halted by the ISO, all of the costs incurred and commitments made by the Other Developer or Transmission Owner up to that point, including reasonable and necessary expenses incurred to implement an orderly termination of the project, will be recov</w:t>
      </w:r>
      <w:r>
        <w:t xml:space="preserve">erable by the Other Developer or Transmission Owner under the cost recovery mechanism in Rate Schedule 10 of this tariff.  </w:t>
      </w:r>
    </w:p>
    <w:p w:rsidR="00676CEF" w:rsidRDefault="00B27BE7">
      <w:pPr>
        <w:pStyle w:val="alphapara"/>
      </w:pPr>
      <w:r>
        <w:t>31.2.8.2.</w:t>
      </w:r>
      <w:del w:id="223" w:author="TMSServices" w:date="2016-10-06T07:58:00Z">
        <w:r>
          <w:delText>4</w:delText>
        </w:r>
      </w:del>
      <w:ins w:id="224" w:author="TMSServices" w:date="2016-10-06T07:58:00Z">
        <w:r>
          <w:t>3</w:t>
        </w:r>
      </w:ins>
      <w:r>
        <w:tab/>
        <w:t>Once the Responsible Transmission Owner receives state regulatory approval of the regulated backstop solution, or, if st</w:t>
      </w:r>
      <w:r>
        <w:t>ate regulatory approval is not required, once the Responsible Transmission Owner receives necessary regulatory approval, the entry of a market-based solution or an alternative regulated transmission solution will not result in the halting by the ISO of the</w:t>
      </w:r>
      <w:r>
        <w:t xml:space="preserve"> regulated backstop solution pursuant to Section 31.2.8.2.</w:t>
      </w:r>
      <w:del w:id="225" w:author="TMSServices" w:date="2016-10-06T07:58:00Z">
        <w:r>
          <w:delText>2.</w:delText>
        </w:r>
      </w:del>
      <w:ins w:id="226" w:author="TMSServices" w:date="2016-10-06T07:58:00Z">
        <w:r>
          <w:t>1.</w:t>
        </w:r>
      </w:ins>
      <w:r>
        <w:t xml:space="preserve">  Similarly, once the Other Developer or Transmission Owner receives its state regulatory approval or any other necessary regulatory approval of its triggered alternative regulated transmission </w:t>
      </w:r>
      <w:r>
        <w:t>solution, the entry of a market-based solution will not result in the halting by the ISO of the regulated transmission solution pursuant to Section 31.2.8.2.</w:t>
      </w:r>
      <w:del w:id="227" w:author="TMSServices" w:date="2016-10-06T07:58:00Z">
        <w:r>
          <w:delText>3</w:delText>
        </w:r>
      </w:del>
      <w:ins w:id="228" w:author="TMSServices" w:date="2016-10-06T07:58:00Z">
        <w:r>
          <w:t>2</w:t>
        </w:r>
      </w:ins>
      <w:r>
        <w:t>.</w:t>
      </w:r>
    </w:p>
    <w:p w:rsidR="00676CEF" w:rsidRDefault="00B27BE7">
      <w:pPr>
        <w:pStyle w:val="alphapara"/>
      </w:pPr>
      <w:r>
        <w:t>31.2.8.2.</w:t>
      </w:r>
      <w:del w:id="229" w:author="TMSServices" w:date="2016-10-06T07:58:00Z">
        <w:r>
          <w:delText>5</w:delText>
        </w:r>
      </w:del>
      <w:ins w:id="230" w:author="TMSServices" w:date="2016-10-06T07:58:00Z">
        <w:r>
          <w:t>4</w:t>
        </w:r>
      </w:ins>
      <w:r>
        <w:tab/>
        <w:t xml:space="preserve">The ISO is not required to review market-based solutions to determine whether they </w:t>
      </w:r>
      <w:r>
        <w:t>will meet the identified Reliability Need by the need date after the triggered alternative regulated transmission solution or regulated backstop solution has received federal and state regulatory approval, unless a federal or state regulatory agency reques</w:t>
      </w:r>
      <w:r>
        <w:t>ts the ISO to conduct such a review.  The ISO will report the results of its review to the federal or state regulatory agency, with copies to the Responsible Transmission Owner, Other Developer, or Transmission Owner.</w:t>
      </w:r>
    </w:p>
    <w:p w:rsidR="00676CEF" w:rsidRDefault="00B27BE7">
      <w:pPr>
        <w:pStyle w:val="alphapara"/>
      </w:pPr>
      <w:r>
        <w:t>31.2.8.2.</w:t>
      </w:r>
      <w:del w:id="231" w:author="TMSServices" w:date="2016-10-06T07:58:00Z">
        <w:r>
          <w:delText>6</w:delText>
        </w:r>
      </w:del>
      <w:ins w:id="232" w:author="TMSServices" w:date="2016-10-06T07:58:00Z">
        <w:r>
          <w:t>5</w:t>
        </w:r>
      </w:ins>
      <w:r>
        <w:tab/>
        <w:t>If the appropriate federal</w:t>
      </w:r>
      <w:r>
        <w:t>, state or local agency(ies) does not approve a necessary authorization for the triggered regulated backstop solution or alternative regulated transmission solution, all of the necessary and reasonable costs incurred and commitments made up to the final fe</w:t>
      </w:r>
      <w:r>
        <w:t xml:space="preserve">deral, state or local regulatory decision, including reasonable and necessary expenses incurred to implement an orderly termination of the project, will be recoverable by the Responsible Transmission Owner, Other Developer, or Transmission Owner under the </w:t>
      </w:r>
      <w:r>
        <w:t>ISO cost recovery mechanism in Rate Schedule 10 of the ISO OATT regardless of the nature of the solution.</w:t>
      </w:r>
      <w:r>
        <w:rPr>
          <w:vertAlign w:val="superscript"/>
        </w:rPr>
        <w:t xml:space="preserve">  </w:t>
      </w:r>
    </w:p>
    <w:p w:rsidR="00676CEF" w:rsidRDefault="00B27BE7">
      <w:pPr>
        <w:pStyle w:val="alphapara"/>
      </w:pPr>
      <w:r>
        <w:t>31.2.8.2.</w:t>
      </w:r>
      <w:del w:id="233" w:author="TMSServices" w:date="2016-10-06T07:58:00Z">
        <w:r>
          <w:delText>7</w:delText>
        </w:r>
      </w:del>
      <w:ins w:id="234" w:author="TMSServices" w:date="2016-10-06T07:58:00Z">
        <w:r>
          <w:t>6</w:t>
        </w:r>
      </w:ins>
      <w:r>
        <w:tab/>
        <w:t>If a necessary federal, state or local authorization for a triggered alternative regulated transmission solution or regulated backstop s</w:t>
      </w:r>
      <w:r>
        <w:t>olution is withdrawn, all expenditures and commitments made up to that point including reasonable and necessary expenses incurred to implement an orderly termination of the project, will be recoverable under the ISO cost recovery mechanism in Rate Schedule</w:t>
      </w:r>
      <w:r>
        <w:t xml:space="preserve"> 10 of the ISO OATT by the Responsible Transmission Owner, Other Developer, or Transmission Owner regardless of the nature of the solution.  </w:t>
      </w:r>
    </w:p>
    <w:p w:rsidR="00676CEF" w:rsidRDefault="00B27BE7">
      <w:pPr>
        <w:pStyle w:val="alphapara"/>
      </w:pPr>
      <w:r>
        <w:t>31.2.8.2.</w:t>
      </w:r>
      <w:del w:id="235" w:author="TMSServices" w:date="2016-10-06T07:58:00Z">
        <w:r>
          <w:delText>8</w:delText>
        </w:r>
      </w:del>
      <w:ins w:id="236" w:author="TMSServices" w:date="2016-10-06T07:58:00Z">
        <w:r>
          <w:t>7</w:t>
        </w:r>
      </w:ins>
      <w:r>
        <w:tab/>
        <w:t>If a material modification to the regulated backstop solution or the alternative regulated transmissio</w:t>
      </w:r>
      <w:r>
        <w:t>n solution is proposed by any federal, state or local agency, the Responsible Transmission Owner, Other Developer, or Transmission Owner will request the ISO to conduct a supplemental reliability review.  If the ISO identifies any reliability deficiency in</w:t>
      </w:r>
      <w:r>
        <w:t xml:space="preserve"> the modified solution, the ISO will so advise the Responsible Transmission Owner, Other Developer, or Transmission Owner and the appropriate federal, state or local regulatory agency(ies).</w:t>
      </w:r>
    </w:p>
    <w:p w:rsidR="00676CEF" w:rsidRDefault="00B27BE7">
      <w:pPr>
        <w:pStyle w:val="Heading4"/>
      </w:pPr>
      <w:r>
        <w:t>31.2.8.3</w:t>
      </w:r>
      <w:r>
        <w:tab/>
        <w:t>Criteria for Cutoff Date of Market-Based Solution</w:t>
      </w:r>
    </w:p>
    <w:p w:rsidR="00676CEF" w:rsidRDefault="00B27BE7">
      <w:pPr>
        <w:pStyle w:val="alphapara"/>
      </w:pPr>
      <w:r>
        <w:t>31.2.8.3.1</w:t>
      </w:r>
      <w:r>
        <w:tab/>
        <w:t>The ISO will apply the criteria in this Section 31.2.8.3 for determining the cutoff date for a determination that a market-based solution will not be available to meet a Reliability Need by the need date.</w:t>
      </w:r>
    </w:p>
    <w:p w:rsidR="00676CEF" w:rsidRDefault="00B27BE7">
      <w:pPr>
        <w:pStyle w:val="alphapara"/>
      </w:pPr>
      <w:r>
        <w:t>31.2.8.3.2</w:t>
      </w:r>
      <w:r>
        <w:tab/>
        <w:t>In the first instance, the IS</w:t>
      </w:r>
      <w:r>
        <w:t>O shall employ its procedures for monitoring the viability of a market-based solution to determine when it may no longer be viable.  Under the conditions where a market-based solution is proceeding after the Trigger Date for the relevant regulated solution</w:t>
      </w:r>
      <w:r>
        <w:t>, it becomes even more critical for the ISO to conduct a continued analysis of the viability of such market-based solutions.</w:t>
      </w:r>
    </w:p>
    <w:p w:rsidR="00676CEF" w:rsidRDefault="00B27BE7">
      <w:pPr>
        <w:pStyle w:val="alphapara"/>
      </w:pPr>
      <w:r>
        <w:t>31.2.8.3.3</w:t>
      </w:r>
      <w:r>
        <w:tab/>
        <w:t xml:space="preserve">The Developer of such a market-based solution shall submit updated information to the ISO twice during each reliability </w:t>
      </w:r>
      <w:r>
        <w:t>planning process cycle, first during the input phase of the RNA, and again during the solutions phase during the period allowed for the solicitation for market-based and regulated solutions.  If no solutions are requested in a particular year, then the sec</w:t>
      </w:r>
      <w:r>
        <w:t>ond update will be provided during the ISO’s analysis of whether existing solutions continue to meet identified Reliability Needs.  The updated information of the project status shall include:  status of final permits, status of major equipment, current st</w:t>
      </w:r>
      <w:r>
        <w:t>atus of construction schedule, estimated in-service date, any potential impediments to completion by the Target Year, and any other information requested by the ISO.</w:t>
      </w:r>
    </w:p>
    <w:p w:rsidR="00676CEF" w:rsidRDefault="00B27BE7">
      <w:pPr>
        <w:pStyle w:val="alphapara"/>
      </w:pPr>
      <w:r>
        <w:t>31.2.8.3.4</w:t>
      </w:r>
      <w:r>
        <w:tab/>
        <w:t>The Developer shall immediately report to the ISO when it has any indication of</w:t>
      </w:r>
      <w:r>
        <w:t xml:space="preserve"> a material change in the project status or that the project in-service date may slip beyond the Target Year.  A material change shall include, but not be limited to, a change in the financial viability of the Developer, a change in siting status, or a cha</w:t>
      </w:r>
      <w:r>
        <w:t>nge in a major element of the project development.</w:t>
      </w:r>
    </w:p>
    <w:p w:rsidR="00676CEF" w:rsidRDefault="00B27BE7">
      <w:pPr>
        <w:pStyle w:val="alphapara"/>
      </w:pPr>
      <w:r>
        <w:t>31.2.8.3.5</w:t>
      </w:r>
      <w:r>
        <w:tab/>
        <w:t xml:space="preserve">Based upon the above information, the ISO will perform an independent review of the development status of the market-based solution to determine whether it remains viable to meet the identified </w:t>
      </w:r>
      <w:r>
        <w:t>Reliability Need by the need date.  If the ISO, at any time, learns of a material change in the project status of a market-based solution, it may, at that time, make a determination as to the continued viability of such project.</w:t>
      </w:r>
    </w:p>
    <w:p w:rsidR="00676CEF" w:rsidRDefault="00B27BE7">
      <w:pPr>
        <w:pStyle w:val="alphapara"/>
      </w:pPr>
      <w:r>
        <w:t>31.2.8.3.6</w:t>
      </w:r>
      <w:r>
        <w:tab/>
        <w:t>The ISO, prior t</w:t>
      </w:r>
      <w:r>
        <w:t>o making a determination about the viability of a specific proposed solution, will communicate its intended determination to the project Developer along with the basis for its intended determination.  The ISO shall provide the Developer a reasonable period</w:t>
      </w:r>
      <w:r>
        <w:t xml:space="preserve"> (not more than 2 weeks) to respond to the ISO’s intended determination, including an opportunity to provide additional information to the ISO to support the continued viability of the proposed solution.</w:t>
      </w:r>
    </w:p>
    <w:p w:rsidR="00676CEF" w:rsidRDefault="00B27BE7">
      <w:pPr>
        <w:pStyle w:val="alphapara"/>
      </w:pPr>
      <w:r>
        <w:t>31.2.8.3.7</w:t>
      </w:r>
      <w:r>
        <w:tab/>
        <w:t>If the ISO determines that a market-based</w:t>
      </w:r>
      <w:r>
        <w:t xml:space="preserve"> solution that is needed to meet an identified Reliability Need is no longer viable, it will request that a regulated solution proceed or seek other measures including, but not limited to, a Gap Solution, to ensure the reliability of the system.</w:t>
      </w:r>
    </w:p>
    <w:p w:rsidR="00676CEF" w:rsidRDefault="00B27BE7">
      <w:pPr>
        <w:pStyle w:val="alphapara"/>
      </w:pPr>
      <w:r>
        <w:t>31.2.8.3.8</w:t>
      </w:r>
      <w:r>
        <w:tab/>
        <w:t>If the ISO determines that the market-based solution is still viable, but that its in-service date is likely to slip beyond the Target Year, the ISO may, if needed, request the Responsible Transmission Owner to prepare a Gap Solution in accordance with th</w:t>
      </w:r>
      <w:r>
        <w:t>e provisions of Section 31.2.</w:t>
      </w:r>
      <w:del w:id="237" w:author="TMSServices" w:date="2016-10-06T07:58:00Z">
        <w:r>
          <w:delText>10</w:delText>
        </w:r>
      </w:del>
      <w:ins w:id="238" w:author="TMSServices" w:date="2016-10-06T07:58:00Z">
        <w:r>
          <w:t>11</w:t>
        </w:r>
      </w:ins>
      <w:r>
        <w:t xml:space="preserve"> of this Attachment Y. </w:t>
      </w:r>
    </w:p>
    <w:p w:rsidR="00676CEF" w:rsidRDefault="00B27BE7">
      <w:pPr>
        <w:pStyle w:val="Heading3"/>
      </w:pPr>
      <w:bookmarkStart w:id="239" w:name="_Toc261439767"/>
      <w:r>
        <w:t>31.2.9</w:t>
      </w:r>
      <w:r>
        <w:tab/>
        <w:t>Process for Consideration of Regulated Backstop Solution and Alternative Regulated Solutions</w:t>
      </w:r>
      <w:bookmarkEnd w:id="239"/>
    </w:p>
    <w:p w:rsidR="00676CEF" w:rsidRDefault="00B27BE7">
      <w:pPr>
        <w:pStyle w:val="Bodypara"/>
      </w:pPr>
      <w:r>
        <w:t xml:space="preserve">Upon a determination by the ISO under Section 31.2.8 that a regulated solution should proceed, the </w:t>
      </w:r>
      <w:r>
        <w:t>Responsible Transmission Owner, Other Developer, or Transmission Owner will make a presentation to the ESPWG that will provide a description of the regulated solution.  The presentation will include a non-binding preliminary cost estimate of that regulated</w:t>
      </w:r>
      <w:r>
        <w:t xml:space="preserve"> solution; provided, however, that the Responsible Transmission Owner, Other Developer or Transmission Owner shall be entitled to full recovery of all reasonably incurred costs as described in Rate Schedule 10 of the ISO OATT.  The ISO and stakeholders thr</w:t>
      </w:r>
      <w:r>
        <w:t>ough this process will have the opportunity to review and discuss the scope of the projects and their associated non-binding preliminary cost est</w:t>
      </w:r>
      <w:bookmarkStart w:id="240" w:name="_Toc77394205"/>
      <w:r>
        <w:t>imates prior to implementation.</w:t>
      </w:r>
    </w:p>
    <w:p w:rsidR="007F584C" w:rsidRDefault="00B27BE7">
      <w:pPr>
        <w:pStyle w:val="Heading3"/>
        <w:rPr>
          <w:del w:id="241" w:author="TMSServices" w:date="2016-10-06T07:58:00Z"/>
        </w:rPr>
      </w:pPr>
      <w:bookmarkStart w:id="242" w:name="_Toc77394199"/>
      <w:bookmarkStart w:id="243" w:name="_Toc261439769"/>
      <w:del w:id="244" w:author="TMSServices" w:date="2016-10-06T07:58:00Z">
        <w:r>
          <w:delText>31.2.10</w:delText>
        </w:r>
        <w:r>
          <w:tab/>
          <w:delText xml:space="preserve">Gap Solutions </w:delText>
        </w:r>
      </w:del>
    </w:p>
    <w:p w:rsidR="00676CEF" w:rsidRDefault="00B27BE7">
      <w:pPr>
        <w:pStyle w:val="Heading3"/>
        <w:rPr>
          <w:ins w:id="245" w:author="TMSServices" w:date="2016-10-06T07:58:00Z"/>
        </w:rPr>
      </w:pPr>
      <w:del w:id="246" w:author="TMSServices" w:date="2016-10-06T07:58:00Z">
        <w:r>
          <w:delText>31.2.10</w:delText>
        </w:r>
      </w:del>
      <w:ins w:id="247" w:author="TMSServices" w:date="2016-10-06T07:58:00Z">
        <w:r>
          <w:t>31.2.10</w:t>
        </w:r>
        <w:r>
          <w:tab/>
          <w:t>Process for Addressing Inability of Respo</w:t>
        </w:r>
        <w:r>
          <w:t>nsible Transmission Owner, Other Developer, or Transmission Owner to Complete Triggered Regulated Solution</w:t>
        </w:r>
      </w:ins>
    </w:p>
    <w:p w:rsidR="00676CEF" w:rsidRDefault="00B27BE7">
      <w:pPr>
        <w:pStyle w:val="alphapara"/>
        <w:rPr>
          <w:ins w:id="248" w:author="TMSServices" w:date="2016-10-06T07:58:00Z"/>
        </w:rPr>
      </w:pPr>
      <w:ins w:id="249" w:author="TMSServices" w:date="2016-10-06T07:58:00Z">
        <w:r>
          <w:t>31.2.10.1</w:t>
        </w:r>
        <w:r>
          <w:tab/>
          <w:t>If: (i) the regulated transmission solution selected and triggered by the ISO is an alternative regulated transmission solution, and (ii) o</w:t>
        </w:r>
        <w:r>
          <w:t>ne of the following events occur: (A) the Other Developer or Transmission Owner that proposed the alternative regulated transmission solution does not execute the Development Agreement, or does not request that it be filed unexecuted with the Commission, w</w:t>
        </w:r>
        <w:r>
          <w:t>ithin the timeframes set forth in Section 31.2.8.1.6, or (B) an effective Development Agreement is terminated under the terms of the agreement prior to the completion of the term of the agreement, the ISO may take the following actions as soon as practicab</w:t>
        </w:r>
        <w:r>
          <w:t>le after the occurrence of the event:</w:t>
        </w:r>
      </w:ins>
    </w:p>
    <w:p w:rsidR="00676CEF" w:rsidRDefault="00B27BE7">
      <w:pPr>
        <w:pStyle w:val="alphapara"/>
        <w:rPr>
          <w:ins w:id="250" w:author="TMSServices" w:date="2016-10-06T07:58:00Z"/>
        </w:rPr>
      </w:pPr>
      <w:ins w:id="251" w:author="TMSServices" w:date="2016-10-06T07:58:00Z">
        <w:r>
          <w:t>31.2.10.1.1</w:t>
        </w:r>
        <w:r>
          <w:tab/>
          <w:t>If the Development Agreement has been filed with and accepted by the Commission, the ISO shall, upon terminating the Development Agreement under the terms of the agreement, file a notice of termination with</w:t>
        </w:r>
        <w:r>
          <w:t xml:space="preserve"> the Commission.</w:t>
        </w:r>
      </w:ins>
    </w:p>
    <w:p w:rsidR="00676CEF" w:rsidRDefault="00B27BE7">
      <w:pPr>
        <w:pStyle w:val="alphapara"/>
        <w:rPr>
          <w:ins w:id="252" w:author="TMSServices" w:date="2016-10-06T07:58:00Z"/>
        </w:rPr>
      </w:pPr>
      <w:ins w:id="253" w:author="TMSServices" w:date="2016-10-06T07:58:00Z">
        <w:r>
          <w:t>31.2.10.1.2</w:t>
        </w:r>
        <w:r>
          <w:tab/>
          <w:t xml:space="preserve">The ISO may revoke its selection of the alternative regulated transmission solution and the eligibility of the Other Developer or Transmission Owner to recover its costs for the project; </w:t>
        </w:r>
        <w:r>
          <w:rPr>
            <w:i/>
          </w:rPr>
          <w:t>provided, however</w:t>
        </w:r>
        <w:r>
          <w:t xml:space="preserve">, the Other Developer or Transmission Owner may recover its costs to the extent provided in Sections 31.2.8.2.2, 31.2.8.2.5, and 31.2.8.2.6 or as otherwise determined by the Commission. </w:t>
        </w:r>
      </w:ins>
    </w:p>
    <w:p w:rsidR="00676CEF" w:rsidRDefault="00B27BE7">
      <w:pPr>
        <w:pStyle w:val="alphapara"/>
        <w:rPr>
          <w:ins w:id="254" w:author="TMSServices" w:date="2016-10-06T07:58:00Z"/>
        </w:rPr>
      </w:pPr>
      <w:ins w:id="255" w:author="TMSServices" w:date="2016-10-06T07:58:00Z">
        <w:r>
          <w:t>31.2.10.1.3</w:t>
        </w:r>
        <w:r>
          <w:tab/>
          <w:t>If the ISO determines that it must identify a solution pr</w:t>
        </w:r>
        <w:r>
          <w:t>ior to the approval of the CRP for the next planning cycle to satisfy the Reliability Need by the need date, the ISO may: (i) direct the Responsible Transmission Owner to proceed with its regulated backstop solution if it has not yet been halted by the ISO</w:t>
        </w:r>
        <w:r>
          <w:t xml:space="preserve"> pursuant to Section 31.2.8.2.1, (ii) request that the Responsible Transmission Owner complete the selected alternative regulated transmission solution, and/or (iii) proceed with the Gap Solution process under Section 31.2.11.  </w:t>
        </w:r>
      </w:ins>
    </w:p>
    <w:p w:rsidR="00676CEF" w:rsidRDefault="00B27BE7">
      <w:pPr>
        <w:pStyle w:val="alphapara"/>
        <w:rPr>
          <w:ins w:id="256" w:author="TMSServices" w:date="2016-10-06T07:58:00Z"/>
        </w:rPr>
      </w:pPr>
      <w:ins w:id="257" w:author="TMSServices" w:date="2016-10-06T07:58:00Z">
        <w:r>
          <w:t>31.2.10.1.4</w:t>
        </w:r>
        <w:r>
          <w:tab/>
          <w:t>If the Responsi</w:t>
        </w:r>
        <w:r>
          <w:t>ble Transmission Owner agrees to complete the selected alternative regulated transmission solution, the Responsible Transmission Owner and the Other Developer or Transmission Owner that proposed the selected alternative regulated transmission solution shal</w:t>
        </w:r>
        <w:r>
          <w:t xml:space="preserve">l work cooperatively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any required approvals by the appropriate governmental ag</w:t>
        </w:r>
        <w:r>
          <w:t>ency(ies) and/or authority(ies)</w:t>
        </w:r>
        <w:r>
          <w:rPr>
            <w:bCs/>
            <w:color w:val="000000"/>
          </w:rPr>
          <w:t>, (ii) any requirements or restrictions on the transfer of Developer’s rights-of-way under law, conveyance, or contract, and (iii), if the Developer is a New York public authority, any requirements or restrictions on the tran</w:t>
        </w:r>
        <w:r>
          <w:rPr>
            <w:bCs/>
            <w:color w:val="000000"/>
          </w:rPr>
          <w:t>sfer under the New York Public Authorities Law</w:t>
        </w:r>
        <w:r>
          <w:t xml:space="preserve">; </w:t>
        </w:r>
        <w:r>
          <w:rPr>
            <w:i/>
          </w:rPr>
          <w:t>provided, further</w:t>
        </w:r>
        <w:r>
          <w:t xml:space="preserve">, that the Responsible Transmission Owner and the Developer will address any disputes regarding the transfer of the project in accordance with the dispute resolution provisions in Article 11 </w:t>
        </w:r>
        <w:r>
          <w:t>of the ISO Services Tariff.</w:t>
        </w:r>
      </w:ins>
    </w:p>
    <w:p w:rsidR="00676CEF" w:rsidRDefault="00B27BE7">
      <w:pPr>
        <w:pStyle w:val="alphapara"/>
        <w:rPr>
          <w:ins w:id="258" w:author="TMSServices" w:date="2016-10-06T07:58:00Z"/>
        </w:rPr>
      </w:pPr>
      <w:ins w:id="259" w:author="TMSServices" w:date="2016-10-06T07:58:00Z">
        <w:r>
          <w:t xml:space="preserve">31.2.10.2  If: (i) the regulated transmission solution selected and triggered by the ISO is the Responsible Transmission Owner’s regulated backstop solution or the regulated backstop solution has been triggered by the ISO under </w:t>
        </w:r>
        <w:r>
          <w:t>Sections 31.2.8.1.2, 31.2.8.1.3, or 31.2.8.1.4, and the regulated backstop solution has not been halted by the ISO under Section 31.2.8.2.1, and (ii) the ISO determines that the Responsible Transmission Owner: (A) has not submitted its proposed regulated b</w:t>
        </w:r>
        <w:r>
          <w:t xml:space="preserve">ackstop solution for necessary regulatory action within a reasonable period of time, (B) is unable to or fails to obtain the approvals or property rights necessary to construct the project, or (C) is otherwise not taking the actions necessary to construct </w:t>
        </w:r>
        <w:r>
          <w:t>the project to satisfy the Reliability Need by the need date, the ISO shall: (i) submit a report to the Commission for its consideration and determination of whether action is appropriate under federal law, and (ii) take such action as it reasonably consid</w:t>
        </w:r>
        <w:r>
          <w:t>ers is appropriate to ensure that the Reliability Need is satisfied by the need date.</w:t>
        </w:r>
      </w:ins>
    </w:p>
    <w:p w:rsidR="00676CEF" w:rsidRDefault="00B27BE7">
      <w:pPr>
        <w:pStyle w:val="Heading3"/>
        <w:rPr>
          <w:ins w:id="260" w:author="TMSServices" w:date="2016-10-06T07:58:00Z"/>
        </w:rPr>
      </w:pPr>
      <w:ins w:id="261" w:author="TMSServices" w:date="2016-10-06T07:58:00Z">
        <w:r>
          <w:t>31.2.11</w:t>
        </w:r>
        <w:r>
          <w:tab/>
          <w:t>Gap Solutions</w:t>
        </w:r>
        <w:bookmarkStart w:id="262" w:name="_DV_M132"/>
        <w:bookmarkEnd w:id="242"/>
        <w:bookmarkEnd w:id="243"/>
        <w:bookmarkEnd w:id="262"/>
        <w:r>
          <w:t xml:space="preserve"> </w:t>
        </w:r>
      </w:ins>
    </w:p>
    <w:p w:rsidR="00676CEF" w:rsidRDefault="00B27BE7">
      <w:pPr>
        <w:pStyle w:val="alphapara"/>
      </w:pPr>
      <w:ins w:id="263" w:author="TMSServices" w:date="2016-10-06T07:58:00Z">
        <w:r>
          <w:t>31.2.11</w:t>
        </w:r>
      </w:ins>
      <w:r>
        <w:t>.1</w:t>
      </w:r>
      <w:r>
        <w:tab/>
        <w:t>If the ISO determines that neither market-based proposals nor regulated proposals can satisfy the Reliability Needs by the need date, the</w:t>
      </w:r>
      <w:r>
        <w:t xml:space="preserve"> ISO will set forth its determination that a Gap Solution is necessary in the CRP.  The ISO will also request the Responsible Transmission Owner to seek a Gap Solution.  Gap Solutions may include generation, transmission, or demand side resources.</w:t>
      </w:r>
    </w:p>
    <w:p w:rsidR="00676CEF" w:rsidRDefault="00B27BE7">
      <w:pPr>
        <w:pStyle w:val="alphapara"/>
      </w:pPr>
      <w:r>
        <w:t>31.2.</w:t>
      </w:r>
      <w:del w:id="264" w:author="TMSServices" w:date="2016-10-06T07:58:00Z">
        <w:r>
          <w:delText>10</w:delText>
        </w:r>
      </w:del>
      <w:ins w:id="265" w:author="TMSServices" w:date="2016-10-06T07:58:00Z">
        <w:r>
          <w:t>1</w:t>
        </w:r>
        <w:r>
          <w:t>1</w:t>
        </w:r>
      </w:ins>
      <w:r>
        <w:t>.2</w:t>
      </w:r>
      <w:r>
        <w:tab/>
        <w:t>If there is an imminent threat to the reliability of the New York State Power System, the ISO Board, after consultation with the NYDPS, may request the appropriate Transmission Owner or Transmission Owners to propose a Gap Solution outside of the norma</w:t>
      </w:r>
      <w:r>
        <w:t>l planning cycle.</w:t>
      </w:r>
      <w:bookmarkStart w:id="266" w:name="_DV_M135"/>
      <w:bookmarkEnd w:id="266"/>
    </w:p>
    <w:p w:rsidR="00676CEF" w:rsidRDefault="00B27BE7">
      <w:pPr>
        <w:pStyle w:val="alphapara"/>
      </w:pPr>
      <w:r>
        <w:t>31.2.</w:t>
      </w:r>
      <w:del w:id="267" w:author="TMSServices" w:date="2016-10-06T07:58:00Z">
        <w:r>
          <w:delText>10</w:delText>
        </w:r>
      </w:del>
      <w:ins w:id="268" w:author="TMSServices" w:date="2016-10-06T07:58:00Z">
        <w:r>
          <w:t>11</w:t>
        </w:r>
      </w:ins>
      <w:r>
        <w:t>.3</w:t>
      </w:r>
      <w:r>
        <w:tab/>
        <w:t>Upon the ISO’s determination of the need for a Gap Solution, pursuant to  Sections 31.2.</w:t>
      </w:r>
      <w:del w:id="269" w:author="TMSServices" w:date="2016-10-06T07:58:00Z">
        <w:r>
          <w:delText>10</w:delText>
        </w:r>
      </w:del>
      <w:ins w:id="270" w:author="TMSServices" w:date="2016-10-06T07:58:00Z">
        <w:r>
          <w:t>11</w:t>
        </w:r>
      </w:ins>
      <w:r>
        <w:t>.1 or 31.2.</w:t>
      </w:r>
      <w:del w:id="271" w:author="TMSServices" w:date="2016-10-06T07:58:00Z">
        <w:r>
          <w:delText>10</w:delText>
        </w:r>
      </w:del>
      <w:ins w:id="272" w:author="TMSServices" w:date="2016-10-06T07:58:00Z">
        <w:r>
          <w:t>11</w:t>
        </w:r>
      </w:ins>
      <w:r>
        <w:t xml:space="preserve">.2 above, the Responsible Transmission Owner will </w:t>
      </w:r>
      <w:bookmarkStart w:id="273" w:name="_DV_M136"/>
      <w:bookmarkEnd w:id="273"/>
      <w:r>
        <w:t>propose such a solution</w:t>
      </w:r>
      <w:bookmarkStart w:id="274" w:name="_DV_C61"/>
      <w:r>
        <w:rPr>
          <w:bCs/>
        </w:rPr>
        <w:t xml:space="preserve"> as soon as reasonably possible,</w:t>
      </w:r>
      <w:bookmarkStart w:id="275" w:name="_DV_M137"/>
      <w:bookmarkEnd w:id="274"/>
      <w:bookmarkEnd w:id="275"/>
      <w:r>
        <w:rPr>
          <w:bCs/>
        </w:rPr>
        <w:t xml:space="preserve"> </w:t>
      </w:r>
      <w:r>
        <w:t xml:space="preserve">for consideration by the ISO and </w:t>
      </w:r>
      <w:bookmarkStart w:id="276" w:name="_DV_C63"/>
      <w:r>
        <w:rPr>
          <w:bCs/>
        </w:rPr>
        <w:t>NYDPS</w:t>
      </w:r>
      <w:bookmarkStart w:id="277" w:name="_DV_M138"/>
      <w:bookmarkEnd w:id="276"/>
      <w:bookmarkEnd w:id="277"/>
      <w:r>
        <w:t>.</w:t>
      </w:r>
      <w:bookmarkStart w:id="278" w:name="_DV_M139"/>
      <w:bookmarkEnd w:id="278"/>
    </w:p>
    <w:p w:rsidR="00676CEF" w:rsidRDefault="00B27BE7">
      <w:pPr>
        <w:pStyle w:val="alphapara"/>
      </w:pPr>
      <w:r>
        <w:t>31.2.</w:t>
      </w:r>
      <w:del w:id="279" w:author="TMSServices" w:date="2016-10-06T07:58:00Z">
        <w:r>
          <w:delText>10</w:delText>
        </w:r>
      </w:del>
      <w:ins w:id="280" w:author="TMSServices" w:date="2016-10-06T07:58:00Z">
        <w:r>
          <w:t>11</w:t>
        </w:r>
      </w:ins>
      <w:r>
        <w:t>.4</w:t>
      </w:r>
      <w:r>
        <w:tab/>
        <w:t>Any party may submit an alternative Gap Solution proposal to the ISO and the NYDPS for their consideration.  The ISO shall evaluate all Gap Solution proposals to determine whether they will meet the Relia</w:t>
      </w:r>
      <w:r>
        <w:t xml:space="preserve">bility Need or imminent threat.  The ISO will report the results of its evaluation to the party making the proposal as well as to the </w:t>
      </w:r>
      <w:bookmarkStart w:id="281" w:name="_DV_M140"/>
      <w:bookmarkEnd w:id="281"/>
      <w:r>
        <w:t>NYDPS and/or other appropriate governmental agency(ies) and/or authority(ies) for consideration in their review of the pro</w:t>
      </w:r>
      <w:r>
        <w:t>posals.</w:t>
      </w:r>
      <w:bookmarkStart w:id="282" w:name="_DV_M141"/>
      <w:bookmarkEnd w:id="282"/>
      <w:r>
        <w:t xml:space="preserve">  The appropriate governmental agency(ies) and/or authority(ies) with jurisdiction over the implementation or siting of Gap Solutions will determine whether the Gap Solution or an alternative Gap Solution will be implemented to address the identifie</w:t>
      </w:r>
      <w:r>
        <w:t xml:space="preserve">d Reliability Need. </w:t>
      </w:r>
    </w:p>
    <w:p w:rsidR="00676CEF" w:rsidRDefault="00B27BE7">
      <w:pPr>
        <w:pStyle w:val="alphapara"/>
      </w:pPr>
      <w:r>
        <w:t>31.2.</w:t>
      </w:r>
      <w:del w:id="283" w:author="TMSServices" w:date="2016-10-06T07:58:00Z">
        <w:r>
          <w:delText>10</w:delText>
        </w:r>
      </w:del>
      <w:ins w:id="284" w:author="TMSServices" w:date="2016-10-06T07:58:00Z">
        <w:r>
          <w:t>11</w:t>
        </w:r>
      </w:ins>
      <w:r>
        <w:t>.5</w:t>
      </w:r>
      <w:r>
        <w:tab/>
        <w:t>Gap Solution proposals submitted under Sections 31.2.</w:t>
      </w:r>
      <w:del w:id="285" w:author="TMSServices" w:date="2016-10-06T07:58:00Z">
        <w:r>
          <w:delText>10</w:delText>
        </w:r>
      </w:del>
      <w:ins w:id="286" w:author="TMSServices" w:date="2016-10-06T07:58:00Z">
        <w:r>
          <w:t>11</w:t>
        </w:r>
      </w:ins>
      <w:r>
        <w:t>.3 and 31.2.</w:t>
      </w:r>
      <w:del w:id="287" w:author="TMSServices" w:date="2016-10-06T07:58:00Z">
        <w:r>
          <w:delText>10</w:delText>
        </w:r>
      </w:del>
      <w:ins w:id="288" w:author="TMSServices" w:date="2016-10-06T07:58:00Z">
        <w:r>
          <w:t>11</w:t>
        </w:r>
      </w:ins>
      <w:r>
        <w:t>.4 shall be designed to be temporary solutions and to strive to be compatible with permanent market-based proposals.</w:t>
      </w:r>
      <w:bookmarkStart w:id="289" w:name="_DV_M142"/>
      <w:bookmarkEnd w:id="289"/>
    </w:p>
    <w:p w:rsidR="00676CEF" w:rsidRDefault="00B27BE7">
      <w:pPr>
        <w:pStyle w:val="alphapara"/>
      </w:pPr>
      <w:r>
        <w:t>31.2.</w:t>
      </w:r>
      <w:del w:id="290" w:author="TMSServices" w:date="2016-10-06T07:58:00Z">
        <w:r>
          <w:delText>10</w:delText>
        </w:r>
      </w:del>
      <w:ins w:id="291" w:author="TMSServices" w:date="2016-10-06T07:58:00Z">
        <w:r>
          <w:t>11</w:t>
        </w:r>
      </w:ins>
      <w:r>
        <w:t>.6</w:t>
      </w:r>
      <w:r>
        <w:tab/>
        <w:t>A permanent regulated</w:t>
      </w:r>
      <w:r>
        <w:t xml:space="preserve"> solution, if appropriate, may proceed in parallel with a Gap Solution. </w:t>
      </w:r>
    </w:p>
    <w:p w:rsidR="00676CEF" w:rsidRDefault="00B27BE7">
      <w:pPr>
        <w:pStyle w:val="Heading3"/>
      </w:pPr>
      <w:bookmarkStart w:id="292" w:name="_Toc261439770"/>
      <w:r>
        <w:t>31.2.</w:t>
      </w:r>
      <w:del w:id="293" w:author="TMSServices" w:date="2016-10-06T07:58:00Z">
        <w:r>
          <w:delText>11</w:delText>
        </w:r>
      </w:del>
      <w:ins w:id="294" w:author="TMSServices" w:date="2016-10-06T07:58:00Z">
        <w:r>
          <w:t>12</w:t>
        </w:r>
      </w:ins>
      <w:r>
        <w:tab/>
        <w:t>Confidentiality of Solutions</w:t>
      </w:r>
      <w:bookmarkEnd w:id="292"/>
    </w:p>
    <w:p w:rsidR="00676CEF" w:rsidRDefault="00B27BE7">
      <w:pPr>
        <w:pStyle w:val="alphapara"/>
      </w:pPr>
      <w:r>
        <w:t>31.2.</w:t>
      </w:r>
      <w:del w:id="295" w:author="TMSServices" w:date="2016-10-06T07:58:00Z">
        <w:r>
          <w:delText>11</w:delText>
        </w:r>
      </w:del>
      <w:ins w:id="296" w:author="TMSServices" w:date="2016-10-06T07:58:00Z">
        <w:r>
          <w:t>12</w:t>
        </w:r>
      </w:ins>
      <w:r>
        <w:t>.1</w:t>
      </w:r>
      <w:r>
        <w:tab/>
        <w:t>The term “Confidential Information” shall include all types of solutions to Reliability Needs that are submitted to the ISO as a res</w:t>
      </w:r>
      <w:r>
        <w:t>ponse to Reliability Needs identified in any RNA issued by the ISO as part of the reliability planning process if the Developer of that solution designates such reliability solutions as “Confidential Information.”</w:t>
      </w:r>
    </w:p>
    <w:p w:rsidR="00676CEF" w:rsidRDefault="00B27BE7">
      <w:pPr>
        <w:pStyle w:val="alphapara"/>
      </w:pPr>
      <w:r>
        <w:t>31.2.</w:t>
      </w:r>
      <w:del w:id="297" w:author="TMSServices" w:date="2016-10-06T07:58:00Z">
        <w:r>
          <w:delText>11</w:delText>
        </w:r>
      </w:del>
      <w:ins w:id="298" w:author="TMSServices" w:date="2016-10-06T07:58:00Z">
        <w:r>
          <w:t>12</w:t>
        </w:r>
      </w:ins>
      <w:r>
        <w:t>.2</w:t>
      </w:r>
      <w:r>
        <w:tab/>
        <w:t>For regulated backstop solutio</w:t>
      </w:r>
      <w:r>
        <w:t>ns and plans submitted by the Responsible Transmission Owner in response to the findings of the RNA, the ISO shall maintain the confidentiality of same until the ISO and the Responsible Transmission Owner have agreed that the Responsible Transmission Owner</w:t>
      </w:r>
      <w:r>
        <w:t xml:space="preserve"> has submitted viable and sufficient regulated backstop solutions and plans to meet the Reliability Needs identified in an RNA and the Responsible Transmission Owner consents to the ISO’s inclusion of the proposed solution in the CRP.  Thereafter, the ISO </w:t>
      </w:r>
      <w:r>
        <w:t xml:space="preserve">shall disclose the regulated backstop solutions and plans to the Market Participants; however, any preliminary cost estimates that may have been provided to the ISO shall not be disclosed. </w:t>
      </w:r>
    </w:p>
    <w:p w:rsidR="00676CEF" w:rsidRDefault="00B27BE7">
      <w:pPr>
        <w:pStyle w:val="alphapara"/>
      </w:pPr>
      <w:r>
        <w:t>31.2.</w:t>
      </w:r>
      <w:del w:id="299" w:author="TMSServices" w:date="2016-10-06T07:58:00Z">
        <w:r>
          <w:delText>11</w:delText>
        </w:r>
      </w:del>
      <w:ins w:id="300" w:author="TMSServices" w:date="2016-10-06T07:58:00Z">
        <w:r>
          <w:t>12</w:t>
        </w:r>
      </w:ins>
      <w:r>
        <w:t>.3</w:t>
      </w:r>
      <w:r>
        <w:tab/>
        <w:t>For an alternative regulated response, the ISO shall d</w:t>
      </w:r>
      <w:r>
        <w:t>etermine, after consulting with the Developer thereof, whether the response would meet a Reliability Need identified in an RNA, whether the response is viable and sufficient to meet all or part of the Reliability Need, and the Developer consents to the ISO</w:t>
      </w:r>
      <w:r>
        <w:t>’s inclusion of the proposed solution in the CRP.  Thereafter, the ISO shall disclose the alternative regulated response to the Market Participants and other interested parties; however, any preliminary cost estimates that may have been provided to the ISO</w:t>
      </w:r>
      <w:r>
        <w:t xml:space="preserve"> shall not be disclosed.</w:t>
      </w:r>
    </w:p>
    <w:p w:rsidR="00676CEF" w:rsidRDefault="00B27BE7">
      <w:pPr>
        <w:pStyle w:val="alphapara"/>
      </w:pPr>
      <w:r>
        <w:t>31.2.</w:t>
      </w:r>
      <w:del w:id="301" w:author="TMSServices" w:date="2016-10-06T07:58:00Z">
        <w:r>
          <w:delText>11</w:delText>
        </w:r>
      </w:del>
      <w:ins w:id="302" w:author="TMSServices" w:date="2016-10-06T07:58:00Z">
        <w:r>
          <w:t>12</w:t>
        </w:r>
      </w:ins>
      <w:r>
        <w:t>.4</w:t>
      </w:r>
      <w:r>
        <w:tab/>
        <w:t>For a market-based response, the ISO shall maintain the confidentiality of same during the reliability planning process and in the CRP, except for the following information which may be disclosed by the ISO:  (i) the ty</w:t>
      </w:r>
      <w:r>
        <w:t>pe of resource proposed (e.g., generation, transmission, demand side); (ii) the size of the resource expressed in megawatts of equivalent load that would be served by that resource; (iii) the subzone in which the resource would interconnect or otherwise be</w:t>
      </w:r>
      <w:r>
        <w:t xml:space="preserve"> located; and (iv) the proposed in-service date of the resource.</w:t>
      </w:r>
    </w:p>
    <w:p w:rsidR="00676CEF" w:rsidRDefault="00B27BE7">
      <w:pPr>
        <w:pStyle w:val="alphapara"/>
      </w:pPr>
      <w:r>
        <w:t>31.2.</w:t>
      </w:r>
      <w:del w:id="303" w:author="TMSServices" w:date="2016-10-06T07:58:00Z">
        <w:r>
          <w:delText>11</w:delText>
        </w:r>
      </w:del>
      <w:ins w:id="304" w:author="TMSServices" w:date="2016-10-06T07:58:00Z">
        <w:r>
          <w:t>12</w:t>
        </w:r>
      </w:ins>
      <w:r>
        <w:t>.5</w:t>
      </w:r>
      <w:r>
        <w:tab/>
        <w:t>In the event that the Developer of a market-based response has made a public announcement of its project or has submitted a proposal for interconnection with the ISO, the ISO shal</w:t>
      </w:r>
      <w:r>
        <w:t>l disclose the identity of the market-based Developer and the specific project during the reliability planning process and in the CRP.</w:t>
      </w:r>
    </w:p>
    <w:p w:rsidR="00676CEF" w:rsidRDefault="00B27BE7">
      <w:pPr>
        <w:pStyle w:val="Heading3"/>
      </w:pPr>
      <w:bookmarkStart w:id="305" w:name="_DV_M143"/>
      <w:bookmarkStart w:id="306" w:name="_DV_M145"/>
      <w:bookmarkStart w:id="307" w:name="_DV_M146"/>
      <w:bookmarkStart w:id="308" w:name="_DV_M147"/>
      <w:bookmarkStart w:id="309" w:name="_DV_M148"/>
      <w:bookmarkStart w:id="310" w:name="_DV_M150"/>
      <w:bookmarkStart w:id="311" w:name="_DV_M151"/>
      <w:bookmarkStart w:id="312" w:name="_DV_M154"/>
      <w:bookmarkStart w:id="313" w:name="_DV_M155"/>
      <w:bookmarkStart w:id="314" w:name="_DV_M156"/>
      <w:bookmarkStart w:id="315" w:name="_DV_M158"/>
      <w:bookmarkStart w:id="316" w:name="_DV_M159"/>
      <w:bookmarkStart w:id="317" w:name="_DV_M161"/>
      <w:bookmarkStart w:id="318" w:name="_Toc77394206"/>
      <w:bookmarkStart w:id="319" w:name="_Toc77408254"/>
      <w:bookmarkStart w:id="320" w:name="_Toc261439776"/>
      <w:bookmarkEnd w:id="240"/>
      <w:bookmarkEnd w:id="305"/>
      <w:bookmarkEnd w:id="306"/>
      <w:bookmarkEnd w:id="307"/>
      <w:bookmarkEnd w:id="308"/>
      <w:bookmarkEnd w:id="309"/>
      <w:bookmarkEnd w:id="310"/>
      <w:bookmarkEnd w:id="311"/>
      <w:bookmarkEnd w:id="312"/>
      <w:bookmarkEnd w:id="313"/>
      <w:bookmarkEnd w:id="314"/>
      <w:bookmarkEnd w:id="315"/>
      <w:bookmarkEnd w:id="316"/>
      <w:bookmarkEnd w:id="317"/>
      <w:r>
        <w:t>31.2.</w:t>
      </w:r>
      <w:del w:id="321" w:author="TMSServices" w:date="2016-10-06T07:58:00Z">
        <w:r>
          <w:delText>12</w:delText>
        </w:r>
      </w:del>
      <w:ins w:id="322" w:author="TMSServices" w:date="2016-10-06T07:58:00Z">
        <w:r>
          <w:t>13</w:t>
        </w:r>
      </w:ins>
      <w:r>
        <w:tab/>
        <w:t>Monitoring of Reliability Project Status</w:t>
      </w:r>
      <w:bookmarkEnd w:id="318"/>
      <w:bookmarkEnd w:id="319"/>
      <w:bookmarkEnd w:id="320"/>
      <w:r>
        <w:t xml:space="preserve"> </w:t>
      </w:r>
    </w:p>
    <w:p w:rsidR="00676CEF" w:rsidRDefault="00B27BE7">
      <w:pPr>
        <w:pStyle w:val="alphapara"/>
      </w:pPr>
      <w:bookmarkStart w:id="323" w:name="_DV_M162"/>
      <w:bookmarkStart w:id="324" w:name="_Toc77394207"/>
      <w:bookmarkEnd w:id="323"/>
      <w:r>
        <w:t>31.2.</w:t>
      </w:r>
      <w:del w:id="325" w:author="TMSServices" w:date="2016-10-06T07:58:00Z">
        <w:r>
          <w:delText>12</w:delText>
        </w:r>
      </w:del>
      <w:ins w:id="326" w:author="TMSServices" w:date="2016-10-06T07:58:00Z">
        <w:r>
          <w:t>13</w:t>
        </w:r>
      </w:ins>
      <w:r>
        <w:t>.1</w:t>
      </w:r>
      <w:r>
        <w:tab/>
        <w:t>The ISO will monitor and report on the status of market-b</w:t>
      </w:r>
      <w:r>
        <w:t>ased solutions to ensure their continued viability to meet Reliability Needs by the need date in the CRP.  The ISO shall assess the continued viability of such projects using the following criteria:</w:t>
      </w:r>
      <w:bookmarkStart w:id="327" w:name="_DV_M163"/>
      <w:bookmarkEnd w:id="324"/>
      <w:bookmarkEnd w:id="327"/>
      <w:r>
        <w:t xml:space="preserve"> </w:t>
      </w:r>
    </w:p>
    <w:p w:rsidR="00676CEF" w:rsidRDefault="00B27BE7">
      <w:pPr>
        <w:pStyle w:val="alphapara"/>
      </w:pPr>
      <w:r>
        <w:t>31.2.</w:t>
      </w:r>
      <w:del w:id="328" w:author="TMSServices" w:date="2016-10-06T07:58:00Z">
        <w:r>
          <w:delText>12</w:delText>
        </w:r>
      </w:del>
      <w:ins w:id="329" w:author="TMSServices" w:date="2016-10-06T07:58:00Z">
        <w:r>
          <w:t>13</w:t>
        </w:r>
      </w:ins>
      <w:r>
        <w:t>.1.1</w:t>
      </w:r>
      <w:r>
        <w:tab/>
        <w:t>Between three and five years before the Tr</w:t>
      </w:r>
      <w:r>
        <w:t xml:space="preserve">igger Date for a regulated solution, the ISO will use a screening analysis to verify the feasibility of the proposed market-based solution (this analysis will not require final permit approvals or final contract documents).  </w:t>
      </w:r>
      <w:bookmarkStart w:id="330" w:name="_DV_M164"/>
      <w:bookmarkStart w:id="331" w:name="_Toc77394208"/>
      <w:bookmarkEnd w:id="330"/>
    </w:p>
    <w:p w:rsidR="00676CEF" w:rsidRDefault="00B27BE7">
      <w:pPr>
        <w:pStyle w:val="alphapara"/>
      </w:pPr>
      <w:r>
        <w:t>31.2.</w:t>
      </w:r>
      <w:del w:id="332" w:author="TMSServices" w:date="2016-10-06T07:58:00Z">
        <w:r>
          <w:delText>12</w:delText>
        </w:r>
      </w:del>
      <w:ins w:id="333" w:author="TMSServices" w:date="2016-10-06T07:58:00Z">
        <w:r>
          <w:t>13</w:t>
        </w:r>
      </w:ins>
      <w:r>
        <w:t>.1.2</w:t>
      </w:r>
      <w:r>
        <w:tab/>
        <w:t xml:space="preserve">Between one and </w:t>
      </w:r>
      <w:r>
        <w:t>two years before the Trigger Date for a regulated solution, the ISO will perform a more extensive review of the proposed market-based solution, including such elements as: status of the required interconnection studies, contract negotiations, permit applic</w:t>
      </w:r>
      <w:r>
        <w:t>ations, financing, and Site Control.</w:t>
      </w:r>
    </w:p>
    <w:p w:rsidR="00676CEF" w:rsidRDefault="00B27BE7">
      <w:pPr>
        <w:pStyle w:val="alphapara"/>
      </w:pPr>
      <w:r>
        <w:t>31.2.</w:t>
      </w:r>
      <w:del w:id="334" w:author="TMSServices" w:date="2016-10-06T07:58:00Z">
        <w:r>
          <w:delText>12</w:delText>
        </w:r>
      </w:del>
      <w:ins w:id="335" w:author="TMSServices" w:date="2016-10-06T07:58:00Z">
        <w:r>
          <w:t>13</w:t>
        </w:r>
      </w:ins>
      <w:r>
        <w:t>.1.3</w:t>
      </w:r>
      <w:r>
        <w:tab/>
        <w:t>Less than one year before the Trigger Date of a regulated solution, the ISO will perform a detailed review of the market-based solution’s status and schedule, including the status of: (1) final permits; (2</w:t>
      </w:r>
      <w:r>
        <w:t>) required interconnection studies; (3) the status of an interconnection agreement; (4) financing; (5) equipment; and (6) the implementation of construction schedules.</w:t>
      </w:r>
    </w:p>
    <w:p w:rsidR="00676CEF" w:rsidRDefault="00B27BE7">
      <w:pPr>
        <w:pStyle w:val="alphapara"/>
      </w:pPr>
      <w:r>
        <w:t>31.2.</w:t>
      </w:r>
      <w:del w:id="336" w:author="TMSServices" w:date="2016-10-06T07:58:00Z">
        <w:r>
          <w:delText>12</w:delText>
        </w:r>
      </w:del>
      <w:ins w:id="337" w:author="TMSServices" w:date="2016-10-06T07:58:00Z">
        <w:r>
          <w:t>13</w:t>
        </w:r>
      </w:ins>
      <w:r>
        <w:t>.1.4</w:t>
      </w:r>
      <w:r>
        <w:tab/>
        <w:t>If the ISO, following its analysis, determines that a proposed market-base</w:t>
      </w:r>
      <w:r>
        <w:t>d solution is no longer viable to meet the Reliability Need, the proposed market-based solution will be removed from the list of potential market-based solutions.</w:t>
      </w:r>
    </w:p>
    <w:p w:rsidR="00676CEF" w:rsidRDefault="00B27BE7">
      <w:pPr>
        <w:pStyle w:val="alphapara"/>
      </w:pPr>
      <w:r>
        <w:t>31.2.</w:t>
      </w:r>
      <w:del w:id="338" w:author="TMSServices" w:date="2016-10-06T07:58:00Z">
        <w:r>
          <w:delText>12</w:delText>
        </w:r>
      </w:del>
      <w:ins w:id="339" w:author="TMSServices" w:date="2016-10-06T07:58:00Z">
        <w:r>
          <w:t>13</w:t>
        </w:r>
      </w:ins>
      <w:r>
        <w:t>.2</w:t>
      </w:r>
      <w:r>
        <w:tab/>
        <w:t xml:space="preserve">The ISO will monitor and report on the status of regulated solutions to ensure </w:t>
      </w:r>
      <w:r>
        <w:t>their continued viability to meet Reliability Needs by the need date in the CRP.  The ISO shall assess the continued viability of such projects using the following criteria:</w:t>
      </w:r>
      <w:bookmarkStart w:id="340" w:name="_DV_M165"/>
      <w:bookmarkEnd w:id="331"/>
      <w:bookmarkEnd w:id="340"/>
    </w:p>
    <w:p w:rsidR="00676CEF" w:rsidRDefault="00B27BE7">
      <w:pPr>
        <w:pStyle w:val="alphapara"/>
      </w:pPr>
      <w:r>
        <w:t>31.2.</w:t>
      </w:r>
      <w:del w:id="341" w:author="TMSServices" w:date="2016-10-06T07:58:00Z">
        <w:r>
          <w:delText>12</w:delText>
        </w:r>
      </w:del>
      <w:ins w:id="342" w:author="TMSServices" w:date="2016-10-06T07:58:00Z">
        <w:r>
          <w:t>13</w:t>
        </w:r>
      </w:ins>
      <w:r>
        <w:t>.2.1</w:t>
      </w:r>
      <w:r>
        <w:tab/>
        <w:t>Between three and five years before the Trigger Date for the regulat</w:t>
      </w:r>
      <w:r>
        <w:t xml:space="preserve">ed solution, the ISO will use a screening analysis to verify the feasibility of the regulated solution.  </w:t>
      </w:r>
    </w:p>
    <w:p w:rsidR="00676CEF" w:rsidRDefault="00B27BE7">
      <w:pPr>
        <w:pStyle w:val="alphapara"/>
      </w:pPr>
      <w:r>
        <w:t>31.2.</w:t>
      </w:r>
      <w:del w:id="343" w:author="TMSServices" w:date="2016-10-06T07:58:00Z">
        <w:r>
          <w:delText>12</w:delText>
        </w:r>
      </w:del>
      <w:ins w:id="344" w:author="TMSServices" w:date="2016-10-06T07:58:00Z">
        <w:r>
          <w:t>13</w:t>
        </w:r>
      </w:ins>
      <w:r>
        <w:t>.2.2</w:t>
      </w:r>
      <w:r>
        <w:tab/>
        <w:t>Between one and two years before the Trigger Date for the regulated solution, the ISO will perform a more extensive review of the propos</w:t>
      </w:r>
      <w:r>
        <w:t>ed regulated solution, including such elements as: the status of the required interconnection studies, contract negotiations, permit applications, financing, and Site Control.</w:t>
      </w:r>
    </w:p>
    <w:p w:rsidR="00676CEF" w:rsidRDefault="00B27BE7">
      <w:pPr>
        <w:pStyle w:val="alphapara"/>
      </w:pPr>
      <w:r>
        <w:t>31.2.</w:t>
      </w:r>
      <w:del w:id="345" w:author="TMSServices" w:date="2016-10-06T07:58:00Z">
        <w:r>
          <w:delText>12</w:delText>
        </w:r>
      </w:del>
      <w:ins w:id="346" w:author="TMSServices" w:date="2016-10-06T07:58:00Z">
        <w:r>
          <w:t>13</w:t>
        </w:r>
      </w:ins>
      <w:r>
        <w:t>.2.3</w:t>
      </w:r>
      <w:r>
        <w:tab/>
        <w:t>Less than one year before the Trigger Date for the regulated solut</w:t>
      </w:r>
      <w:r>
        <w:t>ion, the ISO will perform a detailed review of the regulated solution’s status, including the status of: (1) final permits; (2) required interconnection studies; (3) the status of an interconnection agreement; (4) financing; (5) equipment; and (6) the impl</w:t>
      </w:r>
      <w:r>
        <w:t xml:space="preserve">ementation of construction schedules. </w:t>
      </w:r>
      <w:bookmarkStart w:id="347" w:name="_DV_M166"/>
      <w:bookmarkStart w:id="348" w:name="_Toc77394209"/>
      <w:bookmarkEnd w:id="347"/>
    </w:p>
    <w:p w:rsidR="00676CEF" w:rsidRDefault="00B27BE7">
      <w:pPr>
        <w:pStyle w:val="alphapara"/>
      </w:pPr>
      <w:r>
        <w:t>31.2.</w:t>
      </w:r>
      <w:del w:id="349" w:author="TMSServices" w:date="2016-10-06T07:58:00Z">
        <w:r>
          <w:delText>12</w:delText>
        </w:r>
      </w:del>
      <w:ins w:id="350" w:author="TMSServices" w:date="2016-10-06T07:58:00Z">
        <w:r>
          <w:t>13</w:t>
        </w:r>
      </w:ins>
      <w:r>
        <w:t>.2.4</w:t>
      </w:r>
      <w:r>
        <w:tab/>
        <w:t>Prior to making a determination about the viability of a regulated solution, the ISO will communicate its intended determination to the project sponsor along with the basis for its intended determination</w:t>
      </w:r>
      <w:r>
        <w:t xml:space="preserve">, and will provide the sponsor a reasonable period (not more than two weeks) to respond to the ISO’s intended determination, including an opportunity to provide additional information to the ISO to support the continued viability of the proposed regulated </w:t>
      </w:r>
      <w:r>
        <w:t>solution.  If the ISO, following its analysis, determines that a proposed regulated solution is no longer viable to meet the Reliability Need, the proposed regulated solution will be removed from the list of potential regulated solutions.</w:t>
      </w:r>
    </w:p>
    <w:p w:rsidR="00676CEF" w:rsidRDefault="00B27BE7">
      <w:pPr>
        <w:pStyle w:val="EndnoteText"/>
      </w:pPr>
      <w:bookmarkStart w:id="351" w:name="_DV_M168"/>
      <w:bookmarkEnd w:id="348"/>
      <w:bookmarkEnd w:id="351"/>
    </w:p>
    <w:sectPr w:rsidR="00676CEF" w:rsidSect="00676CE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F8" w:rsidRDefault="00E136F8" w:rsidP="00E136F8">
      <w:r>
        <w:separator/>
      </w:r>
    </w:p>
  </w:endnote>
  <w:endnote w:type="continuationSeparator" w:id="0">
    <w:p w:rsidR="00E136F8" w:rsidRDefault="00E136F8" w:rsidP="00E13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E136F8">
      <w:rPr>
        <w:rFonts w:ascii="Arial" w:eastAsia="Arial" w:hAnsi="Arial" w:cs="Arial"/>
        <w:color w:val="000000"/>
        <w:sz w:val="16"/>
      </w:rPr>
      <w:fldChar w:fldCharType="begin"/>
    </w:r>
    <w:r>
      <w:rPr>
        <w:rFonts w:ascii="Arial" w:eastAsia="Arial" w:hAnsi="Arial" w:cs="Arial"/>
        <w:color w:val="000000"/>
        <w:sz w:val="16"/>
      </w:rPr>
      <w:instrText>PAGE</w:instrText>
    </w:r>
    <w:r w:rsidR="00E136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jc w:val="right"/>
      <w:rPr>
        <w:rFonts w:ascii="Arial" w:eastAsia="Arial" w:hAnsi="Arial" w:cs="Arial"/>
        <w:color w:val="000000"/>
        <w:sz w:val="16"/>
      </w:rPr>
    </w:pPr>
    <w:r>
      <w:rPr>
        <w:rFonts w:ascii="Arial" w:eastAsia="Arial" w:hAnsi="Arial" w:cs="Arial"/>
        <w:color w:val="000000"/>
        <w:sz w:val="16"/>
      </w:rPr>
      <w:t>Effective Date: 1/1/2014 - Docket #: ER1</w:t>
    </w:r>
    <w:r>
      <w:rPr>
        <w:rFonts w:ascii="Arial" w:eastAsia="Arial" w:hAnsi="Arial" w:cs="Arial"/>
        <w:color w:val="000000"/>
        <w:sz w:val="16"/>
      </w:rPr>
      <w:t xml:space="preserve">3-102-007 - Page </w:t>
    </w:r>
    <w:r w:rsidR="00E136F8">
      <w:rPr>
        <w:rFonts w:ascii="Arial" w:eastAsia="Arial" w:hAnsi="Arial" w:cs="Arial"/>
        <w:color w:val="000000"/>
        <w:sz w:val="16"/>
      </w:rPr>
      <w:fldChar w:fldCharType="begin"/>
    </w:r>
    <w:r>
      <w:rPr>
        <w:rFonts w:ascii="Arial" w:eastAsia="Arial" w:hAnsi="Arial" w:cs="Arial"/>
        <w:color w:val="000000"/>
        <w:sz w:val="16"/>
      </w:rPr>
      <w:instrText>PAGE</w:instrText>
    </w:r>
    <w:r w:rsidR="00E136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E136F8">
      <w:rPr>
        <w:rFonts w:ascii="Arial" w:eastAsia="Arial" w:hAnsi="Arial" w:cs="Arial"/>
        <w:color w:val="000000"/>
        <w:sz w:val="16"/>
      </w:rPr>
      <w:fldChar w:fldCharType="begin"/>
    </w:r>
    <w:r>
      <w:rPr>
        <w:rFonts w:ascii="Arial" w:eastAsia="Arial" w:hAnsi="Arial" w:cs="Arial"/>
        <w:color w:val="000000"/>
        <w:sz w:val="16"/>
      </w:rPr>
      <w:instrText>PAGE</w:instrText>
    </w:r>
    <w:r w:rsidR="00E136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F8" w:rsidRDefault="00E136F8" w:rsidP="00E136F8">
      <w:r>
        <w:separator/>
      </w:r>
    </w:p>
  </w:footnote>
  <w:footnote w:type="continuationSeparator" w:id="0">
    <w:p w:rsidR="00E136F8" w:rsidRDefault="00E136F8" w:rsidP="00E13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F8" w:rsidRDefault="00B27BE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943B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358E4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6227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BB21D96">
      <w:start w:val="1"/>
      <w:numFmt w:val="bullet"/>
      <w:pStyle w:val="00BulletList"/>
      <w:lvlText w:val=""/>
      <w:lvlJc w:val="left"/>
      <w:pPr>
        <w:tabs>
          <w:tab w:val="num" w:pos="1440"/>
        </w:tabs>
        <w:ind w:left="1440" w:hanging="720"/>
      </w:pPr>
      <w:rPr>
        <w:rFonts w:ascii="Symbol" w:hAnsi="Symbol" w:hint="default"/>
      </w:rPr>
    </w:lvl>
    <w:lvl w:ilvl="1" w:tplc="789684E8">
      <w:start w:val="1"/>
      <w:numFmt w:val="bullet"/>
      <w:lvlText w:val="o"/>
      <w:lvlJc w:val="left"/>
      <w:pPr>
        <w:tabs>
          <w:tab w:val="num" w:pos="1440"/>
        </w:tabs>
        <w:ind w:left="1440" w:hanging="360"/>
      </w:pPr>
      <w:rPr>
        <w:rFonts w:ascii="Courier New" w:hAnsi="Courier New" w:hint="default"/>
      </w:rPr>
    </w:lvl>
    <w:lvl w:ilvl="2" w:tplc="3F60DA7C">
      <w:start w:val="1"/>
      <w:numFmt w:val="bullet"/>
      <w:lvlText w:val=""/>
      <w:lvlJc w:val="left"/>
      <w:pPr>
        <w:tabs>
          <w:tab w:val="num" w:pos="2160"/>
        </w:tabs>
        <w:ind w:left="2160" w:hanging="360"/>
      </w:pPr>
      <w:rPr>
        <w:rFonts w:ascii="Wingdings" w:hAnsi="Wingdings" w:hint="default"/>
      </w:rPr>
    </w:lvl>
    <w:lvl w:ilvl="3" w:tplc="643492B0">
      <w:start w:val="1"/>
      <w:numFmt w:val="bullet"/>
      <w:lvlText w:val=""/>
      <w:lvlJc w:val="left"/>
      <w:pPr>
        <w:tabs>
          <w:tab w:val="num" w:pos="2880"/>
        </w:tabs>
        <w:ind w:left="2880" w:hanging="360"/>
      </w:pPr>
      <w:rPr>
        <w:rFonts w:ascii="Symbol" w:hAnsi="Symbol" w:hint="default"/>
      </w:rPr>
    </w:lvl>
    <w:lvl w:ilvl="4" w:tplc="CFAEBDFC">
      <w:start w:val="1"/>
      <w:numFmt w:val="bullet"/>
      <w:lvlText w:val="o"/>
      <w:lvlJc w:val="left"/>
      <w:pPr>
        <w:tabs>
          <w:tab w:val="num" w:pos="3600"/>
        </w:tabs>
        <w:ind w:left="3600" w:hanging="360"/>
      </w:pPr>
      <w:rPr>
        <w:rFonts w:ascii="Courier New" w:hAnsi="Courier New" w:hint="default"/>
      </w:rPr>
    </w:lvl>
    <w:lvl w:ilvl="5" w:tplc="FA2E471E">
      <w:start w:val="1"/>
      <w:numFmt w:val="bullet"/>
      <w:lvlText w:val=""/>
      <w:lvlJc w:val="left"/>
      <w:pPr>
        <w:tabs>
          <w:tab w:val="num" w:pos="4320"/>
        </w:tabs>
        <w:ind w:left="4320" w:hanging="360"/>
      </w:pPr>
      <w:rPr>
        <w:rFonts w:ascii="Wingdings" w:hAnsi="Wingdings" w:hint="default"/>
      </w:rPr>
    </w:lvl>
    <w:lvl w:ilvl="6" w:tplc="9F0E693A">
      <w:start w:val="1"/>
      <w:numFmt w:val="bullet"/>
      <w:lvlText w:val=""/>
      <w:lvlJc w:val="left"/>
      <w:pPr>
        <w:tabs>
          <w:tab w:val="num" w:pos="5040"/>
        </w:tabs>
        <w:ind w:left="5040" w:hanging="360"/>
      </w:pPr>
      <w:rPr>
        <w:rFonts w:ascii="Symbol" w:hAnsi="Symbol" w:hint="default"/>
      </w:rPr>
    </w:lvl>
    <w:lvl w:ilvl="7" w:tplc="71B2473C">
      <w:start w:val="1"/>
      <w:numFmt w:val="bullet"/>
      <w:lvlText w:val="o"/>
      <w:lvlJc w:val="left"/>
      <w:pPr>
        <w:tabs>
          <w:tab w:val="num" w:pos="5760"/>
        </w:tabs>
        <w:ind w:left="5760" w:hanging="360"/>
      </w:pPr>
      <w:rPr>
        <w:rFonts w:ascii="Courier New" w:hAnsi="Courier New" w:hint="default"/>
      </w:rPr>
    </w:lvl>
    <w:lvl w:ilvl="8" w:tplc="2BDCDEE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93A0DCB4">
      <w:start w:val="1"/>
      <w:numFmt w:val="bullet"/>
      <w:pStyle w:val="Bulletpara"/>
      <w:lvlText w:val=""/>
      <w:lvlJc w:val="left"/>
      <w:pPr>
        <w:tabs>
          <w:tab w:val="num" w:pos="720"/>
        </w:tabs>
        <w:ind w:left="720" w:hanging="360"/>
      </w:pPr>
      <w:rPr>
        <w:rFonts w:ascii="Symbol" w:hAnsi="Symbol" w:hint="default"/>
      </w:rPr>
    </w:lvl>
    <w:lvl w:ilvl="1" w:tplc="6F903F92" w:tentative="1">
      <w:start w:val="1"/>
      <w:numFmt w:val="bullet"/>
      <w:lvlText w:val="o"/>
      <w:lvlJc w:val="left"/>
      <w:pPr>
        <w:tabs>
          <w:tab w:val="num" w:pos="1440"/>
        </w:tabs>
        <w:ind w:left="1440" w:hanging="360"/>
      </w:pPr>
      <w:rPr>
        <w:rFonts w:ascii="Courier New" w:hAnsi="Courier New" w:hint="default"/>
      </w:rPr>
    </w:lvl>
    <w:lvl w:ilvl="2" w:tplc="497EFEC6" w:tentative="1">
      <w:start w:val="1"/>
      <w:numFmt w:val="bullet"/>
      <w:lvlText w:val=""/>
      <w:lvlJc w:val="left"/>
      <w:pPr>
        <w:tabs>
          <w:tab w:val="num" w:pos="2160"/>
        </w:tabs>
        <w:ind w:left="2160" w:hanging="360"/>
      </w:pPr>
      <w:rPr>
        <w:rFonts w:ascii="Wingdings" w:hAnsi="Wingdings" w:hint="default"/>
      </w:rPr>
    </w:lvl>
    <w:lvl w:ilvl="3" w:tplc="A2DC3A14" w:tentative="1">
      <w:start w:val="1"/>
      <w:numFmt w:val="bullet"/>
      <w:lvlText w:val=""/>
      <w:lvlJc w:val="left"/>
      <w:pPr>
        <w:tabs>
          <w:tab w:val="num" w:pos="2880"/>
        </w:tabs>
        <w:ind w:left="2880" w:hanging="360"/>
      </w:pPr>
      <w:rPr>
        <w:rFonts w:ascii="Symbol" w:hAnsi="Symbol" w:hint="default"/>
      </w:rPr>
    </w:lvl>
    <w:lvl w:ilvl="4" w:tplc="5B94A90A" w:tentative="1">
      <w:start w:val="1"/>
      <w:numFmt w:val="bullet"/>
      <w:lvlText w:val="o"/>
      <w:lvlJc w:val="left"/>
      <w:pPr>
        <w:tabs>
          <w:tab w:val="num" w:pos="3600"/>
        </w:tabs>
        <w:ind w:left="3600" w:hanging="360"/>
      </w:pPr>
      <w:rPr>
        <w:rFonts w:ascii="Courier New" w:hAnsi="Courier New" w:hint="default"/>
      </w:rPr>
    </w:lvl>
    <w:lvl w:ilvl="5" w:tplc="5D6C6C90" w:tentative="1">
      <w:start w:val="1"/>
      <w:numFmt w:val="bullet"/>
      <w:lvlText w:val=""/>
      <w:lvlJc w:val="left"/>
      <w:pPr>
        <w:tabs>
          <w:tab w:val="num" w:pos="4320"/>
        </w:tabs>
        <w:ind w:left="4320" w:hanging="360"/>
      </w:pPr>
      <w:rPr>
        <w:rFonts w:ascii="Wingdings" w:hAnsi="Wingdings" w:hint="default"/>
      </w:rPr>
    </w:lvl>
    <w:lvl w:ilvl="6" w:tplc="2C28672E" w:tentative="1">
      <w:start w:val="1"/>
      <w:numFmt w:val="bullet"/>
      <w:lvlText w:val=""/>
      <w:lvlJc w:val="left"/>
      <w:pPr>
        <w:tabs>
          <w:tab w:val="num" w:pos="5040"/>
        </w:tabs>
        <w:ind w:left="5040" w:hanging="360"/>
      </w:pPr>
      <w:rPr>
        <w:rFonts w:ascii="Symbol" w:hAnsi="Symbol" w:hint="default"/>
      </w:rPr>
    </w:lvl>
    <w:lvl w:ilvl="7" w:tplc="E3F6180E" w:tentative="1">
      <w:start w:val="1"/>
      <w:numFmt w:val="bullet"/>
      <w:lvlText w:val="o"/>
      <w:lvlJc w:val="left"/>
      <w:pPr>
        <w:tabs>
          <w:tab w:val="num" w:pos="5760"/>
        </w:tabs>
        <w:ind w:left="5760" w:hanging="360"/>
      </w:pPr>
      <w:rPr>
        <w:rFonts w:ascii="Courier New" w:hAnsi="Courier New" w:hint="default"/>
      </w:rPr>
    </w:lvl>
    <w:lvl w:ilvl="8" w:tplc="20C0DB2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CB82746">
      <w:start w:val="1"/>
      <w:numFmt w:val="bullet"/>
      <w:lvlText w:val=""/>
      <w:lvlJc w:val="left"/>
      <w:pPr>
        <w:ind w:left="1440" w:hanging="360"/>
      </w:pPr>
      <w:rPr>
        <w:rFonts w:ascii="Symbol" w:hAnsi="Symbol" w:hint="default"/>
      </w:rPr>
    </w:lvl>
    <w:lvl w:ilvl="1" w:tplc="FD007C18" w:tentative="1">
      <w:start w:val="1"/>
      <w:numFmt w:val="bullet"/>
      <w:lvlText w:val="o"/>
      <w:lvlJc w:val="left"/>
      <w:pPr>
        <w:ind w:left="2160" w:hanging="360"/>
      </w:pPr>
      <w:rPr>
        <w:rFonts w:ascii="Courier New" w:hAnsi="Courier New" w:hint="default"/>
      </w:rPr>
    </w:lvl>
    <w:lvl w:ilvl="2" w:tplc="3236B146" w:tentative="1">
      <w:start w:val="1"/>
      <w:numFmt w:val="bullet"/>
      <w:lvlText w:val=""/>
      <w:lvlJc w:val="left"/>
      <w:pPr>
        <w:ind w:left="2880" w:hanging="360"/>
      </w:pPr>
      <w:rPr>
        <w:rFonts w:ascii="Wingdings" w:hAnsi="Wingdings" w:hint="default"/>
      </w:rPr>
    </w:lvl>
    <w:lvl w:ilvl="3" w:tplc="408CB540" w:tentative="1">
      <w:start w:val="1"/>
      <w:numFmt w:val="bullet"/>
      <w:lvlText w:val=""/>
      <w:lvlJc w:val="left"/>
      <w:pPr>
        <w:ind w:left="3600" w:hanging="360"/>
      </w:pPr>
      <w:rPr>
        <w:rFonts w:ascii="Symbol" w:hAnsi="Symbol" w:hint="default"/>
      </w:rPr>
    </w:lvl>
    <w:lvl w:ilvl="4" w:tplc="0308C7F6" w:tentative="1">
      <w:start w:val="1"/>
      <w:numFmt w:val="bullet"/>
      <w:lvlText w:val="o"/>
      <w:lvlJc w:val="left"/>
      <w:pPr>
        <w:ind w:left="4320" w:hanging="360"/>
      </w:pPr>
      <w:rPr>
        <w:rFonts w:ascii="Courier New" w:hAnsi="Courier New" w:hint="default"/>
      </w:rPr>
    </w:lvl>
    <w:lvl w:ilvl="5" w:tplc="BEAC81B0" w:tentative="1">
      <w:start w:val="1"/>
      <w:numFmt w:val="bullet"/>
      <w:lvlText w:val=""/>
      <w:lvlJc w:val="left"/>
      <w:pPr>
        <w:ind w:left="5040" w:hanging="360"/>
      </w:pPr>
      <w:rPr>
        <w:rFonts w:ascii="Wingdings" w:hAnsi="Wingdings" w:hint="default"/>
      </w:rPr>
    </w:lvl>
    <w:lvl w:ilvl="6" w:tplc="A44A56E6" w:tentative="1">
      <w:start w:val="1"/>
      <w:numFmt w:val="bullet"/>
      <w:lvlText w:val=""/>
      <w:lvlJc w:val="left"/>
      <w:pPr>
        <w:ind w:left="5760" w:hanging="360"/>
      </w:pPr>
      <w:rPr>
        <w:rFonts w:ascii="Symbol" w:hAnsi="Symbol" w:hint="default"/>
      </w:rPr>
    </w:lvl>
    <w:lvl w:ilvl="7" w:tplc="44B43CAA" w:tentative="1">
      <w:start w:val="1"/>
      <w:numFmt w:val="bullet"/>
      <w:lvlText w:val="o"/>
      <w:lvlJc w:val="left"/>
      <w:pPr>
        <w:ind w:left="6480" w:hanging="360"/>
      </w:pPr>
      <w:rPr>
        <w:rFonts w:ascii="Courier New" w:hAnsi="Courier New" w:hint="default"/>
      </w:rPr>
    </w:lvl>
    <w:lvl w:ilvl="8" w:tplc="95BA982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026C32C">
      <w:start w:val="1"/>
      <w:numFmt w:val="bullet"/>
      <w:lvlText w:val=""/>
      <w:lvlJc w:val="left"/>
      <w:pPr>
        <w:ind w:left="1440" w:hanging="360"/>
      </w:pPr>
      <w:rPr>
        <w:rFonts w:ascii="Symbol" w:hAnsi="Symbol" w:hint="default"/>
      </w:rPr>
    </w:lvl>
    <w:lvl w:ilvl="1" w:tplc="0928C35E" w:tentative="1">
      <w:start w:val="1"/>
      <w:numFmt w:val="bullet"/>
      <w:lvlText w:val="o"/>
      <w:lvlJc w:val="left"/>
      <w:pPr>
        <w:ind w:left="2160" w:hanging="360"/>
      </w:pPr>
      <w:rPr>
        <w:rFonts w:ascii="Courier New" w:hAnsi="Courier New" w:hint="default"/>
      </w:rPr>
    </w:lvl>
    <w:lvl w:ilvl="2" w:tplc="875EB0C2" w:tentative="1">
      <w:start w:val="1"/>
      <w:numFmt w:val="bullet"/>
      <w:lvlText w:val=""/>
      <w:lvlJc w:val="left"/>
      <w:pPr>
        <w:ind w:left="2880" w:hanging="360"/>
      </w:pPr>
      <w:rPr>
        <w:rFonts w:ascii="Wingdings" w:hAnsi="Wingdings" w:hint="default"/>
      </w:rPr>
    </w:lvl>
    <w:lvl w:ilvl="3" w:tplc="9FB4442A" w:tentative="1">
      <w:start w:val="1"/>
      <w:numFmt w:val="bullet"/>
      <w:lvlText w:val=""/>
      <w:lvlJc w:val="left"/>
      <w:pPr>
        <w:ind w:left="3600" w:hanging="360"/>
      </w:pPr>
      <w:rPr>
        <w:rFonts w:ascii="Symbol" w:hAnsi="Symbol" w:hint="default"/>
      </w:rPr>
    </w:lvl>
    <w:lvl w:ilvl="4" w:tplc="6FD833AE" w:tentative="1">
      <w:start w:val="1"/>
      <w:numFmt w:val="bullet"/>
      <w:lvlText w:val="o"/>
      <w:lvlJc w:val="left"/>
      <w:pPr>
        <w:ind w:left="4320" w:hanging="360"/>
      </w:pPr>
      <w:rPr>
        <w:rFonts w:ascii="Courier New" w:hAnsi="Courier New" w:hint="default"/>
      </w:rPr>
    </w:lvl>
    <w:lvl w:ilvl="5" w:tplc="1B18B39E" w:tentative="1">
      <w:start w:val="1"/>
      <w:numFmt w:val="bullet"/>
      <w:lvlText w:val=""/>
      <w:lvlJc w:val="left"/>
      <w:pPr>
        <w:ind w:left="5040" w:hanging="360"/>
      </w:pPr>
      <w:rPr>
        <w:rFonts w:ascii="Wingdings" w:hAnsi="Wingdings" w:hint="default"/>
      </w:rPr>
    </w:lvl>
    <w:lvl w:ilvl="6" w:tplc="5F20E1BA" w:tentative="1">
      <w:start w:val="1"/>
      <w:numFmt w:val="bullet"/>
      <w:lvlText w:val=""/>
      <w:lvlJc w:val="left"/>
      <w:pPr>
        <w:ind w:left="5760" w:hanging="360"/>
      </w:pPr>
      <w:rPr>
        <w:rFonts w:ascii="Symbol" w:hAnsi="Symbol" w:hint="default"/>
      </w:rPr>
    </w:lvl>
    <w:lvl w:ilvl="7" w:tplc="319EE866" w:tentative="1">
      <w:start w:val="1"/>
      <w:numFmt w:val="bullet"/>
      <w:lvlText w:val="o"/>
      <w:lvlJc w:val="left"/>
      <w:pPr>
        <w:ind w:left="6480" w:hanging="360"/>
      </w:pPr>
      <w:rPr>
        <w:rFonts w:ascii="Courier New" w:hAnsi="Courier New" w:hint="default"/>
      </w:rPr>
    </w:lvl>
    <w:lvl w:ilvl="8" w:tplc="372610B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8E099B0">
      <w:start w:val="1"/>
      <w:numFmt w:val="bullet"/>
      <w:lvlText w:val=""/>
      <w:lvlJc w:val="left"/>
      <w:pPr>
        <w:ind w:left="1440" w:hanging="360"/>
      </w:pPr>
      <w:rPr>
        <w:rFonts w:ascii="Symbol" w:hAnsi="Symbol" w:hint="default"/>
      </w:rPr>
    </w:lvl>
    <w:lvl w:ilvl="1" w:tplc="8EF0333C" w:tentative="1">
      <w:start w:val="1"/>
      <w:numFmt w:val="bullet"/>
      <w:lvlText w:val="o"/>
      <w:lvlJc w:val="left"/>
      <w:pPr>
        <w:ind w:left="2160" w:hanging="360"/>
      </w:pPr>
      <w:rPr>
        <w:rFonts w:ascii="Courier New" w:hAnsi="Courier New" w:hint="default"/>
      </w:rPr>
    </w:lvl>
    <w:lvl w:ilvl="2" w:tplc="DAEC0778" w:tentative="1">
      <w:start w:val="1"/>
      <w:numFmt w:val="bullet"/>
      <w:lvlText w:val=""/>
      <w:lvlJc w:val="left"/>
      <w:pPr>
        <w:ind w:left="2880" w:hanging="360"/>
      </w:pPr>
      <w:rPr>
        <w:rFonts w:ascii="Wingdings" w:hAnsi="Wingdings" w:hint="default"/>
      </w:rPr>
    </w:lvl>
    <w:lvl w:ilvl="3" w:tplc="EF0EB372" w:tentative="1">
      <w:start w:val="1"/>
      <w:numFmt w:val="bullet"/>
      <w:lvlText w:val=""/>
      <w:lvlJc w:val="left"/>
      <w:pPr>
        <w:ind w:left="3600" w:hanging="360"/>
      </w:pPr>
      <w:rPr>
        <w:rFonts w:ascii="Symbol" w:hAnsi="Symbol" w:hint="default"/>
      </w:rPr>
    </w:lvl>
    <w:lvl w:ilvl="4" w:tplc="CBAC0E98" w:tentative="1">
      <w:start w:val="1"/>
      <w:numFmt w:val="bullet"/>
      <w:lvlText w:val="o"/>
      <w:lvlJc w:val="left"/>
      <w:pPr>
        <w:ind w:left="4320" w:hanging="360"/>
      </w:pPr>
      <w:rPr>
        <w:rFonts w:ascii="Courier New" w:hAnsi="Courier New" w:hint="default"/>
      </w:rPr>
    </w:lvl>
    <w:lvl w:ilvl="5" w:tplc="3A740306" w:tentative="1">
      <w:start w:val="1"/>
      <w:numFmt w:val="bullet"/>
      <w:lvlText w:val=""/>
      <w:lvlJc w:val="left"/>
      <w:pPr>
        <w:ind w:left="5040" w:hanging="360"/>
      </w:pPr>
      <w:rPr>
        <w:rFonts w:ascii="Wingdings" w:hAnsi="Wingdings" w:hint="default"/>
      </w:rPr>
    </w:lvl>
    <w:lvl w:ilvl="6" w:tplc="4E86D3BC" w:tentative="1">
      <w:start w:val="1"/>
      <w:numFmt w:val="bullet"/>
      <w:lvlText w:val=""/>
      <w:lvlJc w:val="left"/>
      <w:pPr>
        <w:ind w:left="5760" w:hanging="360"/>
      </w:pPr>
      <w:rPr>
        <w:rFonts w:ascii="Symbol" w:hAnsi="Symbol" w:hint="default"/>
      </w:rPr>
    </w:lvl>
    <w:lvl w:ilvl="7" w:tplc="500C4C26" w:tentative="1">
      <w:start w:val="1"/>
      <w:numFmt w:val="bullet"/>
      <w:lvlText w:val="o"/>
      <w:lvlJc w:val="left"/>
      <w:pPr>
        <w:ind w:left="6480" w:hanging="360"/>
      </w:pPr>
      <w:rPr>
        <w:rFonts w:ascii="Courier New" w:hAnsi="Courier New" w:hint="default"/>
      </w:rPr>
    </w:lvl>
    <w:lvl w:ilvl="8" w:tplc="E01E94A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0FCEBAF4">
      <w:start w:val="1"/>
      <w:numFmt w:val="bullet"/>
      <w:lvlText w:val=""/>
      <w:lvlJc w:val="left"/>
      <w:pPr>
        <w:tabs>
          <w:tab w:val="num" w:pos="1440"/>
        </w:tabs>
        <w:ind w:left="1440" w:hanging="360"/>
      </w:pPr>
      <w:rPr>
        <w:rFonts w:ascii="Symbol" w:hAnsi="Symbol" w:hint="default"/>
        <w:sz w:val="18"/>
        <w:u w:val="none"/>
      </w:rPr>
    </w:lvl>
    <w:lvl w:ilvl="1" w:tplc="CDC46324" w:tentative="1">
      <w:start w:val="1"/>
      <w:numFmt w:val="bullet"/>
      <w:lvlText w:val="o"/>
      <w:lvlJc w:val="left"/>
      <w:pPr>
        <w:tabs>
          <w:tab w:val="num" w:pos="2520"/>
        </w:tabs>
        <w:ind w:left="2520" w:hanging="360"/>
      </w:pPr>
      <w:rPr>
        <w:rFonts w:ascii="Courier New" w:hAnsi="Courier New" w:hint="default"/>
      </w:rPr>
    </w:lvl>
    <w:lvl w:ilvl="2" w:tplc="E078D63C" w:tentative="1">
      <w:start w:val="1"/>
      <w:numFmt w:val="bullet"/>
      <w:lvlText w:val=""/>
      <w:lvlJc w:val="left"/>
      <w:pPr>
        <w:tabs>
          <w:tab w:val="num" w:pos="3240"/>
        </w:tabs>
        <w:ind w:left="3240" w:hanging="360"/>
      </w:pPr>
      <w:rPr>
        <w:rFonts w:ascii="Wingdings" w:hAnsi="Wingdings" w:hint="default"/>
      </w:rPr>
    </w:lvl>
    <w:lvl w:ilvl="3" w:tplc="6E52C50E" w:tentative="1">
      <w:start w:val="1"/>
      <w:numFmt w:val="bullet"/>
      <w:lvlText w:val=""/>
      <w:lvlJc w:val="left"/>
      <w:pPr>
        <w:tabs>
          <w:tab w:val="num" w:pos="3960"/>
        </w:tabs>
        <w:ind w:left="3960" w:hanging="360"/>
      </w:pPr>
      <w:rPr>
        <w:rFonts w:ascii="Symbol" w:hAnsi="Symbol" w:hint="default"/>
      </w:rPr>
    </w:lvl>
    <w:lvl w:ilvl="4" w:tplc="36F02392" w:tentative="1">
      <w:start w:val="1"/>
      <w:numFmt w:val="bullet"/>
      <w:lvlText w:val="o"/>
      <w:lvlJc w:val="left"/>
      <w:pPr>
        <w:tabs>
          <w:tab w:val="num" w:pos="4680"/>
        </w:tabs>
        <w:ind w:left="4680" w:hanging="360"/>
      </w:pPr>
      <w:rPr>
        <w:rFonts w:ascii="Courier New" w:hAnsi="Courier New" w:hint="default"/>
      </w:rPr>
    </w:lvl>
    <w:lvl w:ilvl="5" w:tplc="0B82C260" w:tentative="1">
      <w:start w:val="1"/>
      <w:numFmt w:val="bullet"/>
      <w:lvlText w:val=""/>
      <w:lvlJc w:val="left"/>
      <w:pPr>
        <w:tabs>
          <w:tab w:val="num" w:pos="5400"/>
        </w:tabs>
        <w:ind w:left="5400" w:hanging="360"/>
      </w:pPr>
      <w:rPr>
        <w:rFonts w:ascii="Wingdings" w:hAnsi="Wingdings" w:hint="default"/>
      </w:rPr>
    </w:lvl>
    <w:lvl w:ilvl="6" w:tplc="5726AB92" w:tentative="1">
      <w:start w:val="1"/>
      <w:numFmt w:val="bullet"/>
      <w:lvlText w:val=""/>
      <w:lvlJc w:val="left"/>
      <w:pPr>
        <w:tabs>
          <w:tab w:val="num" w:pos="6120"/>
        </w:tabs>
        <w:ind w:left="6120" w:hanging="360"/>
      </w:pPr>
      <w:rPr>
        <w:rFonts w:ascii="Symbol" w:hAnsi="Symbol" w:hint="default"/>
      </w:rPr>
    </w:lvl>
    <w:lvl w:ilvl="7" w:tplc="72965018" w:tentative="1">
      <w:start w:val="1"/>
      <w:numFmt w:val="bullet"/>
      <w:lvlText w:val="o"/>
      <w:lvlJc w:val="left"/>
      <w:pPr>
        <w:tabs>
          <w:tab w:val="num" w:pos="6840"/>
        </w:tabs>
        <w:ind w:left="6840" w:hanging="360"/>
      </w:pPr>
      <w:rPr>
        <w:rFonts w:ascii="Courier New" w:hAnsi="Courier New" w:hint="default"/>
      </w:rPr>
    </w:lvl>
    <w:lvl w:ilvl="8" w:tplc="3F5E6E8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196132C">
      <w:start w:val="1"/>
      <w:numFmt w:val="lowerRoman"/>
      <w:lvlText w:val="(%1)"/>
      <w:lvlJc w:val="left"/>
      <w:pPr>
        <w:tabs>
          <w:tab w:val="num" w:pos="2448"/>
        </w:tabs>
        <w:ind w:left="2448" w:hanging="648"/>
      </w:pPr>
      <w:rPr>
        <w:rFonts w:cs="Times New Roman" w:hint="default"/>
        <w:b w:val="0"/>
        <w:i w:val="0"/>
        <w:u w:val="none"/>
      </w:rPr>
    </w:lvl>
    <w:lvl w:ilvl="1" w:tplc="D054AAE6" w:tentative="1">
      <w:start w:val="1"/>
      <w:numFmt w:val="lowerLetter"/>
      <w:lvlText w:val="%2."/>
      <w:lvlJc w:val="left"/>
      <w:pPr>
        <w:tabs>
          <w:tab w:val="num" w:pos="1440"/>
        </w:tabs>
        <w:ind w:left="1440" w:hanging="360"/>
      </w:pPr>
      <w:rPr>
        <w:rFonts w:cs="Times New Roman"/>
      </w:rPr>
    </w:lvl>
    <w:lvl w:ilvl="2" w:tplc="CA441D4E" w:tentative="1">
      <w:start w:val="1"/>
      <w:numFmt w:val="lowerRoman"/>
      <w:lvlText w:val="%3."/>
      <w:lvlJc w:val="right"/>
      <w:pPr>
        <w:tabs>
          <w:tab w:val="num" w:pos="2160"/>
        </w:tabs>
        <w:ind w:left="2160" w:hanging="180"/>
      </w:pPr>
      <w:rPr>
        <w:rFonts w:cs="Times New Roman"/>
      </w:rPr>
    </w:lvl>
    <w:lvl w:ilvl="3" w:tplc="821A81DC" w:tentative="1">
      <w:start w:val="1"/>
      <w:numFmt w:val="decimal"/>
      <w:lvlText w:val="%4."/>
      <w:lvlJc w:val="left"/>
      <w:pPr>
        <w:tabs>
          <w:tab w:val="num" w:pos="2880"/>
        </w:tabs>
        <w:ind w:left="2880" w:hanging="360"/>
      </w:pPr>
      <w:rPr>
        <w:rFonts w:cs="Times New Roman"/>
      </w:rPr>
    </w:lvl>
    <w:lvl w:ilvl="4" w:tplc="38265342" w:tentative="1">
      <w:start w:val="1"/>
      <w:numFmt w:val="lowerLetter"/>
      <w:lvlText w:val="%5."/>
      <w:lvlJc w:val="left"/>
      <w:pPr>
        <w:tabs>
          <w:tab w:val="num" w:pos="3600"/>
        </w:tabs>
        <w:ind w:left="3600" w:hanging="360"/>
      </w:pPr>
      <w:rPr>
        <w:rFonts w:cs="Times New Roman"/>
      </w:rPr>
    </w:lvl>
    <w:lvl w:ilvl="5" w:tplc="8A3A5048" w:tentative="1">
      <w:start w:val="1"/>
      <w:numFmt w:val="lowerRoman"/>
      <w:lvlText w:val="%6."/>
      <w:lvlJc w:val="right"/>
      <w:pPr>
        <w:tabs>
          <w:tab w:val="num" w:pos="4320"/>
        </w:tabs>
        <w:ind w:left="4320" w:hanging="180"/>
      </w:pPr>
      <w:rPr>
        <w:rFonts w:cs="Times New Roman"/>
      </w:rPr>
    </w:lvl>
    <w:lvl w:ilvl="6" w:tplc="2E7CC7FC" w:tentative="1">
      <w:start w:val="1"/>
      <w:numFmt w:val="decimal"/>
      <w:lvlText w:val="%7."/>
      <w:lvlJc w:val="left"/>
      <w:pPr>
        <w:tabs>
          <w:tab w:val="num" w:pos="5040"/>
        </w:tabs>
        <w:ind w:left="5040" w:hanging="360"/>
      </w:pPr>
      <w:rPr>
        <w:rFonts w:cs="Times New Roman"/>
      </w:rPr>
    </w:lvl>
    <w:lvl w:ilvl="7" w:tplc="CC4E85BE" w:tentative="1">
      <w:start w:val="1"/>
      <w:numFmt w:val="lowerLetter"/>
      <w:lvlText w:val="%8."/>
      <w:lvlJc w:val="left"/>
      <w:pPr>
        <w:tabs>
          <w:tab w:val="num" w:pos="5760"/>
        </w:tabs>
        <w:ind w:left="5760" w:hanging="360"/>
      </w:pPr>
      <w:rPr>
        <w:rFonts w:cs="Times New Roman"/>
      </w:rPr>
    </w:lvl>
    <w:lvl w:ilvl="8" w:tplc="4170DC4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7644DE8">
      <w:start w:val="1"/>
      <w:numFmt w:val="bullet"/>
      <w:lvlText w:val=""/>
      <w:lvlJc w:val="left"/>
      <w:pPr>
        <w:ind w:left="1440" w:hanging="720"/>
      </w:pPr>
      <w:rPr>
        <w:rFonts w:ascii="Symbol" w:hAnsi="Symbol" w:hint="default"/>
      </w:rPr>
    </w:lvl>
    <w:lvl w:ilvl="1" w:tplc="2CFAFDAA">
      <w:start w:val="1"/>
      <w:numFmt w:val="bullet"/>
      <w:lvlText w:val="o"/>
      <w:lvlJc w:val="left"/>
      <w:pPr>
        <w:ind w:left="1440" w:hanging="360"/>
      </w:pPr>
      <w:rPr>
        <w:rFonts w:ascii="Courier New" w:hAnsi="Courier New" w:hint="default"/>
      </w:rPr>
    </w:lvl>
    <w:lvl w:ilvl="2" w:tplc="E8F2307C">
      <w:start w:val="1"/>
      <w:numFmt w:val="bullet"/>
      <w:lvlText w:val=""/>
      <w:lvlJc w:val="left"/>
      <w:pPr>
        <w:ind w:left="2160" w:hanging="360"/>
      </w:pPr>
      <w:rPr>
        <w:rFonts w:ascii="Wingdings" w:hAnsi="Wingdings" w:hint="default"/>
      </w:rPr>
    </w:lvl>
    <w:lvl w:ilvl="3" w:tplc="8DA45D7A" w:tentative="1">
      <w:start w:val="1"/>
      <w:numFmt w:val="bullet"/>
      <w:lvlText w:val=""/>
      <w:lvlJc w:val="left"/>
      <w:pPr>
        <w:ind w:left="2880" w:hanging="360"/>
      </w:pPr>
      <w:rPr>
        <w:rFonts w:ascii="Symbol" w:hAnsi="Symbol" w:hint="default"/>
      </w:rPr>
    </w:lvl>
    <w:lvl w:ilvl="4" w:tplc="AA0E5E04" w:tentative="1">
      <w:start w:val="1"/>
      <w:numFmt w:val="bullet"/>
      <w:lvlText w:val="o"/>
      <w:lvlJc w:val="left"/>
      <w:pPr>
        <w:ind w:left="3600" w:hanging="360"/>
      </w:pPr>
      <w:rPr>
        <w:rFonts w:ascii="Courier New" w:hAnsi="Courier New" w:hint="default"/>
      </w:rPr>
    </w:lvl>
    <w:lvl w:ilvl="5" w:tplc="17986E1E" w:tentative="1">
      <w:start w:val="1"/>
      <w:numFmt w:val="bullet"/>
      <w:lvlText w:val=""/>
      <w:lvlJc w:val="left"/>
      <w:pPr>
        <w:ind w:left="4320" w:hanging="360"/>
      </w:pPr>
      <w:rPr>
        <w:rFonts w:ascii="Wingdings" w:hAnsi="Wingdings" w:hint="default"/>
      </w:rPr>
    </w:lvl>
    <w:lvl w:ilvl="6" w:tplc="F4B670FA" w:tentative="1">
      <w:start w:val="1"/>
      <w:numFmt w:val="bullet"/>
      <w:lvlText w:val=""/>
      <w:lvlJc w:val="left"/>
      <w:pPr>
        <w:ind w:left="5040" w:hanging="360"/>
      </w:pPr>
      <w:rPr>
        <w:rFonts w:ascii="Symbol" w:hAnsi="Symbol" w:hint="default"/>
      </w:rPr>
    </w:lvl>
    <w:lvl w:ilvl="7" w:tplc="98C8B598" w:tentative="1">
      <w:start w:val="1"/>
      <w:numFmt w:val="bullet"/>
      <w:lvlText w:val="o"/>
      <w:lvlJc w:val="left"/>
      <w:pPr>
        <w:ind w:left="5760" w:hanging="360"/>
      </w:pPr>
      <w:rPr>
        <w:rFonts w:ascii="Courier New" w:hAnsi="Courier New" w:hint="default"/>
      </w:rPr>
    </w:lvl>
    <w:lvl w:ilvl="8" w:tplc="F8DEFE4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F162D4C">
      <w:start w:val="1"/>
      <w:numFmt w:val="bullet"/>
      <w:lvlText w:val=""/>
      <w:lvlJc w:val="left"/>
      <w:pPr>
        <w:tabs>
          <w:tab w:val="num" w:pos="5760"/>
        </w:tabs>
        <w:ind w:left="5760" w:hanging="360"/>
      </w:pPr>
      <w:rPr>
        <w:rFonts w:ascii="Symbol" w:hAnsi="Symbol" w:hint="default"/>
        <w:color w:val="auto"/>
        <w:u w:val="none"/>
      </w:rPr>
    </w:lvl>
    <w:lvl w:ilvl="1" w:tplc="484E51B8" w:tentative="1">
      <w:start w:val="1"/>
      <w:numFmt w:val="bullet"/>
      <w:lvlText w:val="o"/>
      <w:lvlJc w:val="left"/>
      <w:pPr>
        <w:tabs>
          <w:tab w:val="num" w:pos="3600"/>
        </w:tabs>
        <w:ind w:left="3600" w:hanging="360"/>
      </w:pPr>
      <w:rPr>
        <w:rFonts w:ascii="Courier New" w:hAnsi="Courier New" w:hint="default"/>
      </w:rPr>
    </w:lvl>
    <w:lvl w:ilvl="2" w:tplc="6D26C20E" w:tentative="1">
      <w:start w:val="1"/>
      <w:numFmt w:val="bullet"/>
      <w:lvlText w:val=""/>
      <w:lvlJc w:val="left"/>
      <w:pPr>
        <w:tabs>
          <w:tab w:val="num" w:pos="4320"/>
        </w:tabs>
        <w:ind w:left="4320" w:hanging="360"/>
      </w:pPr>
      <w:rPr>
        <w:rFonts w:ascii="Wingdings" w:hAnsi="Wingdings" w:hint="default"/>
      </w:rPr>
    </w:lvl>
    <w:lvl w:ilvl="3" w:tplc="46F244C2">
      <w:start w:val="1"/>
      <w:numFmt w:val="bullet"/>
      <w:lvlText w:val=""/>
      <w:lvlJc w:val="left"/>
      <w:pPr>
        <w:tabs>
          <w:tab w:val="num" w:pos="5040"/>
        </w:tabs>
        <w:ind w:left="5040" w:hanging="360"/>
      </w:pPr>
      <w:rPr>
        <w:rFonts w:ascii="Symbol" w:hAnsi="Symbol" w:hint="default"/>
      </w:rPr>
    </w:lvl>
    <w:lvl w:ilvl="4" w:tplc="13F89774" w:tentative="1">
      <w:start w:val="1"/>
      <w:numFmt w:val="bullet"/>
      <w:lvlText w:val="o"/>
      <w:lvlJc w:val="left"/>
      <w:pPr>
        <w:tabs>
          <w:tab w:val="num" w:pos="5760"/>
        </w:tabs>
        <w:ind w:left="5760" w:hanging="360"/>
      </w:pPr>
      <w:rPr>
        <w:rFonts w:ascii="Courier New" w:hAnsi="Courier New" w:hint="default"/>
      </w:rPr>
    </w:lvl>
    <w:lvl w:ilvl="5" w:tplc="C3F8B588" w:tentative="1">
      <w:start w:val="1"/>
      <w:numFmt w:val="bullet"/>
      <w:lvlText w:val=""/>
      <w:lvlJc w:val="left"/>
      <w:pPr>
        <w:tabs>
          <w:tab w:val="num" w:pos="6480"/>
        </w:tabs>
        <w:ind w:left="6480" w:hanging="360"/>
      </w:pPr>
      <w:rPr>
        <w:rFonts w:ascii="Wingdings" w:hAnsi="Wingdings" w:hint="default"/>
      </w:rPr>
    </w:lvl>
    <w:lvl w:ilvl="6" w:tplc="D9DC6D18" w:tentative="1">
      <w:start w:val="1"/>
      <w:numFmt w:val="bullet"/>
      <w:lvlText w:val=""/>
      <w:lvlJc w:val="left"/>
      <w:pPr>
        <w:tabs>
          <w:tab w:val="num" w:pos="7200"/>
        </w:tabs>
        <w:ind w:left="7200" w:hanging="360"/>
      </w:pPr>
      <w:rPr>
        <w:rFonts w:ascii="Symbol" w:hAnsi="Symbol" w:hint="default"/>
      </w:rPr>
    </w:lvl>
    <w:lvl w:ilvl="7" w:tplc="CB5627D2" w:tentative="1">
      <w:start w:val="1"/>
      <w:numFmt w:val="bullet"/>
      <w:lvlText w:val="o"/>
      <w:lvlJc w:val="left"/>
      <w:pPr>
        <w:tabs>
          <w:tab w:val="num" w:pos="7920"/>
        </w:tabs>
        <w:ind w:left="7920" w:hanging="360"/>
      </w:pPr>
      <w:rPr>
        <w:rFonts w:ascii="Courier New" w:hAnsi="Courier New" w:hint="default"/>
      </w:rPr>
    </w:lvl>
    <w:lvl w:ilvl="8" w:tplc="2D84940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136F8"/>
    <w:rsid w:val="00B27BE7"/>
    <w:rsid w:val="00E13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E28"/>
    <w:pPr>
      <w:pPrChange w:id="0" w:author="TMSServices" w:date="2016-10-06T07:58:00Z">
        <w:pPr/>
      </w:pPrChange>
    </w:pPr>
    <w:rPr>
      <w:sz w:val="24"/>
      <w:szCs w:val="24"/>
      <w:rPrChange w:id="0" w:author="TMSServices" w:date="2016-10-06T07:58:00Z">
        <w:rPr>
          <w:sz w:val="24"/>
          <w:szCs w:val="24"/>
          <w:lang w:val="en-US" w:eastAsia="en-US" w:bidi="ar-SA"/>
        </w:rPr>
      </w:rPrChange>
    </w:rPr>
  </w:style>
  <w:style w:type="paragraph" w:styleId="Heading1">
    <w:name w:val="heading 1"/>
    <w:basedOn w:val="Normal"/>
    <w:next w:val="Normal"/>
    <w:link w:val="Heading1Char"/>
    <w:qFormat/>
    <w:rsid w:val="00E45E28"/>
    <w:pPr>
      <w:keepNext/>
      <w:spacing w:before="240" w:after="240"/>
      <w:ind w:left="720" w:hanging="720"/>
      <w:outlineLvl w:val="0"/>
      <w:pPrChange w:id="1" w:author="TMSServices" w:date="2016-10-06T07:58:00Z">
        <w:pPr>
          <w:keepNext/>
          <w:spacing w:before="240" w:after="240"/>
          <w:ind w:left="720" w:hanging="720"/>
          <w:outlineLvl w:val="0"/>
        </w:pPr>
      </w:pPrChange>
    </w:pPr>
    <w:rPr>
      <w:rFonts w:ascii="Cambria" w:hAnsi="Cambria"/>
      <w:b/>
      <w:bCs/>
      <w:kern w:val="32"/>
      <w:sz w:val="32"/>
      <w:szCs w:val="32"/>
      <w:rPrChange w:id="1" w:author="TMSServices" w:date="2016-10-06T07:5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E45E28"/>
    <w:pPr>
      <w:keepNext/>
      <w:tabs>
        <w:tab w:val="left" w:pos="1080"/>
      </w:tabs>
      <w:spacing w:before="240" w:after="240"/>
      <w:ind w:left="1080" w:right="14" w:hanging="1080"/>
      <w:outlineLvl w:val="1"/>
      <w:pPrChange w:id="2" w:author="TMSServices" w:date="2016-10-06T07:58:00Z">
        <w:pPr>
          <w:keepNext/>
          <w:tabs>
            <w:tab w:val="left" w:pos="1080"/>
          </w:tabs>
          <w:spacing w:before="240" w:after="240"/>
          <w:ind w:left="1080" w:right="14" w:hanging="1080"/>
          <w:outlineLvl w:val="1"/>
        </w:pPr>
      </w:pPrChange>
    </w:pPr>
    <w:rPr>
      <w:b/>
      <w:szCs w:val="20"/>
      <w:rPrChange w:id="2" w:author="TMSServices" w:date="2016-10-06T07:58:00Z">
        <w:rPr>
          <w:b/>
          <w:sz w:val="24"/>
          <w:lang w:val="en-US" w:eastAsia="en-US" w:bidi="ar-SA"/>
        </w:rPr>
      </w:rPrChange>
    </w:rPr>
  </w:style>
  <w:style w:type="paragraph" w:styleId="Heading3">
    <w:name w:val="heading 3"/>
    <w:basedOn w:val="Normal"/>
    <w:next w:val="Normal"/>
    <w:link w:val="Heading3Char"/>
    <w:qFormat/>
    <w:rsid w:val="00E45E28"/>
    <w:pPr>
      <w:keepNext/>
      <w:keepLines/>
      <w:tabs>
        <w:tab w:val="left" w:pos="1080"/>
      </w:tabs>
      <w:spacing w:before="240" w:after="240"/>
      <w:ind w:left="1080" w:right="634" w:hanging="1080"/>
      <w:outlineLvl w:val="2"/>
      <w:pPrChange w:id="3" w:author="TMSServices" w:date="2016-10-06T07:58:00Z">
        <w:pPr>
          <w:keepNext/>
          <w:keepLines/>
          <w:tabs>
            <w:tab w:val="left" w:pos="1080"/>
          </w:tabs>
          <w:spacing w:before="240" w:after="240"/>
          <w:ind w:left="1080" w:right="634" w:hanging="1080"/>
          <w:outlineLvl w:val="2"/>
        </w:pPr>
      </w:pPrChange>
    </w:pPr>
    <w:rPr>
      <w:b/>
      <w:szCs w:val="20"/>
      <w:rPrChange w:id="3" w:author="TMSServices" w:date="2016-10-06T07:58:00Z">
        <w:rPr>
          <w:b/>
          <w:sz w:val="24"/>
          <w:lang w:val="en-US" w:eastAsia="en-US" w:bidi="ar-SA"/>
        </w:rPr>
      </w:rPrChange>
    </w:rPr>
  </w:style>
  <w:style w:type="paragraph" w:styleId="Heading4">
    <w:name w:val="heading 4"/>
    <w:basedOn w:val="Normal"/>
    <w:next w:val="Normal"/>
    <w:link w:val="Heading4Char"/>
    <w:qFormat/>
    <w:rsid w:val="00E45E28"/>
    <w:pPr>
      <w:keepNext/>
      <w:tabs>
        <w:tab w:val="left" w:pos="1800"/>
      </w:tabs>
      <w:spacing w:before="240" w:after="240"/>
      <w:ind w:left="1800" w:hanging="1080"/>
      <w:outlineLvl w:val="3"/>
      <w:pPrChange w:id="4" w:author="TMSServices" w:date="2016-10-06T07:58:00Z">
        <w:pPr>
          <w:keepNext/>
          <w:tabs>
            <w:tab w:val="left" w:pos="1800"/>
          </w:tabs>
          <w:spacing w:before="240" w:after="240"/>
          <w:ind w:left="1800" w:hanging="1080"/>
          <w:outlineLvl w:val="3"/>
        </w:pPr>
      </w:pPrChange>
    </w:pPr>
    <w:rPr>
      <w:b/>
      <w:szCs w:val="20"/>
      <w:rPrChange w:id="4" w:author="TMSServices" w:date="2016-10-06T07:58:00Z">
        <w:rPr>
          <w:b/>
          <w:sz w:val="24"/>
          <w:lang w:val="en-US" w:eastAsia="en-US" w:bidi="ar-SA"/>
        </w:rPr>
      </w:rPrChange>
    </w:rPr>
  </w:style>
  <w:style w:type="paragraph" w:styleId="Heading5">
    <w:name w:val="heading 5"/>
    <w:basedOn w:val="Normal"/>
    <w:next w:val="Normal"/>
    <w:link w:val="Heading5Char"/>
    <w:qFormat/>
    <w:rsid w:val="00E45E28"/>
    <w:pPr>
      <w:keepNext/>
      <w:spacing w:line="480" w:lineRule="auto"/>
      <w:ind w:left="1440" w:right="-90" w:hanging="720"/>
      <w:outlineLvl w:val="4"/>
      <w:pPrChange w:id="5" w:author="TMSServices" w:date="2016-10-06T07:58:00Z">
        <w:pPr>
          <w:keepNext/>
          <w:spacing w:line="480" w:lineRule="auto"/>
          <w:ind w:left="1440" w:right="-90" w:hanging="720"/>
          <w:outlineLvl w:val="4"/>
        </w:pPr>
      </w:pPrChange>
    </w:pPr>
    <w:rPr>
      <w:rFonts w:ascii="Calibri" w:hAnsi="Calibri"/>
      <w:b/>
      <w:bCs/>
      <w:i/>
      <w:iCs/>
      <w:sz w:val="26"/>
      <w:szCs w:val="26"/>
      <w:rPrChange w:id="5" w:author="TMSServices" w:date="2016-10-06T07:5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E45E28"/>
    <w:pPr>
      <w:keepNext/>
      <w:spacing w:line="480" w:lineRule="auto"/>
      <w:ind w:left="1080" w:right="-90" w:hanging="360"/>
      <w:outlineLvl w:val="5"/>
      <w:pPrChange w:id="6" w:author="TMSServices" w:date="2016-10-06T07:58:00Z">
        <w:pPr>
          <w:keepNext/>
          <w:spacing w:line="480" w:lineRule="auto"/>
          <w:ind w:left="1080" w:right="-90" w:hanging="360"/>
          <w:outlineLvl w:val="5"/>
        </w:pPr>
      </w:pPrChange>
    </w:pPr>
    <w:rPr>
      <w:rFonts w:ascii="Calibri" w:hAnsi="Calibri"/>
      <w:b/>
      <w:bCs/>
      <w:sz w:val="20"/>
      <w:szCs w:val="20"/>
      <w:rPrChange w:id="6" w:author="TMSServices" w:date="2016-10-06T07:58:00Z">
        <w:rPr>
          <w:rFonts w:ascii="Calibri" w:hAnsi="Calibri"/>
          <w:b/>
          <w:bCs/>
          <w:lang w:val="en-US" w:eastAsia="en-US" w:bidi="ar-SA"/>
        </w:rPr>
      </w:rPrChange>
    </w:rPr>
  </w:style>
  <w:style w:type="paragraph" w:styleId="Heading7">
    <w:name w:val="heading 7"/>
    <w:basedOn w:val="Normal"/>
    <w:next w:val="Normal"/>
    <w:link w:val="Heading7Char"/>
    <w:qFormat/>
    <w:rsid w:val="00E45E28"/>
    <w:pPr>
      <w:keepNext/>
      <w:spacing w:line="480" w:lineRule="auto"/>
      <w:ind w:left="720" w:right="630"/>
      <w:outlineLvl w:val="6"/>
      <w:pPrChange w:id="7" w:author="TMSServices" w:date="2016-10-06T07:58:00Z">
        <w:pPr>
          <w:keepNext/>
          <w:spacing w:line="480" w:lineRule="auto"/>
          <w:ind w:left="720" w:right="630"/>
          <w:outlineLvl w:val="6"/>
        </w:pPr>
      </w:pPrChange>
    </w:pPr>
    <w:rPr>
      <w:rFonts w:ascii="Calibri" w:hAnsi="Calibri"/>
      <w:rPrChange w:id="7" w:author="TMSServices" w:date="2016-10-06T07:58:00Z">
        <w:rPr>
          <w:rFonts w:ascii="Calibri" w:hAnsi="Calibri"/>
          <w:sz w:val="24"/>
          <w:szCs w:val="24"/>
          <w:lang w:val="en-US" w:eastAsia="en-US" w:bidi="ar-SA"/>
        </w:rPr>
      </w:rPrChange>
    </w:rPr>
  </w:style>
  <w:style w:type="paragraph" w:styleId="Heading8">
    <w:name w:val="heading 8"/>
    <w:basedOn w:val="Normal"/>
    <w:next w:val="Normal"/>
    <w:link w:val="Heading8Char"/>
    <w:qFormat/>
    <w:rsid w:val="00E45E28"/>
    <w:pPr>
      <w:keepNext/>
      <w:spacing w:line="480" w:lineRule="auto"/>
      <w:ind w:left="720" w:right="-90"/>
      <w:outlineLvl w:val="7"/>
      <w:pPrChange w:id="8" w:author="TMSServices" w:date="2016-10-06T07:58:00Z">
        <w:pPr>
          <w:keepNext/>
          <w:spacing w:line="480" w:lineRule="auto"/>
          <w:ind w:left="720" w:right="-90"/>
          <w:outlineLvl w:val="7"/>
        </w:pPr>
      </w:pPrChange>
    </w:pPr>
    <w:rPr>
      <w:rFonts w:ascii="Calibri" w:hAnsi="Calibri"/>
      <w:i/>
      <w:iCs/>
      <w:rPrChange w:id="8" w:author="TMSServices" w:date="2016-10-06T07:5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E45E28"/>
    <w:pPr>
      <w:keepNext/>
      <w:spacing w:line="480" w:lineRule="auto"/>
      <w:ind w:right="630" w:firstLine="720"/>
      <w:outlineLvl w:val="8"/>
      <w:pPrChange w:id="9" w:author="TMSServices" w:date="2016-10-06T07:58:00Z">
        <w:pPr>
          <w:keepNext/>
          <w:spacing w:line="480" w:lineRule="auto"/>
          <w:ind w:right="630" w:firstLine="720"/>
          <w:outlineLvl w:val="8"/>
        </w:pPr>
      </w:pPrChange>
    </w:pPr>
    <w:rPr>
      <w:rFonts w:ascii="Cambria" w:hAnsi="Cambria"/>
      <w:sz w:val="20"/>
      <w:szCs w:val="20"/>
      <w:rPrChange w:id="9" w:author="TMSServices" w:date="2016-10-06T07:5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76CEF"/>
    <w:rPr>
      <w:rFonts w:ascii="Cambria" w:hAnsi="Cambria"/>
      <w:b/>
      <w:bCs/>
      <w:kern w:val="32"/>
      <w:sz w:val="32"/>
      <w:szCs w:val="32"/>
    </w:rPr>
  </w:style>
  <w:style w:type="character" w:customStyle="1" w:styleId="Heading2Char">
    <w:name w:val="Heading 2 Char"/>
    <w:basedOn w:val="DefaultParagraphFont"/>
    <w:link w:val="Heading2"/>
    <w:locked/>
    <w:rsid w:val="00676CEF"/>
    <w:rPr>
      <w:b/>
      <w:sz w:val="24"/>
    </w:rPr>
  </w:style>
  <w:style w:type="character" w:customStyle="1" w:styleId="Heading3Char">
    <w:name w:val="Heading 3 Char"/>
    <w:basedOn w:val="DefaultParagraphFont"/>
    <w:link w:val="Heading3"/>
    <w:locked/>
    <w:rsid w:val="00676CEF"/>
    <w:rPr>
      <w:b/>
      <w:sz w:val="24"/>
    </w:rPr>
  </w:style>
  <w:style w:type="character" w:customStyle="1" w:styleId="Heading4Char">
    <w:name w:val="Heading 4 Char"/>
    <w:basedOn w:val="DefaultParagraphFont"/>
    <w:link w:val="Heading4"/>
    <w:locked/>
    <w:rsid w:val="00676CEF"/>
    <w:rPr>
      <w:b/>
      <w:sz w:val="24"/>
    </w:rPr>
  </w:style>
  <w:style w:type="character" w:customStyle="1" w:styleId="Heading5Char">
    <w:name w:val="Heading 5 Char"/>
    <w:basedOn w:val="DefaultParagraphFont"/>
    <w:link w:val="Heading5"/>
    <w:locked/>
    <w:rsid w:val="00676CEF"/>
    <w:rPr>
      <w:rFonts w:ascii="Calibri" w:hAnsi="Calibri"/>
      <w:b/>
      <w:bCs/>
      <w:i/>
      <w:iCs/>
      <w:sz w:val="26"/>
      <w:szCs w:val="26"/>
    </w:rPr>
  </w:style>
  <w:style w:type="character" w:customStyle="1" w:styleId="Heading6Char">
    <w:name w:val="Heading 6 Char"/>
    <w:basedOn w:val="DefaultParagraphFont"/>
    <w:link w:val="Heading6"/>
    <w:locked/>
    <w:rsid w:val="00676CEF"/>
    <w:rPr>
      <w:rFonts w:ascii="Calibri" w:hAnsi="Calibri"/>
      <w:b/>
      <w:bCs/>
    </w:rPr>
  </w:style>
  <w:style w:type="character" w:customStyle="1" w:styleId="Heading7Char">
    <w:name w:val="Heading 7 Char"/>
    <w:basedOn w:val="DefaultParagraphFont"/>
    <w:link w:val="Heading7"/>
    <w:locked/>
    <w:rsid w:val="00676CEF"/>
    <w:rPr>
      <w:rFonts w:ascii="Calibri" w:hAnsi="Calibri"/>
      <w:sz w:val="24"/>
      <w:szCs w:val="24"/>
    </w:rPr>
  </w:style>
  <w:style w:type="character" w:customStyle="1" w:styleId="Heading8Char">
    <w:name w:val="Heading 8 Char"/>
    <w:basedOn w:val="DefaultParagraphFont"/>
    <w:link w:val="Heading8"/>
    <w:locked/>
    <w:rsid w:val="00676CEF"/>
    <w:rPr>
      <w:rFonts w:ascii="Calibri" w:hAnsi="Calibri"/>
      <w:i/>
      <w:iCs/>
      <w:sz w:val="24"/>
      <w:szCs w:val="24"/>
    </w:rPr>
  </w:style>
  <w:style w:type="character" w:customStyle="1" w:styleId="Heading9Char">
    <w:name w:val="Heading 9 Char"/>
    <w:basedOn w:val="DefaultParagraphFont"/>
    <w:link w:val="Heading9"/>
    <w:locked/>
    <w:rsid w:val="00676CEF"/>
    <w:rPr>
      <w:rFonts w:ascii="Cambria" w:hAnsi="Cambria"/>
    </w:rPr>
  </w:style>
  <w:style w:type="paragraph" w:customStyle="1" w:styleId="appendixhead">
    <w:name w:val="appendix head"/>
    <w:basedOn w:val="Normal"/>
    <w:rsid w:val="00E45E28"/>
    <w:pPr>
      <w:keepNext/>
      <w:pageBreakBefore/>
      <w:spacing w:before="240" w:after="240"/>
      <w:pPrChange w:id="10" w:author="TMSServices" w:date="2016-10-06T07:58:00Z">
        <w:pPr>
          <w:keepNext/>
          <w:pageBreakBefore/>
          <w:spacing w:before="240" w:after="240"/>
        </w:pPr>
      </w:pPrChange>
    </w:pPr>
    <w:rPr>
      <w:b/>
      <w:sz w:val="20"/>
      <w:szCs w:val="20"/>
      <w:rPrChange w:id="10" w:author="TMSServices" w:date="2016-10-06T07:58:00Z">
        <w:rPr>
          <w:b/>
          <w:sz w:val="24"/>
          <w:szCs w:val="24"/>
          <w:lang w:val="en-US" w:eastAsia="en-US" w:bidi="ar-SA"/>
        </w:rPr>
      </w:rPrChange>
    </w:rPr>
  </w:style>
  <w:style w:type="character" w:styleId="CommentReference">
    <w:name w:val="annotation reference"/>
    <w:basedOn w:val="DefaultParagraphFont"/>
    <w:uiPriority w:val="99"/>
    <w:rsid w:val="00676CEF"/>
    <w:rPr>
      <w:spacing w:val="0"/>
      <w:sz w:val="16"/>
    </w:rPr>
  </w:style>
  <w:style w:type="paragraph" w:customStyle="1" w:styleId="appendixsubhead">
    <w:name w:val="appendix subhead"/>
    <w:basedOn w:val="Heading4"/>
    <w:rsid w:val="00E45E28"/>
    <w:pPr>
      <w:keepNext w:val="0"/>
      <w:tabs>
        <w:tab w:val="clear" w:pos="1800"/>
      </w:tabs>
      <w:spacing w:before="0" w:after="0"/>
      <w:ind w:left="1080" w:firstLine="0"/>
      <w:outlineLvl w:val="9"/>
      <w:pPrChange w:id="11" w:author="TMSServices" w:date="2016-10-06T07:58:00Z">
        <w:pPr>
          <w:keepNext/>
          <w:spacing w:before="240" w:after="240"/>
          <w:ind w:left="1080" w:hanging="1080"/>
          <w:outlineLvl w:val="3"/>
        </w:pPr>
      </w:pPrChange>
    </w:pPr>
    <w:rPr>
      <w:b w:val="0"/>
      <w:sz w:val="20"/>
      <w:rPrChange w:id="11" w:author="TMSServices" w:date="2016-10-06T07:58:00Z">
        <w:rPr>
          <w:b/>
          <w:sz w:val="24"/>
          <w:lang w:val="en-US" w:eastAsia="en-US" w:bidi="ar-SA"/>
        </w:rPr>
      </w:rPrChange>
    </w:rPr>
  </w:style>
  <w:style w:type="paragraph" w:customStyle="1" w:styleId="italpara">
    <w:name w:val="ital para"/>
    <w:basedOn w:val="Normal"/>
    <w:rsid w:val="00E45E28"/>
    <w:pPr>
      <w:spacing w:before="120" w:after="240"/>
      <w:ind w:left="720"/>
      <w:pPrChange w:id="12" w:author="TMSServices" w:date="2016-10-06T07:58:00Z">
        <w:pPr>
          <w:spacing w:before="120" w:after="240"/>
          <w:ind w:left="720"/>
        </w:pPr>
      </w:pPrChange>
    </w:pPr>
    <w:rPr>
      <w:i/>
      <w:sz w:val="20"/>
      <w:szCs w:val="20"/>
      <w:rPrChange w:id="12" w:author="TMSServices" w:date="2016-10-06T07:58:00Z">
        <w:rPr>
          <w:i/>
          <w:sz w:val="24"/>
          <w:szCs w:val="24"/>
          <w:lang w:val="en-US" w:eastAsia="en-US" w:bidi="ar-SA"/>
        </w:rPr>
      </w:rPrChange>
    </w:rPr>
  </w:style>
  <w:style w:type="paragraph" w:customStyle="1" w:styleId="alphaparasub">
    <w:name w:val="alpha para sub"/>
    <w:basedOn w:val="alphapara"/>
    <w:rsid w:val="00E45E28"/>
    <w:pPr>
      <w:ind w:left="0" w:firstLine="0"/>
      <w:pPrChange w:id="13" w:author="TMSServices" w:date="2016-10-06T07:58:00Z">
        <w:pPr>
          <w:spacing w:line="480" w:lineRule="auto"/>
          <w:ind w:left="1440"/>
        </w:pPr>
      </w:pPrChange>
    </w:pPr>
    <w:rPr>
      <w:rPrChange w:id="13" w:author="TMSServices" w:date="2016-10-06T07:58:00Z">
        <w:rPr>
          <w:sz w:val="24"/>
          <w:szCs w:val="24"/>
          <w:lang w:val="en-US" w:eastAsia="en-US" w:bidi="ar-SA"/>
        </w:rPr>
      </w:rPrChange>
    </w:rPr>
  </w:style>
  <w:style w:type="paragraph" w:customStyle="1" w:styleId="alphapara">
    <w:name w:val="alpha para"/>
    <w:basedOn w:val="Bodypara"/>
    <w:rsid w:val="00E45E28"/>
    <w:pPr>
      <w:spacing w:line="240" w:lineRule="auto"/>
      <w:ind w:left="1440" w:hanging="720"/>
      <w:pPrChange w:id="14" w:author="TMSServices" w:date="2016-10-06T07:58:00Z">
        <w:pPr>
          <w:spacing w:line="480" w:lineRule="auto"/>
          <w:ind w:left="1440" w:hanging="720"/>
        </w:pPr>
      </w:pPrChange>
    </w:pPr>
    <w:rPr>
      <w:sz w:val="20"/>
      <w:szCs w:val="20"/>
      <w:rPrChange w:id="14" w:author="TMSServices" w:date="2016-10-06T07:58:00Z">
        <w:rPr>
          <w:sz w:val="24"/>
          <w:szCs w:val="24"/>
          <w:lang w:val="en-US" w:eastAsia="en-US" w:bidi="ar-SA"/>
        </w:rPr>
      </w:rPrChange>
    </w:rPr>
  </w:style>
  <w:style w:type="paragraph" w:customStyle="1" w:styleId="Bodypara">
    <w:name w:val="Body para"/>
    <w:basedOn w:val="Normal"/>
    <w:rsid w:val="00E45E28"/>
    <w:pPr>
      <w:spacing w:line="480" w:lineRule="auto"/>
      <w:ind w:firstLine="720"/>
      <w:pPrChange w:id="15" w:author="TMSServices" w:date="2016-10-06T07:58:00Z">
        <w:pPr>
          <w:spacing w:line="480" w:lineRule="auto"/>
          <w:ind w:firstLine="720"/>
        </w:pPr>
      </w:pPrChange>
    </w:pPr>
    <w:rPr>
      <w:rPrChange w:id="15" w:author="TMSServices" w:date="2016-10-06T07:58:00Z">
        <w:rPr>
          <w:sz w:val="24"/>
          <w:szCs w:val="24"/>
          <w:lang w:val="en-US" w:eastAsia="en-US" w:bidi="ar-SA"/>
        </w:rPr>
      </w:rPrChange>
    </w:rPr>
  </w:style>
  <w:style w:type="character" w:styleId="EndnoteReference">
    <w:name w:val="endnote reference"/>
    <w:basedOn w:val="DefaultParagraphFont"/>
    <w:semiHidden/>
    <w:rsid w:val="00676CEF"/>
    <w:rPr>
      <w:spacing w:val="0"/>
      <w:vertAlign w:val="superscript"/>
    </w:rPr>
  </w:style>
  <w:style w:type="paragraph" w:styleId="Index1">
    <w:name w:val="index 1"/>
    <w:basedOn w:val="Normal"/>
    <w:next w:val="Normal"/>
    <w:semiHidden/>
    <w:rsid w:val="00E45E28"/>
    <w:pPr>
      <w:ind w:left="240" w:hanging="240"/>
      <w:pPrChange w:id="16" w:author="TMSServices" w:date="2016-10-06T07:58:00Z">
        <w:pPr>
          <w:ind w:left="240" w:hanging="240"/>
        </w:pPr>
      </w:pPrChange>
    </w:pPr>
    <w:rPr>
      <w:rPrChange w:id="16" w:author="TMSServices" w:date="2016-10-06T07:58:00Z">
        <w:rPr>
          <w:sz w:val="24"/>
          <w:szCs w:val="24"/>
          <w:lang w:val="en-US" w:eastAsia="en-US" w:bidi="ar-SA"/>
        </w:rPr>
      </w:rPrChange>
    </w:rPr>
  </w:style>
  <w:style w:type="character" w:styleId="FootnoteReference">
    <w:name w:val="footnote reference"/>
    <w:basedOn w:val="DefaultParagraphFont"/>
    <w:semiHidden/>
    <w:rsid w:val="00676CEF"/>
  </w:style>
  <w:style w:type="character" w:styleId="Hyperlink">
    <w:name w:val="Hyperlink"/>
    <w:basedOn w:val="DefaultParagraphFont"/>
    <w:rsid w:val="00676CEF"/>
    <w:rPr>
      <w:color w:val="0000FF"/>
      <w:u w:val="single"/>
    </w:rPr>
  </w:style>
  <w:style w:type="paragraph" w:styleId="TOC1">
    <w:name w:val="toc 1"/>
    <w:basedOn w:val="Normal"/>
    <w:next w:val="Normal"/>
    <w:semiHidden/>
    <w:rsid w:val="00E45E28"/>
    <w:pPr>
      <w:pPrChange w:id="17" w:author="TMSServices" w:date="2016-10-06T07:58:00Z">
        <w:pPr/>
      </w:pPrChange>
    </w:pPr>
    <w:rPr>
      <w:sz w:val="20"/>
      <w:szCs w:val="20"/>
      <w:rPrChange w:id="17" w:author="TMSServices" w:date="2016-10-06T07:58:00Z">
        <w:rPr>
          <w:sz w:val="24"/>
          <w:szCs w:val="24"/>
          <w:lang w:val="en-US" w:eastAsia="en-US" w:bidi="ar-SA"/>
        </w:rPr>
      </w:rPrChange>
    </w:rPr>
  </w:style>
  <w:style w:type="character" w:styleId="PageNumber">
    <w:name w:val="page number"/>
    <w:basedOn w:val="DefaultParagraphFont"/>
    <w:rsid w:val="00676CEF"/>
  </w:style>
  <w:style w:type="table" w:styleId="TableGrid">
    <w:name w:val="Table Grid"/>
    <w:basedOn w:val="TableNormal"/>
    <w:semiHidden/>
    <w:rsid w:val="00676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45E28"/>
    <w:pPr>
      <w:spacing w:before="240" w:after="240"/>
      <w:pPrChange w:id="18" w:author="TMSServices" w:date="2016-10-06T07:58:00Z">
        <w:pPr>
          <w:spacing w:before="240" w:after="240"/>
        </w:pPr>
      </w:pPrChange>
    </w:pPr>
    <w:rPr>
      <w:rPrChange w:id="18" w:author="TMSServices" w:date="2016-10-06T07:58:00Z">
        <w:rPr>
          <w:sz w:val="24"/>
          <w:szCs w:val="24"/>
          <w:lang w:val="en-US" w:eastAsia="en-US" w:bidi="ar-SA"/>
        </w:rPr>
      </w:rPrChange>
    </w:rPr>
  </w:style>
  <w:style w:type="paragraph" w:customStyle="1" w:styleId="Definitionindent">
    <w:name w:val="Definition indent"/>
    <w:basedOn w:val="Definition"/>
    <w:rsid w:val="00E45E28"/>
    <w:pPr>
      <w:spacing w:before="120" w:after="120"/>
      <w:ind w:left="720"/>
      <w:pPrChange w:id="19" w:author="TMSServices" w:date="2016-10-06T07:58:00Z">
        <w:pPr>
          <w:spacing w:before="120" w:after="120"/>
          <w:ind w:left="720"/>
        </w:pPr>
      </w:pPrChange>
    </w:pPr>
    <w:rPr>
      <w:rPrChange w:id="19" w:author="TMSServices" w:date="2016-10-06T07:58:00Z">
        <w:rPr>
          <w:sz w:val="24"/>
          <w:szCs w:val="24"/>
          <w:lang w:val="en-US" w:eastAsia="en-US" w:bidi="ar-SA"/>
        </w:rPr>
      </w:rPrChange>
    </w:rPr>
  </w:style>
  <w:style w:type="paragraph" w:customStyle="1" w:styleId="TOCHeading1">
    <w:name w:val="TOC Heading1"/>
    <w:basedOn w:val="Normal"/>
    <w:rsid w:val="00E45E28"/>
    <w:pPr>
      <w:spacing w:before="240" w:after="240"/>
      <w:pPrChange w:id="20" w:author="TMSServices" w:date="2016-10-06T07:58:00Z">
        <w:pPr>
          <w:spacing w:before="240" w:after="240"/>
        </w:pPr>
      </w:pPrChange>
    </w:pPr>
    <w:rPr>
      <w:b/>
      <w:sz w:val="20"/>
      <w:szCs w:val="20"/>
      <w:rPrChange w:id="20" w:author="TMSServices" w:date="2016-10-06T07:58:00Z">
        <w:rPr>
          <w:b/>
          <w:sz w:val="24"/>
          <w:szCs w:val="24"/>
          <w:lang w:val="en-US" w:eastAsia="en-US" w:bidi="ar-SA"/>
        </w:rPr>
      </w:rPrChange>
    </w:rPr>
  </w:style>
  <w:style w:type="paragraph" w:styleId="DocumentMap">
    <w:name w:val="Document Map"/>
    <w:basedOn w:val="Normal"/>
    <w:link w:val="DocumentMapChar"/>
    <w:semiHidden/>
    <w:rsid w:val="00E45E28"/>
    <w:pPr>
      <w:shd w:val="clear" w:color="auto" w:fill="000080"/>
      <w:pPrChange w:id="21" w:author="TMSServices" w:date="2016-10-06T07:58:00Z">
        <w:pPr>
          <w:shd w:val="clear" w:color="auto" w:fill="000080"/>
        </w:pPr>
      </w:pPrChange>
    </w:pPr>
    <w:rPr>
      <w:sz w:val="2"/>
      <w:szCs w:val="20"/>
      <w:rPrChange w:id="21" w:author="TMSServices" w:date="2016-10-06T07:58:00Z">
        <w:rPr>
          <w:sz w:val="2"/>
          <w:lang w:val="en-US" w:eastAsia="en-US" w:bidi="ar-SA"/>
        </w:rPr>
      </w:rPrChange>
    </w:rPr>
  </w:style>
  <w:style w:type="character" w:customStyle="1" w:styleId="DocumentMapChar">
    <w:name w:val="Document Map Char"/>
    <w:basedOn w:val="DefaultParagraphFont"/>
    <w:link w:val="DocumentMap"/>
    <w:semiHidden/>
    <w:locked/>
    <w:rsid w:val="00676CEF"/>
    <w:rPr>
      <w:sz w:val="2"/>
      <w:shd w:val="clear" w:color="auto" w:fill="000080"/>
    </w:rPr>
  </w:style>
  <w:style w:type="paragraph" w:styleId="BalloonText">
    <w:name w:val="Balloon Text"/>
    <w:basedOn w:val="Normal"/>
    <w:link w:val="BalloonTextChar"/>
    <w:semiHidden/>
    <w:rsid w:val="00E45E28"/>
    <w:pPr>
      <w:pPrChange w:id="22" w:author="TMSServices" w:date="2016-10-06T07:58:00Z">
        <w:pPr/>
      </w:pPrChange>
    </w:pPr>
    <w:rPr>
      <w:sz w:val="2"/>
      <w:szCs w:val="20"/>
      <w:rPrChange w:id="22" w:author="TMSServices" w:date="2016-10-06T07:58:00Z">
        <w:rPr>
          <w:sz w:val="2"/>
          <w:lang w:val="en-US" w:eastAsia="en-US" w:bidi="ar-SA"/>
        </w:rPr>
      </w:rPrChange>
    </w:rPr>
  </w:style>
  <w:style w:type="character" w:customStyle="1" w:styleId="BalloonTextChar">
    <w:name w:val="Balloon Text Char"/>
    <w:basedOn w:val="DefaultParagraphFont"/>
    <w:link w:val="BalloonText"/>
    <w:semiHidden/>
    <w:locked/>
    <w:rsid w:val="00676CEF"/>
    <w:rPr>
      <w:sz w:val="2"/>
    </w:rPr>
  </w:style>
  <w:style w:type="paragraph" w:customStyle="1" w:styleId="subhead">
    <w:name w:val="subhead"/>
    <w:basedOn w:val="Heading4"/>
    <w:rsid w:val="00E45E28"/>
    <w:pPr>
      <w:keepNext w:val="0"/>
      <w:tabs>
        <w:tab w:val="clear" w:pos="1800"/>
      </w:tabs>
      <w:spacing w:before="0" w:after="0"/>
      <w:ind w:left="720" w:firstLine="0"/>
      <w:outlineLvl w:val="9"/>
      <w:pPrChange w:id="23" w:author="TMSServices" w:date="2016-10-06T07:58:00Z">
        <w:pPr>
          <w:keepNext/>
          <w:spacing w:before="240" w:after="240"/>
          <w:ind w:left="720"/>
          <w:outlineLvl w:val="3"/>
        </w:pPr>
      </w:pPrChange>
    </w:pPr>
    <w:rPr>
      <w:b w:val="0"/>
      <w:sz w:val="20"/>
      <w:rPrChange w:id="23" w:author="TMSServices" w:date="2016-10-06T07:58:00Z">
        <w:rPr>
          <w:b/>
          <w:sz w:val="24"/>
          <w:lang w:val="en-US" w:eastAsia="en-US" w:bidi="ar-SA"/>
        </w:rPr>
      </w:rPrChange>
    </w:rPr>
  </w:style>
  <w:style w:type="paragraph" w:customStyle="1" w:styleId="alphaheading">
    <w:name w:val="alpha heading"/>
    <w:basedOn w:val="Normal"/>
    <w:rsid w:val="00E45E28"/>
    <w:pPr>
      <w:keepNext/>
      <w:tabs>
        <w:tab w:val="left" w:pos="1440"/>
      </w:tabs>
      <w:spacing w:before="240" w:after="240"/>
      <w:ind w:left="1440" w:hanging="720"/>
      <w:pPrChange w:id="24" w:author="TMSServices" w:date="2016-10-06T07:58:00Z">
        <w:pPr>
          <w:keepNext/>
          <w:tabs>
            <w:tab w:val="left" w:pos="1440"/>
          </w:tabs>
          <w:spacing w:before="240" w:after="240"/>
          <w:ind w:left="1440" w:hanging="720"/>
        </w:pPr>
      </w:pPrChange>
    </w:pPr>
    <w:rPr>
      <w:b/>
      <w:sz w:val="20"/>
      <w:szCs w:val="20"/>
      <w:rPrChange w:id="24" w:author="TMSServices" w:date="2016-10-06T07:58:00Z">
        <w:rPr>
          <w:b/>
          <w:sz w:val="24"/>
          <w:szCs w:val="24"/>
          <w:lang w:val="en-US" w:eastAsia="en-US" w:bidi="ar-SA"/>
        </w:rPr>
      </w:rPrChange>
    </w:rPr>
  </w:style>
  <w:style w:type="paragraph" w:customStyle="1" w:styleId="romannumeralpara">
    <w:name w:val="roman numeral para"/>
    <w:basedOn w:val="Normal"/>
    <w:rsid w:val="00E45E28"/>
    <w:pPr>
      <w:spacing w:line="480" w:lineRule="auto"/>
      <w:ind w:left="1440" w:hanging="720"/>
      <w:pPrChange w:id="25" w:author="TMSServices" w:date="2016-10-06T07:58:00Z">
        <w:pPr>
          <w:spacing w:line="480" w:lineRule="auto"/>
          <w:ind w:left="1440" w:hanging="720"/>
        </w:pPr>
      </w:pPrChange>
    </w:pPr>
    <w:rPr>
      <w:sz w:val="20"/>
      <w:szCs w:val="20"/>
      <w:rPrChange w:id="25" w:author="TMSServices" w:date="2016-10-06T07:58:00Z">
        <w:rPr>
          <w:sz w:val="24"/>
          <w:szCs w:val="24"/>
          <w:lang w:val="en-US" w:eastAsia="en-US" w:bidi="ar-SA"/>
        </w:rPr>
      </w:rPrChange>
    </w:rPr>
  </w:style>
  <w:style w:type="paragraph" w:customStyle="1" w:styleId="Bulletpara">
    <w:name w:val="Bullet para"/>
    <w:basedOn w:val="Normal"/>
    <w:rsid w:val="00E45E28"/>
    <w:pPr>
      <w:numPr>
        <w:numId w:val="12"/>
      </w:numPr>
      <w:tabs>
        <w:tab w:val="left" w:pos="900"/>
      </w:tabs>
      <w:spacing w:before="120" w:after="120"/>
      <w:pPrChange w:id="26" w:author="TMSServices" w:date="2016-10-06T07:58:00Z">
        <w:pPr>
          <w:numPr>
            <w:numId w:val="12"/>
          </w:numPr>
          <w:tabs>
            <w:tab w:val="num" w:pos="720"/>
            <w:tab w:val="left" w:pos="900"/>
          </w:tabs>
          <w:spacing w:before="120" w:after="120"/>
          <w:ind w:left="720" w:hanging="360"/>
        </w:pPr>
      </w:pPrChange>
    </w:pPr>
    <w:rPr>
      <w:rPrChange w:id="26" w:author="TMSServices" w:date="2016-10-06T07:58:00Z">
        <w:rPr>
          <w:sz w:val="24"/>
          <w:szCs w:val="24"/>
          <w:lang w:val="en-US" w:eastAsia="en-US" w:bidi="ar-SA"/>
        </w:rPr>
      </w:rPrChange>
    </w:rPr>
  </w:style>
  <w:style w:type="paragraph" w:customStyle="1" w:styleId="Tarifftitle">
    <w:name w:val="Tariff title"/>
    <w:basedOn w:val="Normal"/>
    <w:rsid w:val="00E45E28"/>
    <w:pPr>
      <w:pPrChange w:id="27" w:author="TMSServices" w:date="2016-10-06T07:58:00Z">
        <w:pPr/>
      </w:pPrChange>
    </w:pPr>
    <w:rPr>
      <w:b/>
      <w:sz w:val="28"/>
      <w:szCs w:val="28"/>
      <w:rPrChange w:id="27" w:author="TMSServices" w:date="2016-10-06T07:58:00Z">
        <w:rPr>
          <w:b/>
          <w:sz w:val="28"/>
          <w:szCs w:val="28"/>
          <w:lang w:val="en-US" w:eastAsia="en-US" w:bidi="ar-SA"/>
        </w:rPr>
      </w:rPrChange>
    </w:rPr>
  </w:style>
  <w:style w:type="paragraph" w:styleId="TOC2">
    <w:name w:val="toc 2"/>
    <w:basedOn w:val="Normal"/>
    <w:next w:val="Normal"/>
    <w:semiHidden/>
    <w:rsid w:val="00E45E28"/>
    <w:pPr>
      <w:ind w:left="240"/>
      <w:pPrChange w:id="28" w:author="TMSServices" w:date="2016-10-06T07:58:00Z">
        <w:pPr>
          <w:ind w:left="240"/>
        </w:pPr>
      </w:pPrChange>
    </w:pPr>
    <w:rPr>
      <w:sz w:val="20"/>
      <w:szCs w:val="20"/>
      <w:rPrChange w:id="28" w:author="TMSServices" w:date="2016-10-06T07:58:00Z">
        <w:rPr>
          <w:sz w:val="24"/>
          <w:szCs w:val="24"/>
          <w:lang w:val="en-US" w:eastAsia="en-US" w:bidi="ar-SA"/>
        </w:rPr>
      </w:rPrChange>
    </w:rPr>
  </w:style>
  <w:style w:type="paragraph" w:styleId="TOC3">
    <w:name w:val="toc 3"/>
    <w:basedOn w:val="Normal"/>
    <w:next w:val="Normal"/>
    <w:semiHidden/>
    <w:rsid w:val="00E45E28"/>
    <w:pPr>
      <w:ind w:left="480"/>
      <w:pPrChange w:id="29" w:author="TMSServices" w:date="2016-10-06T07:58:00Z">
        <w:pPr>
          <w:ind w:left="480"/>
        </w:pPr>
      </w:pPrChange>
    </w:pPr>
    <w:rPr>
      <w:sz w:val="20"/>
      <w:szCs w:val="20"/>
      <w:rPrChange w:id="29" w:author="TMSServices" w:date="2016-10-06T07:58:00Z">
        <w:rPr>
          <w:sz w:val="24"/>
          <w:szCs w:val="24"/>
          <w:lang w:val="en-US" w:eastAsia="en-US" w:bidi="ar-SA"/>
        </w:rPr>
      </w:rPrChange>
    </w:rPr>
  </w:style>
  <w:style w:type="paragraph" w:styleId="TOC4">
    <w:name w:val="toc 4"/>
    <w:basedOn w:val="Normal"/>
    <w:next w:val="Normal"/>
    <w:semiHidden/>
    <w:rsid w:val="00E45E28"/>
    <w:pPr>
      <w:ind w:left="720"/>
      <w:pPrChange w:id="30" w:author="TMSServices" w:date="2016-10-06T07:58:00Z">
        <w:pPr>
          <w:ind w:left="720"/>
        </w:pPr>
      </w:pPrChange>
    </w:pPr>
    <w:rPr>
      <w:sz w:val="20"/>
      <w:szCs w:val="20"/>
      <w:rPrChange w:id="30" w:author="TMSServices" w:date="2016-10-06T07:58:00Z">
        <w:rPr>
          <w:sz w:val="24"/>
          <w:szCs w:val="24"/>
          <w:lang w:val="en-US" w:eastAsia="en-US" w:bidi="ar-SA"/>
        </w:rPr>
      </w:rPrChange>
    </w:rPr>
  </w:style>
  <w:style w:type="paragraph" w:customStyle="1" w:styleId="Level1">
    <w:name w:val="Level 1"/>
    <w:basedOn w:val="Normal"/>
    <w:rsid w:val="00E45E28"/>
    <w:pPr>
      <w:ind w:left="1890" w:hanging="720"/>
      <w:pPrChange w:id="31" w:author="TMSServices" w:date="2016-10-06T07:58:00Z">
        <w:pPr>
          <w:ind w:left="1890" w:hanging="720"/>
        </w:pPr>
      </w:pPrChange>
    </w:pPr>
    <w:rPr>
      <w:rPrChange w:id="31" w:author="TMSServices" w:date="2016-10-06T07:58:00Z">
        <w:rPr>
          <w:sz w:val="24"/>
          <w:szCs w:val="24"/>
          <w:lang w:val="en-US" w:eastAsia="en-US" w:bidi="ar-SA"/>
        </w:rPr>
      </w:rPrChange>
    </w:rPr>
  </w:style>
  <w:style w:type="paragraph" w:styleId="Header">
    <w:name w:val="header"/>
    <w:basedOn w:val="Normal"/>
    <w:link w:val="HeaderChar"/>
    <w:uiPriority w:val="99"/>
    <w:rsid w:val="00E45E28"/>
    <w:pPr>
      <w:tabs>
        <w:tab w:val="center" w:pos="4680"/>
        <w:tab w:val="right" w:pos="9360"/>
      </w:tabs>
      <w:pPrChange w:id="32" w:author="TMSServices" w:date="2016-10-06T07:58:00Z">
        <w:pPr>
          <w:tabs>
            <w:tab w:val="center" w:pos="4680"/>
            <w:tab w:val="right" w:pos="9360"/>
          </w:tabs>
        </w:pPr>
      </w:pPrChange>
    </w:pPr>
    <w:rPr>
      <w:rPrChange w:id="32" w:author="TMSServices" w:date="2016-10-06T07:58:00Z">
        <w:rPr>
          <w:sz w:val="24"/>
          <w:szCs w:val="24"/>
          <w:lang w:val="en-US" w:eastAsia="en-US" w:bidi="ar-SA"/>
        </w:rPr>
      </w:rPrChange>
    </w:rPr>
  </w:style>
  <w:style w:type="character" w:customStyle="1" w:styleId="HeaderChar">
    <w:name w:val="Header Char"/>
    <w:basedOn w:val="DefaultParagraphFont"/>
    <w:link w:val="Header"/>
    <w:uiPriority w:val="99"/>
    <w:locked/>
    <w:rsid w:val="00676CEF"/>
    <w:rPr>
      <w:sz w:val="24"/>
      <w:szCs w:val="24"/>
    </w:rPr>
  </w:style>
  <w:style w:type="paragraph" w:styleId="Date">
    <w:name w:val="Date"/>
    <w:basedOn w:val="Normal"/>
    <w:next w:val="Normal"/>
    <w:link w:val="DateChar"/>
    <w:rsid w:val="00E45E28"/>
    <w:pPr>
      <w:pPrChange w:id="33" w:author="TMSServices" w:date="2016-10-06T07:58:00Z">
        <w:pPr/>
      </w:pPrChange>
    </w:pPr>
    <w:rPr>
      <w:rPrChange w:id="33" w:author="TMSServices" w:date="2016-10-06T07:58:00Z">
        <w:rPr>
          <w:sz w:val="24"/>
          <w:szCs w:val="24"/>
          <w:lang w:val="en-US" w:eastAsia="en-US" w:bidi="ar-SA"/>
        </w:rPr>
      </w:rPrChange>
    </w:rPr>
  </w:style>
  <w:style w:type="character" w:customStyle="1" w:styleId="DateChar">
    <w:name w:val="Date Char"/>
    <w:basedOn w:val="DefaultParagraphFont"/>
    <w:link w:val="Date"/>
    <w:locked/>
    <w:rsid w:val="00676CEF"/>
    <w:rPr>
      <w:sz w:val="24"/>
      <w:szCs w:val="24"/>
    </w:rPr>
  </w:style>
  <w:style w:type="paragraph" w:customStyle="1" w:styleId="Footers">
    <w:name w:val="Footers"/>
    <w:basedOn w:val="Heading1"/>
    <w:rsid w:val="00E45E28"/>
    <w:pPr>
      <w:tabs>
        <w:tab w:val="left" w:pos="1440"/>
        <w:tab w:val="left" w:pos="7020"/>
        <w:tab w:val="right" w:pos="9360"/>
      </w:tabs>
      <w:pPrChange w:id="34" w:author="TMSServices" w:date="2016-10-06T07:58:00Z">
        <w:pPr>
          <w:keepNext/>
          <w:tabs>
            <w:tab w:val="left" w:pos="1440"/>
            <w:tab w:val="left" w:pos="7020"/>
            <w:tab w:val="right" w:pos="9360"/>
          </w:tabs>
          <w:spacing w:before="240" w:after="240"/>
          <w:ind w:left="720" w:hanging="720"/>
          <w:outlineLvl w:val="0"/>
        </w:pPr>
      </w:pPrChange>
    </w:pPr>
    <w:rPr>
      <w:b w:val="0"/>
      <w:sz w:val="20"/>
      <w:rPrChange w:id="34" w:author="TMSServices" w:date="2016-10-06T07:58:00Z">
        <w:rPr>
          <w:rFonts w:ascii="Cambria" w:hAnsi="Cambria"/>
          <w:bCs/>
          <w:kern w:val="32"/>
          <w:szCs w:val="32"/>
          <w:lang w:val="en-US" w:eastAsia="en-US" w:bidi="ar-SA"/>
        </w:rPr>
      </w:rPrChange>
    </w:rPr>
  </w:style>
  <w:style w:type="paragraph" w:styleId="Footer">
    <w:name w:val="footer"/>
    <w:basedOn w:val="Normal"/>
    <w:link w:val="FooterChar"/>
    <w:rsid w:val="00E45E28"/>
    <w:pPr>
      <w:tabs>
        <w:tab w:val="center" w:pos="4320"/>
        <w:tab w:val="right" w:pos="8640"/>
      </w:tabs>
      <w:pPrChange w:id="35" w:author="TMSServices" w:date="2016-10-06T07:58:00Z">
        <w:pPr>
          <w:tabs>
            <w:tab w:val="center" w:pos="4320"/>
            <w:tab w:val="right" w:pos="8640"/>
          </w:tabs>
        </w:pPr>
      </w:pPrChange>
    </w:pPr>
    <w:rPr>
      <w:szCs w:val="20"/>
      <w:rPrChange w:id="35" w:author="TMSServices" w:date="2016-10-06T07:58:00Z">
        <w:rPr>
          <w:sz w:val="24"/>
          <w:lang w:val="en-US" w:eastAsia="en-US" w:bidi="ar-SA"/>
        </w:rPr>
      </w:rPrChange>
    </w:rPr>
  </w:style>
  <w:style w:type="character" w:customStyle="1" w:styleId="FooterChar">
    <w:name w:val="Footer Char"/>
    <w:basedOn w:val="DefaultParagraphFont"/>
    <w:link w:val="Footer"/>
    <w:locked/>
    <w:rsid w:val="00676CEF"/>
    <w:rPr>
      <w:sz w:val="24"/>
    </w:rPr>
  </w:style>
  <w:style w:type="paragraph" w:styleId="CommentText">
    <w:name w:val="annotation text"/>
    <w:basedOn w:val="Normal"/>
    <w:link w:val="CommentTextChar"/>
    <w:rsid w:val="00E45E28"/>
    <w:pPr>
      <w:pPrChange w:id="36" w:author="TMSServices" w:date="2016-10-06T07:58:00Z">
        <w:pPr/>
      </w:pPrChange>
    </w:pPr>
    <w:rPr>
      <w:sz w:val="20"/>
      <w:szCs w:val="20"/>
      <w:rPrChange w:id="36" w:author="TMSServices" w:date="2016-10-06T07:58:00Z">
        <w:rPr>
          <w:lang w:val="en-US" w:eastAsia="en-US" w:bidi="ar-SA"/>
        </w:rPr>
      </w:rPrChange>
    </w:rPr>
  </w:style>
  <w:style w:type="character" w:customStyle="1" w:styleId="CommentTextChar">
    <w:name w:val="Comment Text Char"/>
    <w:basedOn w:val="DefaultParagraphFont"/>
    <w:link w:val="CommentText"/>
    <w:locked/>
    <w:rsid w:val="00676CEF"/>
  </w:style>
  <w:style w:type="paragraph" w:styleId="CommentSubject">
    <w:name w:val="annotation subject"/>
    <w:basedOn w:val="CommentText"/>
    <w:next w:val="CommentText"/>
    <w:link w:val="CommentSubjectChar"/>
    <w:rsid w:val="00E45E28"/>
    <w:pPr>
      <w:pPrChange w:id="37" w:author="TMSServices" w:date="2016-10-06T07:58:00Z">
        <w:pPr/>
      </w:pPrChange>
    </w:pPr>
    <w:rPr>
      <w:b/>
      <w:rPrChange w:id="37" w:author="TMSServices" w:date="2016-10-06T07:58:00Z">
        <w:rPr>
          <w:b/>
          <w:lang w:val="en-US" w:eastAsia="en-US" w:bidi="ar-SA"/>
        </w:rPr>
      </w:rPrChange>
    </w:rPr>
  </w:style>
  <w:style w:type="character" w:customStyle="1" w:styleId="CommentSubjectChar">
    <w:name w:val="Comment Subject Char"/>
    <w:basedOn w:val="CommentTextChar"/>
    <w:link w:val="CommentSubject"/>
    <w:locked/>
    <w:rsid w:val="00676CEF"/>
    <w:rPr>
      <w:b/>
    </w:rPr>
  </w:style>
  <w:style w:type="paragraph" w:styleId="Revision">
    <w:name w:val="Revision"/>
    <w:hidden/>
    <w:semiHidden/>
    <w:rsid w:val="00E45E28"/>
    <w:pPr>
      <w:pPrChange w:id="38" w:author="TMSServices" w:date="2016-10-06T07:58:00Z">
        <w:pPr/>
      </w:pPrChange>
    </w:pPr>
    <w:rPr>
      <w:sz w:val="24"/>
      <w:szCs w:val="24"/>
      <w:rPrChange w:id="38" w:author="TMSServices" w:date="2016-10-06T07:58:00Z">
        <w:rPr>
          <w:sz w:val="24"/>
          <w:szCs w:val="24"/>
          <w:lang w:val="en-US" w:eastAsia="en-US" w:bidi="ar-SA"/>
        </w:rPr>
      </w:rPrChange>
    </w:rPr>
  </w:style>
  <w:style w:type="paragraph" w:customStyle="1" w:styleId="TOCHeading2">
    <w:name w:val="TOC Heading2"/>
    <w:basedOn w:val="Normal"/>
    <w:rsid w:val="00E45E28"/>
    <w:pPr>
      <w:spacing w:before="240" w:after="240"/>
      <w:pPrChange w:id="39" w:author="TMSServices" w:date="2016-10-06T07:58:00Z">
        <w:pPr>
          <w:spacing w:before="240" w:after="240"/>
        </w:pPr>
      </w:pPrChange>
    </w:pPr>
    <w:rPr>
      <w:b/>
      <w:sz w:val="20"/>
      <w:szCs w:val="20"/>
      <w:rPrChange w:id="39" w:author="TMSServices" w:date="2016-10-06T07:58:00Z">
        <w:rPr>
          <w:b/>
          <w:sz w:val="24"/>
          <w:szCs w:val="24"/>
          <w:lang w:val="en-US" w:eastAsia="en-US" w:bidi="ar-SA"/>
        </w:rPr>
      </w:rPrChange>
    </w:rPr>
  </w:style>
  <w:style w:type="paragraph" w:styleId="EndnoteText">
    <w:name w:val="endnote text"/>
    <w:basedOn w:val="Normal"/>
    <w:link w:val="EndnoteTextChar"/>
    <w:rsid w:val="00E45E28"/>
    <w:pPr>
      <w:pPrChange w:id="40" w:author="TMSServices" w:date="2016-10-06T07:58:00Z">
        <w:pPr/>
      </w:pPrChange>
    </w:pPr>
    <w:rPr>
      <w:sz w:val="20"/>
      <w:szCs w:val="20"/>
      <w:rPrChange w:id="40" w:author="TMSServices" w:date="2016-10-06T07:58:00Z">
        <w:rPr>
          <w:lang w:val="en-US" w:eastAsia="en-US" w:bidi="ar-SA"/>
        </w:rPr>
      </w:rPrChange>
    </w:rPr>
  </w:style>
  <w:style w:type="character" w:customStyle="1" w:styleId="EndnoteTextChar">
    <w:name w:val="Endnote Text Char"/>
    <w:basedOn w:val="DefaultParagraphFont"/>
    <w:link w:val="EndnoteText"/>
    <w:locked/>
    <w:rsid w:val="00676CEF"/>
  </w:style>
  <w:style w:type="paragraph" w:styleId="BodyText">
    <w:name w:val="Body Text"/>
    <w:aliases w:val="b"/>
    <w:basedOn w:val="Normal"/>
    <w:link w:val="BodyTextChar"/>
    <w:rsid w:val="00E45E28"/>
    <w:pPr>
      <w:pPrChange w:id="41" w:author="TMSServices" w:date="2016-10-06T07:58:00Z">
        <w:pPr>
          <w:spacing w:after="240"/>
        </w:pPr>
      </w:pPrChange>
    </w:pPr>
    <w:rPr>
      <w:sz w:val="20"/>
      <w:szCs w:val="20"/>
      <w:rPrChange w:id="41" w:author="TMSServices" w:date="2016-10-06T07:58:00Z">
        <w:rPr>
          <w:sz w:val="24"/>
          <w:szCs w:val="24"/>
          <w:lang w:val="en-US" w:eastAsia="en-US" w:bidi="ar-SA"/>
        </w:rPr>
      </w:rPrChange>
    </w:rPr>
  </w:style>
  <w:style w:type="character" w:customStyle="1" w:styleId="BodyTextChar">
    <w:name w:val="Body Text Char"/>
    <w:aliases w:val="b Char"/>
    <w:basedOn w:val="DefaultParagraphFont"/>
    <w:link w:val="BodyText"/>
    <w:locked/>
    <w:rsid w:val="00676CEF"/>
    <w:rPr>
      <w:sz w:val="24"/>
      <w:szCs w:val="24"/>
    </w:rPr>
  </w:style>
  <w:style w:type="character" w:customStyle="1" w:styleId="apple-style-span">
    <w:name w:val="apple-style-span"/>
    <w:rsid w:val="00676CEF"/>
  </w:style>
  <w:style w:type="paragraph" w:customStyle="1" w:styleId="Default">
    <w:name w:val="Default"/>
    <w:rsid w:val="00E45E28"/>
    <w:pPr>
      <w:autoSpaceDE w:val="0"/>
      <w:autoSpaceDN w:val="0"/>
      <w:adjustRightInd w:val="0"/>
      <w:pPrChange w:id="42" w:author="TMSServices" w:date="2016-10-06T07:58:00Z">
        <w:pPr>
          <w:autoSpaceDE w:val="0"/>
          <w:autoSpaceDN w:val="0"/>
          <w:adjustRightInd w:val="0"/>
        </w:pPr>
      </w:pPrChange>
    </w:pPr>
    <w:rPr>
      <w:color w:val="000000"/>
      <w:sz w:val="24"/>
      <w:szCs w:val="24"/>
      <w:rPrChange w:id="42" w:author="TMSServices" w:date="2016-10-06T07:58:00Z">
        <w:rPr>
          <w:color w:val="000000"/>
          <w:sz w:val="24"/>
          <w:szCs w:val="24"/>
          <w:lang w:val="en-US" w:eastAsia="en-US" w:bidi="ar-SA"/>
        </w:rPr>
      </w:rPrChange>
    </w:rPr>
  </w:style>
  <w:style w:type="character" w:styleId="Emphasis">
    <w:name w:val="Emphasis"/>
    <w:basedOn w:val="DefaultParagraphFont"/>
    <w:qFormat/>
    <w:rsid w:val="00676CEF"/>
    <w:rPr>
      <w:i/>
    </w:rPr>
  </w:style>
  <w:style w:type="paragraph" w:customStyle="1" w:styleId="Heading41">
    <w:name w:val="Heading 4_1"/>
    <w:basedOn w:val="Normal"/>
    <w:next w:val="Normal"/>
    <w:rsid w:val="00E45E28"/>
    <w:pPr>
      <w:keepNext/>
      <w:tabs>
        <w:tab w:val="left" w:pos="1800"/>
      </w:tabs>
      <w:spacing w:before="240" w:after="240"/>
      <w:ind w:left="1800" w:hanging="1080"/>
      <w:outlineLvl w:val="3"/>
      <w:pPrChange w:id="43" w:author="TMSServices" w:date="2016-10-06T07:58:00Z">
        <w:pPr>
          <w:keepNext/>
          <w:tabs>
            <w:tab w:val="left" w:pos="1800"/>
          </w:tabs>
          <w:spacing w:before="240" w:after="240"/>
          <w:ind w:left="1800" w:hanging="1080"/>
          <w:outlineLvl w:val="3"/>
        </w:pPr>
      </w:pPrChange>
    </w:pPr>
    <w:rPr>
      <w:rFonts w:ascii="Calibri" w:hAnsi="Calibri"/>
      <w:b/>
      <w:rPrChange w:id="43" w:author="TMSServices" w:date="2016-10-06T07:58:00Z">
        <w:rPr>
          <w:rFonts w:ascii="Calibri" w:hAnsi="Calibri"/>
          <w:b/>
          <w:sz w:val="24"/>
          <w:szCs w:val="24"/>
          <w:lang w:val="en-US" w:eastAsia="en-US" w:bidi="ar-SA"/>
        </w:rPr>
      </w:rPrChange>
    </w:rPr>
  </w:style>
  <w:style w:type="paragraph" w:customStyle="1" w:styleId="Bodypara1">
    <w:name w:val="Body para_1"/>
    <w:basedOn w:val="Normal"/>
    <w:rsid w:val="00E45E28"/>
    <w:pPr>
      <w:spacing w:line="480" w:lineRule="auto"/>
      <w:ind w:firstLine="720"/>
      <w:pPrChange w:id="44" w:author="TMSServices" w:date="2016-10-06T07:58:00Z">
        <w:pPr>
          <w:spacing w:line="480" w:lineRule="auto"/>
          <w:ind w:firstLine="720"/>
        </w:pPr>
      </w:pPrChange>
    </w:pPr>
    <w:rPr>
      <w:rFonts w:ascii="Calibri" w:hAnsi="Calibri"/>
      <w:rPrChange w:id="44" w:author="TMSServices" w:date="2016-10-06T07:58:00Z">
        <w:rPr>
          <w:rFonts w:ascii="Calibri" w:hAnsi="Calibri"/>
          <w:sz w:val="24"/>
          <w:szCs w:val="24"/>
          <w:lang w:val="en-US" w:eastAsia="en-US" w:bidi="ar-SA"/>
        </w:rPr>
      </w:rPrChange>
    </w:rPr>
  </w:style>
  <w:style w:type="paragraph" w:customStyle="1" w:styleId="alphapara1">
    <w:name w:val="alpha para_1"/>
    <w:basedOn w:val="Bodypara1"/>
    <w:rsid w:val="00E45E28"/>
    <w:pPr>
      <w:spacing w:line="240" w:lineRule="auto"/>
      <w:ind w:left="1440" w:hanging="720"/>
      <w:pPrChange w:id="45" w:author="TMSServices" w:date="2016-10-06T07:58:00Z">
        <w:pPr>
          <w:spacing w:line="480" w:lineRule="auto"/>
          <w:ind w:left="1440" w:hanging="720"/>
        </w:pPr>
      </w:pPrChange>
    </w:pPr>
    <w:rPr>
      <w:rFonts w:ascii="Times New Roman" w:hAnsi="Times New Roman"/>
      <w:sz w:val="20"/>
      <w:szCs w:val="20"/>
      <w:rPrChange w:id="45" w:author="TMSServices" w:date="2016-10-06T07:58:00Z">
        <w:rPr>
          <w:rFonts w:ascii="Calibri" w:hAnsi="Calibri"/>
          <w:sz w:val="24"/>
          <w:szCs w:val="24"/>
          <w:lang w:val="en-US" w:eastAsia="en-US" w:bidi="ar-SA"/>
        </w:rPr>
      </w:rPrChange>
    </w:rPr>
  </w:style>
  <w:style w:type="paragraph" w:customStyle="1" w:styleId="00BulletList">
    <w:name w:val="00 Bullet List"/>
    <w:basedOn w:val="Normal"/>
    <w:rsid w:val="00E45E28"/>
    <w:pPr>
      <w:numPr>
        <w:numId w:val="19"/>
      </w:numPr>
      <w:autoSpaceDE w:val="0"/>
      <w:autoSpaceDN w:val="0"/>
      <w:adjustRightInd w:val="0"/>
      <w:spacing w:after="120"/>
      <w:pPrChange w:id="46" w:author="TMSServices" w:date="2016-10-06T07:58:00Z">
        <w:pPr>
          <w:numPr>
            <w:numId w:val="19"/>
          </w:numPr>
          <w:tabs>
            <w:tab w:val="num" w:pos="1440"/>
          </w:tabs>
          <w:autoSpaceDE w:val="0"/>
          <w:autoSpaceDN w:val="0"/>
          <w:adjustRightInd w:val="0"/>
          <w:spacing w:after="120"/>
          <w:ind w:left="1440" w:hanging="720"/>
        </w:pPr>
      </w:pPrChange>
    </w:pPr>
    <w:rPr>
      <w:sz w:val="23"/>
      <w:rPrChange w:id="46" w:author="TMSServices" w:date="2016-10-06T07:58:00Z">
        <w:rPr>
          <w:sz w:val="23"/>
          <w:szCs w:val="24"/>
          <w:lang w:val="en-US" w:eastAsia="en-US" w:bidi="ar-SA"/>
        </w:rPr>
      </w:rPrChange>
    </w:rPr>
  </w:style>
  <w:style w:type="paragraph" w:customStyle="1" w:styleId="00Normal">
    <w:name w:val="00 Normal"/>
    <w:basedOn w:val="Normal"/>
    <w:rsid w:val="00E45E28"/>
    <w:pPr>
      <w:autoSpaceDE w:val="0"/>
      <w:autoSpaceDN w:val="0"/>
      <w:adjustRightInd w:val="0"/>
      <w:spacing w:after="240"/>
      <w:jc w:val="both"/>
      <w:pPrChange w:id="47" w:author="TMSServices" w:date="2016-10-06T07:58:00Z">
        <w:pPr>
          <w:autoSpaceDE w:val="0"/>
          <w:autoSpaceDN w:val="0"/>
          <w:adjustRightInd w:val="0"/>
          <w:spacing w:after="240"/>
          <w:jc w:val="both"/>
        </w:pPr>
      </w:pPrChange>
    </w:pPr>
    <w:rPr>
      <w:sz w:val="23"/>
      <w:szCs w:val="23"/>
      <w:rPrChange w:id="47" w:author="TMSServices" w:date="2016-10-06T07:58:00Z">
        <w:rPr>
          <w:sz w:val="23"/>
          <w:szCs w:val="23"/>
          <w:lang w:val="en-US" w:eastAsia="en-US" w:bidi="ar-SA"/>
        </w:rPr>
      </w:rPrChange>
    </w:rPr>
  </w:style>
  <w:style w:type="paragraph" w:customStyle="1" w:styleId="Heading30">
    <w:name w:val="Heading3"/>
    <w:basedOn w:val="Heading4"/>
    <w:rsid w:val="00E45E28"/>
    <w:pPr>
      <w:keepNext w:val="0"/>
      <w:tabs>
        <w:tab w:val="clear" w:pos="1800"/>
      </w:tabs>
      <w:spacing w:before="0" w:after="0"/>
      <w:ind w:left="0" w:firstLine="0"/>
      <w:outlineLvl w:val="9"/>
      <w:pPrChange w:id="48" w:author="TMSServices" w:date="2016-10-06T07:58:00Z">
        <w:pPr>
          <w:keepNext/>
          <w:tabs>
            <w:tab w:val="left" w:pos="1800"/>
          </w:tabs>
          <w:spacing w:before="240" w:after="240"/>
          <w:ind w:left="1800" w:hanging="1080"/>
          <w:outlineLvl w:val="3"/>
        </w:pPr>
      </w:pPrChange>
    </w:pPr>
    <w:rPr>
      <w:b w:val="0"/>
      <w:rPrChange w:id="48" w:author="TMSServices" w:date="2016-10-06T07:58:00Z">
        <w:rPr>
          <w:b/>
          <w:sz w:val="24"/>
          <w:lang w:val="en-US" w:eastAsia="en-US" w:bidi="ar-SA"/>
        </w:rPr>
      </w:rPrChange>
    </w:rPr>
  </w:style>
  <w:style w:type="paragraph" w:styleId="FootnoteText">
    <w:name w:val="footnote text"/>
    <w:basedOn w:val="Normal"/>
    <w:link w:val="FootnoteTextChar"/>
    <w:locked/>
    <w:rsid w:val="00E45E28"/>
    <w:pPr>
      <w:pPrChange w:id="49" w:author="TMSServices" w:date="2016-10-06T07:58:00Z">
        <w:pPr/>
      </w:pPrChange>
    </w:pPr>
    <w:rPr>
      <w:sz w:val="20"/>
      <w:szCs w:val="20"/>
      <w:rPrChange w:id="49" w:author="TMSServices" w:date="2016-10-06T07:58:00Z">
        <w:rPr>
          <w:lang w:val="en-US" w:eastAsia="en-US" w:bidi="ar-SA"/>
        </w:rPr>
      </w:rPrChange>
    </w:rPr>
  </w:style>
  <w:style w:type="character" w:customStyle="1" w:styleId="FootnoteTextChar">
    <w:name w:val="Footnote Text Char"/>
    <w:basedOn w:val="DefaultParagraphFont"/>
    <w:link w:val="FootnoteText"/>
    <w:locked/>
    <w:rsid w:val="00676CEF"/>
  </w:style>
  <w:style w:type="paragraph" w:customStyle="1" w:styleId="bodypara0">
    <w:name w:val="bodypara"/>
    <w:basedOn w:val="Normal"/>
    <w:rsid w:val="00E45E28"/>
    <w:pPr>
      <w:spacing w:line="480" w:lineRule="auto"/>
      <w:ind w:firstLine="720"/>
      <w:pPrChange w:id="50" w:author="TMSServices" w:date="2016-10-06T07:58:00Z">
        <w:pPr>
          <w:spacing w:line="480" w:lineRule="auto"/>
          <w:ind w:firstLine="720"/>
        </w:pPr>
      </w:pPrChange>
    </w:pPr>
    <w:rPr>
      <w:sz w:val="20"/>
      <w:szCs w:val="20"/>
      <w:rPrChange w:id="50" w:author="TMSServices" w:date="2016-10-06T07:58:00Z">
        <w:rPr>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17E2-C834-4D47-8EDB-CC21B05F2638}">
  <ds:schemaRefs>
    <ds:schemaRef ds:uri="http://schemas.openxmlformats.org/officeDocument/2006/bibliography"/>
  </ds:schemaRefs>
</ds:datastoreItem>
</file>

<file path=customXml/itemProps2.xml><?xml version="1.0" encoding="utf-8"?>
<ds:datastoreItem xmlns:ds="http://schemas.openxmlformats.org/officeDocument/2006/customXml" ds:itemID="{E7EEC1C3-2635-4C89-90CE-B42996BD351E}">
  <ds:schemaRefs>
    <ds:schemaRef ds:uri="http://schemas.openxmlformats.org/officeDocument/2006/bibliography"/>
  </ds:schemaRefs>
</ds:datastoreItem>
</file>

<file path=customXml/itemProps3.xml><?xml version="1.0" encoding="utf-8"?>
<ds:datastoreItem xmlns:ds="http://schemas.openxmlformats.org/officeDocument/2006/customXml" ds:itemID="{4A28D955-AEE9-4B33-B85C-88B387FC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17863</Words>
  <Characters>101821</Characters>
  <Application>Microsoft Office Word</Application>
  <DocSecurity>4</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2017-03-23T20:55:00Z</dcterms:created>
  <dcterms:modified xsi:type="dcterms:W3CDTF">2017-03-23T20:55:00Z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