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D758DE" w:rsidRPr="00EF7009" w:rsidP="00D758DE">
      <w:pPr>
        <w:widowControl w:val="0"/>
        <w:tabs>
          <w:tab w:val="center" w:pos="4680"/>
          <w:tab w:val="right" w:pos="9360"/>
        </w:tabs>
        <w:spacing w:after="0" w:line="240" w:lineRule="auto"/>
        <w:jc w:val="center"/>
        <w:rPr>
          <w:rFonts w:ascii="Times New Roman" w:hAnsi="Times New Roman" w:cs="Times New Roman"/>
          <w:kern w:val="0"/>
          <w:sz w:val="26"/>
          <w:szCs w:val="22"/>
        </w:rPr>
      </w:pPr>
      <w:r w:rsidRPr="00E3355E">
        <w:rPr>
          <w:rFonts w:ascii="Times New Roman" w:hAnsi="Times New Roman" w:cs="Times New Roman"/>
          <w:kern w:val="0"/>
          <w:sz w:val="26"/>
          <w:szCs w:val="22"/>
        </w:rPr>
        <w:t>FEDERAL ENERGY REGULATORY</w:t>
      </w:r>
      <w:r w:rsidRPr="00EF7009">
        <w:rPr>
          <w:rFonts w:ascii="Times New Roman" w:hAnsi="Times New Roman" w:cs="Times New Roman"/>
          <w:kern w:val="0"/>
          <w:sz w:val="26"/>
          <w:szCs w:val="22"/>
        </w:rPr>
        <w:t xml:space="preserve"> COMMISSION</w:t>
      </w:r>
    </w:p>
    <w:p w:rsidR="00D758DE" w:rsidP="00D758DE">
      <w:pPr>
        <w:widowControl w:val="0"/>
        <w:tabs>
          <w:tab w:val="center" w:pos="4680"/>
          <w:tab w:val="right" w:pos="9360"/>
        </w:tabs>
        <w:spacing w:after="0" w:line="240" w:lineRule="auto"/>
        <w:jc w:val="center"/>
        <w:rPr>
          <w:rFonts w:ascii="Times New Roman" w:hAnsi="Times New Roman" w:cs="Times New Roman"/>
          <w:kern w:val="0"/>
          <w:sz w:val="26"/>
          <w:szCs w:val="22"/>
        </w:rPr>
      </w:pPr>
      <w:r w:rsidRPr="00EF7009">
        <w:rPr>
          <w:rFonts w:ascii="Times New Roman" w:hAnsi="Times New Roman" w:cs="Times New Roman"/>
          <w:kern w:val="0"/>
          <w:sz w:val="26"/>
          <w:szCs w:val="22"/>
        </w:rPr>
        <w:t>WASHINGTON, DC 20426</w:t>
      </w:r>
    </w:p>
    <w:p w:rsidR="00D758DE" w:rsidRPr="00EF7009" w:rsidP="00D758DE">
      <w:pPr>
        <w:widowControl w:val="0"/>
        <w:tabs>
          <w:tab w:val="center" w:pos="4680"/>
          <w:tab w:val="right" w:pos="9360"/>
        </w:tabs>
        <w:spacing w:after="0" w:line="240" w:lineRule="auto"/>
        <w:jc w:val="center"/>
        <w:rPr>
          <w:rFonts w:ascii="Times New Roman" w:hAnsi="Times New Roman" w:cs="Times New Roman"/>
          <w:kern w:val="0"/>
          <w:sz w:val="26"/>
          <w:szCs w:val="22"/>
        </w:rPr>
      </w:pPr>
    </w:p>
    <w:p w:rsidR="00D758DE" w:rsidRPr="0087589E" w:rsidP="00D758DE">
      <w:pPr>
        <w:jc w:val="center"/>
        <w:rPr>
          <w:rFonts w:ascii="Times New Roman" w:hAnsi="Times New Roman" w:cs="Times New Roman"/>
          <w:sz w:val="26"/>
          <w:szCs w:val="26"/>
        </w:rPr>
      </w:pPr>
      <w:r w:rsidRPr="0087589E">
        <w:rPr>
          <w:rFonts w:ascii="Times New Roman" w:hAnsi="Times New Roman" w:cs="Times New Roman"/>
          <w:sz w:val="26"/>
          <w:szCs w:val="26"/>
        </w:rPr>
        <w:t>OFFICE OF ENERGY MARKET REGULATION</w:t>
      </w:r>
    </w:p>
    <w:p w:rsidR="00D758DE" w:rsidRPr="00577603" w:rsidP="00D758DE">
      <w:pPr>
        <w:widowControl w:val="0"/>
        <w:tabs>
          <w:tab w:val="center" w:pos="4680"/>
          <w:tab w:val="right" w:pos="9360"/>
        </w:tabs>
        <w:spacing w:after="0" w:line="240" w:lineRule="auto"/>
        <w:rPr>
          <w:rFonts w:ascii="Times New Roman" w:hAnsi="Times New Roman" w:cs="Times New Roman"/>
          <w:kern w:val="0"/>
          <w:sz w:val="26"/>
          <w:szCs w:val="22"/>
        </w:rPr>
      </w:pPr>
      <w:r w:rsidRPr="001F0D12">
        <w:rPr>
          <w:rFonts w:ascii="Times New Roman" w:hAnsi="Times New Roman" w:cs="Times New Roman"/>
          <w:kern w:val="0"/>
          <w:sz w:val="26"/>
          <w:szCs w:val="22"/>
        </w:rPr>
        <w:t>Niagara Mohawk Power Corporation</w:t>
      </w:r>
    </w:p>
    <w:p w:rsidR="00D758DE" w:rsidRPr="00577603" w:rsidP="00D758DE">
      <w:pPr>
        <w:widowControl w:val="0"/>
        <w:tabs>
          <w:tab w:val="center" w:pos="4680"/>
          <w:tab w:val="right" w:pos="9360"/>
        </w:tabs>
        <w:spacing w:after="0" w:line="240" w:lineRule="auto"/>
        <w:rPr>
          <w:rFonts w:ascii="Times New Roman" w:hAnsi="Times New Roman" w:cs="Times New Roman"/>
          <w:kern w:val="0"/>
          <w:sz w:val="26"/>
          <w:szCs w:val="22"/>
        </w:rPr>
      </w:pPr>
      <w:r w:rsidRPr="00577603">
        <w:rPr>
          <w:rFonts w:ascii="Times New Roman" w:hAnsi="Times New Roman" w:cs="Times New Roman"/>
          <w:kern w:val="0"/>
          <w:sz w:val="26"/>
          <w:szCs w:val="22"/>
        </w:rPr>
        <w:t>Docket No. ER25-</w:t>
      </w:r>
      <w:r>
        <w:rPr>
          <w:rFonts w:ascii="Times New Roman" w:hAnsi="Times New Roman" w:cs="Times New Roman"/>
          <w:kern w:val="0"/>
          <w:sz w:val="26"/>
          <w:szCs w:val="22"/>
        </w:rPr>
        <w:t>416</w:t>
      </w:r>
      <w:r w:rsidRPr="00577603">
        <w:rPr>
          <w:rFonts w:ascii="Times New Roman" w:hAnsi="Times New Roman" w:cs="Times New Roman"/>
          <w:kern w:val="0"/>
          <w:sz w:val="26"/>
          <w:szCs w:val="22"/>
        </w:rPr>
        <w:t>-00</w:t>
      </w:r>
      <w:r>
        <w:rPr>
          <w:rFonts w:ascii="Times New Roman" w:hAnsi="Times New Roman" w:cs="Times New Roman"/>
          <w:kern w:val="0"/>
          <w:sz w:val="26"/>
          <w:szCs w:val="22"/>
        </w:rPr>
        <w:t>3</w:t>
      </w:r>
    </w:p>
    <w:p w:rsidR="00D758DE" w:rsidP="00D758DE">
      <w:pPr>
        <w:widowControl w:val="0"/>
        <w:tabs>
          <w:tab w:val="center" w:pos="4680"/>
          <w:tab w:val="right" w:pos="9360"/>
        </w:tabs>
        <w:spacing w:after="0" w:line="240" w:lineRule="auto"/>
        <w:rPr>
          <w:rFonts w:ascii="Times New Roman" w:hAnsi="Times New Roman" w:cs="Times New Roman"/>
          <w:kern w:val="0"/>
          <w:sz w:val="26"/>
          <w:szCs w:val="22"/>
        </w:rPr>
      </w:pPr>
    </w:p>
    <w:p w:rsidR="00D758DE" w:rsidP="00D758DE">
      <w:pPr>
        <w:widowControl w:val="0"/>
        <w:tabs>
          <w:tab w:val="center" w:pos="4680"/>
          <w:tab w:val="right" w:pos="9360"/>
        </w:tabs>
        <w:spacing w:after="0" w:line="240" w:lineRule="auto"/>
        <w:rPr>
          <w:rFonts w:ascii="Times New Roman" w:hAnsi="Times New Roman" w:cs="Times New Roman"/>
          <w:kern w:val="0"/>
          <w:sz w:val="26"/>
          <w:szCs w:val="22"/>
        </w:rPr>
      </w:pPr>
      <w:r w:rsidRPr="00577603">
        <w:rPr>
          <w:rFonts w:ascii="Times New Roman" w:hAnsi="Times New Roman" w:cs="Times New Roman"/>
          <w:kern w:val="0"/>
          <w:sz w:val="26"/>
          <w:szCs w:val="22"/>
        </w:rPr>
        <w:t xml:space="preserve">Issued: </w:t>
      </w:r>
      <w:r w:rsidR="00E36495">
        <w:rPr>
          <w:rFonts w:ascii="Times New Roman" w:hAnsi="Times New Roman" w:cs="Times New Roman"/>
          <w:kern w:val="0"/>
          <w:sz w:val="26"/>
          <w:szCs w:val="22"/>
        </w:rPr>
        <w:t xml:space="preserve"> </w:t>
      </w:r>
      <w:r w:rsidR="0071406A">
        <w:rPr>
          <w:rFonts w:ascii="Times New Roman" w:hAnsi="Times New Roman" w:cs="Times New Roman"/>
          <w:kern w:val="0"/>
          <w:sz w:val="26"/>
          <w:szCs w:val="22"/>
        </w:rPr>
        <w:t>September 25, 2026</w:t>
      </w:r>
    </w:p>
    <w:p w:rsidR="00D758DE" w:rsidP="00D758DE">
      <w:pPr>
        <w:widowControl w:val="0"/>
        <w:tabs>
          <w:tab w:val="center" w:pos="4680"/>
          <w:tab w:val="right" w:pos="9360"/>
        </w:tabs>
        <w:spacing w:after="0" w:line="240" w:lineRule="auto"/>
        <w:rPr>
          <w:rFonts w:ascii="Times New Roman" w:hAnsi="Times New Roman" w:cs="Times New Roman"/>
          <w:kern w:val="0"/>
          <w:sz w:val="26"/>
          <w:szCs w:val="22"/>
        </w:rPr>
      </w:pPr>
    </w:p>
    <w:p w:rsidR="00D758DE" w:rsidRPr="00033FF4" w:rsidP="00D758DE">
      <w:pPr>
        <w:widowControl w:val="0"/>
        <w:tabs>
          <w:tab w:val="center" w:pos="4680"/>
          <w:tab w:val="right" w:pos="9360"/>
        </w:tabs>
        <w:spacing w:after="0" w:line="240" w:lineRule="auto"/>
        <w:ind w:firstLine="720"/>
        <w:rPr>
          <w:rFonts w:ascii="Times New Roman" w:hAnsi="Times New Roman" w:cs="Times New Roman"/>
          <w:kern w:val="0"/>
          <w:sz w:val="26"/>
          <w:szCs w:val="26"/>
        </w:rPr>
      </w:pPr>
      <w:r w:rsidRPr="00033FF4">
        <w:rPr>
          <w:rFonts w:ascii="Times New Roman" w:hAnsi="Times New Roman" w:cs="Times New Roman"/>
          <w:kern w:val="0"/>
          <w:sz w:val="26"/>
          <w:szCs w:val="26"/>
        </w:rPr>
        <w:t xml:space="preserve">On </w:t>
      </w:r>
      <w:r>
        <w:rPr>
          <w:rFonts w:ascii="Times New Roman" w:hAnsi="Times New Roman" w:cs="Times New Roman"/>
          <w:kern w:val="0"/>
          <w:sz w:val="26"/>
          <w:szCs w:val="26"/>
        </w:rPr>
        <w:t>August 11</w:t>
      </w:r>
      <w:r w:rsidRPr="00033FF4">
        <w:rPr>
          <w:rFonts w:ascii="Times New Roman" w:hAnsi="Times New Roman" w:cs="Times New Roman"/>
          <w:kern w:val="0"/>
          <w:sz w:val="26"/>
          <w:szCs w:val="26"/>
        </w:rPr>
        <w:t>, 202</w:t>
      </w:r>
      <w:r>
        <w:rPr>
          <w:rFonts w:ascii="Times New Roman" w:hAnsi="Times New Roman" w:cs="Times New Roman"/>
          <w:kern w:val="0"/>
          <w:sz w:val="26"/>
          <w:szCs w:val="26"/>
        </w:rPr>
        <w:t>6</w:t>
      </w:r>
      <w:r w:rsidRPr="00033FF4">
        <w:rPr>
          <w:rFonts w:ascii="Times New Roman" w:hAnsi="Times New Roman" w:cs="Times New Roman"/>
          <w:kern w:val="0"/>
          <w:sz w:val="26"/>
          <w:szCs w:val="26"/>
        </w:rPr>
        <w:t xml:space="preserve">, </w:t>
      </w:r>
      <w:r w:rsidRPr="001F0D12">
        <w:rPr>
          <w:rFonts w:ascii="Times New Roman" w:hAnsi="Times New Roman" w:cs="Times New Roman"/>
          <w:kern w:val="0"/>
          <w:sz w:val="26"/>
          <w:szCs w:val="26"/>
        </w:rPr>
        <w:t>Niagara Mohawk Power Corporation</w:t>
      </w:r>
      <w:r w:rsidRPr="00033FF4">
        <w:rPr>
          <w:rFonts w:ascii="Times New Roman" w:hAnsi="Times New Roman" w:cs="Times New Roman"/>
          <w:kern w:val="0"/>
          <w:sz w:val="26"/>
          <w:szCs w:val="26"/>
        </w:rPr>
        <w:t xml:space="preserve"> submitted</w:t>
      </w:r>
      <w:r>
        <w:rPr>
          <w:rFonts w:ascii="Times New Roman" w:hAnsi="Times New Roman" w:cs="Times New Roman"/>
          <w:kern w:val="0"/>
          <w:sz w:val="26"/>
          <w:szCs w:val="26"/>
        </w:rPr>
        <w:t xml:space="preserve"> a compliance filing to demonstrate </w:t>
      </w:r>
      <w:r w:rsidRPr="006B63C2">
        <w:rPr>
          <w:rFonts w:ascii="Times New Roman" w:hAnsi="Times New Roman" w:cs="Times New Roman"/>
          <w:kern w:val="0"/>
          <w:sz w:val="26"/>
          <w:szCs w:val="26"/>
        </w:rPr>
        <w:t xml:space="preserve">its </w:t>
      </w:r>
      <w:r>
        <w:rPr>
          <w:rFonts w:ascii="Times New Roman" w:hAnsi="Times New Roman" w:cs="Times New Roman"/>
          <w:kern w:val="0"/>
          <w:sz w:val="26"/>
          <w:szCs w:val="26"/>
        </w:rPr>
        <w:t>receipt of the appropriate state-level approval for</w:t>
      </w:r>
      <w:r w:rsidRPr="006B63C2">
        <w:rPr>
          <w:rFonts w:ascii="Times New Roman" w:hAnsi="Times New Roman" w:cs="Times New Roman"/>
          <w:kern w:val="0"/>
          <w:sz w:val="26"/>
          <w:szCs w:val="26"/>
        </w:rPr>
        <w:t xml:space="preserve"> </w:t>
      </w:r>
      <w:r w:rsidR="00017167">
        <w:rPr>
          <w:rFonts w:ascii="Times New Roman" w:hAnsi="Times New Roman" w:cs="Times New Roman"/>
          <w:kern w:val="0"/>
          <w:sz w:val="26"/>
          <w:szCs w:val="26"/>
        </w:rPr>
        <w:t xml:space="preserve">selected </w:t>
      </w:r>
      <w:r>
        <w:rPr>
          <w:rFonts w:ascii="Times New Roman" w:hAnsi="Times New Roman" w:cs="Times New Roman"/>
          <w:kern w:val="0"/>
          <w:sz w:val="26"/>
          <w:szCs w:val="26"/>
        </w:rPr>
        <w:t>Phase 2 Projects</w:t>
      </w:r>
      <w:r w:rsidR="00484892">
        <w:rPr>
          <w:rFonts w:ascii="Times New Roman" w:hAnsi="Times New Roman" w:cs="Times New Roman"/>
          <w:kern w:val="0"/>
          <w:sz w:val="26"/>
          <w:szCs w:val="26"/>
        </w:rPr>
        <w:t>, approved by the New York Public Service Commission (NYPSC) on February 12, 2026</w:t>
      </w:r>
      <w:r>
        <w:rPr>
          <w:rStyle w:val="FootnoteReference"/>
          <w:rFonts w:ascii="Times New Roman" w:hAnsi="Times New Roman" w:cs="Times New Roman"/>
          <w:b/>
          <w:bCs/>
          <w:kern w:val="0"/>
          <w:sz w:val="26"/>
          <w:szCs w:val="26"/>
        </w:rPr>
        <w:footnoteReference w:id="2"/>
      </w:r>
      <w:r w:rsidR="00484892">
        <w:rPr>
          <w:rFonts w:ascii="Times New Roman" w:hAnsi="Times New Roman" w:cs="Times New Roman"/>
          <w:kern w:val="0"/>
          <w:sz w:val="26"/>
          <w:szCs w:val="26"/>
        </w:rPr>
        <w:t xml:space="preserve"> and July 17, 2026</w:t>
      </w:r>
      <w:r>
        <w:rPr>
          <w:rStyle w:val="FootnoteReference"/>
          <w:rFonts w:ascii="Times New Roman" w:hAnsi="Times New Roman" w:cs="Times New Roman"/>
          <w:b/>
          <w:bCs/>
          <w:kern w:val="0"/>
          <w:sz w:val="26"/>
          <w:szCs w:val="26"/>
        </w:rPr>
        <w:footnoteReference w:id="3"/>
      </w:r>
      <w:r w:rsidR="00484892">
        <w:rPr>
          <w:rFonts w:ascii="Times New Roman" w:hAnsi="Times New Roman" w:cs="Times New Roman"/>
          <w:kern w:val="0"/>
          <w:sz w:val="26"/>
          <w:szCs w:val="26"/>
        </w:rPr>
        <w:t>, respectively,</w:t>
      </w:r>
      <w:r w:rsidRPr="009B4808">
        <w:rPr>
          <w:rFonts w:ascii="Times New Roman" w:hAnsi="Times New Roman" w:cs="Times New Roman"/>
          <w:b/>
          <w:bCs/>
          <w:kern w:val="0"/>
          <w:sz w:val="26"/>
          <w:szCs w:val="26"/>
        </w:rPr>
        <w:t xml:space="preserve"> </w:t>
      </w:r>
      <w:r>
        <w:rPr>
          <w:rFonts w:ascii="Times New Roman" w:hAnsi="Times New Roman" w:cs="Times New Roman"/>
          <w:kern w:val="0"/>
          <w:sz w:val="26"/>
          <w:szCs w:val="26"/>
        </w:rPr>
        <w:t>in compliance with the directives in a</w:t>
      </w:r>
      <w:r w:rsidRPr="006B63C2">
        <w:rPr>
          <w:rFonts w:ascii="Times New Roman" w:hAnsi="Times New Roman" w:cs="Times New Roman"/>
          <w:kern w:val="0"/>
          <w:sz w:val="26"/>
          <w:szCs w:val="26"/>
        </w:rPr>
        <w:t xml:space="preserve"> January 10, 2025</w:t>
      </w:r>
      <w:r>
        <w:rPr>
          <w:rFonts w:ascii="Times New Roman" w:hAnsi="Times New Roman" w:cs="Times New Roman"/>
          <w:kern w:val="0"/>
          <w:sz w:val="26"/>
          <w:szCs w:val="26"/>
        </w:rPr>
        <w:t xml:space="preserve"> Commission order.</w:t>
      </w:r>
      <w:r>
        <w:rPr>
          <w:rStyle w:val="FootnoteReference"/>
          <w:rFonts w:ascii="Times New Roman" w:hAnsi="Times New Roman" w:cs="Times New Roman"/>
          <w:b/>
          <w:bCs/>
          <w:kern w:val="0"/>
          <w:sz w:val="26"/>
          <w:szCs w:val="26"/>
        </w:rPr>
        <w:footnoteReference w:id="4"/>
      </w:r>
      <w:r w:rsidRPr="0012100D">
        <w:rPr>
          <w:rFonts w:ascii="Times New Roman" w:hAnsi="Times New Roman" w:cs="Times New Roman"/>
          <w:b/>
          <w:bCs/>
          <w:kern w:val="0"/>
          <w:sz w:val="26"/>
          <w:szCs w:val="26"/>
        </w:rPr>
        <w:t xml:space="preserve"> </w:t>
      </w:r>
      <w:r w:rsidRPr="00033FF4">
        <w:rPr>
          <w:rFonts w:ascii="Times New Roman" w:hAnsi="Times New Roman" w:cs="Times New Roman"/>
          <w:kern w:val="0"/>
          <w:sz w:val="26"/>
          <w:szCs w:val="26"/>
        </w:rPr>
        <w:t xml:space="preserve"> Pursuant to authority delegated to the Director, Division of Electric Power Regulation – East, under 18 C.F.R. § 375.307, the submittal is accepted for filing, effective </w:t>
      </w:r>
      <w:r w:rsidR="00484892">
        <w:rPr>
          <w:rFonts w:ascii="Times New Roman" w:hAnsi="Times New Roman" w:cs="Times New Roman"/>
          <w:kern w:val="0"/>
          <w:sz w:val="26"/>
          <w:szCs w:val="26"/>
        </w:rPr>
        <w:t>February 12, 2026 and July 17, 2026, respectively</w:t>
      </w:r>
      <w:r w:rsidRPr="00033FF4">
        <w:rPr>
          <w:rFonts w:ascii="Times New Roman" w:hAnsi="Times New Roman" w:cs="Times New Roman"/>
          <w:kern w:val="0"/>
          <w:sz w:val="26"/>
          <w:szCs w:val="26"/>
        </w:rPr>
        <w:t>, as requested.</w:t>
      </w:r>
    </w:p>
    <w:p w:rsidR="00D758DE" w:rsidRPr="00577603" w:rsidP="00D758DE">
      <w:pPr>
        <w:widowControl w:val="0"/>
        <w:tabs>
          <w:tab w:val="center" w:pos="4680"/>
          <w:tab w:val="right" w:pos="9360"/>
        </w:tabs>
        <w:spacing w:after="0" w:line="240" w:lineRule="auto"/>
        <w:rPr>
          <w:rFonts w:ascii="Times New Roman" w:hAnsi="Times New Roman" w:cs="Times New Roman"/>
          <w:kern w:val="0"/>
          <w:sz w:val="26"/>
          <w:szCs w:val="22"/>
        </w:rPr>
      </w:pPr>
    </w:p>
    <w:p w:rsidR="00D758DE" w:rsidP="00D758DE">
      <w:pPr>
        <w:widowControl w:val="0"/>
        <w:tabs>
          <w:tab w:val="center" w:pos="4680"/>
          <w:tab w:val="right" w:pos="9360"/>
        </w:tabs>
        <w:spacing w:after="0" w:line="240" w:lineRule="auto"/>
        <w:ind w:firstLine="720"/>
        <w:rPr>
          <w:rFonts w:ascii="Times New Roman" w:hAnsi="Times New Roman" w:cs="Times New Roman"/>
          <w:kern w:val="0"/>
          <w:sz w:val="26"/>
          <w:szCs w:val="22"/>
        </w:rPr>
      </w:pPr>
      <w:r w:rsidRPr="00577603">
        <w:rPr>
          <w:rFonts w:ascii="Times New Roman" w:hAnsi="Times New Roman" w:cs="Times New Roman"/>
          <w:kern w:val="0"/>
          <w:sz w:val="26"/>
          <w:szCs w:val="22"/>
        </w:rPr>
        <w:t>The filing w</w:t>
      </w:r>
      <w:r>
        <w:rPr>
          <w:rFonts w:ascii="Times New Roman" w:hAnsi="Times New Roman" w:cs="Times New Roman"/>
          <w:kern w:val="0"/>
          <w:sz w:val="26"/>
          <w:szCs w:val="22"/>
        </w:rPr>
        <w:t>as</w:t>
      </w:r>
      <w:r w:rsidRPr="00577603">
        <w:rPr>
          <w:rFonts w:ascii="Times New Roman" w:hAnsi="Times New Roman" w:cs="Times New Roman"/>
          <w:kern w:val="0"/>
          <w:sz w:val="26"/>
          <w:szCs w:val="22"/>
        </w:rPr>
        <w:t xml:space="preserve"> publicly noticed.</w:t>
      </w:r>
      <w:r w:rsidR="00621E62">
        <w:rPr>
          <w:rFonts w:ascii="Times New Roman" w:hAnsi="Times New Roman" w:cs="Times New Roman"/>
          <w:kern w:val="0"/>
          <w:sz w:val="26"/>
          <w:szCs w:val="22"/>
        </w:rPr>
        <w:t xml:space="preserve"> </w:t>
      </w:r>
      <w:r w:rsidRPr="00577603">
        <w:rPr>
          <w:rFonts w:ascii="Times New Roman" w:hAnsi="Times New Roman" w:cs="Times New Roman"/>
          <w:kern w:val="0"/>
          <w:sz w:val="26"/>
          <w:szCs w:val="22"/>
        </w:rPr>
        <w:t xml:space="preserve"> No protests or adverse comments were filed. Pursuant to Rule 214 of the Commission’s regulations (18 C.F.R. § 385.214), notices of intervention, timely-filed motions to intervene, and any unopposed motions to intervene out-of-time filed before the issuance date of this order are granted.</w:t>
      </w:r>
    </w:p>
    <w:p w:rsidR="00D758DE" w:rsidRPr="00577603" w:rsidP="00D758DE">
      <w:pPr>
        <w:widowControl w:val="0"/>
        <w:tabs>
          <w:tab w:val="center" w:pos="4680"/>
          <w:tab w:val="right" w:pos="9360"/>
        </w:tabs>
        <w:spacing w:after="0" w:line="240" w:lineRule="auto"/>
        <w:rPr>
          <w:rFonts w:ascii="Times New Roman" w:hAnsi="Times New Roman" w:cs="Times New Roman"/>
          <w:kern w:val="0"/>
          <w:sz w:val="26"/>
          <w:szCs w:val="22"/>
        </w:rPr>
      </w:pPr>
    </w:p>
    <w:p w:rsidR="00D758DE" w:rsidP="00D758DE">
      <w:pPr>
        <w:widowControl w:val="0"/>
        <w:tabs>
          <w:tab w:val="center" w:pos="4680"/>
          <w:tab w:val="right" w:pos="9360"/>
        </w:tabs>
        <w:spacing w:after="0" w:line="240" w:lineRule="auto"/>
        <w:ind w:firstLine="720"/>
        <w:rPr>
          <w:rFonts w:ascii="Times New Roman" w:hAnsi="Times New Roman" w:cs="Times New Roman"/>
          <w:kern w:val="0"/>
          <w:sz w:val="26"/>
          <w:szCs w:val="22"/>
        </w:rPr>
      </w:pPr>
      <w:r w:rsidRPr="00577603">
        <w:rPr>
          <w:rFonts w:ascii="Times New Roman" w:hAnsi="Times New Roman" w:cs="Times New Roman"/>
          <w:kern w:val="0"/>
          <w:sz w:val="26"/>
          <w:szCs w:val="22"/>
        </w:rPr>
        <w:t>This action does not constitute approval of any service, rate, charge, classification, or any rule, regulation, contract, or practice affecting such rate or service provided for in the filed document(s); nor shall such action be deemed as recognition of any claimed contractual right or obligation affecting or relating to such service or rate; and such action is without prejudice to any findings or orders which have been or may hereafter be made by the Commission in any proceeding now pending or hereafter instituted by or against the applicant(s).</w:t>
      </w:r>
    </w:p>
    <w:p w:rsidR="00D758DE" w:rsidRPr="00577603" w:rsidP="00D758DE">
      <w:pPr>
        <w:widowControl w:val="0"/>
        <w:tabs>
          <w:tab w:val="center" w:pos="4680"/>
          <w:tab w:val="right" w:pos="9360"/>
        </w:tabs>
        <w:spacing w:after="0" w:line="240" w:lineRule="auto"/>
        <w:rPr>
          <w:rFonts w:ascii="Times New Roman" w:hAnsi="Times New Roman" w:cs="Times New Roman"/>
          <w:kern w:val="0"/>
          <w:sz w:val="26"/>
          <w:szCs w:val="22"/>
        </w:rPr>
      </w:pPr>
    </w:p>
    <w:p w:rsidR="00D758DE" w:rsidP="00D758DE">
      <w:pPr>
        <w:widowControl w:val="0"/>
        <w:tabs>
          <w:tab w:val="center" w:pos="4680"/>
          <w:tab w:val="right" w:pos="9360"/>
        </w:tabs>
        <w:spacing w:after="0" w:line="240" w:lineRule="auto"/>
        <w:ind w:firstLine="720"/>
        <w:rPr>
          <w:rFonts w:ascii="Times New Roman" w:hAnsi="Times New Roman" w:cs="Times New Roman"/>
          <w:kern w:val="0"/>
          <w:sz w:val="26"/>
          <w:szCs w:val="22"/>
        </w:rPr>
      </w:pPr>
      <w:r w:rsidRPr="00577603">
        <w:rPr>
          <w:rFonts w:ascii="Times New Roman" w:hAnsi="Times New Roman" w:cs="Times New Roman"/>
          <w:kern w:val="0"/>
          <w:sz w:val="26"/>
          <w:szCs w:val="22"/>
        </w:rPr>
        <w:t>This order constitutes final agency action. Requests for rehearing by the Commission may be filed within 30 days of the date of issuance of this order, pursuant to 18 C.F.R. § 385.713.</w:t>
      </w:r>
    </w:p>
    <w:p w:rsidR="00D758DE" w:rsidRPr="00577603" w:rsidP="00D758DE">
      <w:pPr>
        <w:widowControl w:val="0"/>
        <w:tabs>
          <w:tab w:val="center" w:pos="4680"/>
          <w:tab w:val="right" w:pos="9360"/>
        </w:tabs>
        <w:spacing w:after="0" w:line="240" w:lineRule="auto"/>
        <w:rPr>
          <w:rFonts w:ascii="Times New Roman" w:hAnsi="Times New Roman" w:cs="Times New Roman"/>
          <w:kern w:val="0"/>
          <w:sz w:val="26"/>
          <w:szCs w:val="22"/>
        </w:rPr>
      </w:pPr>
    </w:p>
    <w:p w:rsidR="00D758DE" w:rsidRPr="00577603" w:rsidP="00D758DE">
      <w:pPr>
        <w:widowControl w:val="0"/>
        <w:tabs>
          <w:tab w:val="center" w:pos="4680"/>
          <w:tab w:val="right" w:pos="9360"/>
        </w:tabs>
        <w:spacing w:after="0" w:line="240" w:lineRule="auto"/>
        <w:rPr>
          <w:rFonts w:ascii="Times New Roman" w:hAnsi="Times New Roman" w:cs="Times New Roman"/>
          <w:kern w:val="0"/>
          <w:sz w:val="26"/>
          <w:szCs w:val="22"/>
        </w:rPr>
      </w:pPr>
      <w:r w:rsidRPr="00577603">
        <w:rPr>
          <w:rFonts w:ascii="Times New Roman" w:hAnsi="Times New Roman" w:cs="Times New Roman"/>
          <w:kern w:val="0"/>
          <w:sz w:val="26"/>
          <w:szCs w:val="22"/>
        </w:rPr>
        <w:t>Issued by: Leanne Khammal, Director, Division of Electric Power Regulation – East</w:t>
      </w:r>
    </w:p>
    <w:p w:rsidR="00454810"/>
    <w:sectPr w:rsidSect="00017167">
      <w:headerReference w:type="even" r:id="rId10"/>
      <w:headerReference w:type="default" r:id="rId11"/>
      <w:headerReference w:type="first" r:id="rId12"/>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Aptos">
    <w:panose1 w:val="00000000000000000000"/>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swiss"/>
    <w:pitch w:val="variable"/>
    <w:sig w:usb0="20000287" w:usb1="00000003" w:usb2="00000000" w:usb3="00000000" w:csb0="0000019F" w:csb1="00000000"/>
  </w:font>
  <w:font w:name="Cambria Math">
    <w:panose1 w:val="00000000000000000000"/>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944" w:rsidP="00D758DE">
      <w:pPr>
        <w:spacing w:after="0" w:line="240" w:lineRule="auto"/>
      </w:pPr>
      <w:r>
        <w:separator/>
      </w:r>
    </w:p>
  </w:footnote>
  <w:footnote w:type="continuationSeparator" w:id="1">
    <w:p w:rsidR="002B5944" w:rsidP="00D758DE">
      <w:pPr>
        <w:spacing w:after="0" w:line="240" w:lineRule="auto"/>
      </w:pPr>
      <w:r>
        <w:continuationSeparator/>
      </w:r>
    </w:p>
  </w:footnote>
  <w:footnote w:id="2">
    <w:p w:rsidR="00484892" w:rsidP="00484892">
      <w:pPr>
        <w:pStyle w:val="FootnoteText"/>
        <w:ind w:firstLine="720"/>
        <w:rPr>
          <w:rFonts w:ascii="Times New Roman" w:hAnsi="Times New Roman" w:cs="Times New Roman"/>
          <w:sz w:val="26"/>
          <w:szCs w:val="26"/>
        </w:rPr>
      </w:pPr>
      <w:r w:rsidRPr="00484892">
        <w:rPr>
          <w:rStyle w:val="FootnoteReference"/>
          <w:rFonts w:ascii="Times New Roman" w:hAnsi="Times New Roman" w:cs="Times New Roman"/>
          <w:b/>
          <w:bCs/>
          <w:sz w:val="26"/>
          <w:szCs w:val="26"/>
        </w:rPr>
        <w:footnoteRef/>
      </w:r>
      <w:r w:rsidRPr="00484892">
        <w:rPr>
          <w:rFonts w:ascii="Times New Roman" w:hAnsi="Times New Roman" w:cs="Times New Roman"/>
          <w:sz w:val="26"/>
          <w:szCs w:val="26"/>
        </w:rPr>
        <w:t xml:space="preserve"> Phase 2 Projects approved by the NYPSC on February 12, 2026 are East Ave Substation, Lighthouse Hill - South Oswego Rebuild, and Maiden Lane Substation.</w:t>
      </w:r>
    </w:p>
    <w:p w:rsidR="00017167" w:rsidRPr="00484892" w:rsidP="00484892">
      <w:pPr>
        <w:pStyle w:val="FootnoteText"/>
        <w:ind w:firstLine="720"/>
        <w:rPr>
          <w:rFonts w:ascii="Times New Roman" w:hAnsi="Times New Roman" w:cs="Times New Roman"/>
          <w:sz w:val="26"/>
          <w:szCs w:val="26"/>
        </w:rPr>
      </w:pPr>
    </w:p>
  </w:footnote>
  <w:footnote w:id="3">
    <w:p w:rsidR="00484892" w:rsidP="00484892">
      <w:pPr>
        <w:pStyle w:val="FootnoteText"/>
        <w:ind w:firstLine="720"/>
        <w:rPr>
          <w:rFonts w:ascii="Times New Roman" w:hAnsi="Times New Roman" w:cs="Times New Roman"/>
          <w:sz w:val="26"/>
          <w:szCs w:val="26"/>
        </w:rPr>
      </w:pPr>
      <w:r w:rsidRPr="00484892">
        <w:rPr>
          <w:rStyle w:val="FootnoteReference"/>
          <w:rFonts w:ascii="Times New Roman" w:hAnsi="Times New Roman" w:cs="Times New Roman"/>
          <w:b/>
          <w:bCs/>
          <w:sz w:val="26"/>
          <w:szCs w:val="26"/>
        </w:rPr>
        <w:footnoteRef/>
      </w:r>
      <w:r w:rsidRPr="00484892">
        <w:rPr>
          <w:rFonts w:ascii="Times New Roman" w:hAnsi="Times New Roman" w:cs="Times New Roman"/>
          <w:b/>
          <w:bCs/>
          <w:sz w:val="26"/>
          <w:szCs w:val="26"/>
        </w:rPr>
        <w:t xml:space="preserve"> </w:t>
      </w:r>
      <w:r w:rsidRPr="00484892">
        <w:rPr>
          <w:rFonts w:ascii="Times New Roman" w:hAnsi="Times New Roman" w:cs="Times New Roman"/>
          <w:sz w:val="26"/>
          <w:szCs w:val="26"/>
        </w:rPr>
        <w:t xml:space="preserve">Phase 2 Projects </w:t>
      </w:r>
      <w:r>
        <w:rPr>
          <w:rFonts w:ascii="Times New Roman" w:hAnsi="Times New Roman" w:cs="Times New Roman"/>
          <w:sz w:val="26"/>
          <w:szCs w:val="26"/>
        </w:rPr>
        <w:t xml:space="preserve">approved by the NYPSC on July 17, 2026 </w:t>
      </w:r>
      <w:r w:rsidRPr="00484892">
        <w:rPr>
          <w:rFonts w:ascii="Times New Roman" w:hAnsi="Times New Roman" w:cs="Times New Roman"/>
          <w:sz w:val="26"/>
          <w:szCs w:val="26"/>
        </w:rPr>
        <w:t>are Black River - Lighthouse Hill Rebuild, Black River - North Carthage - Taylorville Rebuild, Boonville - Porter Rebuild, Boonville Substation – PAR, Lighthouse Hill - Clay Rebuild, Staplin Creek Substation, Taylorville - Boonville Rebuild, Beaver River Substation &amp; Synchronous Condensers</w:t>
      </w:r>
      <w:r>
        <w:rPr>
          <w:rFonts w:ascii="Times New Roman" w:hAnsi="Times New Roman" w:cs="Times New Roman"/>
          <w:sz w:val="26"/>
          <w:szCs w:val="26"/>
        </w:rPr>
        <w:t>.</w:t>
      </w:r>
    </w:p>
    <w:p w:rsidR="00017167" w:rsidRPr="00484892" w:rsidP="00484892">
      <w:pPr>
        <w:pStyle w:val="FootnoteText"/>
        <w:ind w:firstLine="720"/>
        <w:rPr>
          <w:rFonts w:ascii="Times New Roman" w:hAnsi="Times New Roman" w:cs="Times New Roman"/>
          <w:sz w:val="26"/>
          <w:szCs w:val="26"/>
        </w:rPr>
      </w:pPr>
    </w:p>
  </w:footnote>
  <w:footnote w:id="4">
    <w:p w:rsidR="00017167" w:rsidRPr="00115AFD" w:rsidP="003020CB">
      <w:pPr>
        <w:pStyle w:val="FootnoteText"/>
        <w:ind w:firstLine="720"/>
        <w:rPr>
          <w:rFonts w:ascii="Times New Roman" w:hAnsi="Times New Roman" w:cs="Times New Roman"/>
          <w:sz w:val="26"/>
          <w:szCs w:val="26"/>
        </w:rPr>
      </w:pPr>
      <w:r w:rsidRPr="00115AFD">
        <w:rPr>
          <w:rStyle w:val="FootnoteReference"/>
          <w:rFonts w:ascii="Times New Roman" w:hAnsi="Times New Roman" w:cs="Times New Roman"/>
          <w:b/>
          <w:bCs/>
          <w:sz w:val="26"/>
          <w:szCs w:val="26"/>
        </w:rPr>
        <w:footnoteRef/>
      </w:r>
      <w:r w:rsidRPr="00115AFD">
        <w:rPr>
          <w:rFonts w:ascii="Times New Roman" w:hAnsi="Times New Roman" w:cs="Times New Roman"/>
          <w:b/>
          <w:bCs/>
          <w:sz w:val="26"/>
          <w:szCs w:val="26"/>
        </w:rPr>
        <w:t xml:space="preserve"> </w:t>
      </w:r>
      <w:r w:rsidRPr="00147D5E">
        <w:rPr>
          <w:rFonts w:ascii="Times New Roman" w:hAnsi="Times New Roman" w:cs="Times New Roman"/>
          <w:i/>
          <w:iCs/>
          <w:sz w:val="26"/>
          <w:szCs w:val="26"/>
        </w:rPr>
        <w:t>Niagara Mohawk Power Corp.,</w:t>
      </w:r>
      <w:r w:rsidRPr="00115AFD">
        <w:rPr>
          <w:rFonts w:ascii="Times New Roman" w:hAnsi="Times New Roman" w:cs="Times New Roman"/>
          <w:sz w:val="26"/>
          <w:szCs w:val="26"/>
        </w:rPr>
        <w:t xml:space="preserve"> 190 FERC ¶ 61,012 (2025).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16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DE" w:rsidRPr="00017167">
    <w:pPr>
      <w:pStyle w:val="Header"/>
      <w:rPr>
        <w:rFonts w:ascii="Times New Roman" w:hAnsi="Times New Roman" w:cs="Times New Roman"/>
        <w:sz w:val="26"/>
        <w:szCs w:val="26"/>
      </w:rPr>
    </w:pPr>
    <w:r w:rsidRPr="00017167">
      <w:rPr>
        <w:rFonts w:ascii="Times New Roman" w:hAnsi="Times New Roman" w:cs="Times New Roman"/>
        <w:sz w:val="26"/>
        <w:szCs w:val="26"/>
      </w:rPr>
      <w:t xml:space="preserve">Docket No. ER25-416-003               </w:t>
    </w:r>
    <w:r>
      <w:rPr>
        <w:rFonts w:ascii="Times New Roman" w:hAnsi="Times New Roman" w:cs="Times New Roman"/>
        <w:sz w:val="26"/>
        <w:szCs w:val="26"/>
      </w:rPr>
      <w:t xml:space="preserve">                                                                                                         </w:t>
    </w:r>
    <w:r w:rsidRPr="00017167">
      <w:rPr>
        <w:rFonts w:ascii="Times New Roman" w:hAnsi="Times New Roman" w:cs="Times New Roman"/>
        <w:sz w:val="26"/>
        <w:szCs w:val="26"/>
      </w:rPr>
      <w:t xml:space="preserve">                                                                                                               </w:t>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16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0"/>
    <w:footnote w:id="1"/>
  </w:footnotePr>
  <w:compat/>
  <w:rsids>
    <w:rsidRoot w:val="00D758DE"/>
    <w:rsid w:val="00017167"/>
    <w:rsid w:val="00033FF4"/>
    <w:rsid w:val="00037FDF"/>
    <w:rsid w:val="00103A6E"/>
    <w:rsid w:val="00115AFD"/>
    <w:rsid w:val="0012100D"/>
    <w:rsid w:val="00147D5E"/>
    <w:rsid w:val="00186E7C"/>
    <w:rsid w:val="001D12CE"/>
    <w:rsid w:val="001F0D12"/>
    <w:rsid w:val="00265B1E"/>
    <w:rsid w:val="002B5944"/>
    <w:rsid w:val="003020CB"/>
    <w:rsid w:val="003B495E"/>
    <w:rsid w:val="00454810"/>
    <w:rsid w:val="00484892"/>
    <w:rsid w:val="004B0649"/>
    <w:rsid w:val="004B48A8"/>
    <w:rsid w:val="00577603"/>
    <w:rsid w:val="00621E62"/>
    <w:rsid w:val="00685740"/>
    <w:rsid w:val="006B63C2"/>
    <w:rsid w:val="0071406A"/>
    <w:rsid w:val="007A54EB"/>
    <w:rsid w:val="0087589E"/>
    <w:rsid w:val="009B4808"/>
    <w:rsid w:val="00A141F7"/>
    <w:rsid w:val="00AD385B"/>
    <w:rsid w:val="00D44F02"/>
    <w:rsid w:val="00D758DE"/>
    <w:rsid w:val="00E3355E"/>
    <w:rsid w:val="00E36495"/>
    <w:rsid w:val="00EF7009"/>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kern w:val="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8DE"/>
    <w:pPr>
      <w:spacing w:after="160" w:line="278" w:lineRule="auto"/>
    </w:pPr>
    <w:rPr>
      <w:kern w:val="2"/>
      <w:sz w:val="24"/>
      <w:szCs w:val="24"/>
    </w:rPr>
  </w:style>
  <w:style w:type="paragraph" w:styleId="Heading1">
    <w:name w:val="heading 1"/>
    <w:basedOn w:val="Normal"/>
    <w:next w:val="Normal"/>
    <w:link w:val="Heading1Char"/>
    <w:uiPriority w:val="9"/>
    <w:qFormat/>
    <w:rsid w:val="00D758DE"/>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9"/>
    <w:semiHidden/>
    <w:unhideWhenUsed/>
    <w:qFormat/>
    <w:rsid w:val="00D758DE"/>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semiHidden/>
    <w:unhideWhenUsed/>
    <w:qFormat/>
    <w:rsid w:val="00D758DE"/>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link w:val="Heading4Char"/>
    <w:uiPriority w:val="9"/>
    <w:semiHidden/>
    <w:unhideWhenUsed/>
    <w:qFormat/>
    <w:rsid w:val="00D758DE"/>
    <w:pPr>
      <w:keepNext/>
      <w:keepLines/>
      <w:spacing w:before="80" w:after="40"/>
      <w:outlineLvl w:val="3"/>
    </w:pPr>
    <w:rPr>
      <w:rFonts w:eastAsia="Times New Roman" w:cs="Times New Roman"/>
      <w:i/>
      <w:iCs/>
      <w:color w:val="0F4761"/>
    </w:rPr>
  </w:style>
  <w:style w:type="paragraph" w:styleId="Heading5">
    <w:name w:val="heading 5"/>
    <w:basedOn w:val="Normal"/>
    <w:next w:val="Normal"/>
    <w:link w:val="Heading5Char"/>
    <w:uiPriority w:val="9"/>
    <w:semiHidden/>
    <w:unhideWhenUsed/>
    <w:qFormat/>
    <w:rsid w:val="00D758DE"/>
    <w:pPr>
      <w:keepNext/>
      <w:keepLines/>
      <w:spacing w:before="80" w:after="4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D758DE"/>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D758DE"/>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D758DE"/>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D758DE"/>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8DE"/>
    <w:rPr>
      <w:rFonts w:ascii="Aptos Display" w:eastAsia="Times New Roman" w:hAnsi="Aptos Display" w:cs="Times New Roman"/>
      <w:color w:val="0F4761"/>
      <w:sz w:val="40"/>
      <w:szCs w:val="40"/>
    </w:rPr>
  </w:style>
  <w:style w:type="character" w:customStyle="1" w:styleId="Heading2Char">
    <w:name w:val="Heading 2 Char"/>
    <w:basedOn w:val="DefaultParagraphFont"/>
    <w:link w:val="Heading2"/>
    <w:uiPriority w:val="9"/>
    <w:semiHidden/>
    <w:rsid w:val="00D758DE"/>
    <w:rPr>
      <w:rFonts w:ascii="Aptos Display" w:eastAsia="Times New Roman" w:hAnsi="Aptos Display" w:cs="Times New Roman"/>
      <w:color w:val="0F4761"/>
      <w:sz w:val="32"/>
      <w:szCs w:val="32"/>
    </w:rPr>
  </w:style>
  <w:style w:type="character" w:customStyle="1" w:styleId="Heading3Char">
    <w:name w:val="Heading 3 Char"/>
    <w:basedOn w:val="DefaultParagraphFont"/>
    <w:link w:val="Heading3"/>
    <w:uiPriority w:val="9"/>
    <w:semiHidden/>
    <w:rsid w:val="00D758DE"/>
    <w:rPr>
      <w:rFonts w:eastAsia="Times New Roman" w:cs="Times New Roman"/>
      <w:color w:val="0F4761"/>
      <w:sz w:val="28"/>
      <w:szCs w:val="28"/>
    </w:rPr>
  </w:style>
  <w:style w:type="character" w:customStyle="1" w:styleId="Heading4Char">
    <w:name w:val="Heading 4 Char"/>
    <w:basedOn w:val="DefaultParagraphFont"/>
    <w:link w:val="Heading4"/>
    <w:uiPriority w:val="9"/>
    <w:semiHidden/>
    <w:rsid w:val="00D758DE"/>
    <w:rPr>
      <w:rFonts w:eastAsia="Times New Roman" w:cs="Times New Roman"/>
      <w:i/>
      <w:iCs/>
      <w:color w:val="0F4761"/>
    </w:rPr>
  </w:style>
  <w:style w:type="character" w:customStyle="1" w:styleId="Heading5Char">
    <w:name w:val="Heading 5 Char"/>
    <w:basedOn w:val="DefaultParagraphFont"/>
    <w:link w:val="Heading5"/>
    <w:uiPriority w:val="9"/>
    <w:semiHidden/>
    <w:rsid w:val="00D758DE"/>
    <w:rPr>
      <w:rFonts w:eastAsia="Times New Roman" w:cs="Times New Roman"/>
      <w:color w:val="0F4761"/>
    </w:rPr>
  </w:style>
  <w:style w:type="character" w:customStyle="1" w:styleId="Heading6Char">
    <w:name w:val="Heading 6 Char"/>
    <w:basedOn w:val="DefaultParagraphFont"/>
    <w:link w:val="Heading6"/>
    <w:uiPriority w:val="9"/>
    <w:semiHidden/>
    <w:rsid w:val="00D758DE"/>
    <w:rPr>
      <w:rFonts w:eastAsia="Times New Roman" w:cs="Times New Roman"/>
      <w:i/>
      <w:iCs/>
      <w:color w:val="595959"/>
    </w:rPr>
  </w:style>
  <w:style w:type="character" w:customStyle="1" w:styleId="Heading7Char">
    <w:name w:val="Heading 7 Char"/>
    <w:basedOn w:val="DefaultParagraphFont"/>
    <w:link w:val="Heading7"/>
    <w:uiPriority w:val="9"/>
    <w:semiHidden/>
    <w:rsid w:val="00D758DE"/>
    <w:rPr>
      <w:rFonts w:eastAsia="Times New Roman" w:cs="Times New Roman"/>
      <w:color w:val="595959"/>
    </w:rPr>
  </w:style>
  <w:style w:type="character" w:customStyle="1" w:styleId="Heading8Char">
    <w:name w:val="Heading 8 Char"/>
    <w:basedOn w:val="DefaultParagraphFont"/>
    <w:link w:val="Heading8"/>
    <w:uiPriority w:val="9"/>
    <w:semiHidden/>
    <w:rsid w:val="00D758DE"/>
    <w:rPr>
      <w:rFonts w:eastAsia="Times New Roman" w:cs="Times New Roman"/>
      <w:i/>
      <w:iCs/>
      <w:color w:val="272727"/>
    </w:rPr>
  </w:style>
  <w:style w:type="character" w:customStyle="1" w:styleId="Heading9Char">
    <w:name w:val="Heading 9 Char"/>
    <w:basedOn w:val="DefaultParagraphFont"/>
    <w:link w:val="Heading9"/>
    <w:uiPriority w:val="9"/>
    <w:semiHidden/>
    <w:rsid w:val="00D758DE"/>
    <w:rPr>
      <w:rFonts w:eastAsia="Times New Roman" w:cs="Times New Roman"/>
      <w:color w:val="272727"/>
    </w:rPr>
  </w:style>
  <w:style w:type="paragraph" w:styleId="Title">
    <w:name w:val="Title"/>
    <w:basedOn w:val="Normal"/>
    <w:next w:val="Normal"/>
    <w:link w:val="TitleChar"/>
    <w:uiPriority w:val="10"/>
    <w:qFormat/>
    <w:rsid w:val="00D758DE"/>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basedOn w:val="DefaultParagraphFont"/>
    <w:link w:val="Title"/>
    <w:uiPriority w:val="10"/>
    <w:rsid w:val="00D758DE"/>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D758DE"/>
    <w:pPr>
      <w:numPr>
        <w:ilvl w:val="1"/>
      </w:numPr>
    </w:pPr>
    <w:rPr>
      <w:rFonts w:eastAsia="Times New Roman" w:cs="Times New Roman"/>
      <w:color w:val="595959"/>
      <w:spacing w:val="15"/>
      <w:sz w:val="28"/>
      <w:szCs w:val="28"/>
    </w:rPr>
  </w:style>
  <w:style w:type="character" w:customStyle="1" w:styleId="SubtitleChar">
    <w:name w:val="Subtitle Char"/>
    <w:basedOn w:val="DefaultParagraphFont"/>
    <w:link w:val="Subtitle"/>
    <w:uiPriority w:val="11"/>
    <w:rsid w:val="00D758DE"/>
    <w:rPr>
      <w:rFonts w:eastAsia="Times New Roman" w:cs="Times New Roman"/>
      <w:color w:val="595959"/>
      <w:spacing w:val="15"/>
      <w:sz w:val="28"/>
      <w:szCs w:val="28"/>
    </w:rPr>
  </w:style>
  <w:style w:type="paragraph" w:styleId="Quote">
    <w:name w:val="Quote"/>
    <w:basedOn w:val="Normal"/>
    <w:next w:val="Normal"/>
    <w:link w:val="QuoteChar"/>
    <w:uiPriority w:val="29"/>
    <w:qFormat/>
    <w:rsid w:val="00D758DE"/>
    <w:pPr>
      <w:spacing w:before="160"/>
      <w:jc w:val="center"/>
    </w:pPr>
    <w:rPr>
      <w:i/>
      <w:iCs/>
      <w:color w:val="404040"/>
    </w:rPr>
  </w:style>
  <w:style w:type="character" w:customStyle="1" w:styleId="QuoteChar">
    <w:name w:val="Quote Char"/>
    <w:basedOn w:val="DefaultParagraphFont"/>
    <w:link w:val="Quote"/>
    <w:uiPriority w:val="29"/>
    <w:rsid w:val="00D758DE"/>
    <w:rPr>
      <w:i/>
      <w:iCs/>
      <w:color w:val="404040"/>
    </w:rPr>
  </w:style>
  <w:style w:type="paragraph" w:styleId="ListParagraph">
    <w:name w:val="List Paragraph"/>
    <w:basedOn w:val="Normal"/>
    <w:uiPriority w:val="34"/>
    <w:qFormat/>
    <w:rsid w:val="00D758DE"/>
    <w:pPr>
      <w:ind w:left="720"/>
      <w:contextualSpacing/>
    </w:pPr>
  </w:style>
  <w:style w:type="character" w:styleId="IntenseEmphasis">
    <w:name w:val="Intense Emphasis"/>
    <w:basedOn w:val="DefaultParagraphFont"/>
    <w:uiPriority w:val="21"/>
    <w:qFormat/>
    <w:rsid w:val="00D758DE"/>
    <w:rPr>
      <w:i/>
      <w:iCs/>
      <w:color w:val="0F4761"/>
    </w:rPr>
  </w:style>
  <w:style w:type="paragraph" w:styleId="IntenseQuote">
    <w:name w:val="Intense Quote"/>
    <w:basedOn w:val="Normal"/>
    <w:next w:val="Normal"/>
    <w:link w:val="IntenseQuoteChar"/>
    <w:uiPriority w:val="30"/>
    <w:qFormat/>
    <w:rsid w:val="00D758DE"/>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D758DE"/>
    <w:rPr>
      <w:i/>
      <w:iCs/>
      <w:color w:val="0F4761"/>
    </w:rPr>
  </w:style>
  <w:style w:type="character" w:styleId="IntenseReference">
    <w:name w:val="Intense Reference"/>
    <w:basedOn w:val="DefaultParagraphFont"/>
    <w:uiPriority w:val="32"/>
    <w:qFormat/>
    <w:rsid w:val="00D758DE"/>
    <w:rPr>
      <w:b/>
      <w:bCs/>
      <w:smallCaps/>
      <w:color w:val="0F4761"/>
      <w:spacing w:val="5"/>
    </w:rPr>
  </w:style>
  <w:style w:type="paragraph" w:styleId="FootnoteText">
    <w:name w:val="footnote text"/>
    <w:basedOn w:val="Normal"/>
    <w:link w:val="FootnoteTextChar"/>
    <w:uiPriority w:val="99"/>
    <w:semiHidden/>
    <w:unhideWhenUsed/>
    <w:rsid w:val="00D758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58DE"/>
    <w:rPr>
      <w:sz w:val="20"/>
      <w:szCs w:val="20"/>
    </w:rPr>
  </w:style>
  <w:style w:type="character" w:styleId="FootnoteReference">
    <w:name w:val="footnote reference"/>
    <w:basedOn w:val="DefaultParagraphFont"/>
    <w:uiPriority w:val="99"/>
    <w:semiHidden/>
    <w:unhideWhenUsed/>
    <w:rsid w:val="00D758DE"/>
    <w:rPr>
      <w:vertAlign w:val="superscript"/>
    </w:rPr>
  </w:style>
  <w:style w:type="paragraph" w:styleId="Header">
    <w:name w:val="header"/>
    <w:basedOn w:val="Normal"/>
    <w:link w:val="HeaderChar"/>
    <w:uiPriority w:val="99"/>
    <w:unhideWhenUsed/>
    <w:rsid w:val="00D75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8DE"/>
  </w:style>
  <w:style w:type="paragraph" w:styleId="Revision">
    <w:name w:val="Revision"/>
    <w:hidden/>
    <w:uiPriority w:val="99"/>
    <w:semiHidden/>
    <w:rsid w:val="00D758DE"/>
    <w:pPr>
      <w:spacing w:after="0" w:line="240" w:lineRule="auto"/>
    </w:pPr>
    <w:rPr>
      <w:kern w:val="2"/>
      <w:sz w:val="24"/>
      <w:szCs w:val="24"/>
    </w:rPr>
  </w:style>
  <w:style w:type="paragraph" w:styleId="Footer">
    <w:name w:val="footer"/>
    <w:basedOn w:val="Normal"/>
    <w:link w:val="FooterChar"/>
    <w:uiPriority w:val="99"/>
    <w:unhideWhenUsed/>
    <w:rsid w:val="00017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167"/>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4a4cd09-5f17-433b-814a-38e7e9115d16"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0A9475-5480-4EFE-9900-AE5A5CAAB1FB}">
  <ds:schemaRefs>
    <ds:schemaRef ds:uri="http://schemas.openxmlformats.org/officeDocument/2006/bibliography"/>
  </ds:schemaRefs>
</ds:datastoreItem>
</file>

<file path=customXml/itemProps2.xml><?xml version="1.0" encoding="utf-8"?>
<ds:datastoreItem xmlns:ds="http://schemas.openxmlformats.org/officeDocument/2006/customXml" ds:itemID="{7242730B-FD51-4B47-9FA7-57EF1BA44F9F}">
  <ds:schemaRefs>
    <ds:schemaRef ds:uri="http://schemas.microsoft.com/office/2006/metadata/properties"/>
    <ds:schemaRef ds:uri="http://schemas.microsoft.com/office/infopath/2007/PartnerControls"/>
    <ds:schemaRef ds:uri="5e8733a2-e908-454b-85cf-c9d17e1d0943"/>
  </ds:schemaRefs>
</ds:datastoreItem>
</file>

<file path=customXml/itemProps3.xml><?xml version="1.0" encoding="utf-8"?>
<ds:datastoreItem xmlns:ds="http://schemas.openxmlformats.org/officeDocument/2006/customXml" ds:itemID="{F9AC8939-31A2-47C7-931E-EC87BB6BDA72}">
  <ds:schemaRefs>
    <ds:schemaRef ds:uri="http://schemas.microsoft.com/sharepoint/v3/contenttype/forms"/>
  </ds:schemaRefs>
</ds:datastoreItem>
</file>

<file path=customXml/itemProps4.xml><?xml version="1.0" encoding="utf-8"?>
<ds:datastoreItem xmlns:ds="http://schemas.openxmlformats.org/officeDocument/2006/customXml" ds:itemID="{463FCDEE-B1FB-42D0-97B0-E98F6C38C55C}">
  <ds:schemaRefs>
    <ds:schemaRef ds:uri="Microsoft.SharePoint.Taxonomy.ContentTypeSync"/>
  </ds:schemaRefs>
</ds:datastoreItem>
</file>

<file path=customXml/itemProps5.xml><?xml version="1.0" encoding="utf-8"?>
<ds:datastoreItem xmlns:ds="http://schemas.openxmlformats.org/officeDocument/2006/customXml" ds:itemID="{08AEE439-AAE8-46E0-8BE4-CF86741D9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Morse, Alexander</dc:creator>
  <cp:lastModifiedBy>Morse, Alexander</cp:lastModifiedBy>
  <cp:revision>2</cp:revision>
  <cp:lastPrinted>2026-09-25T19:00:14Z</cp:lastPrinted>
  <dcterms:created xsi:type="dcterms:W3CDTF">2026-09-25T18:03:00Z</dcterms:created>
  <dcterms:modified xsi:type="dcterms:W3CDTF">2026-09-25T18:03:00Z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049dce-8671-4c79-90d7-f6ec79470f4e_ActionId">
    <vt:lpwstr>6f1a236e-0570-48ea-9648-917082f14d05</vt:lpwstr>
  </property>
  <property fmtid="{D5CDD505-2E9C-101B-9397-08002B2CF9AE}" pid="3" name="MSIP_Label_a5049dce-8671-4c79-90d7-f6ec79470f4e_ContentBits">
    <vt:lpwstr>0</vt:lpwstr>
  </property>
  <property fmtid="{D5CDD505-2E9C-101B-9397-08002B2CF9AE}" pid="4" name="MSIP_Label_a5049dce-8671-4c79-90d7-f6ec79470f4e_Enabled">
    <vt:lpwstr>true</vt:lpwstr>
  </property>
  <property fmtid="{D5CDD505-2E9C-101B-9397-08002B2CF9AE}" pid="5" name="MSIP_Label_a5049dce-8671-4c79-90d7-f6ec79470f4e_Method">
    <vt:lpwstr>Privileged</vt:lpwstr>
  </property>
  <property fmtid="{D5CDD505-2E9C-101B-9397-08002B2CF9AE}" pid="6" name="MSIP_Label_a5049dce-8671-4c79-90d7-f6ec79470f4e_Name">
    <vt:lpwstr>Public</vt:lpwstr>
  </property>
  <property fmtid="{D5CDD505-2E9C-101B-9397-08002B2CF9AE}" pid="7" name="MSIP_Label_a5049dce-8671-4c79-90d7-f6ec79470f4e_SetDate">
    <vt:lpwstr>2026-09-25T18:02:28Z</vt:lpwstr>
  </property>
  <property fmtid="{D5CDD505-2E9C-101B-9397-08002B2CF9AE}" pid="8" name="MSIP_Label_a5049dce-8671-4c79-90d7-f6ec79470f4e_SiteId">
    <vt:lpwstr>7658602a-f7b9-4209-bc62-d2bfc30dea0d</vt:lpwstr>
  </property>
  <property fmtid="{D5CDD505-2E9C-101B-9397-08002B2CF9AE}" pid="9" name="MSIP_Label_a5049dce-8671-4c79-90d7-f6ec79470f4e_Tag">
    <vt:lpwstr>10, 0, 1, 1</vt:lpwstr>
  </property>
</Properties>
</file>