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A854A1">
      <w:pPr>
        <w:jc w:val="center"/>
      </w:pPr>
      <w:r>
        <w:t>196 FERC ¶ 61,154</w:t>
      </w:r>
    </w:p>
    <w:p w:rsidR="00424B8B" w:rsidRPr="008C718B" w:rsidP="00424B8B">
      <w:pPr>
        <w:jc w:val="center"/>
      </w:pPr>
      <w:r w:rsidRPr="008C718B">
        <w:t>FEDERAL ENERGY REGULATORY COMMISSION</w:t>
      </w:r>
    </w:p>
    <w:p w:rsidR="00424B8B" w:rsidRPr="008C718B" w:rsidP="00424B8B">
      <w:pPr>
        <w:jc w:val="center"/>
      </w:pPr>
      <w:r w:rsidRPr="008C718B">
        <w:t>WASHINGTON, DC 20426</w:t>
      </w:r>
    </w:p>
    <w:p w:rsidR="00424B8B" w:rsidRPr="008C718B" w:rsidP="00424B8B">
      <w:pPr>
        <w:jc w:val="center"/>
      </w:pPr>
    </w:p>
    <w:p w:rsidR="00424B8B" w:rsidP="006D5137">
      <w:pPr>
        <w:widowControl/>
        <w:jc w:val="center"/>
      </w:pPr>
      <w:r w:rsidRPr="00A218A7">
        <w:t>August 24, 2026</w:t>
      </w:r>
    </w:p>
    <w:p w:rsidR="00A218A7" w:rsidRPr="00A218A7" w:rsidP="007A44FB">
      <w:pPr>
        <w:widowControl/>
      </w:pPr>
    </w:p>
    <w:p w:rsidR="00424B8B" w:rsidRPr="008C718B" w:rsidP="00424B8B">
      <w:r>
        <w:tab/>
      </w:r>
      <w:r w:rsidRPr="008C718B">
        <w:tab/>
        <w:tab/>
        <w:tab/>
        <w:tab/>
        <w:tab/>
        <w:t>In Reply Refer To:</w:t>
      </w:r>
    </w:p>
    <w:p w:rsidR="00424B8B" w:rsidRPr="008C718B" w:rsidP="007A44FB">
      <w:pPr>
        <w:ind w:left="3600" w:firstLine="720"/>
      </w:pPr>
      <w:bookmarkStart w:id="0" w:name="Company"/>
      <w:bookmarkEnd w:id="0"/>
      <w:r w:rsidRPr="008C718B">
        <w:t>New York Independent System Operator, Inc.</w:t>
      </w:r>
    </w:p>
    <w:p w:rsidR="00424B8B" w:rsidRPr="008C718B" w:rsidP="007A44FB">
      <w:pPr>
        <w:ind w:left="3600" w:firstLine="720"/>
      </w:pPr>
      <w:bookmarkStart w:id="1" w:name="Docket_Number"/>
      <w:bookmarkEnd w:id="1"/>
      <w:r w:rsidRPr="008C718B">
        <w:t>Docket No.</w:t>
      </w:r>
      <w:r w:rsidR="00436ABE">
        <w:t xml:space="preserve"> </w:t>
      </w:r>
      <w:r w:rsidRPr="008C718B">
        <w:t>ER26-2959-000</w:t>
      </w:r>
    </w:p>
    <w:p w:rsidR="00424B8B" w:rsidRPr="008C718B" w:rsidP="00424B8B">
      <w:r w:rsidRPr="008C718B">
        <w:tab/>
        <w:tab/>
        <w:tab/>
        <w:tab/>
        <w:tab/>
      </w:r>
    </w:p>
    <w:p w:rsidR="00424B8B" w:rsidRPr="008C718B" w:rsidP="00424B8B">
      <w:bookmarkStart w:id="2" w:name="Address"/>
      <w:bookmarkEnd w:id="2"/>
      <w:r w:rsidRPr="008C718B">
        <w:t>New York Independent System Operator, Inc.</w:t>
      </w:r>
    </w:p>
    <w:p w:rsidR="00424B8B" w:rsidRPr="008C718B" w:rsidP="00424B8B">
      <w:r w:rsidRPr="008C718B">
        <w:t>10 Krey Boulevard</w:t>
      </w:r>
    </w:p>
    <w:p w:rsidR="00424B8B" w:rsidRPr="008C718B" w:rsidP="00424B8B">
      <w:r w:rsidRPr="008C718B">
        <w:t>Rensselaer, NY 12144</w:t>
      </w:r>
    </w:p>
    <w:p w:rsidR="00424B8B" w:rsidRPr="008C718B" w:rsidP="00424B8B"/>
    <w:p w:rsidR="00424B8B" w:rsidRPr="008C718B" w:rsidP="00424B8B">
      <w:r w:rsidRPr="008C718B">
        <w:t>Attention:</w:t>
      </w:r>
      <w:r w:rsidR="00A218A7">
        <w:t xml:space="preserve"> </w:t>
      </w:r>
      <w:r w:rsidRPr="008C718B">
        <w:t xml:space="preserve"> Garrett E. Bissell</w:t>
      </w:r>
    </w:p>
    <w:p w:rsidR="00424B8B" w:rsidRPr="008C718B" w:rsidP="00424B8B"/>
    <w:p w:rsidR="00424B8B" w:rsidP="00424B8B">
      <w:bookmarkStart w:id="3" w:name="Name"/>
      <w:bookmarkEnd w:id="3"/>
      <w:r w:rsidRPr="008C718B">
        <w:t xml:space="preserve">Dear </w:t>
      </w:r>
      <w:bookmarkStart w:id="4" w:name="Name2"/>
      <w:bookmarkEnd w:id="4"/>
      <w:r w:rsidRPr="008C718B">
        <w:t>Mr. Bissell:</w:t>
      </w:r>
    </w:p>
    <w:p w:rsidR="00AC4D4F" w:rsidRPr="008C718B" w:rsidP="00424B8B"/>
    <w:p w:rsidR="005830A4" w:rsidP="005830A4">
      <w:pPr>
        <w:pStyle w:val="FERCparanumber"/>
      </w:pPr>
      <w:r>
        <w:t xml:space="preserve">On </w:t>
      </w:r>
      <w:r w:rsidR="00872FCA">
        <w:t xml:space="preserve">June 25, 2026, pursuant </w:t>
      </w:r>
      <w:r w:rsidR="00DC304B">
        <w:t>to section 205 of the Federal Power Act (FPA)</w:t>
      </w:r>
      <w:r>
        <w:rPr>
          <w:rStyle w:val="FootnoteReference"/>
        </w:rPr>
        <w:footnoteReference w:id="3"/>
      </w:r>
      <w:r w:rsidRPr="50F95253" w:rsidR="00DC304B">
        <w:rPr>
          <w:rFonts w:cs="Arial"/>
        </w:rPr>
        <w:t xml:space="preserve"> </w:t>
      </w:r>
      <w:r w:rsidRPr="003163B8" w:rsidR="00DC304B">
        <w:t xml:space="preserve">and </w:t>
      </w:r>
      <w:r w:rsidR="00B300AF">
        <w:t>P</w:t>
      </w:r>
      <w:r w:rsidRPr="003163B8" w:rsidR="00DC304B">
        <w:t>art 35 of the Commission’s regulations,</w:t>
      </w:r>
      <w:r>
        <w:rPr>
          <w:b/>
          <w:vertAlign w:val="superscript"/>
        </w:rPr>
        <w:footnoteReference w:id="4"/>
      </w:r>
      <w:r w:rsidRPr="003163B8" w:rsidR="00DC304B">
        <w:t xml:space="preserve"> New York Independent System Operator, Inc. (NYISO) </w:t>
      </w:r>
      <w:r w:rsidR="00DC304B">
        <w:t>submitted</w:t>
      </w:r>
      <w:r w:rsidRPr="003163B8" w:rsidR="00DC304B">
        <w:t xml:space="preserve"> proposed revisions to its </w:t>
      </w:r>
      <w:r w:rsidR="00DC304B">
        <w:t>M</w:t>
      </w:r>
      <w:r w:rsidRPr="003163B8" w:rsidR="00DC304B">
        <w:t>arket</w:t>
      </w:r>
      <w:r w:rsidRPr="50F95253" w:rsidR="00DC304B">
        <w:rPr>
          <w:rFonts w:cs="Arial"/>
        </w:rPr>
        <w:t xml:space="preserve"> </w:t>
      </w:r>
      <w:r w:rsidR="00DC304B">
        <w:t>A</w:t>
      </w:r>
      <w:r w:rsidRPr="003163B8" w:rsidR="00DC304B">
        <w:t xml:space="preserve">dministration and </w:t>
      </w:r>
      <w:r w:rsidR="00DC304B">
        <w:t>C</w:t>
      </w:r>
      <w:r w:rsidRPr="003163B8" w:rsidR="00DC304B">
        <w:t xml:space="preserve">ontrol </w:t>
      </w:r>
      <w:r w:rsidR="00DC304B">
        <w:t>A</w:t>
      </w:r>
      <w:r w:rsidRPr="003163B8" w:rsidR="00DC304B">
        <w:t xml:space="preserve">rea </w:t>
      </w:r>
      <w:r w:rsidRPr="0015313D" w:rsidR="00381C24">
        <w:t>Services</w:t>
      </w:r>
      <w:r w:rsidRPr="0015313D" w:rsidR="0062159A">
        <w:t xml:space="preserve"> Tariff</w:t>
      </w:r>
      <w:r w:rsidRPr="0015313D" w:rsidR="00B42FC2">
        <w:t xml:space="preserve"> (</w:t>
      </w:r>
      <w:r w:rsidRPr="0015313D" w:rsidR="00852B98">
        <w:t xml:space="preserve">Services </w:t>
      </w:r>
      <w:r w:rsidRPr="0015313D" w:rsidR="00B42FC2">
        <w:t>Tariff)</w:t>
      </w:r>
      <w:r>
        <w:rPr>
          <w:b/>
          <w:vertAlign w:val="superscript"/>
        </w:rPr>
        <w:footnoteReference w:id="5"/>
      </w:r>
      <w:r w:rsidRPr="0015313D" w:rsidR="00701163">
        <w:t xml:space="preserve"> to </w:t>
      </w:r>
      <w:r w:rsidRPr="0015313D" w:rsidR="00701163">
        <w:rPr>
          <w:bCs/>
        </w:rPr>
        <w:t>set new Installed Capacity (ICAP)</w:t>
      </w:r>
      <w:r w:rsidRPr="00714317" w:rsidR="00701163">
        <w:rPr>
          <w:bCs/>
        </w:rPr>
        <w:t xml:space="preserve"> market parameters </w:t>
      </w:r>
      <w:r w:rsidR="00701163">
        <w:rPr>
          <w:bCs/>
        </w:rPr>
        <w:t xml:space="preserve">in </w:t>
      </w:r>
      <w:r w:rsidRPr="00714317" w:rsidR="00701163">
        <w:rPr>
          <w:bCs/>
        </w:rPr>
        <w:t xml:space="preserve">the upcoming 2026-2027 Winter Capability Period to align them </w:t>
      </w:r>
      <w:r w:rsidR="000E7E5C">
        <w:rPr>
          <w:bCs/>
        </w:rPr>
        <w:t>with</w:t>
      </w:r>
      <w:r w:rsidRPr="00714317" w:rsidR="000E7E5C">
        <w:rPr>
          <w:bCs/>
        </w:rPr>
        <w:t xml:space="preserve"> </w:t>
      </w:r>
      <w:r w:rsidRPr="00714317" w:rsidR="00701163">
        <w:rPr>
          <w:bCs/>
        </w:rPr>
        <w:t>expected capacity supply conditions</w:t>
      </w:r>
      <w:r w:rsidR="00D9529F">
        <w:rPr>
          <w:bCs/>
        </w:rPr>
        <w:t>.</w:t>
      </w:r>
      <w:r>
        <w:rPr>
          <w:rStyle w:val="FootnoteReference"/>
          <w:bCs/>
        </w:rPr>
        <w:footnoteReference w:id="6"/>
      </w:r>
      <w:r w:rsidR="00591683">
        <w:rPr>
          <w:bCs/>
        </w:rPr>
        <w:t xml:space="preserve"> </w:t>
      </w:r>
      <w:r w:rsidR="00FA1B22">
        <w:rPr>
          <w:bCs/>
        </w:rPr>
        <w:t xml:space="preserve"> </w:t>
      </w:r>
      <w:r w:rsidR="003A260D">
        <w:rPr>
          <w:bCs/>
        </w:rPr>
        <w:t>As d</w:t>
      </w:r>
      <w:r w:rsidR="009E5D61">
        <w:rPr>
          <w:bCs/>
        </w:rPr>
        <w:t>i</w:t>
      </w:r>
      <w:r w:rsidR="00901C96">
        <w:rPr>
          <w:bCs/>
        </w:rPr>
        <w:t xml:space="preserve">scussed </w:t>
      </w:r>
      <w:r w:rsidR="00BC704C">
        <w:rPr>
          <w:bCs/>
        </w:rPr>
        <w:t xml:space="preserve">below, we accept NYISO’s proposed </w:t>
      </w:r>
      <w:r w:rsidR="00852B98">
        <w:t>revisions to its</w:t>
      </w:r>
      <w:r w:rsidR="00B50569">
        <w:t xml:space="preserve"> </w:t>
      </w:r>
      <w:r w:rsidR="00852B98">
        <w:t xml:space="preserve">Services </w:t>
      </w:r>
      <w:r w:rsidR="0062159A">
        <w:t xml:space="preserve">Tariff, </w:t>
      </w:r>
      <w:r w:rsidR="00AC7E69">
        <w:t xml:space="preserve">to be </w:t>
      </w:r>
      <w:r w:rsidR="0062159A">
        <w:t xml:space="preserve">effective </w:t>
      </w:r>
      <w:r w:rsidR="00664370">
        <w:t>August 25,</w:t>
      </w:r>
      <w:r w:rsidR="006C6B57">
        <w:t xml:space="preserve"> 2026</w:t>
      </w:r>
      <w:r w:rsidR="000A566D">
        <w:t>, as requested.</w:t>
      </w:r>
    </w:p>
    <w:p w:rsidR="000D011B" w:rsidP="00300A1A">
      <w:pPr>
        <w:pStyle w:val="FERCparanumber"/>
      </w:pPr>
      <w:r w:rsidRPr="00CC280D">
        <w:t>NYISO administers the Installed Capacity (ICAP) market through which Unforced Capacity (UCAP) is bought and sold.</w:t>
      </w:r>
      <w:r>
        <w:rPr>
          <w:rStyle w:val="FootnoteReference"/>
        </w:rPr>
        <w:footnoteReference w:id="7"/>
      </w:r>
      <w:r w:rsidRPr="00CC280D">
        <w:t xml:space="preserve">  UCAP represents the amount of ICAP that is available at a particular time, adjusted for periods when a resource is not available due to a forced outage or other limitations on a resource’s operating capability</w:t>
      </w:r>
      <w:r>
        <w:t xml:space="preserve">.  </w:t>
      </w:r>
      <w:r w:rsidRPr="00341C38" w:rsidR="00341C38">
        <w:t>NYISO administers three types of ICAP Auctions:  (1) Capability Period Auctions; (2) Monthly Auctions; and (3) Spot Market Auctions.</w:t>
      </w:r>
      <w:r>
        <w:rPr>
          <w:b/>
          <w:vertAlign w:val="superscript"/>
        </w:rPr>
        <w:footnoteReference w:id="8"/>
      </w:r>
      <w:r w:rsidRPr="00341C38" w:rsidR="00341C38">
        <w:t xml:space="preserve">  NYISO’s ICAP Auctions enable Load Serving Entities to meet resource adequacy requirements.  Capability Period Auctions are voluntary auctions that allow sellers to offer any uncommitted capacity and Load Serving Entities to buy capacity for a six-month Capability Period.</w:t>
      </w:r>
      <w:r w:rsidR="00341C38">
        <w:t xml:space="preserve">  </w:t>
      </w:r>
    </w:p>
    <w:p w:rsidR="00300A1A" w:rsidP="0052233A">
      <w:pPr>
        <w:pStyle w:val="FERCparanumber"/>
      </w:pPr>
      <w:r>
        <w:t>Under NYISO’s current rules,</w:t>
      </w:r>
      <w:r>
        <w:t xml:space="preserve"> </w:t>
      </w:r>
      <w:r w:rsidR="000D1822">
        <w:t>NYISO must</w:t>
      </w:r>
      <w:r>
        <w:t xml:space="preserve"> </w:t>
      </w:r>
      <w:r w:rsidR="000D1822">
        <w:t>determine</w:t>
      </w:r>
      <w:r>
        <w:t xml:space="preserve"> </w:t>
      </w:r>
      <w:r w:rsidR="001D42CD">
        <w:t xml:space="preserve">whether </w:t>
      </w:r>
      <w:r>
        <w:t xml:space="preserve">a Capability Year includes certain new entry that can materially influence </w:t>
      </w:r>
      <w:r w:rsidR="00602513">
        <w:t>the</w:t>
      </w:r>
      <w:r w:rsidR="0089748A">
        <w:t xml:space="preserve"> ICAP market</w:t>
      </w:r>
      <w:r w:rsidR="00602513">
        <w:t xml:space="preserve"> </w:t>
      </w:r>
      <w:r>
        <w:t>parameters, known as Triggering Resources.</w:t>
      </w:r>
      <w:r>
        <w:rPr>
          <w:rStyle w:val="FootnoteReference"/>
        </w:rPr>
        <w:footnoteReference w:id="9"/>
      </w:r>
      <w:r>
        <w:t xml:space="preserve">  </w:t>
      </w:r>
      <w:r w:rsidR="00217AD7">
        <w:t>W</w:t>
      </w:r>
      <w:r>
        <w:t xml:space="preserve">here </w:t>
      </w:r>
      <w:r w:rsidRPr="006435C7">
        <w:t>a Capability Year includes a Triggering Resource</w:t>
      </w:r>
      <w:r>
        <w:t xml:space="preserve">, </w:t>
      </w:r>
      <w:r w:rsidRPr="006435C7">
        <w:t xml:space="preserve">NYISO </w:t>
      </w:r>
      <w:r>
        <w:t>must</w:t>
      </w:r>
      <w:r w:rsidRPr="006435C7">
        <w:t xml:space="preserve"> develop two sets of ICAP market parameters to account for different assumptions regarding the Triggering Resource’s participation in the ICAP market.</w:t>
      </w:r>
      <w:r>
        <w:rPr>
          <w:rStyle w:val="FootnoteReference"/>
        </w:rPr>
        <w:footnoteReference w:id="10"/>
      </w:r>
      <w:r>
        <w:t xml:space="preserve">  If the Triggering Resource provides </w:t>
      </w:r>
      <w:r w:rsidR="00D41D60">
        <w:t xml:space="preserve">valid </w:t>
      </w:r>
      <w:r>
        <w:t xml:space="preserve">notice that it will participate in </w:t>
      </w:r>
      <w:r w:rsidRPr="00E87898" w:rsidR="00E87898">
        <w:t>the ICAP market for any delivery month during the Summer Capability Period (May through October),</w:t>
      </w:r>
      <w:r>
        <w:t xml:space="preserve"> NYISO</w:t>
      </w:r>
      <w:r w:rsidRPr="0052233A" w:rsidR="0052233A">
        <w:t xml:space="preserve"> </w:t>
      </w:r>
      <w:r w:rsidR="0052233A">
        <w:t xml:space="preserve">will implement the ICAP market parameters that assume the Triggering Resource is participating in the ICAP market </w:t>
      </w:r>
      <w:r w:rsidR="00A01DF3">
        <w:t>beginning with</w:t>
      </w:r>
      <w:r w:rsidR="0052233A">
        <w:t xml:space="preserve"> the delivery month indicated in the required notice</w:t>
      </w:r>
      <w:r w:rsidR="00A01DF3">
        <w:t>.</w:t>
      </w:r>
      <w:r>
        <w:rPr>
          <w:rStyle w:val="FootnoteReference"/>
        </w:rPr>
        <w:footnoteReference w:id="11"/>
      </w:r>
      <w:r>
        <w:t xml:space="preserve">  </w:t>
      </w:r>
    </w:p>
    <w:p w:rsidR="009D1565" w:rsidRPr="00714317" w:rsidP="008D6733">
      <w:pPr>
        <w:pStyle w:val="FERCparanumber"/>
      </w:pPr>
      <w:r w:rsidRPr="00714317">
        <w:t xml:space="preserve">NYISO </w:t>
      </w:r>
      <w:r w:rsidR="00896AB2">
        <w:t>states that it</w:t>
      </w:r>
      <w:r w:rsidRPr="00714317">
        <w:t xml:space="preserve"> determined that the Unforced Capacity Deliverability Rights (UDR) awarded to the Champlain Hudson Power Express (CHPE) project </w:t>
      </w:r>
      <w:r w:rsidR="00CE11A3">
        <w:t>constituted</w:t>
      </w:r>
      <w:r w:rsidRPr="00714317" w:rsidR="00CE11A3">
        <w:t xml:space="preserve"> </w:t>
      </w:r>
      <w:r w:rsidRPr="00714317">
        <w:t>a Triggering Resource for the 2026-2027 Capability Year.</w:t>
      </w:r>
      <w:r>
        <w:rPr>
          <w:rStyle w:val="FootnoteReference"/>
        </w:rPr>
        <w:footnoteReference w:id="12"/>
      </w:r>
      <w:r w:rsidRPr="00714317">
        <w:t xml:space="preserve">  Accordingly, NYISO explains that it developed two sets of ICAP market parameters: </w:t>
      </w:r>
      <w:r w:rsidR="00321D23">
        <w:t xml:space="preserve"> </w:t>
      </w:r>
      <w:r w:rsidRPr="00714317">
        <w:t xml:space="preserve">one assuming </w:t>
      </w:r>
      <w:r w:rsidR="00FC481A">
        <w:t xml:space="preserve">that </w:t>
      </w:r>
      <w:r w:rsidRPr="00714317">
        <w:t xml:space="preserve">the CHPE UDRs are not participating in the ICAP market (CHPE-Out) and another assuming the CHPE UDRs participate at full capability </w:t>
      </w:r>
      <w:r w:rsidRPr="006113CD" w:rsidR="006113CD">
        <w:t xml:space="preserve">(i.e., provide 1,250 MW of capacity supply) </w:t>
      </w:r>
      <w:r w:rsidRPr="00714317">
        <w:t>in the ICAP market (CHPE-In).</w:t>
      </w:r>
      <w:r>
        <w:rPr>
          <w:rStyle w:val="FootnoteReference"/>
        </w:rPr>
        <w:footnoteReference w:id="13"/>
      </w:r>
      <w:r w:rsidRPr="00714317">
        <w:t xml:space="preserve">    </w:t>
      </w:r>
    </w:p>
    <w:p w:rsidR="009D1565" w:rsidP="008D6733">
      <w:pPr>
        <w:pStyle w:val="FERCparanumber"/>
      </w:pPr>
      <w:r w:rsidRPr="00714317">
        <w:t>NYISO explains that H.Q. Energy Services (U.S.) Inc. (HQUS), the CHPE UDR rightsholder, provided the required notice of participation by the CHPE UDRs for the July 2026 delivery month.</w:t>
      </w:r>
      <w:r>
        <w:rPr>
          <w:rStyle w:val="FootnoteReference"/>
        </w:rPr>
        <w:footnoteReference w:id="14"/>
      </w:r>
      <w:r w:rsidRPr="00714317">
        <w:t xml:space="preserve">  Therefore, NYISO states that, beginning with the July 2026 delivery month, the CHPE-In ICAP market parameters will take effect and will remain in effect through the end of the 2026-2027 Capability Year under the current rules.</w:t>
      </w:r>
    </w:p>
    <w:p w:rsidR="009D1565" w:rsidRPr="00714317" w:rsidP="008D6733">
      <w:pPr>
        <w:pStyle w:val="FERCparanumber"/>
      </w:pPr>
      <w:r>
        <w:t xml:space="preserve">However, </w:t>
      </w:r>
      <w:r w:rsidRPr="00714317">
        <w:t>NYISO explains that an expectation of 1,250 MW of capacity supply from the CHPE UDRs is not reasonable for the peak winter months of the upcoming 2026-2027 Winter Capability Period (i.e., December 2026 through February 2027).</w:t>
      </w:r>
      <w:r>
        <w:rPr>
          <w:rStyle w:val="FootnoteReference"/>
        </w:rPr>
        <w:footnoteReference w:id="15"/>
      </w:r>
      <w:r w:rsidRPr="00714317">
        <w:t xml:space="preserve">  NYISO explains that </w:t>
      </w:r>
      <w:r w:rsidR="00F91FCA">
        <w:t xml:space="preserve">HQUS has an obligation to first serve its native load </w:t>
      </w:r>
      <w:r w:rsidR="00484F0D">
        <w:t xml:space="preserve">in </w:t>
      </w:r>
      <w:r w:rsidRPr="00714317">
        <w:t>Hydro-Québec</w:t>
      </w:r>
      <w:r w:rsidR="00775DEF">
        <w:t>, and because</w:t>
      </w:r>
      <w:r w:rsidRPr="00775DEF" w:rsidR="00775DEF">
        <w:t xml:space="preserve"> </w:t>
      </w:r>
      <w:r w:rsidRPr="00714317" w:rsidR="00775DEF">
        <w:t>Hydro-Québec</w:t>
      </w:r>
      <w:r w:rsidRPr="00714317">
        <w:t xml:space="preserve"> is a winter-peaking system</w:t>
      </w:r>
      <w:r w:rsidR="006A3DF5">
        <w:t>,</w:t>
      </w:r>
      <w:r w:rsidRPr="00714317">
        <w:t xml:space="preserve"> Hydro-Québec has historically had little or no surplus capacity available for export to the </w:t>
      </w:r>
      <w:r w:rsidR="00646DD7">
        <w:t xml:space="preserve">New York Control </w:t>
      </w:r>
      <w:r w:rsidR="006358BD">
        <w:t>Area (</w:t>
      </w:r>
      <w:r w:rsidRPr="00714317">
        <w:t>NYCA</w:t>
      </w:r>
      <w:r w:rsidR="006358BD">
        <w:t>)</w:t>
      </w:r>
      <w:r w:rsidRPr="00714317">
        <w:t xml:space="preserve"> during the</w:t>
      </w:r>
      <w:r w:rsidR="005461CD">
        <w:t xml:space="preserve"> months of December, January, and February</w:t>
      </w:r>
      <w:r w:rsidRPr="00714317">
        <w:t>.</w:t>
      </w:r>
      <w:r>
        <w:rPr>
          <w:rStyle w:val="FootnoteReference"/>
        </w:rPr>
        <w:footnoteReference w:id="16"/>
      </w:r>
      <w:r w:rsidRPr="00714317">
        <w:t xml:space="preserve">  NYISO states that its assessment identified that it is more reasonable to assume </w:t>
      </w:r>
      <w:r w:rsidR="004D07FA">
        <w:t>zero</w:t>
      </w:r>
      <w:r w:rsidRPr="00714317">
        <w:t xml:space="preserve"> MW of capacity supply available from the CHPE UDRs to New York City during the peak winter months of the upcoming 2026-2027 Winter Capability Period.  NYISO states that, if the CHPE-In parameters </w:t>
      </w:r>
      <w:r w:rsidR="00CE1479">
        <w:t xml:space="preserve">of </w:t>
      </w:r>
      <w:r w:rsidRPr="00714317" w:rsidR="00CE1479">
        <w:t>1,250 MW of capacity supply from the CHPE UDRs</w:t>
      </w:r>
      <w:r w:rsidRPr="00714317">
        <w:t xml:space="preserve"> are maintained when the expected supply from the CHPE UDRs is </w:t>
      </w:r>
      <w:r w:rsidR="00B807B4">
        <w:t>zero</w:t>
      </w:r>
      <w:r w:rsidRPr="00714317">
        <w:t xml:space="preserve"> MW, the New York City </w:t>
      </w:r>
      <w:r w:rsidRPr="00714317" w:rsidR="0026195B">
        <w:t xml:space="preserve">Locational Minimum Installed Capacity Requirement </w:t>
      </w:r>
      <w:r w:rsidR="0026195B">
        <w:t>(</w:t>
      </w:r>
      <w:r w:rsidRPr="00714317">
        <w:t>LCR</w:t>
      </w:r>
      <w:r w:rsidR="0026195B">
        <w:t>)</w:t>
      </w:r>
      <w:r w:rsidRPr="00714317">
        <w:t xml:space="preserve"> would remain at a higher value, leading to </w:t>
      </w:r>
      <w:r w:rsidRPr="00C0346F">
        <w:t>artificially</w:t>
      </w:r>
      <w:r w:rsidRPr="00714317">
        <w:t xml:space="preserve"> tight supply-demand conditions and high capacity prices in the peak winter months.</w:t>
      </w:r>
      <w:r>
        <w:rPr>
          <w:rStyle w:val="FootnoteReference"/>
        </w:rPr>
        <w:footnoteReference w:id="17"/>
      </w:r>
      <w:r w:rsidRPr="00714317">
        <w:t xml:space="preserve">  NYISO asserts that the New York City ICAP Spot Market Auctions during the peak winter months could clear below the minimum requirement because the ICAP market parameters would be targeting a capacity level that is unattainable without capacity supply from the CHPE UDRs, erroneously signaling a significant capacity shortage.  </w:t>
      </w:r>
    </w:p>
    <w:p w:rsidR="008C07F7" w:rsidP="008D6733">
      <w:pPr>
        <w:pStyle w:val="FERCparanumber"/>
      </w:pPr>
      <w:r w:rsidRPr="00714317">
        <w:t xml:space="preserve">NYISO </w:t>
      </w:r>
      <w:r w:rsidR="00585565">
        <w:t>proposes</w:t>
      </w:r>
      <w:r w:rsidRPr="00714317">
        <w:t xml:space="preserve"> </w:t>
      </w:r>
      <w:r w:rsidR="00DD23D2">
        <w:t>Services Tariff revisions</w:t>
      </w:r>
      <w:r w:rsidRPr="00714317">
        <w:t xml:space="preserve"> </w:t>
      </w:r>
      <w:r w:rsidR="00DD23D2">
        <w:t xml:space="preserve">to allow for </w:t>
      </w:r>
      <w:r w:rsidRPr="00714317">
        <w:t>two one-time adjustments</w:t>
      </w:r>
      <w:r>
        <w:t>.</w:t>
      </w:r>
      <w:r>
        <w:rPr>
          <w:rStyle w:val="FootnoteReference"/>
        </w:rPr>
        <w:footnoteReference w:id="18"/>
      </w:r>
      <w:r w:rsidRPr="00714317">
        <w:t xml:space="preserve"> </w:t>
      </w:r>
      <w:r>
        <w:t xml:space="preserve"> First, NYISO proposes</w:t>
      </w:r>
      <w:r w:rsidRPr="00714317">
        <w:t xml:space="preserve"> adjusting the LCR applicable for New York City during the peak winter months of the 2026-2027 Winter Capability Period to reflect more realistic capacity supply assumptions for the CHPE UDRs, therefore using two </w:t>
      </w:r>
      <w:r w:rsidR="0085182F">
        <w:t xml:space="preserve">different </w:t>
      </w:r>
      <w:r w:rsidRPr="00714317">
        <w:t xml:space="preserve">LCRs for New York City </w:t>
      </w:r>
      <w:r w:rsidR="006C5681">
        <w:t xml:space="preserve">during the </w:t>
      </w:r>
      <w:r w:rsidRPr="00714317" w:rsidR="006C5681">
        <w:t xml:space="preserve">2026-2027 Capability Year </w:t>
      </w:r>
      <w:r w:rsidRPr="00714317">
        <w:t>(i.e., using CHPE-In LCR parameters during non-peak winter months and CHPE-Out LCR parameters during peak winter months)</w:t>
      </w:r>
      <w:r w:rsidR="00007BBA">
        <w:t>.</w:t>
      </w:r>
      <w:r>
        <w:rPr>
          <w:rStyle w:val="FootnoteReference"/>
        </w:rPr>
        <w:footnoteReference w:id="19"/>
      </w:r>
      <w:r w:rsidR="00007BBA">
        <w:t xml:space="preserve">  NYISO argues that </w:t>
      </w:r>
      <w:r w:rsidR="002679EC">
        <w:t>using</w:t>
      </w:r>
      <w:r w:rsidRPr="002679EC" w:rsidR="002679EC">
        <w:t xml:space="preserve"> an LCR for New York City that is properly calibrated with reasonable expectations of capacity supply availability</w:t>
      </w:r>
      <w:r w:rsidR="002679EC">
        <w:t xml:space="preserve"> avoids potential adverse market outcomes.</w:t>
      </w:r>
      <w:r>
        <w:rPr>
          <w:rStyle w:val="FootnoteReference"/>
        </w:rPr>
        <w:footnoteReference w:id="20"/>
      </w:r>
      <w:r w:rsidRPr="00714317">
        <w:t xml:space="preserve"> </w:t>
      </w:r>
      <w:r w:rsidR="00130FFA">
        <w:t xml:space="preserve"> </w:t>
      </w:r>
      <w:r w:rsidR="00664E30">
        <w:t xml:space="preserve">Additionally, NYISO contends that </w:t>
      </w:r>
      <w:r w:rsidR="00804FF4">
        <w:t xml:space="preserve">the </w:t>
      </w:r>
      <w:r w:rsidRPr="00664E30" w:rsidR="00664E30">
        <w:t>proposed modifications address the unique circumstances caused by the CHPE UDRs commencing ICAP market participation during the 2026-2027 Capability Year</w:t>
      </w:r>
      <w:r w:rsidR="00A409BF">
        <w:t xml:space="preserve">. </w:t>
      </w:r>
      <w:r w:rsidR="00EA77FB">
        <w:t xml:space="preserve"> </w:t>
      </w:r>
    </w:p>
    <w:p w:rsidR="009D1565" w:rsidRPr="00714317" w:rsidP="008132B1">
      <w:pPr>
        <w:pStyle w:val="FERCparanumber"/>
      </w:pPr>
      <w:r>
        <w:t xml:space="preserve">Second, </w:t>
      </w:r>
      <w:r w:rsidR="00DC01C2">
        <w:t>NYISO proposes</w:t>
      </w:r>
      <w:r w:rsidRPr="00714317">
        <w:t xml:space="preserve"> updating the 2026-2027 Winter Capability Period ICAP Demand Curve parameters to account for the impact of the CHPE UDRs on seasonal</w:t>
      </w:r>
      <w:r>
        <w:rPr>
          <w:rStyle w:val="FootnoteReference"/>
        </w:rPr>
        <w:footnoteReference w:id="21"/>
      </w:r>
      <w:r w:rsidRPr="00714317">
        <w:t xml:space="preserve"> capacity availability.</w:t>
      </w:r>
      <w:r>
        <w:rPr>
          <w:rStyle w:val="FootnoteReference"/>
        </w:rPr>
        <w:footnoteReference w:id="22"/>
      </w:r>
      <w:r w:rsidRPr="00714317">
        <w:t xml:space="preserve">  </w:t>
      </w:r>
      <w:r w:rsidR="00EC594D">
        <w:t xml:space="preserve">NYISO argues that </w:t>
      </w:r>
      <w:r w:rsidR="000F747F">
        <w:t xml:space="preserve">updating the ICAP </w:t>
      </w:r>
      <w:r w:rsidR="003F713C">
        <w:t>Demand Curve parameters will</w:t>
      </w:r>
      <w:r w:rsidRPr="00EC594D" w:rsidR="00EC594D">
        <w:t xml:space="preserve"> better account for the potential capacity supply availability from the CHPE UDRs during the upcoming 2026-2027 Winter Capability Period</w:t>
      </w:r>
      <w:r w:rsidR="00A110C1">
        <w:t>.</w:t>
      </w:r>
      <w:r>
        <w:rPr>
          <w:rStyle w:val="FootnoteReference"/>
        </w:rPr>
        <w:footnoteReference w:id="23"/>
      </w:r>
      <w:r w:rsidR="00A110C1">
        <w:t xml:space="preserve">  </w:t>
      </w:r>
      <w:r w:rsidR="00856B7B">
        <w:t xml:space="preserve">NYISO </w:t>
      </w:r>
      <w:r w:rsidR="00643B31">
        <w:t xml:space="preserve">also </w:t>
      </w:r>
      <w:r w:rsidR="00856B7B">
        <w:t>explains that</w:t>
      </w:r>
      <w:r w:rsidR="008831FD">
        <w:t>,</w:t>
      </w:r>
      <w:r w:rsidR="00856B7B">
        <w:t xml:space="preserve"> </w:t>
      </w:r>
      <w:r w:rsidR="00051BBF">
        <w:t>because</w:t>
      </w:r>
      <w:r w:rsidRPr="00856B7B" w:rsidR="00856B7B">
        <w:t xml:space="preserve"> the CHPE UDRs are </w:t>
      </w:r>
      <w:r w:rsidR="00351A64">
        <w:t>expected</w:t>
      </w:r>
      <w:r w:rsidRPr="00856B7B" w:rsidR="00856B7B">
        <w:t xml:space="preserve"> to provide substantially greater levels of capacity during the summer months than across the winter months, the seasonal availability profile for 2026-2027 Capability Year will differ markedly from the past</w:t>
      </w:r>
      <w:r w:rsidR="006B1750">
        <w:t>.</w:t>
      </w:r>
      <w:r>
        <w:rPr>
          <w:rStyle w:val="FootnoteReference"/>
        </w:rPr>
        <w:footnoteReference w:id="24"/>
      </w:r>
      <w:r w:rsidR="00856B7B">
        <w:t xml:space="preserve">  </w:t>
      </w:r>
      <w:r w:rsidRPr="008132B1" w:rsidR="008132B1">
        <w:t>NYISO states that, without an adjustment to the existing ICAP Demand Curve formula parameters, the summer reference point price and summer maximum clearing price of the New York City ICAP Demand Curve would need to be raised</w:t>
      </w:r>
      <w:r w:rsidR="00C00F70">
        <w:t>.</w:t>
      </w:r>
      <w:r>
        <w:rPr>
          <w:rStyle w:val="FootnoteReference"/>
        </w:rPr>
        <w:footnoteReference w:id="25"/>
      </w:r>
      <w:r w:rsidR="00514382">
        <w:t xml:space="preserve">  </w:t>
      </w:r>
      <w:r w:rsidR="00EA77FB">
        <w:t>NYISO contends</w:t>
      </w:r>
      <w:r w:rsidRPr="00E0175A" w:rsidR="00EA77FB">
        <w:t xml:space="preserve"> that updating the </w:t>
      </w:r>
      <w:r w:rsidR="00AE103A">
        <w:t>Winter Capability Period ICAP</w:t>
      </w:r>
      <w:r w:rsidRPr="00E0175A" w:rsidR="00EA77FB">
        <w:t xml:space="preserve"> </w:t>
      </w:r>
      <w:r w:rsidR="00AE103A">
        <w:t>D</w:t>
      </w:r>
      <w:r w:rsidRPr="00E0175A" w:rsidR="00EA77FB">
        <w:t xml:space="preserve">emand </w:t>
      </w:r>
      <w:r w:rsidR="00AE103A">
        <w:t>C</w:t>
      </w:r>
      <w:r w:rsidRPr="00E0175A" w:rsidR="00EA77FB">
        <w:t>urve parameters and allowing New York City to use two separate LCRs will send price signals that align with reasonable expectations of capacity supply conditions during the shoulder and peak winter months</w:t>
      </w:r>
      <w:r w:rsidR="00EA77FB">
        <w:t>.</w:t>
      </w:r>
      <w:r>
        <w:rPr>
          <w:rStyle w:val="FootnoteReference"/>
        </w:rPr>
        <w:footnoteReference w:id="26"/>
      </w:r>
      <w:r w:rsidR="00B87DBF">
        <w:t xml:space="preserve">  NYISO states that the proposed adju</w:t>
      </w:r>
      <w:r w:rsidRPr="00514382" w:rsidR="00B87DBF">
        <w:t>stment</w:t>
      </w:r>
      <w:r w:rsidR="00B87DBF">
        <w:t xml:space="preserve">s in ICAP Demand Curve parameters will </w:t>
      </w:r>
      <w:r w:rsidRPr="00514382" w:rsidR="00B87DBF">
        <w:t>provide revenue sufficiency for investment in the hypothetical peaking plant under the tariff-prescribed level of excess conditions over the duration of the 2026-2027 Capability Year</w:t>
      </w:r>
      <w:r w:rsidR="00B87DBF">
        <w:t xml:space="preserve">.  </w:t>
      </w:r>
    </w:p>
    <w:p w:rsidR="00B079F9" w:rsidP="002044CD">
      <w:pPr>
        <w:pStyle w:val="FERCparanumber"/>
      </w:pPr>
      <w:r w:rsidRPr="00652A45">
        <w:t xml:space="preserve">Notice of </w:t>
      </w:r>
      <w:r>
        <w:t>NYISO’s</w:t>
      </w:r>
      <w:r w:rsidRPr="00652A45">
        <w:t xml:space="preserve"> filing was published in the </w:t>
      </w:r>
      <w:r w:rsidRPr="00652A45">
        <w:rPr>
          <w:i/>
          <w:iCs/>
        </w:rPr>
        <w:t>Federal Register</w:t>
      </w:r>
      <w:r w:rsidRPr="00652A45">
        <w:t>,</w:t>
      </w:r>
      <w:r w:rsidRPr="00652A45">
        <w:rPr>
          <w:i/>
          <w:iCs/>
        </w:rPr>
        <w:t xml:space="preserve"> </w:t>
      </w:r>
      <w:r w:rsidRPr="00652A45">
        <w:t xml:space="preserve">91 Fed. Reg. </w:t>
      </w:r>
      <w:r w:rsidR="00325720">
        <w:t>3</w:t>
      </w:r>
      <w:r w:rsidR="00900114">
        <w:t>9610</w:t>
      </w:r>
      <w:r w:rsidRPr="00652A45">
        <w:t xml:space="preserve"> (June </w:t>
      </w:r>
      <w:r w:rsidR="00900114">
        <w:t>30</w:t>
      </w:r>
      <w:r w:rsidRPr="00652A45">
        <w:t xml:space="preserve">, 2026), with interventions and protests due on or before </w:t>
      </w:r>
      <w:r w:rsidR="00445F8C">
        <w:t>July</w:t>
      </w:r>
      <w:r w:rsidRPr="00652A45">
        <w:t xml:space="preserve"> </w:t>
      </w:r>
      <w:r w:rsidR="00C60ACA">
        <w:t>16</w:t>
      </w:r>
      <w:r w:rsidRPr="00652A45">
        <w:t xml:space="preserve">, 2026.  </w:t>
      </w:r>
      <w:r w:rsidR="00C60ACA">
        <w:t>Timely motions to</w:t>
      </w:r>
      <w:r w:rsidR="00147D36">
        <w:t xml:space="preserve"> intervene were filed by</w:t>
      </w:r>
      <w:r w:rsidR="00FD7986">
        <w:t>:</w:t>
      </w:r>
      <w:r w:rsidR="00FB2BE7">
        <w:t xml:space="preserve"> </w:t>
      </w:r>
      <w:r w:rsidR="00147D36">
        <w:t xml:space="preserve"> </w:t>
      </w:r>
      <w:r w:rsidR="002D2912">
        <w:t xml:space="preserve">Constellation Energy Generation, LLC; </w:t>
      </w:r>
      <w:r w:rsidR="007C1778">
        <w:t>HQUS; Independent Power Producers of New York, Inc.;</w:t>
      </w:r>
      <w:r w:rsidR="002D2912">
        <w:t xml:space="preserve"> and New York Transmission Owners</w:t>
      </w:r>
      <w:r w:rsidR="007E3A44">
        <w:t>.</w:t>
      </w:r>
      <w:r>
        <w:rPr>
          <w:rStyle w:val="FootnoteReference"/>
        </w:rPr>
        <w:footnoteReference w:id="27"/>
      </w:r>
    </w:p>
    <w:p w:rsidR="001822FC" w:rsidP="00421F23">
      <w:pPr>
        <w:pStyle w:val="FERCparanumber"/>
      </w:pPr>
      <w:r>
        <w:t xml:space="preserve">We </w:t>
      </w:r>
      <w:r w:rsidR="00924971">
        <w:t xml:space="preserve">find that </w:t>
      </w:r>
      <w:r>
        <w:t xml:space="preserve">NYISO’s </w:t>
      </w:r>
      <w:r w:rsidR="00CD062B">
        <w:t>proposed</w:t>
      </w:r>
      <w:r w:rsidR="00A51C32">
        <w:t xml:space="preserve"> Services </w:t>
      </w:r>
      <w:r>
        <w:t>Tariff revisions</w:t>
      </w:r>
      <w:r w:rsidR="00924971">
        <w:t xml:space="preserve"> are just</w:t>
      </w:r>
      <w:r w:rsidR="00F45FAD">
        <w:t xml:space="preserve"> and</w:t>
      </w:r>
      <w:r w:rsidR="00924971">
        <w:t xml:space="preserve"> reasonable and not unduly discriminatory or preferential, and we therefore accept them</w:t>
      </w:r>
      <w:r w:rsidR="00A51C32">
        <w:t xml:space="preserve">, </w:t>
      </w:r>
      <w:r w:rsidR="00FB2BE7">
        <w:t xml:space="preserve">to be </w:t>
      </w:r>
      <w:r w:rsidR="00A51C32">
        <w:t>effective August 26, 2026, as requested</w:t>
      </w:r>
      <w:r>
        <w:t>.</w:t>
      </w:r>
      <w:r w:rsidR="00421F23">
        <w:t xml:space="preserve">  </w:t>
      </w:r>
      <w:r w:rsidR="00F44EB7">
        <w:t>A</w:t>
      </w:r>
      <w:r>
        <w:t>s NYISO explains, Hydro-Qu</w:t>
      </w:r>
      <w:r w:rsidRPr="00714317">
        <w:t>é</w:t>
      </w:r>
      <w:r>
        <w:t xml:space="preserve">bec historically has provided </w:t>
      </w:r>
      <w:r w:rsidR="00E43258">
        <w:t>zero</w:t>
      </w:r>
      <w:r>
        <w:t xml:space="preserve"> MWs of capacity to NYCA in </w:t>
      </w:r>
      <w:r w:rsidR="00AF6532">
        <w:t xml:space="preserve">the peak winter </w:t>
      </w:r>
      <w:r>
        <w:t xml:space="preserve">delivery months and has made statements that it does not expect to have excess </w:t>
      </w:r>
      <w:r w:rsidR="008E0064">
        <w:t xml:space="preserve">the </w:t>
      </w:r>
      <w:r>
        <w:t>capacity to export to NYCA for the upcoming December through February time period.</w:t>
      </w:r>
      <w:r>
        <w:rPr>
          <w:rStyle w:val="FootnoteReference"/>
        </w:rPr>
        <w:footnoteReference w:id="28"/>
      </w:r>
      <w:r>
        <w:t xml:space="preserve">  </w:t>
      </w:r>
      <w:r w:rsidR="00AF155E">
        <w:t>We</w:t>
      </w:r>
      <w:r>
        <w:t xml:space="preserve"> </w:t>
      </w:r>
      <w:r w:rsidR="00A20EE4">
        <w:t xml:space="preserve">find </w:t>
      </w:r>
      <w:r w:rsidR="00876C8F">
        <w:t>just and</w:t>
      </w:r>
      <w:r>
        <w:t xml:space="preserve"> </w:t>
      </w:r>
      <w:r w:rsidR="00C1027B">
        <w:t xml:space="preserve">reasonable </w:t>
      </w:r>
      <w:r>
        <w:t>NYISO</w:t>
      </w:r>
      <w:r w:rsidR="00A20EE4">
        <w:t>’s</w:t>
      </w:r>
      <w:r>
        <w:t xml:space="preserve"> </w:t>
      </w:r>
      <w:r w:rsidR="00C1027B">
        <w:t>proposal to</w:t>
      </w:r>
      <w:r>
        <w:t xml:space="preserve"> us</w:t>
      </w:r>
      <w:r w:rsidR="00DD53F3">
        <w:t>e</w:t>
      </w:r>
      <w:r>
        <w:t xml:space="preserve"> </w:t>
      </w:r>
      <w:r w:rsidR="006439F6">
        <w:t xml:space="preserve">ICAP </w:t>
      </w:r>
      <w:r>
        <w:t xml:space="preserve">market parameters that </w:t>
      </w:r>
      <w:r w:rsidR="00DD53F3">
        <w:t xml:space="preserve">more accurately </w:t>
      </w:r>
      <w:r>
        <w:t>reflect the expect</w:t>
      </w:r>
      <w:r w:rsidR="00C1582E">
        <w:t xml:space="preserve">ed amount of capacity </w:t>
      </w:r>
      <w:r>
        <w:t>that CHPE will provide</w:t>
      </w:r>
      <w:r w:rsidR="0032323D">
        <w:t>.</w:t>
      </w:r>
    </w:p>
    <w:p w:rsidR="00B70DD7" w:rsidP="00421F23">
      <w:pPr>
        <w:pStyle w:val="FERCparanumber"/>
      </w:pPr>
      <w:r>
        <w:t>For this reason, we</w:t>
      </w:r>
      <w:r w:rsidR="000F7038">
        <w:t xml:space="preserve"> find that the proposed revisions to allow NYISO </w:t>
      </w:r>
      <w:r w:rsidR="008B752F">
        <w:t xml:space="preserve">to </w:t>
      </w:r>
      <w:r w:rsidR="00BD64E6">
        <w:t>use</w:t>
      </w:r>
      <w:r w:rsidR="008B752F">
        <w:t xml:space="preserve"> </w:t>
      </w:r>
      <w:r w:rsidR="00E37F75">
        <w:t xml:space="preserve">updated </w:t>
      </w:r>
      <w:r w:rsidR="008B752F">
        <w:t>market parameters</w:t>
      </w:r>
      <w:r w:rsidR="00DF7503">
        <w:t xml:space="preserve"> to determine the </w:t>
      </w:r>
      <w:r w:rsidR="00756453">
        <w:t>ICAP Demand Curve</w:t>
      </w:r>
      <w:r w:rsidR="00E37F75">
        <w:t>s</w:t>
      </w:r>
      <w:r w:rsidR="00BE24F7">
        <w:t xml:space="preserve"> for the Winter Capability Period </w:t>
      </w:r>
      <w:r w:rsidR="000874D8">
        <w:t>are</w:t>
      </w:r>
      <w:r w:rsidR="00BE24F7">
        <w:t xml:space="preserve"> just and reasonable.  We</w:t>
      </w:r>
      <w:r w:rsidR="00F02FFC">
        <w:t xml:space="preserve"> find</w:t>
      </w:r>
      <w:r w:rsidR="001822FC">
        <w:t xml:space="preserve"> that </w:t>
      </w:r>
      <w:r w:rsidR="006F3452">
        <w:t xml:space="preserve">this proposal </w:t>
      </w:r>
      <w:r w:rsidR="001822FC">
        <w:t xml:space="preserve">will allow </w:t>
      </w:r>
      <w:r w:rsidR="006F3452">
        <w:t>NYISO to</w:t>
      </w:r>
      <w:r w:rsidR="001822FC">
        <w:t xml:space="preserve"> more accurate</w:t>
      </w:r>
      <w:r w:rsidR="006F3452">
        <w:t>ly</w:t>
      </w:r>
      <w:r w:rsidR="001822FC">
        <w:t xml:space="preserve"> reflect capacity supply</w:t>
      </w:r>
      <w:r w:rsidR="006F3452">
        <w:t xml:space="preserve"> </w:t>
      </w:r>
      <w:r w:rsidR="00E37F75">
        <w:t xml:space="preserve">from the CHPE UDRs </w:t>
      </w:r>
      <w:r w:rsidR="006F3452">
        <w:t>during the peak winter months</w:t>
      </w:r>
      <w:r w:rsidR="001822FC">
        <w:t xml:space="preserve">.  </w:t>
      </w:r>
    </w:p>
    <w:p w:rsidR="00AA30DF" w:rsidP="00421F23">
      <w:pPr>
        <w:pStyle w:val="FERCparanumber"/>
      </w:pPr>
      <w:r>
        <w:t>We also find NYISO’s propos</w:t>
      </w:r>
      <w:r w:rsidR="00D76A0C">
        <w:t>ed revisions</w:t>
      </w:r>
      <w:r>
        <w:t xml:space="preserve"> to </w:t>
      </w:r>
      <w:r w:rsidR="00D76A0C">
        <w:t xml:space="preserve">the </w:t>
      </w:r>
      <w:r w:rsidR="009E11F4">
        <w:t xml:space="preserve">New York City </w:t>
      </w:r>
      <w:r w:rsidR="00AA3995">
        <w:t>ICAP Demand Curve</w:t>
      </w:r>
      <w:r w:rsidR="00F03CCE">
        <w:t xml:space="preserve"> are just and reasonable</w:t>
      </w:r>
      <w:r w:rsidR="009E11F4">
        <w:t xml:space="preserve">.  </w:t>
      </w:r>
      <w:r w:rsidR="001822FC">
        <w:t xml:space="preserve">As </w:t>
      </w:r>
      <w:r w:rsidR="005546DE">
        <w:t xml:space="preserve">the </w:t>
      </w:r>
      <w:r w:rsidR="001822FC">
        <w:t xml:space="preserve">CHPE UDRs are expected to provide </w:t>
      </w:r>
      <w:r w:rsidRPr="007D2BB1" w:rsidR="001822FC">
        <w:t xml:space="preserve">greater levels of capacity during the </w:t>
      </w:r>
      <w:r w:rsidR="001822FC">
        <w:t xml:space="preserve">Summer Capability Period </w:t>
      </w:r>
      <w:r w:rsidRPr="007D2BB1" w:rsidR="001822FC">
        <w:t xml:space="preserve">than the </w:t>
      </w:r>
      <w:r w:rsidR="001822FC">
        <w:t>Winter Capability Period</w:t>
      </w:r>
      <w:r w:rsidRPr="007D2BB1" w:rsidR="001822FC">
        <w:t xml:space="preserve">, the seasonal availability profile for </w:t>
      </w:r>
      <w:r w:rsidR="00F953E6">
        <w:t xml:space="preserve">New York City during </w:t>
      </w:r>
      <w:r w:rsidR="009B34EB">
        <w:t xml:space="preserve">the </w:t>
      </w:r>
      <w:r w:rsidRPr="007D2BB1" w:rsidR="001822FC">
        <w:t>2026-2027 Capability Year will differ from the past.</w:t>
      </w:r>
      <w:r w:rsidR="001822FC">
        <w:t xml:space="preserve">  </w:t>
      </w:r>
      <w:r w:rsidR="005546DE">
        <w:t>A</w:t>
      </w:r>
      <w:r w:rsidRPr="00DC72EC" w:rsidR="001822FC">
        <w:t>bsent</w:t>
      </w:r>
      <w:r w:rsidR="00F953E6">
        <w:t xml:space="preserve"> NYISO’s proposal</w:t>
      </w:r>
      <w:r w:rsidRPr="00DC72EC" w:rsidR="001822FC">
        <w:t xml:space="preserve">, </w:t>
      </w:r>
      <w:r w:rsidR="001822FC">
        <w:t>NYISO would be</w:t>
      </w:r>
      <w:r w:rsidRPr="00DC72EC" w:rsidR="001822FC">
        <w:t xml:space="preserve"> require</w:t>
      </w:r>
      <w:r w:rsidR="001822FC">
        <w:t>d to apply an</w:t>
      </w:r>
      <w:r w:rsidRPr="00DC72EC" w:rsidR="001822FC">
        <w:t xml:space="preserve"> upward adjustment to the summer reference point price and summer maximum clearing price of the New York City ICAP Demand Curve</w:t>
      </w:r>
      <w:r w:rsidR="00BF6A06">
        <w:t xml:space="preserve"> </w:t>
      </w:r>
      <w:r w:rsidRPr="00BF6A06" w:rsidR="00BF6A06">
        <w:t xml:space="preserve">for the </w:t>
      </w:r>
      <w:r w:rsidR="00423162">
        <w:t>remaining</w:t>
      </w:r>
      <w:r w:rsidRPr="00BF6A06" w:rsidR="00BF6A06">
        <w:t xml:space="preserve"> Spot Market Auctions of the Summer Capability Period</w:t>
      </w:r>
      <w:r w:rsidR="001822FC">
        <w:t>.</w:t>
      </w:r>
      <w:r>
        <w:rPr>
          <w:rStyle w:val="FootnoteReference"/>
        </w:rPr>
        <w:footnoteReference w:id="29"/>
      </w:r>
      <w:r w:rsidR="001822FC">
        <w:t xml:space="preserve">  </w:t>
      </w:r>
      <w:r w:rsidR="00E53C86">
        <w:t>We agree</w:t>
      </w:r>
      <w:r w:rsidRPr="00E53C86" w:rsidR="00E53C86">
        <w:t xml:space="preserve"> with NYISO that </w:t>
      </w:r>
      <w:r w:rsidR="008B023F">
        <w:t xml:space="preserve">its proposal </w:t>
      </w:r>
      <w:r w:rsidRPr="00E53C86" w:rsidR="00E53C86">
        <w:t>“would avoid unwarranted market disruption and uncertainty that could result from introducing intra-Capability Period adjustments.”</w:t>
      </w:r>
      <w:r>
        <w:rPr>
          <w:b/>
          <w:vertAlign w:val="superscript"/>
        </w:rPr>
        <w:footnoteReference w:id="30"/>
      </w:r>
      <w:r w:rsidR="001822FC">
        <w:t xml:space="preserve">  </w:t>
      </w:r>
    </w:p>
    <w:p w:rsidR="00EF2CAC" w:rsidRPr="00B079F9" w:rsidP="00421F23">
      <w:pPr>
        <w:pStyle w:val="FERCparanumber"/>
      </w:pPr>
      <w:r>
        <w:t>Finally</w:t>
      </w:r>
      <w:r w:rsidR="001822FC">
        <w:t xml:space="preserve">, </w:t>
      </w:r>
      <w:r w:rsidR="00841B7A">
        <w:t>we</w:t>
      </w:r>
      <w:r w:rsidR="001822FC">
        <w:t xml:space="preserve"> agree with NYISO that updating </w:t>
      </w:r>
      <w:r w:rsidRPr="006F1440" w:rsidR="001822FC">
        <w:t xml:space="preserve">the </w:t>
      </w:r>
      <w:r w:rsidR="00EC254A">
        <w:t>W</w:t>
      </w:r>
      <w:r w:rsidRPr="006F1440" w:rsidR="001822FC">
        <w:t xml:space="preserve">inter </w:t>
      </w:r>
      <w:r w:rsidR="00EC254A">
        <w:t xml:space="preserve">Capability Period </w:t>
      </w:r>
      <w:r w:rsidR="0009511A">
        <w:t xml:space="preserve">ICAP </w:t>
      </w:r>
      <w:r w:rsidR="00EC254A">
        <w:t>D</w:t>
      </w:r>
      <w:r w:rsidRPr="006F1440" w:rsidR="001822FC">
        <w:t xml:space="preserve">emand </w:t>
      </w:r>
      <w:r w:rsidR="00EC254A">
        <w:t>C</w:t>
      </w:r>
      <w:r w:rsidRPr="006F1440" w:rsidR="001822FC">
        <w:t xml:space="preserve">urve parameters </w:t>
      </w:r>
      <w:r w:rsidR="001822FC">
        <w:t xml:space="preserve">and allowing New York City to use two separate LCRs will send </w:t>
      </w:r>
      <w:r w:rsidRPr="005B0CB7" w:rsidR="001822FC">
        <w:t xml:space="preserve">price signals </w:t>
      </w:r>
      <w:r w:rsidR="001822FC">
        <w:t>that</w:t>
      </w:r>
      <w:r w:rsidRPr="005B0CB7" w:rsidR="001822FC">
        <w:t xml:space="preserve"> align with reasonable expectations of capacity supply conditions </w:t>
      </w:r>
      <w:r w:rsidR="001822FC">
        <w:t>during the shoulder and peak winter months.</w:t>
      </w:r>
      <w:r>
        <w:rPr>
          <w:rStyle w:val="FootnoteReference"/>
        </w:rPr>
        <w:footnoteReference w:id="31"/>
      </w:r>
    </w:p>
    <w:p w:rsidR="00875F9A" w:rsidRPr="00875F9A" w:rsidP="007A44FB">
      <w:pPr>
        <w:ind w:firstLine="720"/>
      </w:pPr>
      <w:r w:rsidRPr="00875F9A">
        <w:t>By direction of the Commission</w:t>
      </w:r>
      <w:r>
        <w:t>.</w:t>
      </w:r>
    </w:p>
    <w:p w:rsidR="005830A4" w:rsidRPr="005830A4" w:rsidP="00A81226"/>
    <w:p w:rsidR="00BC56B6" w:rsidP="006D5137">
      <w:pPr>
        <w:widowControl/>
      </w:pPr>
    </w:p>
    <w:p w:rsidR="00CF0156" w:rsidP="006D5137">
      <w:pPr>
        <w:widowControl/>
      </w:pPr>
    </w:p>
    <w:p w:rsidR="00CF0156" w:rsidP="006D5137">
      <w:pPr>
        <w:widowControl/>
      </w:pPr>
    </w:p>
    <w:p w:rsidR="00CF0156" w:rsidRPr="00CF0156" w:rsidP="007A44FB">
      <w:pPr>
        <w:widowControl/>
        <w:ind w:firstLine="2174"/>
        <w:jc w:val="center"/>
      </w:pPr>
      <w:r w:rsidRPr="00CF0156">
        <w:t>Carlos D. Clay,</w:t>
      </w:r>
    </w:p>
    <w:p w:rsidR="00CF0156" w:rsidRPr="00CF0156" w:rsidP="007A44FB">
      <w:pPr>
        <w:widowControl/>
        <w:ind w:firstLine="2174"/>
        <w:jc w:val="center"/>
      </w:pPr>
      <w:r w:rsidRPr="00CF0156">
        <w:t>Deputy Secretary.</w:t>
      </w:r>
    </w:p>
    <w:p w:rsidR="0088116D" w:rsidP="007A44FB">
      <w:pPr>
        <w:widowControl/>
      </w:pPr>
      <w:r>
        <w:br w:type="page"/>
      </w:r>
    </w:p>
    <w:p w:rsidR="00F519CE" w:rsidRPr="0044515B" w:rsidP="0088116D">
      <w:pPr>
        <w:widowControl/>
        <w:spacing w:after="160" w:line="259" w:lineRule="auto"/>
      </w:pPr>
      <w:r w:rsidRPr="0044515B">
        <w:t>Appendix – Tariff Records</w:t>
      </w:r>
    </w:p>
    <w:p w:rsidR="00F519CE" w:rsidP="00F519CE">
      <w:pPr>
        <w:pStyle w:val="FootnoteText"/>
        <w:ind w:firstLine="0"/>
        <w:contextualSpacing/>
        <w:jc w:val="center"/>
      </w:pPr>
      <w:r>
        <w:t>New York Independent System Operator, Inc.</w:t>
      </w:r>
    </w:p>
    <w:p w:rsidR="00F519CE" w:rsidRPr="00CA24E7" w:rsidP="00F519CE">
      <w:pPr>
        <w:pStyle w:val="FootnoteText"/>
        <w:ind w:firstLine="0"/>
        <w:jc w:val="center"/>
      </w:pPr>
      <w:r>
        <w:t>NYISO Tariffs</w:t>
      </w:r>
    </w:p>
    <w:p w:rsidR="00681E45" w:rsidRPr="00681E45" w:rsidP="00681E45">
      <w:pPr>
        <w:pStyle w:val="ListParagraph"/>
        <w:numPr>
          <w:ilvl w:val="0"/>
          <w:numId w:val="25"/>
        </w:numPr>
        <w:autoSpaceDE w:val="0"/>
        <w:autoSpaceDN w:val="0"/>
        <w:adjustRightInd w:val="0"/>
        <w:spacing w:line="252" w:lineRule="auto"/>
        <w:rPr>
          <w:szCs w:val="26"/>
        </w:rPr>
      </w:pPr>
      <w:hyperlink r:id="rId11" w:history="1">
        <w:r w:rsidRPr="00681E45">
          <w:rPr>
            <w:color w:val="0563C1"/>
            <w:szCs w:val="26"/>
            <w:u w:val="single"/>
          </w:rPr>
          <w:t>NYISO MST, 5.11 MST Requirements Applicable to LSEs (23.0.0)</w:t>
        </w:r>
      </w:hyperlink>
    </w:p>
    <w:p w:rsidR="00681E45" w:rsidRPr="00681E45" w:rsidP="00681E45">
      <w:pPr>
        <w:pStyle w:val="ListParagraph"/>
        <w:numPr>
          <w:ilvl w:val="0"/>
          <w:numId w:val="25"/>
        </w:numPr>
        <w:autoSpaceDE w:val="0"/>
        <w:autoSpaceDN w:val="0"/>
        <w:adjustRightInd w:val="0"/>
        <w:spacing w:line="252" w:lineRule="auto"/>
        <w:rPr>
          <w:szCs w:val="26"/>
        </w:rPr>
      </w:pPr>
      <w:hyperlink r:id="rId12" w:history="1">
        <w:r w:rsidRPr="00681E45">
          <w:rPr>
            <w:color w:val="0563C1"/>
            <w:szCs w:val="26"/>
            <w:u w:val="single"/>
          </w:rPr>
          <w:t>NYISO MST, 5.14 MST Installed Capacity Spot Market Auction and Installe (46.0.0)</w:t>
        </w:r>
      </w:hyperlink>
    </w:p>
    <w:p w:rsidR="00F519CE" w:rsidRPr="005830A4" w:rsidP="00681E45">
      <w:pPr>
        <w:pStyle w:val="FootnoteText"/>
        <w:ind w:firstLine="0"/>
      </w:pPr>
    </w:p>
    <w:sectPr w:rsidSect="005830A4">
      <w:headerReference w:type="even" r:id="rId13"/>
      <w:headerReference w:type="default" r:id="rId14"/>
      <w:headerReference w:type="first" r:id="rId15"/>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795" w:rsidP="0048020B">
      <w:r>
        <w:separator/>
      </w:r>
    </w:p>
  </w:endnote>
  <w:endnote w:type="continuationSeparator" w:id="1">
    <w:p w:rsidR="00132795"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 w:name="ＭＳ ゴシック">
    <w:panose1 w:val="00000000000000000000"/>
    <w:charset w:val="80"/>
    <w:family w:val="auto"/>
    <w:pitch w:val="default"/>
    <w:sig w:usb0="00000000" w:usb1="00000000" w:usb2="00000000" w:usb3="00000000" w:csb0="00000000" w:csb1="00000000"/>
  </w:font>
  <w:font w:name="ＭＳ 明朝">
    <w:panose1 w:val="00000000000000000000"/>
    <w:charset w:val="8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795" w:rsidP="0048020B">
      <w:r>
        <w:separator/>
      </w:r>
    </w:p>
  </w:footnote>
  <w:footnote w:type="continuationSeparator" w:id="1">
    <w:p w:rsidR="00132795" w:rsidP="0048020B">
      <w:r>
        <w:continuationSeparator/>
      </w:r>
    </w:p>
  </w:footnote>
  <w:footnote w:type="continuationNotice" w:id="2">
    <w:p w:rsidR="00132795" w:rsidRPr="00BB69A5" w:rsidP="00BB69A5">
      <w:pPr>
        <w:spacing w:line="20" w:lineRule="exact"/>
        <w:rPr>
          <w:sz w:val="2"/>
        </w:rPr>
      </w:pPr>
    </w:p>
  </w:footnote>
  <w:footnote w:id="3">
    <w:p w:rsidR="00DC304B" w:rsidP="00DC304B">
      <w:pPr>
        <w:pStyle w:val="FootnoteText"/>
      </w:pPr>
      <w:r>
        <w:rPr>
          <w:rStyle w:val="FootnoteReference"/>
        </w:rPr>
        <w:footnoteRef/>
      </w:r>
      <w:r>
        <w:t xml:space="preserve"> </w:t>
      </w:r>
      <w:r w:rsidRPr="003163B8">
        <w:t xml:space="preserve">16 U.S.C. § 824d.  </w:t>
      </w:r>
    </w:p>
  </w:footnote>
  <w:footnote w:id="4">
    <w:p w:rsidR="00DC304B" w:rsidRPr="003545A2" w:rsidP="00DC304B">
      <w:pPr>
        <w:pStyle w:val="FootnoteText"/>
        <w:rPr>
          <w:szCs w:val="26"/>
        </w:rPr>
      </w:pPr>
      <w:r w:rsidRPr="003545A2">
        <w:rPr>
          <w:rStyle w:val="FootnoteReference"/>
          <w:szCs w:val="26"/>
        </w:rPr>
        <w:footnoteRef/>
      </w:r>
      <w:r w:rsidRPr="003545A2">
        <w:rPr>
          <w:szCs w:val="26"/>
        </w:rPr>
        <w:t xml:space="preserve"> 18 C.F.R. pt. 35 (202</w:t>
      </w:r>
      <w:r>
        <w:rPr>
          <w:szCs w:val="26"/>
        </w:rPr>
        <w:t>5</w:t>
      </w:r>
      <w:r w:rsidRPr="003545A2">
        <w:rPr>
          <w:szCs w:val="26"/>
        </w:rPr>
        <w:t>).</w:t>
      </w:r>
    </w:p>
  </w:footnote>
  <w:footnote w:id="5">
    <w:p w:rsidR="00381C24" w:rsidRPr="00A54AE6" w:rsidP="00381C24">
      <w:pPr>
        <w:pStyle w:val="FootnoteText"/>
      </w:pPr>
      <w:r>
        <w:rPr>
          <w:rStyle w:val="FootnoteReference"/>
        </w:rPr>
        <w:footnoteRef/>
      </w:r>
      <w:r>
        <w:t xml:space="preserve"> </w:t>
      </w:r>
      <w:r w:rsidRPr="001F5C7A">
        <w:rPr>
          <w:iCs/>
        </w:rPr>
        <w:t xml:space="preserve">See </w:t>
      </w:r>
      <w:r>
        <w:t>Appendix for accepted tariff records.</w:t>
      </w:r>
    </w:p>
  </w:footnote>
  <w:footnote w:id="6">
    <w:p w:rsidR="00107AB1">
      <w:pPr>
        <w:pStyle w:val="FootnoteText"/>
      </w:pPr>
      <w:r>
        <w:rPr>
          <w:rStyle w:val="FootnoteReference"/>
        </w:rPr>
        <w:footnoteRef/>
      </w:r>
      <w:r>
        <w:t xml:space="preserve"> </w:t>
      </w:r>
      <w:r w:rsidRPr="00107AB1">
        <w:t xml:space="preserve">Capitalized terms not otherwise defined herein have the meanings ascribed to them in the </w:t>
      </w:r>
      <w:r>
        <w:t xml:space="preserve">Services </w:t>
      </w:r>
      <w:r w:rsidRPr="00107AB1">
        <w:t>Tariff.</w:t>
      </w:r>
    </w:p>
  </w:footnote>
  <w:footnote w:id="7">
    <w:p w:rsidR="00A13BB2">
      <w:pPr>
        <w:pStyle w:val="FootnoteText"/>
      </w:pPr>
      <w:r>
        <w:rPr>
          <w:rStyle w:val="FootnoteReference"/>
        </w:rPr>
        <w:footnoteRef/>
      </w:r>
      <w:r>
        <w:t xml:space="preserve"> </w:t>
      </w:r>
      <w:r w:rsidRPr="00870C23" w:rsidR="007C6561">
        <w:t>NYISO</w:t>
      </w:r>
      <w:r w:rsidR="007C6561">
        <w:t xml:space="preserve">, NYISO Tariffs, </w:t>
      </w:r>
      <w:r w:rsidRPr="00430899" w:rsidR="007C6561">
        <w:t>NYISO</w:t>
      </w:r>
      <w:r w:rsidR="007C6561">
        <w:t xml:space="preserve"> MST</w:t>
      </w:r>
      <w:r w:rsidRPr="007C6561" w:rsidR="007C6561">
        <w:t xml:space="preserve">, </w:t>
      </w:r>
      <w:r w:rsidRPr="00F46C47" w:rsidR="007C6561">
        <w:rPr>
          <w:iCs/>
        </w:rPr>
        <w:t>§</w:t>
      </w:r>
      <w:r w:rsidR="007C6561">
        <w:rPr>
          <w:iCs/>
        </w:rPr>
        <w:t xml:space="preserve"> </w:t>
      </w:r>
      <w:r w:rsidRPr="007C6561" w:rsidR="007C6561">
        <w:t xml:space="preserve">5.13 </w:t>
      </w:r>
      <w:r w:rsidR="00321D23">
        <w:t>(</w:t>
      </w:r>
      <w:r w:rsidRPr="007C6561" w:rsidR="007C6561">
        <w:t>MST Installed Capacity Auctions</w:t>
      </w:r>
      <w:r w:rsidR="00321D23">
        <w:t>)</w:t>
      </w:r>
      <w:r w:rsidRPr="007C6561" w:rsidR="007C6561">
        <w:t xml:space="preserve"> (3.0.0)</w:t>
      </w:r>
      <w:r w:rsidR="007C6561">
        <w:t>.</w:t>
      </w:r>
    </w:p>
  </w:footnote>
  <w:footnote w:id="8">
    <w:p w:rsidR="00341C38" w:rsidP="00341C38">
      <w:pPr>
        <w:pStyle w:val="FootnoteText"/>
      </w:pPr>
      <w:r>
        <w:rPr>
          <w:rStyle w:val="FootnoteReference"/>
        </w:rPr>
        <w:footnoteRef/>
      </w:r>
      <w:r>
        <w:t xml:space="preserve"> </w:t>
      </w:r>
      <w:r>
        <w:rPr>
          <w:i/>
          <w:iCs/>
        </w:rPr>
        <w:t>See N.Y. Indep. Sys. Operator, Inc.</w:t>
      </w:r>
      <w:r>
        <w:t xml:space="preserve">, </w:t>
      </w:r>
      <w:r w:rsidRPr="000459F7">
        <w:t>188 FERC ¶ 61,051</w:t>
      </w:r>
      <w:r>
        <w:t>, at P 2</w:t>
      </w:r>
      <w:r w:rsidRPr="000459F7">
        <w:t xml:space="preserve"> (2024)</w:t>
      </w:r>
      <w:r>
        <w:t>.</w:t>
      </w:r>
    </w:p>
  </w:footnote>
  <w:footnote w:id="9">
    <w:p w:rsidR="00300A1A" w:rsidP="00300A1A">
      <w:pPr>
        <w:pStyle w:val="FootnoteText"/>
      </w:pPr>
      <w:r>
        <w:rPr>
          <w:rStyle w:val="FootnoteReference"/>
        </w:rPr>
        <w:footnoteRef/>
      </w:r>
      <w:r>
        <w:t xml:space="preserve"> </w:t>
      </w:r>
      <w:r w:rsidRPr="00870C23" w:rsidR="008E6A54">
        <w:t>NYISO</w:t>
      </w:r>
      <w:r w:rsidR="008E6A54">
        <w:t xml:space="preserve">, NYISO Tariffs, </w:t>
      </w:r>
      <w:r w:rsidRPr="00430899" w:rsidR="008E6A54">
        <w:t>NYISO MST</w:t>
      </w:r>
      <w:r w:rsidR="008E6A54">
        <w:t>,</w:t>
      </w:r>
      <w:r w:rsidRPr="00430899" w:rsidR="008E6A54">
        <w:t xml:space="preserve"> § 5.11</w:t>
      </w:r>
      <w:r w:rsidR="00321D23">
        <w:t xml:space="preserve"> </w:t>
      </w:r>
      <w:r w:rsidR="00C3208B">
        <w:t xml:space="preserve">(21.0.0), § 5.11.7 </w:t>
      </w:r>
      <w:r w:rsidR="008E6A54">
        <w:t xml:space="preserve">(ICAP Market Parameters for Triggering Resources); </w:t>
      </w:r>
      <w:r w:rsidR="008E6A54">
        <w:rPr>
          <w:i/>
          <w:iCs/>
        </w:rPr>
        <w:t xml:space="preserve">see also </w:t>
      </w:r>
      <w:r w:rsidRPr="00041FE3">
        <w:rPr>
          <w:i/>
          <w:iCs/>
        </w:rPr>
        <w:t>N.Y. Indep. Sys. Operator, Inc.</w:t>
      </w:r>
      <w:r>
        <w:t xml:space="preserve">, </w:t>
      </w:r>
      <w:r w:rsidR="00C3208B">
        <w:t xml:space="preserve">      </w:t>
      </w:r>
      <w:r>
        <w:t>193 FERC ¶ 61,233 (2025)</w:t>
      </w:r>
      <w:r w:rsidR="00B026CA">
        <w:t>.</w:t>
      </w:r>
    </w:p>
  </w:footnote>
  <w:footnote w:id="10">
    <w:p w:rsidR="00300A1A" w:rsidP="00300A1A">
      <w:pPr>
        <w:pStyle w:val="FootnoteText"/>
      </w:pPr>
      <w:r>
        <w:rPr>
          <w:rStyle w:val="FootnoteReference"/>
        </w:rPr>
        <w:footnoteRef/>
      </w:r>
      <w:r>
        <w:t xml:space="preserve"> </w:t>
      </w:r>
      <w:r w:rsidRPr="00F64941">
        <w:t>One set of ICAP market parameters is based on an assumption that the Triggering Resource is participating in the ICAP market, while the other set of parameters assumes that the Triggering Resource is not participating in the ICAP market.</w:t>
      </w:r>
    </w:p>
  </w:footnote>
  <w:footnote w:id="11">
    <w:p w:rsidR="00300A1A" w:rsidP="00300A1A">
      <w:pPr>
        <w:pStyle w:val="FootnoteText"/>
      </w:pPr>
      <w:r>
        <w:rPr>
          <w:rStyle w:val="FootnoteReference"/>
        </w:rPr>
        <w:footnoteRef/>
      </w:r>
      <w:r w:rsidRPr="00430899">
        <w:t xml:space="preserve"> </w:t>
      </w:r>
      <w:r w:rsidR="00C3208B">
        <w:rPr>
          <w:iCs/>
        </w:rPr>
        <w:t xml:space="preserve">NYISO, NYISO Tariffs, </w:t>
      </w:r>
      <w:r w:rsidRPr="00430899">
        <w:t>NYISO MST</w:t>
      </w:r>
      <w:r>
        <w:t>,</w:t>
      </w:r>
      <w:r w:rsidRPr="00430899">
        <w:t xml:space="preserve"> </w:t>
      </w:r>
      <w:r w:rsidR="00C3208B">
        <w:t>,</w:t>
      </w:r>
      <w:r w:rsidRPr="00430899" w:rsidR="00C3208B">
        <w:t xml:space="preserve"> </w:t>
      </w:r>
      <w:r w:rsidR="00C3208B">
        <w:t xml:space="preserve">§ 5.11 (21.0.0), </w:t>
      </w:r>
      <w:r w:rsidRPr="00430899">
        <w:t>§ 5.11.7.1</w:t>
      </w:r>
      <w:r>
        <w:t xml:space="preserve"> (Triggering Resources Included in the IRM Study Final Base Case)</w:t>
      </w:r>
      <w:r w:rsidR="006B62AC">
        <w:t>.</w:t>
      </w:r>
    </w:p>
  </w:footnote>
  <w:footnote w:id="12">
    <w:p w:rsidR="009D1565" w:rsidP="009D1565">
      <w:pPr>
        <w:pStyle w:val="FootnoteText"/>
      </w:pPr>
      <w:r>
        <w:rPr>
          <w:rStyle w:val="FootnoteReference"/>
        </w:rPr>
        <w:footnoteRef/>
      </w:r>
      <w:r>
        <w:t xml:space="preserve"> Transmittal Letter at 2-3.</w:t>
      </w:r>
      <w:r w:rsidR="00343006">
        <w:t xml:space="preserve">  </w:t>
      </w:r>
      <w:r w:rsidRPr="00F46C47" w:rsidR="00F46C47">
        <w:t xml:space="preserve">UDRs are “rights, as measured in MWs, associated with (1) new incremental controllable transmission projects, and (2) new projects to increase the capability of existing controllable transmission projects that have UDRs, that provide a transmission interface to a Locality.”  </w:t>
      </w:r>
      <w:r w:rsidRPr="00F46C47" w:rsidR="00F46C47">
        <w:rPr>
          <w:i/>
        </w:rPr>
        <w:t>See</w:t>
      </w:r>
      <w:r w:rsidRPr="00F46C47" w:rsidR="00F46C47">
        <w:rPr>
          <w:iCs/>
        </w:rPr>
        <w:t xml:space="preserve"> </w:t>
      </w:r>
      <w:r w:rsidR="00C3208B">
        <w:rPr>
          <w:iCs/>
        </w:rPr>
        <w:t xml:space="preserve">NYISO, NYISO Tariffs, </w:t>
      </w:r>
      <w:r w:rsidRPr="00F46C47" w:rsidR="00F46C47">
        <w:rPr>
          <w:iCs/>
        </w:rPr>
        <w:t>NYISO MST, § 2.21 (Definitions - U) (7.0.0).</w:t>
      </w:r>
    </w:p>
  </w:footnote>
  <w:footnote w:id="13">
    <w:p w:rsidR="009D1565" w:rsidP="009D1565">
      <w:pPr>
        <w:pStyle w:val="FootnoteText"/>
      </w:pPr>
      <w:r>
        <w:rPr>
          <w:rStyle w:val="FootnoteReference"/>
        </w:rPr>
        <w:footnoteRef/>
      </w:r>
      <w:r>
        <w:t xml:space="preserve"> </w:t>
      </w:r>
      <w:r w:rsidR="003E20EE">
        <w:t xml:space="preserve">Transmittal Letter </w:t>
      </w:r>
      <w:r>
        <w:t>at 3; Zhang Aff</w:t>
      </w:r>
      <w:r w:rsidR="00726D7A">
        <w:t xml:space="preserve">. </w:t>
      </w:r>
      <w:r>
        <w:t xml:space="preserve">at 2-3. </w:t>
      </w:r>
    </w:p>
  </w:footnote>
  <w:footnote w:id="14">
    <w:p w:rsidR="00D26044" w:rsidRPr="007457E9">
      <w:pPr>
        <w:pStyle w:val="FootnoteText"/>
      </w:pPr>
      <w:r>
        <w:rPr>
          <w:rStyle w:val="FootnoteReference"/>
        </w:rPr>
        <w:footnoteRef/>
      </w:r>
      <w:r>
        <w:t xml:space="preserve"> </w:t>
      </w:r>
      <w:r w:rsidR="007457E9">
        <w:t xml:space="preserve">Transmittal Letter at </w:t>
      </w:r>
      <w:r w:rsidR="003A0EBE">
        <w:t>3-4</w:t>
      </w:r>
      <w:r w:rsidR="007457E9">
        <w:t>.</w:t>
      </w:r>
    </w:p>
  </w:footnote>
  <w:footnote w:id="15">
    <w:p w:rsidR="009D1565" w:rsidP="009D1565">
      <w:pPr>
        <w:pStyle w:val="FootnoteText"/>
      </w:pPr>
      <w:r>
        <w:rPr>
          <w:rStyle w:val="FootnoteReference"/>
        </w:rPr>
        <w:footnoteRef/>
      </w:r>
      <w:r>
        <w:t xml:space="preserve"> </w:t>
      </w:r>
      <w:r>
        <w:rPr>
          <w:i/>
          <w:iCs/>
        </w:rPr>
        <w:t>Id.</w:t>
      </w:r>
      <w:r>
        <w:t xml:space="preserve"> at 5. </w:t>
      </w:r>
    </w:p>
  </w:footnote>
  <w:footnote w:id="16">
    <w:p w:rsidR="009D1565" w:rsidP="009D1565">
      <w:pPr>
        <w:pStyle w:val="FootnoteText"/>
      </w:pPr>
      <w:r w:rsidRPr="00430899">
        <w:rPr>
          <w:rStyle w:val="FootnoteReference"/>
        </w:rPr>
        <w:footnoteRef/>
      </w:r>
      <w:r w:rsidRPr="00082091">
        <w:t xml:space="preserve"> </w:t>
      </w:r>
      <w:r w:rsidR="005819D1">
        <w:t>NYISO explains that for instance, HQUS has supplied zero</w:t>
      </w:r>
      <w:r w:rsidRPr="00714317" w:rsidR="005819D1">
        <w:t xml:space="preserve"> MW to NYCA for the past two peak winter seasons</w:t>
      </w:r>
      <w:r w:rsidR="005819D1">
        <w:t>.</w:t>
      </w:r>
      <w:r w:rsidR="005819D1">
        <w:rPr>
          <w:i/>
          <w:iCs/>
        </w:rPr>
        <w:t xml:space="preserve"> </w:t>
      </w:r>
      <w:r w:rsidR="00004C65">
        <w:rPr>
          <w:i/>
          <w:iCs/>
        </w:rPr>
        <w:t xml:space="preserve"> </w:t>
      </w:r>
      <w:r w:rsidR="005E18F6">
        <w:rPr>
          <w:i/>
          <w:iCs/>
        </w:rPr>
        <w:t>Id.</w:t>
      </w:r>
      <w:r w:rsidR="00AF586B">
        <w:t xml:space="preserve"> at 4</w:t>
      </w:r>
      <w:r w:rsidR="00DF627C">
        <w:t>-5</w:t>
      </w:r>
      <w:r w:rsidR="00AF586B">
        <w:t>;</w:t>
      </w:r>
      <w:r w:rsidRPr="00082091">
        <w:t xml:space="preserve"> </w:t>
      </w:r>
      <w:r>
        <w:t>Zhang Aff</w:t>
      </w:r>
      <w:r w:rsidR="00726D7A">
        <w:t>.</w:t>
      </w:r>
      <w:r>
        <w:t xml:space="preserve"> at 3. </w:t>
      </w:r>
    </w:p>
  </w:footnote>
  <w:footnote w:id="17">
    <w:p w:rsidR="0026195B" w:rsidP="0026195B">
      <w:pPr>
        <w:pStyle w:val="FootnoteText"/>
      </w:pPr>
      <w:r w:rsidRPr="00430899">
        <w:rPr>
          <w:rStyle w:val="FootnoteReference"/>
        </w:rPr>
        <w:footnoteRef/>
      </w:r>
      <w:r w:rsidRPr="00430899">
        <w:t xml:space="preserve"> </w:t>
      </w:r>
      <w:r w:rsidR="0006509F">
        <w:t xml:space="preserve">Transmittal Letter at </w:t>
      </w:r>
      <w:r w:rsidR="00000D14">
        <w:t xml:space="preserve">8-9; </w:t>
      </w:r>
      <w:r w:rsidR="0006509F">
        <w:t xml:space="preserve">Zhang Aff. </w:t>
      </w:r>
      <w:r>
        <w:t>at 4.</w:t>
      </w:r>
    </w:p>
  </w:footnote>
  <w:footnote w:id="18">
    <w:p w:rsidR="00AE103A">
      <w:pPr>
        <w:pStyle w:val="FootnoteText"/>
      </w:pPr>
      <w:r>
        <w:rPr>
          <w:rStyle w:val="FootnoteReference"/>
        </w:rPr>
        <w:footnoteRef/>
      </w:r>
      <w:r>
        <w:t xml:space="preserve"> </w:t>
      </w:r>
      <w:r w:rsidRPr="00AE103A">
        <w:t xml:space="preserve">NYISO explains that </w:t>
      </w:r>
      <w:r w:rsidR="007C0045">
        <w:t>the Commission recently accepted</w:t>
      </w:r>
      <w:r w:rsidRPr="00AE103A">
        <w:t xml:space="preserve"> a longer-term, durable solution to the misalignment concerns addressed by this proposal i</w:t>
      </w:r>
      <w:r w:rsidR="000D6568">
        <w:t>n</w:t>
      </w:r>
      <w:r w:rsidRPr="00AE103A">
        <w:t xml:space="preserve"> the ICAP market enhancements </w:t>
      </w:r>
      <w:r w:rsidR="001C5AD2">
        <w:t xml:space="preserve">that NYISO proposed </w:t>
      </w:r>
      <w:r w:rsidRPr="00AE103A">
        <w:t>in Docket No. ER26-1431</w:t>
      </w:r>
      <w:r w:rsidR="006439F6">
        <w:t xml:space="preserve">.  Transmittal Letter at 7 (citing </w:t>
      </w:r>
      <w:r w:rsidRPr="004245E7" w:rsidR="006439F6">
        <w:rPr>
          <w:i/>
          <w:iCs/>
        </w:rPr>
        <w:t>N</w:t>
      </w:r>
      <w:r w:rsidR="006439F6">
        <w:rPr>
          <w:i/>
          <w:iCs/>
        </w:rPr>
        <w:t>.</w:t>
      </w:r>
      <w:r w:rsidRPr="004245E7" w:rsidR="006439F6">
        <w:rPr>
          <w:i/>
          <w:iCs/>
        </w:rPr>
        <w:t xml:space="preserve"> Y</w:t>
      </w:r>
      <w:r w:rsidR="006439F6">
        <w:rPr>
          <w:i/>
          <w:iCs/>
        </w:rPr>
        <w:t>.</w:t>
      </w:r>
      <w:r w:rsidRPr="004245E7" w:rsidR="006439F6">
        <w:rPr>
          <w:i/>
          <w:iCs/>
        </w:rPr>
        <w:t xml:space="preserve"> Indep</w:t>
      </w:r>
      <w:r w:rsidR="006439F6">
        <w:rPr>
          <w:i/>
          <w:iCs/>
        </w:rPr>
        <w:t>.</w:t>
      </w:r>
      <w:r w:rsidRPr="004245E7" w:rsidR="006439F6">
        <w:rPr>
          <w:i/>
          <w:iCs/>
        </w:rPr>
        <w:t xml:space="preserve"> Sys</w:t>
      </w:r>
      <w:r w:rsidR="006439F6">
        <w:rPr>
          <w:i/>
          <w:iCs/>
        </w:rPr>
        <w:t>.</w:t>
      </w:r>
      <w:r w:rsidRPr="004245E7" w:rsidR="006439F6">
        <w:rPr>
          <w:i/>
          <w:iCs/>
        </w:rPr>
        <w:t xml:space="preserve"> Operator, Inc.</w:t>
      </w:r>
      <w:r w:rsidR="006439F6">
        <w:t xml:space="preserve">, </w:t>
      </w:r>
      <w:r w:rsidRPr="00AE6B65" w:rsidR="006439F6">
        <w:t>195 FERC ¶ 61,250</w:t>
      </w:r>
      <w:r w:rsidR="006439F6">
        <w:t xml:space="preserve"> (2026)).  </w:t>
      </w:r>
    </w:p>
  </w:footnote>
  <w:footnote w:id="19">
    <w:p w:rsidR="00D503A7" w:rsidRPr="00D2164C">
      <w:pPr>
        <w:pStyle w:val="FootnoteText"/>
      </w:pPr>
      <w:r>
        <w:rPr>
          <w:rStyle w:val="FootnoteReference"/>
        </w:rPr>
        <w:footnoteRef/>
      </w:r>
      <w:r>
        <w:t xml:space="preserve"> </w:t>
      </w:r>
      <w:r w:rsidR="004A49FC">
        <w:rPr>
          <w:i/>
          <w:iCs/>
        </w:rPr>
        <w:t>Id.</w:t>
      </w:r>
      <w:r>
        <w:t xml:space="preserve"> </w:t>
      </w:r>
      <w:r w:rsidR="00D2164C">
        <w:t xml:space="preserve">at </w:t>
      </w:r>
      <w:r w:rsidR="00613614">
        <w:t>8</w:t>
      </w:r>
      <w:r w:rsidR="00A11EBF">
        <w:t>-10</w:t>
      </w:r>
      <w:r w:rsidR="00D2164C">
        <w:t>.</w:t>
      </w:r>
    </w:p>
  </w:footnote>
  <w:footnote w:id="20">
    <w:p w:rsidR="002679EC">
      <w:pPr>
        <w:pStyle w:val="FootnoteText"/>
      </w:pPr>
      <w:r>
        <w:rPr>
          <w:rStyle w:val="FootnoteReference"/>
        </w:rPr>
        <w:footnoteRef/>
      </w:r>
      <w:r>
        <w:t xml:space="preserve"> </w:t>
      </w:r>
      <w:r w:rsidR="00000D14">
        <w:rPr>
          <w:i/>
          <w:iCs/>
        </w:rPr>
        <w:t>Id.</w:t>
      </w:r>
      <w:r w:rsidR="00A23B26">
        <w:t xml:space="preserve"> at 9. </w:t>
      </w:r>
    </w:p>
  </w:footnote>
  <w:footnote w:id="21">
    <w:p w:rsidR="009D1565" w:rsidP="009D1565">
      <w:pPr>
        <w:pStyle w:val="FootnoteText"/>
      </w:pPr>
      <w:r w:rsidRPr="007E1E0E">
        <w:rPr>
          <w:rStyle w:val="FootnoteReference"/>
        </w:rPr>
        <w:footnoteRef/>
      </w:r>
      <w:r w:rsidRPr="007E1E0E">
        <w:t xml:space="preserve"> In calibrating the ICAP Demand Curve reference point prices to ensure revenue sufficiency for the</w:t>
      </w:r>
      <w:r w:rsidRPr="00BD0A35">
        <w:t xml:space="preserve"> reference technology,</w:t>
      </w:r>
      <w:r>
        <w:t xml:space="preserve"> </w:t>
      </w:r>
      <w:r w:rsidRPr="00BD0A35">
        <w:t>a winter-to-summer ratio metric is used</w:t>
      </w:r>
      <w:r>
        <w:t xml:space="preserve">, representing </w:t>
      </w:r>
      <w:r w:rsidRPr="00BD0A35">
        <w:t>the ratio of expected available capacity in the winter season relative to the summer season.</w:t>
      </w:r>
      <w:r w:rsidRPr="0068085F">
        <w:t xml:space="preserve"> </w:t>
      </w:r>
      <w:r>
        <w:t xml:space="preserve"> </w:t>
      </w:r>
      <w:r w:rsidRPr="0068085F">
        <w:t>When greater capacity is expected to be available in the winter relative to the summer, the reference point prices for the winter season are scaled up to account for the greater supply available in winter ICAP auctions</w:t>
      </w:r>
      <w:r>
        <w:t>,</w:t>
      </w:r>
      <w:r w:rsidRPr="0068085F">
        <w:t xml:space="preserve"> ensur</w:t>
      </w:r>
      <w:r>
        <w:t>ing</w:t>
      </w:r>
      <w:r w:rsidRPr="0068085F">
        <w:t xml:space="preserve"> that the hypothetical reference technology can still achieve its annual revenue requirement over the course of the Capability Year</w:t>
      </w:r>
      <w:r>
        <w:t>.  Historically, this ratio has always been above 1.0, h</w:t>
      </w:r>
      <w:r w:rsidRPr="001C09B0">
        <w:t xml:space="preserve">owever, entry of the CHPE UDRs into the ICAP market </w:t>
      </w:r>
      <w:r>
        <w:t>causes New York City’s ratio to go below 1.0.  NYISO explains that t</w:t>
      </w:r>
      <w:r w:rsidRPr="00653A5A">
        <w:t xml:space="preserve">o avoid unwarranted market disruption and uncertainty that could result from introducing intra-Capability Period adjustments to the 2026 Summer Capability Period that has already commenced and is ongoing, NYISO proposes to revise the ICAP Demand Curve parameter formulas for New York City to isolate the impact of the CHPE UDRs to the upcoming 2026-2027 Winter Capability Period.  </w:t>
      </w:r>
      <w:r>
        <w:t>Transmittal Letter at 12-13, Zhang Aff</w:t>
      </w:r>
      <w:r w:rsidR="00CE6B6E">
        <w:t>.</w:t>
      </w:r>
      <w:r>
        <w:t xml:space="preserve"> at 4-5. </w:t>
      </w:r>
    </w:p>
  </w:footnote>
  <w:footnote w:id="22">
    <w:p w:rsidR="009D1565" w:rsidP="009D1565">
      <w:pPr>
        <w:pStyle w:val="FootnoteText"/>
      </w:pPr>
      <w:r>
        <w:rPr>
          <w:rStyle w:val="FootnoteReference"/>
        </w:rPr>
        <w:footnoteRef/>
      </w:r>
      <w:r>
        <w:t xml:space="preserve"> </w:t>
      </w:r>
      <w:r w:rsidR="005528F3">
        <w:t>Transmittal Letter</w:t>
      </w:r>
      <w:r w:rsidR="00FB2BE7">
        <w:rPr>
          <w:i/>
        </w:rPr>
        <w:t xml:space="preserve"> </w:t>
      </w:r>
      <w:r>
        <w:t>at 6; Zhang Aff</w:t>
      </w:r>
      <w:r w:rsidR="00726D7A">
        <w:t>.</w:t>
      </w:r>
      <w:r>
        <w:t xml:space="preserve"> at 5-6.  New York City’s LCR for CHPE-Out and CHPE-In is 82.6% and 86.4% respectively.</w:t>
      </w:r>
      <w:r w:rsidR="00051BBF">
        <w:t xml:space="preserve">  Zhang Aff. at 4.</w:t>
      </w:r>
    </w:p>
  </w:footnote>
  <w:footnote w:id="23">
    <w:p w:rsidR="00573B93">
      <w:pPr>
        <w:pStyle w:val="FootnoteText"/>
      </w:pPr>
      <w:r>
        <w:rPr>
          <w:rStyle w:val="FootnoteReference"/>
        </w:rPr>
        <w:footnoteRef/>
      </w:r>
      <w:r>
        <w:t xml:space="preserve"> Transmittal Letter at </w:t>
      </w:r>
      <w:r w:rsidR="00D53ABB">
        <w:t>10</w:t>
      </w:r>
      <w:r>
        <w:t xml:space="preserve">. </w:t>
      </w:r>
    </w:p>
  </w:footnote>
  <w:footnote w:id="24">
    <w:p w:rsidR="007254BC">
      <w:pPr>
        <w:pStyle w:val="FootnoteText"/>
      </w:pPr>
      <w:r>
        <w:rPr>
          <w:rStyle w:val="FootnoteReference"/>
        </w:rPr>
        <w:footnoteRef/>
      </w:r>
      <w:r>
        <w:t xml:space="preserve"> Zhang Aff. at 7. </w:t>
      </w:r>
    </w:p>
  </w:footnote>
  <w:footnote w:id="25">
    <w:p w:rsidR="00C00F70">
      <w:pPr>
        <w:pStyle w:val="FootnoteText"/>
      </w:pPr>
      <w:r>
        <w:rPr>
          <w:rStyle w:val="FootnoteReference"/>
        </w:rPr>
        <w:footnoteRef/>
      </w:r>
      <w:r>
        <w:t xml:space="preserve"> Transmittal Letter at 13. </w:t>
      </w:r>
    </w:p>
  </w:footnote>
  <w:footnote w:id="26">
    <w:p w:rsidR="00EA77FB">
      <w:pPr>
        <w:pStyle w:val="FootnoteText"/>
      </w:pPr>
      <w:r>
        <w:rPr>
          <w:rStyle w:val="FootnoteReference"/>
        </w:rPr>
        <w:footnoteRef/>
      </w:r>
      <w:r>
        <w:t xml:space="preserve"> </w:t>
      </w:r>
      <w:r w:rsidRPr="008E50B3" w:rsidR="008E50B3">
        <w:t>Zhang Aff</w:t>
      </w:r>
      <w:r w:rsidR="008E50B3">
        <w:t>.</w:t>
      </w:r>
      <w:r w:rsidRPr="008E50B3" w:rsidR="008E50B3">
        <w:t xml:space="preserve"> at 12.</w:t>
      </w:r>
    </w:p>
  </w:footnote>
  <w:footnote w:id="27">
    <w:p w:rsidR="002D2912">
      <w:pPr>
        <w:pStyle w:val="FootnoteText"/>
      </w:pPr>
      <w:r>
        <w:rPr>
          <w:rStyle w:val="FootnoteReference"/>
        </w:rPr>
        <w:footnoteRef/>
      </w:r>
      <w:r>
        <w:t xml:space="preserve"> </w:t>
      </w:r>
      <w:r w:rsidR="00BB6A8D">
        <w:t xml:space="preserve">New York Transmission Owners </w:t>
      </w:r>
      <w:r w:rsidR="00DB3D75">
        <w:t xml:space="preserve">include </w:t>
      </w:r>
      <w:r w:rsidRPr="00BB6A8D" w:rsidR="00BB6A8D">
        <w:t>Central Hudson Gas &amp; Electric Corporation, Consolidated Edison Company of New York, Inc., Long Island Power Authority, New York Power Authority, New York State Electric &amp; Gas Corporation, Niagara Mohawk Power Corporation, Orange and Rockland Utilities, Inc., and Rochester Gas and Electric Corporation</w:t>
      </w:r>
      <w:r w:rsidR="00BB6A8D">
        <w:t>.</w:t>
      </w:r>
    </w:p>
  </w:footnote>
  <w:footnote w:id="28">
    <w:p w:rsidR="00D21F96">
      <w:pPr>
        <w:pStyle w:val="FootnoteText"/>
      </w:pPr>
      <w:r>
        <w:rPr>
          <w:rStyle w:val="FootnoteReference"/>
        </w:rPr>
        <w:footnoteRef/>
      </w:r>
      <w:r>
        <w:t xml:space="preserve"> Transmittal Letter at </w:t>
      </w:r>
      <w:r w:rsidR="00EA47A1">
        <w:t>5</w:t>
      </w:r>
      <w:r w:rsidR="001B112D">
        <w:t>; Zhang Aff. at 4</w:t>
      </w:r>
      <w:r>
        <w:t>.</w:t>
      </w:r>
    </w:p>
  </w:footnote>
  <w:footnote w:id="29">
    <w:p w:rsidR="001822FC" w:rsidP="001822FC">
      <w:pPr>
        <w:pStyle w:val="FootnoteText"/>
      </w:pPr>
      <w:r>
        <w:rPr>
          <w:rStyle w:val="FootnoteReference"/>
        </w:rPr>
        <w:footnoteRef/>
      </w:r>
      <w:r>
        <w:t xml:space="preserve"> Transmittal</w:t>
      </w:r>
      <w:r w:rsidR="0021497C">
        <w:t xml:space="preserve"> Letter</w:t>
      </w:r>
      <w:r>
        <w:t xml:space="preserve"> at 13. </w:t>
      </w:r>
    </w:p>
  </w:footnote>
  <w:footnote w:id="30">
    <w:p w:rsidR="00E53C86" w:rsidP="00E53C86">
      <w:pPr>
        <w:pStyle w:val="FootnoteText"/>
      </w:pPr>
      <w:r>
        <w:rPr>
          <w:rStyle w:val="FootnoteReference"/>
        </w:rPr>
        <w:footnoteRef/>
      </w:r>
      <w:r>
        <w:t xml:space="preserve"> </w:t>
      </w:r>
      <w:r w:rsidR="006720C7">
        <w:rPr>
          <w:i/>
          <w:iCs/>
        </w:rPr>
        <w:t>Id.</w:t>
      </w:r>
      <w:r>
        <w:t xml:space="preserve"> </w:t>
      </w:r>
    </w:p>
  </w:footnote>
  <w:footnote w:id="31">
    <w:p w:rsidR="001822FC" w:rsidP="001822FC">
      <w:pPr>
        <w:pStyle w:val="FootnoteText"/>
      </w:pPr>
      <w:r>
        <w:rPr>
          <w:rStyle w:val="FootnoteReference"/>
        </w:rPr>
        <w:footnoteRef/>
      </w:r>
      <w:r>
        <w:t xml:space="preserve"> Zhang Aff</w:t>
      </w:r>
      <w:r w:rsidR="00D506C3">
        <w:t>.</w:t>
      </w:r>
      <w:r>
        <w:t xml:space="preserve"> at 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5830A4">
    <w:pPr>
      <w:pStyle w:val="Header"/>
      <w:tabs>
        <w:tab w:val="clear" w:pos="4680"/>
      </w:tabs>
      <w:spacing w:after="240"/>
    </w:pPr>
    <w:r>
      <w:t>Docket No. ER26-2959-000</w:t>
      <w:tab/>
    </w:r>
    <w:r>
      <w:fldChar w:fldCharType="begin"/>
    </w:r>
    <w:r>
      <w:instrText xml:space="preserve"> PAGE  \* MERGEFORMAT </w:instrText>
    </w:r>
    <w:r>
      <w:fldChar w:fldCharType="separate"/>
    </w:r>
    <w:r>
      <w:rPr>
        <w:noProof/>
      </w:rPr>
      <w:t>- 7 -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2">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86C123C"/>
    <w:multiLevelType w:val="hybridMultilevel"/>
    <w:tmpl w:val="5C442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5">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6">
    <w:nsid w:val="25B7254C"/>
    <w:multiLevelType w:val="hybridMultilevel"/>
    <w:tmpl w:val="BAD04D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0">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2">
    <w:nsid w:val="7D3B09D3"/>
    <w:multiLevelType w:val="hybridMultilevel"/>
    <w:tmpl w:val="8BEA1A8A"/>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0"/>
  </w:num>
  <w:num w:numId="13">
    <w:abstractNumId w:val="14"/>
  </w:num>
  <w:num w:numId="14">
    <w:abstractNumId w:val="21"/>
  </w:num>
  <w:num w:numId="15">
    <w:abstractNumId w:val="19"/>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0"/>
  </w:num>
  <w:num w:numId="19">
    <w:abstractNumId w:val="15"/>
  </w:num>
  <w:num w:numId="20">
    <w:abstractNumId w:val="12"/>
  </w:num>
  <w:num w:numId="21">
    <w:abstractNumId w:val="23"/>
  </w:num>
  <w:num w:numId="22">
    <w:abstractNumId w:val="17"/>
  </w:num>
  <w:num w:numId="23">
    <w:abstractNumId w:val="18"/>
  </w:num>
  <w:num w:numId="24">
    <w:abstractNumId w:val="13"/>
  </w:num>
  <w:num w:numId="2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 w:id="2"/>
  </w:footnotePr>
  <w:endnotePr>
    <w:endnote w:id="0"/>
    <w:endnote w:id="1"/>
  </w:endnotePr>
  <w:compat/>
  <w:rsids>
    <w:rsidRoot w:val="005830A4"/>
    <w:rsid w:val="00000D14"/>
    <w:rsid w:val="00001596"/>
    <w:rsid w:val="000015A3"/>
    <w:rsid w:val="00001850"/>
    <w:rsid w:val="00002290"/>
    <w:rsid w:val="00002F79"/>
    <w:rsid w:val="00003340"/>
    <w:rsid w:val="000047C0"/>
    <w:rsid w:val="00004C65"/>
    <w:rsid w:val="000059DA"/>
    <w:rsid w:val="0000731D"/>
    <w:rsid w:val="00007772"/>
    <w:rsid w:val="00007BBA"/>
    <w:rsid w:val="00010BA1"/>
    <w:rsid w:val="00010FA6"/>
    <w:rsid w:val="00011070"/>
    <w:rsid w:val="000113A3"/>
    <w:rsid w:val="000118C8"/>
    <w:rsid w:val="000143AA"/>
    <w:rsid w:val="0001473D"/>
    <w:rsid w:val="0002042F"/>
    <w:rsid w:val="000207A4"/>
    <w:rsid w:val="00022A33"/>
    <w:rsid w:val="00022F60"/>
    <w:rsid w:val="0002355F"/>
    <w:rsid w:val="000254F6"/>
    <w:rsid w:val="00026146"/>
    <w:rsid w:val="00026815"/>
    <w:rsid w:val="000309F5"/>
    <w:rsid w:val="00030D90"/>
    <w:rsid w:val="000334D5"/>
    <w:rsid w:val="0003382F"/>
    <w:rsid w:val="00033EA9"/>
    <w:rsid w:val="00034431"/>
    <w:rsid w:val="000345D0"/>
    <w:rsid w:val="00034D7D"/>
    <w:rsid w:val="00034F5F"/>
    <w:rsid w:val="0003553A"/>
    <w:rsid w:val="00035726"/>
    <w:rsid w:val="00036DB9"/>
    <w:rsid w:val="00040121"/>
    <w:rsid w:val="00040F8B"/>
    <w:rsid w:val="00041B93"/>
    <w:rsid w:val="00041FE3"/>
    <w:rsid w:val="0004246D"/>
    <w:rsid w:val="0004287F"/>
    <w:rsid w:val="000428C4"/>
    <w:rsid w:val="00044FBA"/>
    <w:rsid w:val="000459F7"/>
    <w:rsid w:val="00045D02"/>
    <w:rsid w:val="0004624A"/>
    <w:rsid w:val="000475AC"/>
    <w:rsid w:val="0004768B"/>
    <w:rsid w:val="000510DB"/>
    <w:rsid w:val="0005135D"/>
    <w:rsid w:val="000515FC"/>
    <w:rsid w:val="0005173D"/>
    <w:rsid w:val="00051BBF"/>
    <w:rsid w:val="0005286E"/>
    <w:rsid w:val="00052E9E"/>
    <w:rsid w:val="000550DC"/>
    <w:rsid w:val="00055F5F"/>
    <w:rsid w:val="00056ABF"/>
    <w:rsid w:val="0006029E"/>
    <w:rsid w:val="0006117F"/>
    <w:rsid w:val="00062732"/>
    <w:rsid w:val="00064B71"/>
    <w:rsid w:val="0006509F"/>
    <w:rsid w:val="000650B7"/>
    <w:rsid w:val="00066349"/>
    <w:rsid w:val="00066A8E"/>
    <w:rsid w:val="00067F7E"/>
    <w:rsid w:val="00070857"/>
    <w:rsid w:val="0007377C"/>
    <w:rsid w:val="00075879"/>
    <w:rsid w:val="00076300"/>
    <w:rsid w:val="0007636C"/>
    <w:rsid w:val="00077054"/>
    <w:rsid w:val="00080622"/>
    <w:rsid w:val="00080B97"/>
    <w:rsid w:val="00082091"/>
    <w:rsid w:val="00084153"/>
    <w:rsid w:val="0008478C"/>
    <w:rsid w:val="00084A31"/>
    <w:rsid w:val="0008643F"/>
    <w:rsid w:val="000867B0"/>
    <w:rsid w:val="00086D98"/>
    <w:rsid w:val="000874D8"/>
    <w:rsid w:val="0008778D"/>
    <w:rsid w:val="00092634"/>
    <w:rsid w:val="00093EA5"/>
    <w:rsid w:val="00094E2E"/>
    <w:rsid w:val="0009511A"/>
    <w:rsid w:val="000962ED"/>
    <w:rsid w:val="000973FA"/>
    <w:rsid w:val="00097759"/>
    <w:rsid w:val="00097C05"/>
    <w:rsid w:val="000A1349"/>
    <w:rsid w:val="000A1933"/>
    <w:rsid w:val="000A1C3F"/>
    <w:rsid w:val="000A385B"/>
    <w:rsid w:val="000A3A2F"/>
    <w:rsid w:val="000A3D2F"/>
    <w:rsid w:val="000A46FB"/>
    <w:rsid w:val="000A566D"/>
    <w:rsid w:val="000A6835"/>
    <w:rsid w:val="000A6C08"/>
    <w:rsid w:val="000A711C"/>
    <w:rsid w:val="000A75FD"/>
    <w:rsid w:val="000B0F1E"/>
    <w:rsid w:val="000B3148"/>
    <w:rsid w:val="000B4124"/>
    <w:rsid w:val="000B49BC"/>
    <w:rsid w:val="000B7E62"/>
    <w:rsid w:val="000C0253"/>
    <w:rsid w:val="000C0694"/>
    <w:rsid w:val="000C1FCA"/>
    <w:rsid w:val="000C2326"/>
    <w:rsid w:val="000C2AEB"/>
    <w:rsid w:val="000C2D61"/>
    <w:rsid w:val="000C3C73"/>
    <w:rsid w:val="000C4A0B"/>
    <w:rsid w:val="000C53FB"/>
    <w:rsid w:val="000C6869"/>
    <w:rsid w:val="000C73DF"/>
    <w:rsid w:val="000D011B"/>
    <w:rsid w:val="000D0165"/>
    <w:rsid w:val="000D0EE6"/>
    <w:rsid w:val="000D1268"/>
    <w:rsid w:val="000D1822"/>
    <w:rsid w:val="000D1D4B"/>
    <w:rsid w:val="000D1FB6"/>
    <w:rsid w:val="000D2994"/>
    <w:rsid w:val="000D3496"/>
    <w:rsid w:val="000D45DF"/>
    <w:rsid w:val="000D563E"/>
    <w:rsid w:val="000D5A89"/>
    <w:rsid w:val="000D6568"/>
    <w:rsid w:val="000D739B"/>
    <w:rsid w:val="000D74A0"/>
    <w:rsid w:val="000D7CB2"/>
    <w:rsid w:val="000D7DD4"/>
    <w:rsid w:val="000D7E4E"/>
    <w:rsid w:val="000D7E96"/>
    <w:rsid w:val="000E065C"/>
    <w:rsid w:val="000E0857"/>
    <w:rsid w:val="000E0B93"/>
    <w:rsid w:val="000E0F8D"/>
    <w:rsid w:val="000E0FB3"/>
    <w:rsid w:val="000E1A4E"/>
    <w:rsid w:val="000E1F5E"/>
    <w:rsid w:val="000E2BFA"/>
    <w:rsid w:val="000E3AF0"/>
    <w:rsid w:val="000E5FEA"/>
    <w:rsid w:val="000E7E5C"/>
    <w:rsid w:val="000F1FF3"/>
    <w:rsid w:val="000F2BCE"/>
    <w:rsid w:val="000F2DC1"/>
    <w:rsid w:val="000F372C"/>
    <w:rsid w:val="000F377D"/>
    <w:rsid w:val="000F5A0D"/>
    <w:rsid w:val="000F603B"/>
    <w:rsid w:val="000F6403"/>
    <w:rsid w:val="000F6C7F"/>
    <w:rsid w:val="000F7038"/>
    <w:rsid w:val="000F738F"/>
    <w:rsid w:val="000F747F"/>
    <w:rsid w:val="00100E1B"/>
    <w:rsid w:val="00101107"/>
    <w:rsid w:val="0010131E"/>
    <w:rsid w:val="00102736"/>
    <w:rsid w:val="0010290F"/>
    <w:rsid w:val="001049B7"/>
    <w:rsid w:val="00104F76"/>
    <w:rsid w:val="00105A0A"/>
    <w:rsid w:val="00107AB1"/>
    <w:rsid w:val="00112968"/>
    <w:rsid w:val="0012028A"/>
    <w:rsid w:val="00120603"/>
    <w:rsid w:val="001208A2"/>
    <w:rsid w:val="001209EF"/>
    <w:rsid w:val="00121987"/>
    <w:rsid w:val="0012198D"/>
    <w:rsid w:val="001236E4"/>
    <w:rsid w:val="00124C66"/>
    <w:rsid w:val="00126115"/>
    <w:rsid w:val="00126354"/>
    <w:rsid w:val="00126B77"/>
    <w:rsid w:val="0012713F"/>
    <w:rsid w:val="00127478"/>
    <w:rsid w:val="001279B9"/>
    <w:rsid w:val="00130CCE"/>
    <w:rsid w:val="00130FFA"/>
    <w:rsid w:val="00132795"/>
    <w:rsid w:val="00132D57"/>
    <w:rsid w:val="0013670F"/>
    <w:rsid w:val="00137F3B"/>
    <w:rsid w:val="00141688"/>
    <w:rsid w:val="00141D8C"/>
    <w:rsid w:val="001421AA"/>
    <w:rsid w:val="001427C6"/>
    <w:rsid w:val="00144B3D"/>
    <w:rsid w:val="0014592B"/>
    <w:rsid w:val="00146074"/>
    <w:rsid w:val="00146914"/>
    <w:rsid w:val="00146A50"/>
    <w:rsid w:val="00146C6C"/>
    <w:rsid w:val="00147356"/>
    <w:rsid w:val="00147381"/>
    <w:rsid w:val="00147D36"/>
    <w:rsid w:val="0015039E"/>
    <w:rsid w:val="001512A7"/>
    <w:rsid w:val="001520D4"/>
    <w:rsid w:val="0015313D"/>
    <w:rsid w:val="00154885"/>
    <w:rsid w:val="001549DE"/>
    <w:rsid w:val="00154C7A"/>
    <w:rsid w:val="0015671E"/>
    <w:rsid w:val="001567B6"/>
    <w:rsid w:val="00157954"/>
    <w:rsid w:val="00157BD2"/>
    <w:rsid w:val="00161E1A"/>
    <w:rsid w:val="00163286"/>
    <w:rsid w:val="0016467C"/>
    <w:rsid w:val="0016531B"/>
    <w:rsid w:val="00166B99"/>
    <w:rsid w:val="00172628"/>
    <w:rsid w:val="001739FA"/>
    <w:rsid w:val="0017696A"/>
    <w:rsid w:val="0017701D"/>
    <w:rsid w:val="00177C8C"/>
    <w:rsid w:val="001822FC"/>
    <w:rsid w:val="001840D1"/>
    <w:rsid w:val="00186348"/>
    <w:rsid w:val="0018758C"/>
    <w:rsid w:val="00187C2C"/>
    <w:rsid w:val="00190233"/>
    <w:rsid w:val="00191617"/>
    <w:rsid w:val="00191667"/>
    <w:rsid w:val="00191D47"/>
    <w:rsid w:val="0019292E"/>
    <w:rsid w:val="001960DD"/>
    <w:rsid w:val="001A14EB"/>
    <w:rsid w:val="001A1641"/>
    <w:rsid w:val="001A1693"/>
    <w:rsid w:val="001A276E"/>
    <w:rsid w:val="001A2AF1"/>
    <w:rsid w:val="001A33D6"/>
    <w:rsid w:val="001A563A"/>
    <w:rsid w:val="001B010E"/>
    <w:rsid w:val="001B042B"/>
    <w:rsid w:val="001B04A4"/>
    <w:rsid w:val="001B112D"/>
    <w:rsid w:val="001B1FE9"/>
    <w:rsid w:val="001B2C6D"/>
    <w:rsid w:val="001B2DF9"/>
    <w:rsid w:val="001B362D"/>
    <w:rsid w:val="001B3804"/>
    <w:rsid w:val="001B49F3"/>
    <w:rsid w:val="001B4FB2"/>
    <w:rsid w:val="001C09B0"/>
    <w:rsid w:val="001C0F54"/>
    <w:rsid w:val="001C1807"/>
    <w:rsid w:val="001C2187"/>
    <w:rsid w:val="001C2FBB"/>
    <w:rsid w:val="001C32C2"/>
    <w:rsid w:val="001C43D3"/>
    <w:rsid w:val="001C46B3"/>
    <w:rsid w:val="001C4E72"/>
    <w:rsid w:val="001C5AD2"/>
    <w:rsid w:val="001D1509"/>
    <w:rsid w:val="001D264B"/>
    <w:rsid w:val="001D2EC7"/>
    <w:rsid w:val="001D3475"/>
    <w:rsid w:val="001D39B8"/>
    <w:rsid w:val="001D3B0D"/>
    <w:rsid w:val="001D42CD"/>
    <w:rsid w:val="001D4D33"/>
    <w:rsid w:val="001D6278"/>
    <w:rsid w:val="001D6643"/>
    <w:rsid w:val="001D6E9B"/>
    <w:rsid w:val="001D7706"/>
    <w:rsid w:val="001D7927"/>
    <w:rsid w:val="001E3AAB"/>
    <w:rsid w:val="001E59F9"/>
    <w:rsid w:val="001E6E91"/>
    <w:rsid w:val="001E7A8F"/>
    <w:rsid w:val="001F3CE9"/>
    <w:rsid w:val="001F51A0"/>
    <w:rsid w:val="001F5C7A"/>
    <w:rsid w:val="001F5CC6"/>
    <w:rsid w:val="00202BC3"/>
    <w:rsid w:val="00203911"/>
    <w:rsid w:val="002044CD"/>
    <w:rsid w:val="00204C46"/>
    <w:rsid w:val="00204E6C"/>
    <w:rsid w:val="002070C0"/>
    <w:rsid w:val="002072CF"/>
    <w:rsid w:val="00211765"/>
    <w:rsid w:val="002119B5"/>
    <w:rsid w:val="0021303C"/>
    <w:rsid w:val="002136E7"/>
    <w:rsid w:val="002138D9"/>
    <w:rsid w:val="00213AD9"/>
    <w:rsid w:val="00213BBF"/>
    <w:rsid w:val="0021497C"/>
    <w:rsid w:val="00215565"/>
    <w:rsid w:val="002164D6"/>
    <w:rsid w:val="00216624"/>
    <w:rsid w:val="00217AD7"/>
    <w:rsid w:val="002206DB"/>
    <w:rsid w:val="0022162D"/>
    <w:rsid w:val="0022182D"/>
    <w:rsid w:val="0022317F"/>
    <w:rsid w:val="00223A9C"/>
    <w:rsid w:val="00224859"/>
    <w:rsid w:val="00225A12"/>
    <w:rsid w:val="002261B3"/>
    <w:rsid w:val="0022650F"/>
    <w:rsid w:val="002318B6"/>
    <w:rsid w:val="002321D8"/>
    <w:rsid w:val="0023243A"/>
    <w:rsid w:val="00232BE1"/>
    <w:rsid w:val="00233CEF"/>
    <w:rsid w:val="00233FD0"/>
    <w:rsid w:val="00235244"/>
    <w:rsid w:val="002352B0"/>
    <w:rsid w:val="002354E4"/>
    <w:rsid w:val="00237D2C"/>
    <w:rsid w:val="00240493"/>
    <w:rsid w:val="0024069D"/>
    <w:rsid w:val="002417CF"/>
    <w:rsid w:val="00242FE8"/>
    <w:rsid w:val="002435DC"/>
    <w:rsid w:val="00243942"/>
    <w:rsid w:val="002450B9"/>
    <w:rsid w:val="002464E8"/>
    <w:rsid w:val="0024710C"/>
    <w:rsid w:val="00247283"/>
    <w:rsid w:val="00250FDA"/>
    <w:rsid w:val="00253776"/>
    <w:rsid w:val="00255417"/>
    <w:rsid w:val="002557D2"/>
    <w:rsid w:val="00257084"/>
    <w:rsid w:val="00257989"/>
    <w:rsid w:val="00260436"/>
    <w:rsid w:val="00260517"/>
    <w:rsid w:val="0026130E"/>
    <w:rsid w:val="0026195B"/>
    <w:rsid w:val="00262B14"/>
    <w:rsid w:val="00262FED"/>
    <w:rsid w:val="002640E7"/>
    <w:rsid w:val="0026421C"/>
    <w:rsid w:val="002648F6"/>
    <w:rsid w:val="00264C65"/>
    <w:rsid w:val="00265B5C"/>
    <w:rsid w:val="00267328"/>
    <w:rsid w:val="00267875"/>
    <w:rsid w:val="002679EC"/>
    <w:rsid w:val="002726FE"/>
    <w:rsid w:val="00274963"/>
    <w:rsid w:val="00274FEC"/>
    <w:rsid w:val="002817CE"/>
    <w:rsid w:val="002819CA"/>
    <w:rsid w:val="00283612"/>
    <w:rsid w:val="00283AA6"/>
    <w:rsid w:val="0028432C"/>
    <w:rsid w:val="002849D8"/>
    <w:rsid w:val="00284E46"/>
    <w:rsid w:val="0028500A"/>
    <w:rsid w:val="0028525B"/>
    <w:rsid w:val="002857E2"/>
    <w:rsid w:val="00285E23"/>
    <w:rsid w:val="002870A9"/>
    <w:rsid w:val="002874DA"/>
    <w:rsid w:val="0028776A"/>
    <w:rsid w:val="00290ABD"/>
    <w:rsid w:val="00291900"/>
    <w:rsid w:val="002929A5"/>
    <w:rsid w:val="00292DAB"/>
    <w:rsid w:val="00293E05"/>
    <w:rsid w:val="00297E53"/>
    <w:rsid w:val="002A0B4A"/>
    <w:rsid w:val="002A34C1"/>
    <w:rsid w:val="002A4AE5"/>
    <w:rsid w:val="002A5C43"/>
    <w:rsid w:val="002A6A07"/>
    <w:rsid w:val="002A6E11"/>
    <w:rsid w:val="002A729E"/>
    <w:rsid w:val="002A754D"/>
    <w:rsid w:val="002A7822"/>
    <w:rsid w:val="002A7FB5"/>
    <w:rsid w:val="002B007A"/>
    <w:rsid w:val="002B14AD"/>
    <w:rsid w:val="002B242A"/>
    <w:rsid w:val="002B262D"/>
    <w:rsid w:val="002B35F2"/>
    <w:rsid w:val="002B383C"/>
    <w:rsid w:val="002B3E52"/>
    <w:rsid w:val="002B4AEE"/>
    <w:rsid w:val="002B6125"/>
    <w:rsid w:val="002B613D"/>
    <w:rsid w:val="002B6E12"/>
    <w:rsid w:val="002B7102"/>
    <w:rsid w:val="002C57E5"/>
    <w:rsid w:val="002C7704"/>
    <w:rsid w:val="002C7F13"/>
    <w:rsid w:val="002D1528"/>
    <w:rsid w:val="002D206A"/>
    <w:rsid w:val="002D2912"/>
    <w:rsid w:val="002D332B"/>
    <w:rsid w:val="002D358E"/>
    <w:rsid w:val="002D65B3"/>
    <w:rsid w:val="002D7D6B"/>
    <w:rsid w:val="002E126A"/>
    <w:rsid w:val="002E2247"/>
    <w:rsid w:val="002E23A4"/>
    <w:rsid w:val="002E2B34"/>
    <w:rsid w:val="002E40D1"/>
    <w:rsid w:val="002E4896"/>
    <w:rsid w:val="002E4E8A"/>
    <w:rsid w:val="002E547B"/>
    <w:rsid w:val="002E7153"/>
    <w:rsid w:val="002E7F88"/>
    <w:rsid w:val="002F08DF"/>
    <w:rsid w:val="002F1622"/>
    <w:rsid w:val="002F3FC2"/>
    <w:rsid w:val="002F3FEF"/>
    <w:rsid w:val="002F52A9"/>
    <w:rsid w:val="002F779A"/>
    <w:rsid w:val="00300A1A"/>
    <w:rsid w:val="00301D68"/>
    <w:rsid w:val="003031DA"/>
    <w:rsid w:val="003039C5"/>
    <w:rsid w:val="00305AFD"/>
    <w:rsid w:val="00306D5C"/>
    <w:rsid w:val="003102CF"/>
    <w:rsid w:val="003111C7"/>
    <w:rsid w:val="00312651"/>
    <w:rsid w:val="00313634"/>
    <w:rsid w:val="003154A4"/>
    <w:rsid w:val="003160AE"/>
    <w:rsid w:val="003163B8"/>
    <w:rsid w:val="00316F70"/>
    <w:rsid w:val="00321D23"/>
    <w:rsid w:val="00322F05"/>
    <w:rsid w:val="003231F4"/>
    <w:rsid w:val="0032323D"/>
    <w:rsid w:val="003242DE"/>
    <w:rsid w:val="003245BC"/>
    <w:rsid w:val="00324F79"/>
    <w:rsid w:val="00325720"/>
    <w:rsid w:val="003261A8"/>
    <w:rsid w:val="00326EC3"/>
    <w:rsid w:val="00327401"/>
    <w:rsid w:val="00327D73"/>
    <w:rsid w:val="00331256"/>
    <w:rsid w:val="0033369E"/>
    <w:rsid w:val="003346EB"/>
    <w:rsid w:val="003357B7"/>
    <w:rsid w:val="00335933"/>
    <w:rsid w:val="00335CCE"/>
    <w:rsid w:val="003370E4"/>
    <w:rsid w:val="003402D6"/>
    <w:rsid w:val="00340523"/>
    <w:rsid w:val="00340ABD"/>
    <w:rsid w:val="00341C38"/>
    <w:rsid w:val="003421A3"/>
    <w:rsid w:val="00343006"/>
    <w:rsid w:val="003435F5"/>
    <w:rsid w:val="003437BD"/>
    <w:rsid w:val="00343D67"/>
    <w:rsid w:val="00344304"/>
    <w:rsid w:val="00344EC7"/>
    <w:rsid w:val="003478CF"/>
    <w:rsid w:val="00350E98"/>
    <w:rsid w:val="00350FC8"/>
    <w:rsid w:val="00351A64"/>
    <w:rsid w:val="00351D57"/>
    <w:rsid w:val="00351EC0"/>
    <w:rsid w:val="003520AD"/>
    <w:rsid w:val="00353D81"/>
    <w:rsid w:val="003545A2"/>
    <w:rsid w:val="003552D0"/>
    <w:rsid w:val="003555D7"/>
    <w:rsid w:val="003561C1"/>
    <w:rsid w:val="00356733"/>
    <w:rsid w:val="003608E7"/>
    <w:rsid w:val="00360AA1"/>
    <w:rsid w:val="003613D0"/>
    <w:rsid w:val="00364E6F"/>
    <w:rsid w:val="0036500A"/>
    <w:rsid w:val="003702CE"/>
    <w:rsid w:val="003722AA"/>
    <w:rsid w:val="0037346F"/>
    <w:rsid w:val="00374532"/>
    <w:rsid w:val="00374868"/>
    <w:rsid w:val="00375DF4"/>
    <w:rsid w:val="00376114"/>
    <w:rsid w:val="00376313"/>
    <w:rsid w:val="0037678D"/>
    <w:rsid w:val="003801B7"/>
    <w:rsid w:val="00381C24"/>
    <w:rsid w:val="00382A4A"/>
    <w:rsid w:val="00382CE6"/>
    <w:rsid w:val="00383004"/>
    <w:rsid w:val="003830CE"/>
    <w:rsid w:val="0038459F"/>
    <w:rsid w:val="0038564B"/>
    <w:rsid w:val="00385E2D"/>
    <w:rsid w:val="0038607F"/>
    <w:rsid w:val="00387C1E"/>
    <w:rsid w:val="0039262E"/>
    <w:rsid w:val="003937F3"/>
    <w:rsid w:val="003965DE"/>
    <w:rsid w:val="00397DC6"/>
    <w:rsid w:val="003A002D"/>
    <w:rsid w:val="003A0E73"/>
    <w:rsid w:val="003A0EBE"/>
    <w:rsid w:val="003A15D6"/>
    <w:rsid w:val="003A2263"/>
    <w:rsid w:val="003A260D"/>
    <w:rsid w:val="003A364F"/>
    <w:rsid w:val="003A5145"/>
    <w:rsid w:val="003B00D2"/>
    <w:rsid w:val="003B0EF7"/>
    <w:rsid w:val="003B1CBA"/>
    <w:rsid w:val="003B2445"/>
    <w:rsid w:val="003B25F6"/>
    <w:rsid w:val="003B63C9"/>
    <w:rsid w:val="003B676E"/>
    <w:rsid w:val="003B6A5F"/>
    <w:rsid w:val="003B7E9A"/>
    <w:rsid w:val="003B7F05"/>
    <w:rsid w:val="003C0831"/>
    <w:rsid w:val="003C0CE8"/>
    <w:rsid w:val="003C1DFB"/>
    <w:rsid w:val="003C373E"/>
    <w:rsid w:val="003C3A1E"/>
    <w:rsid w:val="003C3D40"/>
    <w:rsid w:val="003C49CE"/>
    <w:rsid w:val="003C505B"/>
    <w:rsid w:val="003C6F0F"/>
    <w:rsid w:val="003C71CF"/>
    <w:rsid w:val="003C789D"/>
    <w:rsid w:val="003C793F"/>
    <w:rsid w:val="003D05DA"/>
    <w:rsid w:val="003D1DA8"/>
    <w:rsid w:val="003D260B"/>
    <w:rsid w:val="003D4A56"/>
    <w:rsid w:val="003D5827"/>
    <w:rsid w:val="003D5F3A"/>
    <w:rsid w:val="003D6552"/>
    <w:rsid w:val="003D7B2C"/>
    <w:rsid w:val="003E1917"/>
    <w:rsid w:val="003E20EE"/>
    <w:rsid w:val="003E259A"/>
    <w:rsid w:val="003E5211"/>
    <w:rsid w:val="003E5DA0"/>
    <w:rsid w:val="003E6F87"/>
    <w:rsid w:val="003E7E7D"/>
    <w:rsid w:val="003F09C1"/>
    <w:rsid w:val="003F31D2"/>
    <w:rsid w:val="003F3716"/>
    <w:rsid w:val="003F3DC0"/>
    <w:rsid w:val="003F4845"/>
    <w:rsid w:val="003F4DBE"/>
    <w:rsid w:val="003F557E"/>
    <w:rsid w:val="003F5B85"/>
    <w:rsid w:val="003F713C"/>
    <w:rsid w:val="003F7CC5"/>
    <w:rsid w:val="00400D68"/>
    <w:rsid w:val="00401A63"/>
    <w:rsid w:val="004067AD"/>
    <w:rsid w:val="00406D7B"/>
    <w:rsid w:val="00407B7D"/>
    <w:rsid w:val="00407EE0"/>
    <w:rsid w:val="00410472"/>
    <w:rsid w:val="00412D0E"/>
    <w:rsid w:val="00413571"/>
    <w:rsid w:val="00414806"/>
    <w:rsid w:val="00420536"/>
    <w:rsid w:val="00421F23"/>
    <w:rsid w:val="00423162"/>
    <w:rsid w:val="00423958"/>
    <w:rsid w:val="004245E7"/>
    <w:rsid w:val="00424B78"/>
    <w:rsid w:val="00424B8B"/>
    <w:rsid w:val="00430899"/>
    <w:rsid w:val="004335E8"/>
    <w:rsid w:val="0043647C"/>
    <w:rsid w:val="00436A3E"/>
    <w:rsid w:val="00436ABE"/>
    <w:rsid w:val="00436EC2"/>
    <w:rsid w:val="00440B24"/>
    <w:rsid w:val="00440D78"/>
    <w:rsid w:val="004414FB"/>
    <w:rsid w:val="00441A2A"/>
    <w:rsid w:val="004420F6"/>
    <w:rsid w:val="0044359A"/>
    <w:rsid w:val="00443C3B"/>
    <w:rsid w:val="004448F8"/>
    <w:rsid w:val="00444F65"/>
    <w:rsid w:val="0044515B"/>
    <w:rsid w:val="00445F8C"/>
    <w:rsid w:val="00446720"/>
    <w:rsid w:val="0044731B"/>
    <w:rsid w:val="00447371"/>
    <w:rsid w:val="004476C6"/>
    <w:rsid w:val="0045130C"/>
    <w:rsid w:val="004517A5"/>
    <w:rsid w:val="00451EFF"/>
    <w:rsid w:val="00453578"/>
    <w:rsid w:val="00453F34"/>
    <w:rsid w:val="00454A58"/>
    <w:rsid w:val="00455214"/>
    <w:rsid w:val="00456136"/>
    <w:rsid w:val="00456D5A"/>
    <w:rsid w:val="00460538"/>
    <w:rsid w:val="0046133D"/>
    <w:rsid w:val="00464328"/>
    <w:rsid w:val="00464F2B"/>
    <w:rsid w:val="00466A48"/>
    <w:rsid w:val="00467DC6"/>
    <w:rsid w:val="00470A01"/>
    <w:rsid w:val="00471A17"/>
    <w:rsid w:val="00472C9B"/>
    <w:rsid w:val="00473A5E"/>
    <w:rsid w:val="0047526D"/>
    <w:rsid w:val="004758A9"/>
    <w:rsid w:val="00476273"/>
    <w:rsid w:val="00477399"/>
    <w:rsid w:val="0048020B"/>
    <w:rsid w:val="00484F0D"/>
    <w:rsid w:val="004864DA"/>
    <w:rsid w:val="004868E0"/>
    <w:rsid w:val="004872BC"/>
    <w:rsid w:val="004874A4"/>
    <w:rsid w:val="004910D8"/>
    <w:rsid w:val="00494355"/>
    <w:rsid w:val="00494945"/>
    <w:rsid w:val="00494CAD"/>
    <w:rsid w:val="00495E07"/>
    <w:rsid w:val="0049646D"/>
    <w:rsid w:val="004972B7"/>
    <w:rsid w:val="00497F70"/>
    <w:rsid w:val="004A03E5"/>
    <w:rsid w:val="004A35B0"/>
    <w:rsid w:val="004A3E85"/>
    <w:rsid w:val="004A49FC"/>
    <w:rsid w:val="004A503D"/>
    <w:rsid w:val="004A670D"/>
    <w:rsid w:val="004A7AA3"/>
    <w:rsid w:val="004B141F"/>
    <w:rsid w:val="004B3C5B"/>
    <w:rsid w:val="004B4A8D"/>
    <w:rsid w:val="004B4FAC"/>
    <w:rsid w:val="004B5CC8"/>
    <w:rsid w:val="004B6D7A"/>
    <w:rsid w:val="004B75D2"/>
    <w:rsid w:val="004C0E28"/>
    <w:rsid w:val="004C0ED0"/>
    <w:rsid w:val="004C190E"/>
    <w:rsid w:val="004C249B"/>
    <w:rsid w:val="004C456B"/>
    <w:rsid w:val="004C4D5F"/>
    <w:rsid w:val="004C5567"/>
    <w:rsid w:val="004D0742"/>
    <w:rsid w:val="004D07FA"/>
    <w:rsid w:val="004D2EB2"/>
    <w:rsid w:val="004D35E8"/>
    <w:rsid w:val="004D52C4"/>
    <w:rsid w:val="004D52F4"/>
    <w:rsid w:val="004D614C"/>
    <w:rsid w:val="004D7151"/>
    <w:rsid w:val="004E15AF"/>
    <w:rsid w:val="004E1DAE"/>
    <w:rsid w:val="004E25A6"/>
    <w:rsid w:val="004E6A6E"/>
    <w:rsid w:val="004E6C36"/>
    <w:rsid w:val="004E6DAF"/>
    <w:rsid w:val="004E72D5"/>
    <w:rsid w:val="004F0FDD"/>
    <w:rsid w:val="004F1F76"/>
    <w:rsid w:val="004F44B0"/>
    <w:rsid w:val="004F5759"/>
    <w:rsid w:val="004F6475"/>
    <w:rsid w:val="004F7405"/>
    <w:rsid w:val="0050001C"/>
    <w:rsid w:val="00501EA4"/>
    <w:rsid w:val="005047DF"/>
    <w:rsid w:val="005074CF"/>
    <w:rsid w:val="005075CB"/>
    <w:rsid w:val="00512236"/>
    <w:rsid w:val="00512872"/>
    <w:rsid w:val="00512D73"/>
    <w:rsid w:val="0051395D"/>
    <w:rsid w:val="00513C99"/>
    <w:rsid w:val="00513E14"/>
    <w:rsid w:val="00514382"/>
    <w:rsid w:val="005154C1"/>
    <w:rsid w:val="00515C7D"/>
    <w:rsid w:val="005162AB"/>
    <w:rsid w:val="00517526"/>
    <w:rsid w:val="00521122"/>
    <w:rsid w:val="0052233A"/>
    <w:rsid w:val="0052351B"/>
    <w:rsid w:val="00526085"/>
    <w:rsid w:val="00527FE1"/>
    <w:rsid w:val="00530251"/>
    <w:rsid w:val="00532D47"/>
    <w:rsid w:val="00535BB7"/>
    <w:rsid w:val="00536691"/>
    <w:rsid w:val="005377DD"/>
    <w:rsid w:val="005400B2"/>
    <w:rsid w:val="00541146"/>
    <w:rsid w:val="00542814"/>
    <w:rsid w:val="005430C7"/>
    <w:rsid w:val="00544B6E"/>
    <w:rsid w:val="0054516F"/>
    <w:rsid w:val="00545733"/>
    <w:rsid w:val="00545CC2"/>
    <w:rsid w:val="005461CD"/>
    <w:rsid w:val="00546238"/>
    <w:rsid w:val="00547D3F"/>
    <w:rsid w:val="00550627"/>
    <w:rsid w:val="00551B5D"/>
    <w:rsid w:val="00552271"/>
    <w:rsid w:val="005528F3"/>
    <w:rsid w:val="00552A11"/>
    <w:rsid w:val="00553720"/>
    <w:rsid w:val="00554633"/>
    <w:rsid w:val="00554640"/>
    <w:rsid w:val="005546DE"/>
    <w:rsid w:val="0055603E"/>
    <w:rsid w:val="005577D9"/>
    <w:rsid w:val="0056079E"/>
    <w:rsid w:val="00560922"/>
    <w:rsid w:val="00561C7E"/>
    <w:rsid w:val="00561DA8"/>
    <w:rsid w:val="00562CB2"/>
    <w:rsid w:val="00563881"/>
    <w:rsid w:val="005668D7"/>
    <w:rsid w:val="0057101D"/>
    <w:rsid w:val="005712A4"/>
    <w:rsid w:val="00571468"/>
    <w:rsid w:val="00571D6D"/>
    <w:rsid w:val="005727FA"/>
    <w:rsid w:val="00572F46"/>
    <w:rsid w:val="00573B93"/>
    <w:rsid w:val="00574A02"/>
    <w:rsid w:val="00575262"/>
    <w:rsid w:val="00575CCB"/>
    <w:rsid w:val="00576363"/>
    <w:rsid w:val="005766B4"/>
    <w:rsid w:val="00576A54"/>
    <w:rsid w:val="00577DC6"/>
    <w:rsid w:val="00577E14"/>
    <w:rsid w:val="005813F2"/>
    <w:rsid w:val="005816F4"/>
    <w:rsid w:val="005819D1"/>
    <w:rsid w:val="00581BDF"/>
    <w:rsid w:val="00582243"/>
    <w:rsid w:val="00582E7A"/>
    <w:rsid w:val="005830A4"/>
    <w:rsid w:val="00583257"/>
    <w:rsid w:val="00584248"/>
    <w:rsid w:val="0058476E"/>
    <w:rsid w:val="00585174"/>
    <w:rsid w:val="00585216"/>
    <w:rsid w:val="00585565"/>
    <w:rsid w:val="005867ED"/>
    <w:rsid w:val="00587B48"/>
    <w:rsid w:val="0059038C"/>
    <w:rsid w:val="00591683"/>
    <w:rsid w:val="005921E2"/>
    <w:rsid w:val="00592960"/>
    <w:rsid w:val="00594E87"/>
    <w:rsid w:val="005950E5"/>
    <w:rsid w:val="005965E4"/>
    <w:rsid w:val="00596E22"/>
    <w:rsid w:val="00597254"/>
    <w:rsid w:val="00597309"/>
    <w:rsid w:val="005A0C23"/>
    <w:rsid w:val="005A1772"/>
    <w:rsid w:val="005A4CD3"/>
    <w:rsid w:val="005A4EDA"/>
    <w:rsid w:val="005A5753"/>
    <w:rsid w:val="005A5791"/>
    <w:rsid w:val="005A6F7C"/>
    <w:rsid w:val="005B0CB7"/>
    <w:rsid w:val="005B132F"/>
    <w:rsid w:val="005B15EB"/>
    <w:rsid w:val="005B18B2"/>
    <w:rsid w:val="005B1B45"/>
    <w:rsid w:val="005B38E7"/>
    <w:rsid w:val="005B40A6"/>
    <w:rsid w:val="005B7D1F"/>
    <w:rsid w:val="005B7E53"/>
    <w:rsid w:val="005C0180"/>
    <w:rsid w:val="005C01B7"/>
    <w:rsid w:val="005C08F1"/>
    <w:rsid w:val="005C09FB"/>
    <w:rsid w:val="005C201A"/>
    <w:rsid w:val="005C6F51"/>
    <w:rsid w:val="005D2A79"/>
    <w:rsid w:val="005D3004"/>
    <w:rsid w:val="005D3D39"/>
    <w:rsid w:val="005D56B7"/>
    <w:rsid w:val="005D6D52"/>
    <w:rsid w:val="005D787E"/>
    <w:rsid w:val="005D7C39"/>
    <w:rsid w:val="005E07C2"/>
    <w:rsid w:val="005E13DF"/>
    <w:rsid w:val="005E17FE"/>
    <w:rsid w:val="005E18F6"/>
    <w:rsid w:val="005E27B4"/>
    <w:rsid w:val="005E287F"/>
    <w:rsid w:val="005E387D"/>
    <w:rsid w:val="005E3B75"/>
    <w:rsid w:val="005E3D15"/>
    <w:rsid w:val="005E47BC"/>
    <w:rsid w:val="005E4C65"/>
    <w:rsid w:val="005E7C7C"/>
    <w:rsid w:val="005F2542"/>
    <w:rsid w:val="005F2930"/>
    <w:rsid w:val="005F2946"/>
    <w:rsid w:val="005F34C6"/>
    <w:rsid w:val="005F38B2"/>
    <w:rsid w:val="005F4318"/>
    <w:rsid w:val="005F4AB3"/>
    <w:rsid w:val="005F4F8E"/>
    <w:rsid w:val="005F54A4"/>
    <w:rsid w:val="005F71D1"/>
    <w:rsid w:val="0060035F"/>
    <w:rsid w:val="00600C00"/>
    <w:rsid w:val="00601DD2"/>
    <w:rsid w:val="00602513"/>
    <w:rsid w:val="00607205"/>
    <w:rsid w:val="006074E4"/>
    <w:rsid w:val="00607D72"/>
    <w:rsid w:val="006112D1"/>
    <w:rsid w:val="006112FA"/>
    <w:rsid w:val="006113CD"/>
    <w:rsid w:val="00611945"/>
    <w:rsid w:val="00612E50"/>
    <w:rsid w:val="006135DB"/>
    <w:rsid w:val="00613614"/>
    <w:rsid w:val="006145C5"/>
    <w:rsid w:val="00614D5C"/>
    <w:rsid w:val="00614F1F"/>
    <w:rsid w:val="006165FA"/>
    <w:rsid w:val="00616683"/>
    <w:rsid w:val="006177F8"/>
    <w:rsid w:val="00620205"/>
    <w:rsid w:val="0062159A"/>
    <w:rsid w:val="00622A65"/>
    <w:rsid w:val="00622D42"/>
    <w:rsid w:val="00622F63"/>
    <w:rsid w:val="00622FF4"/>
    <w:rsid w:val="00623402"/>
    <w:rsid w:val="00624AB7"/>
    <w:rsid w:val="00624B34"/>
    <w:rsid w:val="00625B93"/>
    <w:rsid w:val="00626AD6"/>
    <w:rsid w:val="0063009B"/>
    <w:rsid w:val="006308E9"/>
    <w:rsid w:val="00630B36"/>
    <w:rsid w:val="006311C6"/>
    <w:rsid w:val="006333D8"/>
    <w:rsid w:val="00633563"/>
    <w:rsid w:val="006358BD"/>
    <w:rsid w:val="00635A51"/>
    <w:rsid w:val="00636271"/>
    <w:rsid w:val="00637180"/>
    <w:rsid w:val="006435C7"/>
    <w:rsid w:val="0064362A"/>
    <w:rsid w:val="006439F6"/>
    <w:rsid w:val="00643B31"/>
    <w:rsid w:val="00643C5A"/>
    <w:rsid w:val="006455DD"/>
    <w:rsid w:val="00645DEF"/>
    <w:rsid w:val="00646DD7"/>
    <w:rsid w:val="006502FA"/>
    <w:rsid w:val="006503A6"/>
    <w:rsid w:val="00651869"/>
    <w:rsid w:val="00651D39"/>
    <w:rsid w:val="00651F56"/>
    <w:rsid w:val="00652A45"/>
    <w:rsid w:val="00653A5A"/>
    <w:rsid w:val="00653D8D"/>
    <w:rsid w:val="00654164"/>
    <w:rsid w:val="00655A79"/>
    <w:rsid w:val="00662724"/>
    <w:rsid w:val="00662BC9"/>
    <w:rsid w:val="006635D9"/>
    <w:rsid w:val="00664370"/>
    <w:rsid w:val="00664E30"/>
    <w:rsid w:val="00665547"/>
    <w:rsid w:val="006671CD"/>
    <w:rsid w:val="00667B22"/>
    <w:rsid w:val="006710C1"/>
    <w:rsid w:val="006720C7"/>
    <w:rsid w:val="0067304E"/>
    <w:rsid w:val="00674137"/>
    <w:rsid w:val="006745E5"/>
    <w:rsid w:val="00674C56"/>
    <w:rsid w:val="0067610C"/>
    <w:rsid w:val="00677460"/>
    <w:rsid w:val="00677A0E"/>
    <w:rsid w:val="0068085F"/>
    <w:rsid w:val="00680DEA"/>
    <w:rsid w:val="00681181"/>
    <w:rsid w:val="00681E45"/>
    <w:rsid w:val="00681FF3"/>
    <w:rsid w:val="00682099"/>
    <w:rsid w:val="00682F9E"/>
    <w:rsid w:val="006849ED"/>
    <w:rsid w:val="00685A22"/>
    <w:rsid w:val="00685B42"/>
    <w:rsid w:val="00686648"/>
    <w:rsid w:val="00686BDA"/>
    <w:rsid w:val="00687543"/>
    <w:rsid w:val="00687A9A"/>
    <w:rsid w:val="0069376A"/>
    <w:rsid w:val="00694D8A"/>
    <w:rsid w:val="00694F3D"/>
    <w:rsid w:val="006961BE"/>
    <w:rsid w:val="006A18B6"/>
    <w:rsid w:val="006A193F"/>
    <w:rsid w:val="006A1EDC"/>
    <w:rsid w:val="006A2823"/>
    <w:rsid w:val="006A3DF5"/>
    <w:rsid w:val="006A405C"/>
    <w:rsid w:val="006A4342"/>
    <w:rsid w:val="006A4D2B"/>
    <w:rsid w:val="006A581A"/>
    <w:rsid w:val="006A5B0F"/>
    <w:rsid w:val="006A5ED6"/>
    <w:rsid w:val="006A5FF3"/>
    <w:rsid w:val="006A6099"/>
    <w:rsid w:val="006A6951"/>
    <w:rsid w:val="006A6C5D"/>
    <w:rsid w:val="006A74D3"/>
    <w:rsid w:val="006A74E0"/>
    <w:rsid w:val="006B1750"/>
    <w:rsid w:val="006B20EE"/>
    <w:rsid w:val="006B4826"/>
    <w:rsid w:val="006B5611"/>
    <w:rsid w:val="006B5B8D"/>
    <w:rsid w:val="006B62AC"/>
    <w:rsid w:val="006B65AD"/>
    <w:rsid w:val="006B6B8D"/>
    <w:rsid w:val="006B6DE8"/>
    <w:rsid w:val="006C116C"/>
    <w:rsid w:val="006C1614"/>
    <w:rsid w:val="006C19AD"/>
    <w:rsid w:val="006C1D8C"/>
    <w:rsid w:val="006C391B"/>
    <w:rsid w:val="006C3D07"/>
    <w:rsid w:val="006C4FCB"/>
    <w:rsid w:val="006C51D5"/>
    <w:rsid w:val="006C5681"/>
    <w:rsid w:val="006C6B57"/>
    <w:rsid w:val="006D1E49"/>
    <w:rsid w:val="006D2553"/>
    <w:rsid w:val="006D33ED"/>
    <w:rsid w:val="006D432E"/>
    <w:rsid w:val="006D5137"/>
    <w:rsid w:val="006D5B0E"/>
    <w:rsid w:val="006D6B26"/>
    <w:rsid w:val="006D6E26"/>
    <w:rsid w:val="006E00AA"/>
    <w:rsid w:val="006E1412"/>
    <w:rsid w:val="006E1CF4"/>
    <w:rsid w:val="006E38F2"/>
    <w:rsid w:val="006E4894"/>
    <w:rsid w:val="006E6044"/>
    <w:rsid w:val="006E737C"/>
    <w:rsid w:val="006E76C1"/>
    <w:rsid w:val="006F01DC"/>
    <w:rsid w:val="006F0AFA"/>
    <w:rsid w:val="006F1440"/>
    <w:rsid w:val="006F19A8"/>
    <w:rsid w:val="006F1B52"/>
    <w:rsid w:val="006F27A6"/>
    <w:rsid w:val="006F3452"/>
    <w:rsid w:val="006F39A4"/>
    <w:rsid w:val="006F42DE"/>
    <w:rsid w:val="007001C6"/>
    <w:rsid w:val="0070079C"/>
    <w:rsid w:val="00701163"/>
    <w:rsid w:val="007016A4"/>
    <w:rsid w:val="00705B33"/>
    <w:rsid w:val="0070615E"/>
    <w:rsid w:val="00706C4B"/>
    <w:rsid w:val="007073A8"/>
    <w:rsid w:val="00710176"/>
    <w:rsid w:val="00710A58"/>
    <w:rsid w:val="007116AC"/>
    <w:rsid w:val="007124A2"/>
    <w:rsid w:val="00712A1E"/>
    <w:rsid w:val="00712D44"/>
    <w:rsid w:val="007133ED"/>
    <w:rsid w:val="00714317"/>
    <w:rsid w:val="007156FC"/>
    <w:rsid w:val="00715ADC"/>
    <w:rsid w:val="00721004"/>
    <w:rsid w:val="007221BC"/>
    <w:rsid w:val="007230D6"/>
    <w:rsid w:val="007239CD"/>
    <w:rsid w:val="00723BCC"/>
    <w:rsid w:val="00723E4B"/>
    <w:rsid w:val="00724553"/>
    <w:rsid w:val="00724704"/>
    <w:rsid w:val="007254BC"/>
    <w:rsid w:val="0072563F"/>
    <w:rsid w:val="00725F1A"/>
    <w:rsid w:val="00726C55"/>
    <w:rsid w:val="00726D7A"/>
    <w:rsid w:val="007304F6"/>
    <w:rsid w:val="00732CFA"/>
    <w:rsid w:val="00732D45"/>
    <w:rsid w:val="00732E2C"/>
    <w:rsid w:val="00733398"/>
    <w:rsid w:val="00733910"/>
    <w:rsid w:val="00734468"/>
    <w:rsid w:val="007345EE"/>
    <w:rsid w:val="00734C3E"/>
    <w:rsid w:val="00735ECF"/>
    <w:rsid w:val="007368A2"/>
    <w:rsid w:val="00736DE9"/>
    <w:rsid w:val="00740693"/>
    <w:rsid w:val="00742439"/>
    <w:rsid w:val="00743A10"/>
    <w:rsid w:val="0074558B"/>
    <w:rsid w:val="007457E9"/>
    <w:rsid w:val="007465A9"/>
    <w:rsid w:val="007466EB"/>
    <w:rsid w:val="00746896"/>
    <w:rsid w:val="0074732B"/>
    <w:rsid w:val="0074788D"/>
    <w:rsid w:val="00747EDD"/>
    <w:rsid w:val="00750482"/>
    <w:rsid w:val="00750A13"/>
    <w:rsid w:val="00750C5F"/>
    <w:rsid w:val="00751AFC"/>
    <w:rsid w:val="00752128"/>
    <w:rsid w:val="00753E0F"/>
    <w:rsid w:val="00754A0D"/>
    <w:rsid w:val="00754F6D"/>
    <w:rsid w:val="00755079"/>
    <w:rsid w:val="007552C1"/>
    <w:rsid w:val="007562E2"/>
    <w:rsid w:val="00756453"/>
    <w:rsid w:val="00756EFF"/>
    <w:rsid w:val="007577C2"/>
    <w:rsid w:val="00761578"/>
    <w:rsid w:val="00762F2B"/>
    <w:rsid w:val="0076328E"/>
    <w:rsid w:val="0076561E"/>
    <w:rsid w:val="00765B42"/>
    <w:rsid w:val="007661B0"/>
    <w:rsid w:val="00766E37"/>
    <w:rsid w:val="007716EA"/>
    <w:rsid w:val="00773353"/>
    <w:rsid w:val="00775DEF"/>
    <w:rsid w:val="00780A45"/>
    <w:rsid w:val="00782916"/>
    <w:rsid w:val="00783428"/>
    <w:rsid w:val="00783842"/>
    <w:rsid w:val="007876E3"/>
    <w:rsid w:val="007921A9"/>
    <w:rsid w:val="007928AD"/>
    <w:rsid w:val="00794724"/>
    <w:rsid w:val="00794EF9"/>
    <w:rsid w:val="00795814"/>
    <w:rsid w:val="00796DD6"/>
    <w:rsid w:val="007A0174"/>
    <w:rsid w:val="007A0BB2"/>
    <w:rsid w:val="007A1C71"/>
    <w:rsid w:val="007A22D5"/>
    <w:rsid w:val="007A2BDE"/>
    <w:rsid w:val="007A3D06"/>
    <w:rsid w:val="007A3E1D"/>
    <w:rsid w:val="007A44FB"/>
    <w:rsid w:val="007A5131"/>
    <w:rsid w:val="007A65A0"/>
    <w:rsid w:val="007A704E"/>
    <w:rsid w:val="007B059B"/>
    <w:rsid w:val="007B2B8B"/>
    <w:rsid w:val="007B38B3"/>
    <w:rsid w:val="007B4019"/>
    <w:rsid w:val="007B5580"/>
    <w:rsid w:val="007B66A0"/>
    <w:rsid w:val="007B6ABA"/>
    <w:rsid w:val="007B6E4E"/>
    <w:rsid w:val="007B71E9"/>
    <w:rsid w:val="007B792F"/>
    <w:rsid w:val="007C0045"/>
    <w:rsid w:val="007C1702"/>
    <w:rsid w:val="007C1778"/>
    <w:rsid w:val="007C41D1"/>
    <w:rsid w:val="007C48C7"/>
    <w:rsid w:val="007C54EB"/>
    <w:rsid w:val="007C6561"/>
    <w:rsid w:val="007C69D6"/>
    <w:rsid w:val="007C7187"/>
    <w:rsid w:val="007D2BB1"/>
    <w:rsid w:val="007D2CEB"/>
    <w:rsid w:val="007D3591"/>
    <w:rsid w:val="007D5189"/>
    <w:rsid w:val="007D6683"/>
    <w:rsid w:val="007D669D"/>
    <w:rsid w:val="007E0E5B"/>
    <w:rsid w:val="007E1E0E"/>
    <w:rsid w:val="007E3A44"/>
    <w:rsid w:val="007E5022"/>
    <w:rsid w:val="007E514D"/>
    <w:rsid w:val="007E6167"/>
    <w:rsid w:val="007E74C5"/>
    <w:rsid w:val="007F0E34"/>
    <w:rsid w:val="007F1475"/>
    <w:rsid w:val="007F2D06"/>
    <w:rsid w:val="007F32C6"/>
    <w:rsid w:val="007F42BB"/>
    <w:rsid w:val="007F630B"/>
    <w:rsid w:val="007F6368"/>
    <w:rsid w:val="007F6428"/>
    <w:rsid w:val="007F7B7F"/>
    <w:rsid w:val="008015A7"/>
    <w:rsid w:val="00802028"/>
    <w:rsid w:val="00803FC2"/>
    <w:rsid w:val="008043DE"/>
    <w:rsid w:val="0080498D"/>
    <w:rsid w:val="00804FF4"/>
    <w:rsid w:val="0080606A"/>
    <w:rsid w:val="00806476"/>
    <w:rsid w:val="008065F0"/>
    <w:rsid w:val="00807C2F"/>
    <w:rsid w:val="008107D5"/>
    <w:rsid w:val="00810B67"/>
    <w:rsid w:val="00812063"/>
    <w:rsid w:val="008129C6"/>
    <w:rsid w:val="00812E0A"/>
    <w:rsid w:val="008132B1"/>
    <w:rsid w:val="0081352B"/>
    <w:rsid w:val="00813F72"/>
    <w:rsid w:val="008140C1"/>
    <w:rsid w:val="00814514"/>
    <w:rsid w:val="0081453A"/>
    <w:rsid w:val="00816670"/>
    <w:rsid w:val="00816F0D"/>
    <w:rsid w:val="00820500"/>
    <w:rsid w:val="00822E7A"/>
    <w:rsid w:val="008237E2"/>
    <w:rsid w:val="00823C6C"/>
    <w:rsid w:val="008255E4"/>
    <w:rsid w:val="0082585B"/>
    <w:rsid w:val="00827BAD"/>
    <w:rsid w:val="00830059"/>
    <w:rsid w:val="00830639"/>
    <w:rsid w:val="008309C9"/>
    <w:rsid w:val="00830BC7"/>
    <w:rsid w:val="00832381"/>
    <w:rsid w:val="008335E3"/>
    <w:rsid w:val="00833BD6"/>
    <w:rsid w:val="00834DCB"/>
    <w:rsid w:val="00836673"/>
    <w:rsid w:val="00836EB9"/>
    <w:rsid w:val="00840C01"/>
    <w:rsid w:val="00840C42"/>
    <w:rsid w:val="008412A3"/>
    <w:rsid w:val="0084167C"/>
    <w:rsid w:val="00841B7A"/>
    <w:rsid w:val="00843C69"/>
    <w:rsid w:val="00844C00"/>
    <w:rsid w:val="00844F10"/>
    <w:rsid w:val="00845186"/>
    <w:rsid w:val="00845BBC"/>
    <w:rsid w:val="00846CEB"/>
    <w:rsid w:val="00847F2B"/>
    <w:rsid w:val="00850048"/>
    <w:rsid w:val="008513D8"/>
    <w:rsid w:val="0085182F"/>
    <w:rsid w:val="00851D1F"/>
    <w:rsid w:val="00852B98"/>
    <w:rsid w:val="00852C25"/>
    <w:rsid w:val="008538D7"/>
    <w:rsid w:val="00855CFF"/>
    <w:rsid w:val="00855D43"/>
    <w:rsid w:val="008561D7"/>
    <w:rsid w:val="00856B7B"/>
    <w:rsid w:val="008607B4"/>
    <w:rsid w:val="00860B22"/>
    <w:rsid w:val="00861074"/>
    <w:rsid w:val="00862E89"/>
    <w:rsid w:val="0086336A"/>
    <w:rsid w:val="008636FC"/>
    <w:rsid w:val="00863DB6"/>
    <w:rsid w:val="00865B86"/>
    <w:rsid w:val="0086641B"/>
    <w:rsid w:val="0086739D"/>
    <w:rsid w:val="00870368"/>
    <w:rsid w:val="00870C23"/>
    <w:rsid w:val="00871164"/>
    <w:rsid w:val="0087141E"/>
    <w:rsid w:val="00872A3F"/>
    <w:rsid w:val="00872EA6"/>
    <w:rsid w:val="00872FCA"/>
    <w:rsid w:val="00873BC6"/>
    <w:rsid w:val="00874FB1"/>
    <w:rsid w:val="00875588"/>
    <w:rsid w:val="00875F9A"/>
    <w:rsid w:val="00876C8F"/>
    <w:rsid w:val="008771F4"/>
    <w:rsid w:val="00880902"/>
    <w:rsid w:val="0088116D"/>
    <w:rsid w:val="00881AFB"/>
    <w:rsid w:val="00881E3C"/>
    <w:rsid w:val="008831FD"/>
    <w:rsid w:val="008840CC"/>
    <w:rsid w:val="00886085"/>
    <w:rsid w:val="00886AAD"/>
    <w:rsid w:val="0088740E"/>
    <w:rsid w:val="00891D61"/>
    <w:rsid w:val="00892A4E"/>
    <w:rsid w:val="00892CA7"/>
    <w:rsid w:val="00893C13"/>
    <w:rsid w:val="00894A27"/>
    <w:rsid w:val="008950B1"/>
    <w:rsid w:val="0089529D"/>
    <w:rsid w:val="008956FA"/>
    <w:rsid w:val="00895A8A"/>
    <w:rsid w:val="008968AF"/>
    <w:rsid w:val="00896A4C"/>
    <w:rsid w:val="00896AB2"/>
    <w:rsid w:val="00896EBA"/>
    <w:rsid w:val="0089748A"/>
    <w:rsid w:val="0089797F"/>
    <w:rsid w:val="008A1803"/>
    <w:rsid w:val="008A23C9"/>
    <w:rsid w:val="008A39F8"/>
    <w:rsid w:val="008A5217"/>
    <w:rsid w:val="008A5DEF"/>
    <w:rsid w:val="008A65BA"/>
    <w:rsid w:val="008B023F"/>
    <w:rsid w:val="008B0B3A"/>
    <w:rsid w:val="008B0BCB"/>
    <w:rsid w:val="008B1F7D"/>
    <w:rsid w:val="008B32A9"/>
    <w:rsid w:val="008B406E"/>
    <w:rsid w:val="008B512C"/>
    <w:rsid w:val="008B54A3"/>
    <w:rsid w:val="008B5763"/>
    <w:rsid w:val="008B6F95"/>
    <w:rsid w:val="008B752F"/>
    <w:rsid w:val="008C0083"/>
    <w:rsid w:val="008C048E"/>
    <w:rsid w:val="008C07F7"/>
    <w:rsid w:val="008C0D45"/>
    <w:rsid w:val="008C0E73"/>
    <w:rsid w:val="008C2427"/>
    <w:rsid w:val="008C2EDB"/>
    <w:rsid w:val="008C36D3"/>
    <w:rsid w:val="008C58FB"/>
    <w:rsid w:val="008C6C9A"/>
    <w:rsid w:val="008C6FC8"/>
    <w:rsid w:val="008C701E"/>
    <w:rsid w:val="008C718B"/>
    <w:rsid w:val="008C7C50"/>
    <w:rsid w:val="008D1243"/>
    <w:rsid w:val="008D1B64"/>
    <w:rsid w:val="008D1EB1"/>
    <w:rsid w:val="008D3108"/>
    <w:rsid w:val="008D322C"/>
    <w:rsid w:val="008D4162"/>
    <w:rsid w:val="008D4E54"/>
    <w:rsid w:val="008D6733"/>
    <w:rsid w:val="008E0064"/>
    <w:rsid w:val="008E4C28"/>
    <w:rsid w:val="008E4C89"/>
    <w:rsid w:val="008E50B3"/>
    <w:rsid w:val="008E51AF"/>
    <w:rsid w:val="008E548A"/>
    <w:rsid w:val="008E6280"/>
    <w:rsid w:val="008E6A54"/>
    <w:rsid w:val="008E7103"/>
    <w:rsid w:val="008E74A2"/>
    <w:rsid w:val="008E7B3D"/>
    <w:rsid w:val="008F4B82"/>
    <w:rsid w:val="008F5811"/>
    <w:rsid w:val="008F5D73"/>
    <w:rsid w:val="00900114"/>
    <w:rsid w:val="009006A6"/>
    <w:rsid w:val="009016D7"/>
    <w:rsid w:val="00901C96"/>
    <w:rsid w:val="009037F7"/>
    <w:rsid w:val="00903AC3"/>
    <w:rsid w:val="0090412E"/>
    <w:rsid w:val="00904536"/>
    <w:rsid w:val="0090478A"/>
    <w:rsid w:val="00905C00"/>
    <w:rsid w:val="009102A7"/>
    <w:rsid w:val="00910813"/>
    <w:rsid w:val="00910B9D"/>
    <w:rsid w:val="00911CD6"/>
    <w:rsid w:val="00911D86"/>
    <w:rsid w:val="00912EB7"/>
    <w:rsid w:val="0091376D"/>
    <w:rsid w:val="009144B5"/>
    <w:rsid w:val="009146F6"/>
    <w:rsid w:val="00915863"/>
    <w:rsid w:val="00916DDE"/>
    <w:rsid w:val="00916ED7"/>
    <w:rsid w:val="00920028"/>
    <w:rsid w:val="00922E70"/>
    <w:rsid w:val="00924971"/>
    <w:rsid w:val="00925241"/>
    <w:rsid w:val="00925817"/>
    <w:rsid w:val="00925B7E"/>
    <w:rsid w:val="00925BEE"/>
    <w:rsid w:val="009267FF"/>
    <w:rsid w:val="00926B0F"/>
    <w:rsid w:val="00926E69"/>
    <w:rsid w:val="00930EF7"/>
    <w:rsid w:val="0093118D"/>
    <w:rsid w:val="0093125C"/>
    <w:rsid w:val="00931727"/>
    <w:rsid w:val="009317B8"/>
    <w:rsid w:val="00935DB5"/>
    <w:rsid w:val="009360D6"/>
    <w:rsid w:val="00936282"/>
    <w:rsid w:val="00936510"/>
    <w:rsid w:val="009402F0"/>
    <w:rsid w:val="00941336"/>
    <w:rsid w:val="00941D25"/>
    <w:rsid w:val="009429CE"/>
    <w:rsid w:val="00945476"/>
    <w:rsid w:val="00945E92"/>
    <w:rsid w:val="009461DC"/>
    <w:rsid w:val="009466EE"/>
    <w:rsid w:val="0094698E"/>
    <w:rsid w:val="00947514"/>
    <w:rsid w:val="009511A3"/>
    <w:rsid w:val="009512D9"/>
    <w:rsid w:val="0095415C"/>
    <w:rsid w:val="009542F6"/>
    <w:rsid w:val="009549D8"/>
    <w:rsid w:val="009568E3"/>
    <w:rsid w:val="009575E1"/>
    <w:rsid w:val="00957A5B"/>
    <w:rsid w:val="00960BC7"/>
    <w:rsid w:val="00962129"/>
    <w:rsid w:val="009632C9"/>
    <w:rsid w:val="00964625"/>
    <w:rsid w:val="009667EE"/>
    <w:rsid w:val="00967B27"/>
    <w:rsid w:val="00970B3C"/>
    <w:rsid w:val="009710E9"/>
    <w:rsid w:val="009717C1"/>
    <w:rsid w:val="009720B6"/>
    <w:rsid w:val="0097316B"/>
    <w:rsid w:val="0097354A"/>
    <w:rsid w:val="0097482D"/>
    <w:rsid w:val="00974FAA"/>
    <w:rsid w:val="00976AF4"/>
    <w:rsid w:val="00977184"/>
    <w:rsid w:val="0097718F"/>
    <w:rsid w:val="009802C9"/>
    <w:rsid w:val="00982C38"/>
    <w:rsid w:val="009842EA"/>
    <w:rsid w:val="00984467"/>
    <w:rsid w:val="0098591F"/>
    <w:rsid w:val="00985ABF"/>
    <w:rsid w:val="0098639B"/>
    <w:rsid w:val="00991685"/>
    <w:rsid w:val="009927FA"/>
    <w:rsid w:val="0099511B"/>
    <w:rsid w:val="00996016"/>
    <w:rsid w:val="009967F2"/>
    <w:rsid w:val="00997790"/>
    <w:rsid w:val="009979A7"/>
    <w:rsid w:val="00997E00"/>
    <w:rsid w:val="00997E21"/>
    <w:rsid w:val="009A11C6"/>
    <w:rsid w:val="009A11D7"/>
    <w:rsid w:val="009A2169"/>
    <w:rsid w:val="009A2E2C"/>
    <w:rsid w:val="009A3A7F"/>
    <w:rsid w:val="009A3C9A"/>
    <w:rsid w:val="009A42C0"/>
    <w:rsid w:val="009A58AA"/>
    <w:rsid w:val="009A66D0"/>
    <w:rsid w:val="009A76A8"/>
    <w:rsid w:val="009B01FC"/>
    <w:rsid w:val="009B110B"/>
    <w:rsid w:val="009B1BFE"/>
    <w:rsid w:val="009B34EB"/>
    <w:rsid w:val="009B40F7"/>
    <w:rsid w:val="009B42E8"/>
    <w:rsid w:val="009B699E"/>
    <w:rsid w:val="009B7367"/>
    <w:rsid w:val="009C2EAD"/>
    <w:rsid w:val="009C5774"/>
    <w:rsid w:val="009D1565"/>
    <w:rsid w:val="009D3620"/>
    <w:rsid w:val="009D3F76"/>
    <w:rsid w:val="009D43B8"/>
    <w:rsid w:val="009D5592"/>
    <w:rsid w:val="009D708E"/>
    <w:rsid w:val="009E014B"/>
    <w:rsid w:val="009E092B"/>
    <w:rsid w:val="009E0EA2"/>
    <w:rsid w:val="009E11F4"/>
    <w:rsid w:val="009E214D"/>
    <w:rsid w:val="009E28EC"/>
    <w:rsid w:val="009E315A"/>
    <w:rsid w:val="009E4841"/>
    <w:rsid w:val="009E579D"/>
    <w:rsid w:val="009E5D61"/>
    <w:rsid w:val="009E78E7"/>
    <w:rsid w:val="009E7983"/>
    <w:rsid w:val="009E7E12"/>
    <w:rsid w:val="009F0929"/>
    <w:rsid w:val="009F1BD2"/>
    <w:rsid w:val="009F1DA1"/>
    <w:rsid w:val="009F241E"/>
    <w:rsid w:val="009F264F"/>
    <w:rsid w:val="009F2E31"/>
    <w:rsid w:val="009F3F1F"/>
    <w:rsid w:val="009F4FB3"/>
    <w:rsid w:val="009F5F11"/>
    <w:rsid w:val="009F71D1"/>
    <w:rsid w:val="00A000CA"/>
    <w:rsid w:val="00A00881"/>
    <w:rsid w:val="00A00DD6"/>
    <w:rsid w:val="00A017BA"/>
    <w:rsid w:val="00A01BC0"/>
    <w:rsid w:val="00A01DF3"/>
    <w:rsid w:val="00A01EFD"/>
    <w:rsid w:val="00A026DF"/>
    <w:rsid w:val="00A03A5F"/>
    <w:rsid w:val="00A04100"/>
    <w:rsid w:val="00A04250"/>
    <w:rsid w:val="00A05D9D"/>
    <w:rsid w:val="00A06308"/>
    <w:rsid w:val="00A066DE"/>
    <w:rsid w:val="00A075C8"/>
    <w:rsid w:val="00A10B65"/>
    <w:rsid w:val="00A10F65"/>
    <w:rsid w:val="00A110C1"/>
    <w:rsid w:val="00A11C83"/>
    <w:rsid w:val="00A11EBF"/>
    <w:rsid w:val="00A12046"/>
    <w:rsid w:val="00A13BB2"/>
    <w:rsid w:val="00A13D1C"/>
    <w:rsid w:val="00A141E5"/>
    <w:rsid w:val="00A14734"/>
    <w:rsid w:val="00A14F10"/>
    <w:rsid w:val="00A15581"/>
    <w:rsid w:val="00A1593F"/>
    <w:rsid w:val="00A15B57"/>
    <w:rsid w:val="00A165AD"/>
    <w:rsid w:val="00A20930"/>
    <w:rsid w:val="00A20EE4"/>
    <w:rsid w:val="00A218A7"/>
    <w:rsid w:val="00A21D3F"/>
    <w:rsid w:val="00A21F92"/>
    <w:rsid w:val="00A23B26"/>
    <w:rsid w:val="00A24A94"/>
    <w:rsid w:val="00A2536F"/>
    <w:rsid w:val="00A25872"/>
    <w:rsid w:val="00A25B96"/>
    <w:rsid w:val="00A263F4"/>
    <w:rsid w:val="00A26AF6"/>
    <w:rsid w:val="00A30AB8"/>
    <w:rsid w:val="00A30AF9"/>
    <w:rsid w:val="00A30C74"/>
    <w:rsid w:val="00A30DB3"/>
    <w:rsid w:val="00A31941"/>
    <w:rsid w:val="00A31D21"/>
    <w:rsid w:val="00A344A6"/>
    <w:rsid w:val="00A355C5"/>
    <w:rsid w:val="00A36FB3"/>
    <w:rsid w:val="00A403E9"/>
    <w:rsid w:val="00A406DC"/>
    <w:rsid w:val="00A409BF"/>
    <w:rsid w:val="00A41119"/>
    <w:rsid w:val="00A42670"/>
    <w:rsid w:val="00A4347E"/>
    <w:rsid w:val="00A4381E"/>
    <w:rsid w:val="00A4630E"/>
    <w:rsid w:val="00A46BB8"/>
    <w:rsid w:val="00A47DE3"/>
    <w:rsid w:val="00A500D2"/>
    <w:rsid w:val="00A51C32"/>
    <w:rsid w:val="00A5227A"/>
    <w:rsid w:val="00A52B8E"/>
    <w:rsid w:val="00A532F2"/>
    <w:rsid w:val="00A541EA"/>
    <w:rsid w:val="00A54AE6"/>
    <w:rsid w:val="00A55A52"/>
    <w:rsid w:val="00A55DE0"/>
    <w:rsid w:val="00A57D42"/>
    <w:rsid w:val="00A60BBB"/>
    <w:rsid w:val="00A60C83"/>
    <w:rsid w:val="00A60ED1"/>
    <w:rsid w:val="00A63A99"/>
    <w:rsid w:val="00A64CA7"/>
    <w:rsid w:val="00A65657"/>
    <w:rsid w:val="00A65F1E"/>
    <w:rsid w:val="00A7008D"/>
    <w:rsid w:val="00A70377"/>
    <w:rsid w:val="00A70542"/>
    <w:rsid w:val="00A70B1D"/>
    <w:rsid w:val="00A70E5F"/>
    <w:rsid w:val="00A73464"/>
    <w:rsid w:val="00A739AD"/>
    <w:rsid w:val="00A74679"/>
    <w:rsid w:val="00A74D6E"/>
    <w:rsid w:val="00A80964"/>
    <w:rsid w:val="00A80C89"/>
    <w:rsid w:val="00A81226"/>
    <w:rsid w:val="00A83111"/>
    <w:rsid w:val="00A84047"/>
    <w:rsid w:val="00A854A1"/>
    <w:rsid w:val="00A855AA"/>
    <w:rsid w:val="00A85982"/>
    <w:rsid w:val="00A90123"/>
    <w:rsid w:val="00A9057A"/>
    <w:rsid w:val="00A924CE"/>
    <w:rsid w:val="00A9273E"/>
    <w:rsid w:val="00A934C1"/>
    <w:rsid w:val="00A935B3"/>
    <w:rsid w:val="00A93883"/>
    <w:rsid w:val="00A96EA8"/>
    <w:rsid w:val="00A972FF"/>
    <w:rsid w:val="00AA0857"/>
    <w:rsid w:val="00AA1841"/>
    <w:rsid w:val="00AA22FC"/>
    <w:rsid w:val="00AA30DF"/>
    <w:rsid w:val="00AA3995"/>
    <w:rsid w:val="00AA535D"/>
    <w:rsid w:val="00AA58D4"/>
    <w:rsid w:val="00AA71F6"/>
    <w:rsid w:val="00AA7E69"/>
    <w:rsid w:val="00AB0683"/>
    <w:rsid w:val="00AB179B"/>
    <w:rsid w:val="00AB197C"/>
    <w:rsid w:val="00AB199E"/>
    <w:rsid w:val="00AB2DA9"/>
    <w:rsid w:val="00AB358C"/>
    <w:rsid w:val="00AB5052"/>
    <w:rsid w:val="00AB5560"/>
    <w:rsid w:val="00AB6009"/>
    <w:rsid w:val="00AC196F"/>
    <w:rsid w:val="00AC2894"/>
    <w:rsid w:val="00AC2F1A"/>
    <w:rsid w:val="00AC32FB"/>
    <w:rsid w:val="00AC4D4F"/>
    <w:rsid w:val="00AC58FC"/>
    <w:rsid w:val="00AC5918"/>
    <w:rsid w:val="00AC7D76"/>
    <w:rsid w:val="00AC7E69"/>
    <w:rsid w:val="00AD1697"/>
    <w:rsid w:val="00AD48BE"/>
    <w:rsid w:val="00AD5E69"/>
    <w:rsid w:val="00AD67BF"/>
    <w:rsid w:val="00AD76E7"/>
    <w:rsid w:val="00AD7AA1"/>
    <w:rsid w:val="00AE103A"/>
    <w:rsid w:val="00AE16EC"/>
    <w:rsid w:val="00AE2BA2"/>
    <w:rsid w:val="00AE348E"/>
    <w:rsid w:val="00AE3A09"/>
    <w:rsid w:val="00AE48F4"/>
    <w:rsid w:val="00AE4DFF"/>
    <w:rsid w:val="00AE6514"/>
    <w:rsid w:val="00AE6B65"/>
    <w:rsid w:val="00AE6D69"/>
    <w:rsid w:val="00AE6EE9"/>
    <w:rsid w:val="00AE7B86"/>
    <w:rsid w:val="00AF0353"/>
    <w:rsid w:val="00AF1482"/>
    <w:rsid w:val="00AF155E"/>
    <w:rsid w:val="00AF19C8"/>
    <w:rsid w:val="00AF2305"/>
    <w:rsid w:val="00AF2889"/>
    <w:rsid w:val="00AF2A93"/>
    <w:rsid w:val="00AF46AA"/>
    <w:rsid w:val="00AF5548"/>
    <w:rsid w:val="00AF586B"/>
    <w:rsid w:val="00AF5AF8"/>
    <w:rsid w:val="00AF5D98"/>
    <w:rsid w:val="00AF6532"/>
    <w:rsid w:val="00AF7307"/>
    <w:rsid w:val="00AF7604"/>
    <w:rsid w:val="00B004B9"/>
    <w:rsid w:val="00B01289"/>
    <w:rsid w:val="00B026CA"/>
    <w:rsid w:val="00B03A57"/>
    <w:rsid w:val="00B03B2A"/>
    <w:rsid w:val="00B044C6"/>
    <w:rsid w:val="00B05898"/>
    <w:rsid w:val="00B05E4A"/>
    <w:rsid w:val="00B06F1E"/>
    <w:rsid w:val="00B079F9"/>
    <w:rsid w:val="00B11999"/>
    <w:rsid w:val="00B11FF2"/>
    <w:rsid w:val="00B14072"/>
    <w:rsid w:val="00B145AA"/>
    <w:rsid w:val="00B15BE4"/>
    <w:rsid w:val="00B20368"/>
    <w:rsid w:val="00B2222C"/>
    <w:rsid w:val="00B22853"/>
    <w:rsid w:val="00B24156"/>
    <w:rsid w:val="00B24F9D"/>
    <w:rsid w:val="00B26221"/>
    <w:rsid w:val="00B27A34"/>
    <w:rsid w:val="00B300AF"/>
    <w:rsid w:val="00B32F35"/>
    <w:rsid w:val="00B34659"/>
    <w:rsid w:val="00B34F63"/>
    <w:rsid w:val="00B35670"/>
    <w:rsid w:val="00B4012B"/>
    <w:rsid w:val="00B4012C"/>
    <w:rsid w:val="00B40A5A"/>
    <w:rsid w:val="00B40A92"/>
    <w:rsid w:val="00B40EDB"/>
    <w:rsid w:val="00B42FC2"/>
    <w:rsid w:val="00B43126"/>
    <w:rsid w:val="00B43CD4"/>
    <w:rsid w:val="00B43E04"/>
    <w:rsid w:val="00B447CB"/>
    <w:rsid w:val="00B46DD7"/>
    <w:rsid w:val="00B50569"/>
    <w:rsid w:val="00B526CB"/>
    <w:rsid w:val="00B5275C"/>
    <w:rsid w:val="00B53344"/>
    <w:rsid w:val="00B53A21"/>
    <w:rsid w:val="00B53B49"/>
    <w:rsid w:val="00B53C22"/>
    <w:rsid w:val="00B548FA"/>
    <w:rsid w:val="00B54A0A"/>
    <w:rsid w:val="00B55474"/>
    <w:rsid w:val="00B56FF3"/>
    <w:rsid w:val="00B57686"/>
    <w:rsid w:val="00B57AFD"/>
    <w:rsid w:val="00B57B46"/>
    <w:rsid w:val="00B57EA9"/>
    <w:rsid w:val="00B60415"/>
    <w:rsid w:val="00B61D39"/>
    <w:rsid w:val="00B63FA2"/>
    <w:rsid w:val="00B641F8"/>
    <w:rsid w:val="00B64399"/>
    <w:rsid w:val="00B644AF"/>
    <w:rsid w:val="00B64DDE"/>
    <w:rsid w:val="00B66D58"/>
    <w:rsid w:val="00B70606"/>
    <w:rsid w:val="00B70DD7"/>
    <w:rsid w:val="00B7156F"/>
    <w:rsid w:val="00B7175B"/>
    <w:rsid w:val="00B7228A"/>
    <w:rsid w:val="00B72362"/>
    <w:rsid w:val="00B73211"/>
    <w:rsid w:val="00B74DD0"/>
    <w:rsid w:val="00B75A83"/>
    <w:rsid w:val="00B75CDF"/>
    <w:rsid w:val="00B75DB6"/>
    <w:rsid w:val="00B7662E"/>
    <w:rsid w:val="00B807B4"/>
    <w:rsid w:val="00B82086"/>
    <w:rsid w:val="00B8320B"/>
    <w:rsid w:val="00B83DB2"/>
    <w:rsid w:val="00B87DBF"/>
    <w:rsid w:val="00B90816"/>
    <w:rsid w:val="00B91263"/>
    <w:rsid w:val="00B918BA"/>
    <w:rsid w:val="00B919ED"/>
    <w:rsid w:val="00B927E5"/>
    <w:rsid w:val="00B95308"/>
    <w:rsid w:val="00B964CB"/>
    <w:rsid w:val="00B975F3"/>
    <w:rsid w:val="00BA0461"/>
    <w:rsid w:val="00BA1E11"/>
    <w:rsid w:val="00BA211F"/>
    <w:rsid w:val="00BA5A29"/>
    <w:rsid w:val="00BB2F66"/>
    <w:rsid w:val="00BB3B42"/>
    <w:rsid w:val="00BB4825"/>
    <w:rsid w:val="00BB5EF3"/>
    <w:rsid w:val="00BB69A5"/>
    <w:rsid w:val="00BB6A8D"/>
    <w:rsid w:val="00BB7DBE"/>
    <w:rsid w:val="00BC0EFB"/>
    <w:rsid w:val="00BC1C0C"/>
    <w:rsid w:val="00BC21EE"/>
    <w:rsid w:val="00BC3F27"/>
    <w:rsid w:val="00BC4499"/>
    <w:rsid w:val="00BC56B6"/>
    <w:rsid w:val="00BC65D8"/>
    <w:rsid w:val="00BC6FAF"/>
    <w:rsid w:val="00BC704C"/>
    <w:rsid w:val="00BC7BAC"/>
    <w:rsid w:val="00BD0A35"/>
    <w:rsid w:val="00BD1046"/>
    <w:rsid w:val="00BD1415"/>
    <w:rsid w:val="00BD316B"/>
    <w:rsid w:val="00BD4653"/>
    <w:rsid w:val="00BD560B"/>
    <w:rsid w:val="00BD6475"/>
    <w:rsid w:val="00BD64E6"/>
    <w:rsid w:val="00BD701F"/>
    <w:rsid w:val="00BD723F"/>
    <w:rsid w:val="00BE1605"/>
    <w:rsid w:val="00BE2499"/>
    <w:rsid w:val="00BE24F7"/>
    <w:rsid w:val="00BE41D1"/>
    <w:rsid w:val="00BE5C95"/>
    <w:rsid w:val="00BE6721"/>
    <w:rsid w:val="00BE73A9"/>
    <w:rsid w:val="00BE7606"/>
    <w:rsid w:val="00BF0271"/>
    <w:rsid w:val="00BF06DD"/>
    <w:rsid w:val="00BF0E9C"/>
    <w:rsid w:val="00BF12C4"/>
    <w:rsid w:val="00BF2C0E"/>
    <w:rsid w:val="00BF4A21"/>
    <w:rsid w:val="00BF5818"/>
    <w:rsid w:val="00BF5E81"/>
    <w:rsid w:val="00BF65CA"/>
    <w:rsid w:val="00BF6A06"/>
    <w:rsid w:val="00C00F70"/>
    <w:rsid w:val="00C01123"/>
    <w:rsid w:val="00C013D5"/>
    <w:rsid w:val="00C02555"/>
    <w:rsid w:val="00C030A4"/>
    <w:rsid w:val="00C0346F"/>
    <w:rsid w:val="00C03A44"/>
    <w:rsid w:val="00C03BDB"/>
    <w:rsid w:val="00C04205"/>
    <w:rsid w:val="00C055E6"/>
    <w:rsid w:val="00C05C8C"/>
    <w:rsid w:val="00C06D94"/>
    <w:rsid w:val="00C06F95"/>
    <w:rsid w:val="00C1027B"/>
    <w:rsid w:val="00C1110D"/>
    <w:rsid w:val="00C11A50"/>
    <w:rsid w:val="00C127B1"/>
    <w:rsid w:val="00C134B7"/>
    <w:rsid w:val="00C1582E"/>
    <w:rsid w:val="00C15E87"/>
    <w:rsid w:val="00C162F6"/>
    <w:rsid w:val="00C16301"/>
    <w:rsid w:val="00C175D0"/>
    <w:rsid w:val="00C20601"/>
    <w:rsid w:val="00C2096B"/>
    <w:rsid w:val="00C21A8D"/>
    <w:rsid w:val="00C21E2C"/>
    <w:rsid w:val="00C21FFE"/>
    <w:rsid w:val="00C2234E"/>
    <w:rsid w:val="00C225AE"/>
    <w:rsid w:val="00C22D8B"/>
    <w:rsid w:val="00C2432D"/>
    <w:rsid w:val="00C24DB0"/>
    <w:rsid w:val="00C26B1C"/>
    <w:rsid w:val="00C274AA"/>
    <w:rsid w:val="00C27E44"/>
    <w:rsid w:val="00C31CC9"/>
    <w:rsid w:val="00C31FA1"/>
    <w:rsid w:val="00C3208B"/>
    <w:rsid w:val="00C325AC"/>
    <w:rsid w:val="00C32965"/>
    <w:rsid w:val="00C32D17"/>
    <w:rsid w:val="00C33CFC"/>
    <w:rsid w:val="00C3426D"/>
    <w:rsid w:val="00C34BBB"/>
    <w:rsid w:val="00C35C9B"/>
    <w:rsid w:val="00C37A59"/>
    <w:rsid w:val="00C41735"/>
    <w:rsid w:val="00C41DE1"/>
    <w:rsid w:val="00C420F0"/>
    <w:rsid w:val="00C44101"/>
    <w:rsid w:val="00C44ADA"/>
    <w:rsid w:val="00C44F97"/>
    <w:rsid w:val="00C46060"/>
    <w:rsid w:val="00C46201"/>
    <w:rsid w:val="00C46603"/>
    <w:rsid w:val="00C50711"/>
    <w:rsid w:val="00C523C6"/>
    <w:rsid w:val="00C525BA"/>
    <w:rsid w:val="00C52F04"/>
    <w:rsid w:val="00C53065"/>
    <w:rsid w:val="00C54204"/>
    <w:rsid w:val="00C54508"/>
    <w:rsid w:val="00C54870"/>
    <w:rsid w:val="00C55300"/>
    <w:rsid w:val="00C555F7"/>
    <w:rsid w:val="00C55EF8"/>
    <w:rsid w:val="00C56446"/>
    <w:rsid w:val="00C5676C"/>
    <w:rsid w:val="00C56EEA"/>
    <w:rsid w:val="00C60863"/>
    <w:rsid w:val="00C60ACA"/>
    <w:rsid w:val="00C623E0"/>
    <w:rsid w:val="00C6285D"/>
    <w:rsid w:val="00C638B5"/>
    <w:rsid w:val="00C639E3"/>
    <w:rsid w:val="00C640E3"/>
    <w:rsid w:val="00C64984"/>
    <w:rsid w:val="00C67BA4"/>
    <w:rsid w:val="00C70563"/>
    <w:rsid w:val="00C71292"/>
    <w:rsid w:val="00C71484"/>
    <w:rsid w:val="00C716CA"/>
    <w:rsid w:val="00C72305"/>
    <w:rsid w:val="00C735A7"/>
    <w:rsid w:val="00C76151"/>
    <w:rsid w:val="00C76FAC"/>
    <w:rsid w:val="00C7761A"/>
    <w:rsid w:val="00C80B3C"/>
    <w:rsid w:val="00C8566F"/>
    <w:rsid w:val="00C857D1"/>
    <w:rsid w:val="00C859AE"/>
    <w:rsid w:val="00C85ACC"/>
    <w:rsid w:val="00C86268"/>
    <w:rsid w:val="00C86C47"/>
    <w:rsid w:val="00C8736E"/>
    <w:rsid w:val="00C8754E"/>
    <w:rsid w:val="00C87C43"/>
    <w:rsid w:val="00C91811"/>
    <w:rsid w:val="00C93B0E"/>
    <w:rsid w:val="00C943EA"/>
    <w:rsid w:val="00C96C3E"/>
    <w:rsid w:val="00C979D0"/>
    <w:rsid w:val="00CA24E7"/>
    <w:rsid w:val="00CA410E"/>
    <w:rsid w:val="00CA447E"/>
    <w:rsid w:val="00CA4555"/>
    <w:rsid w:val="00CB0CDF"/>
    <w:rsid w:val="00CB0E40"/>
    <w:rsid w:val="00CB0FE7"/>
    <w:rsid w:val="00CB1DDE"/>
    <w:rsid w:val="00CB27C2"/>
    <w:rsid w:val="00CB27FD"/>
    <w:rsid w:val="00CB2AFB"/>
    <w:rsid w:val="00CB528D"/>
    <w:rsid w:val="00CB5A5E"/>
    <w:rsid w:val="00CB5EBC"/>
    <w:rsid w:val="00CB635C"/>
    <w:rsid w:val="00CB7321"/>
    <w:rsid w:val="00CB7784"/>
    <w:rsid w:val="00CB7E0A"/>
    <w:rsid w:val="00CC280D"/>
    <w:rsid w:val="00CC3027"/>
    <w:rsid w:val="00CC390D"/>
    <w:rsid w:val="00CC421B"/>
    <w:rsid w:val="00CC464B"/>
    <w:rsid w:val="00CC4651"/>
    <w:rsid w:val="00CC4EE6"/>
    <w:rsid w:val="00CC5AAE"/>
    <w:rsid w:val="00CC71D5"/>
    <w:rsid w:val="00CC74CA"/>
    <w:rsid w:val="00CC7A52"/>
    <w:rsid w:val="00CD0087"/>
    <w:rsid w:val="00CD062B"/>
    <w:rsid w:val="00CD1276"/>
    <w:rsid w:val="00CD1BC6"/>
    <w:rsid w:val="00CD27EE"/>
    <w:rsid w:val="00CD4B74"/>
    <w:rsid w:val="00CD5018"/>
    <w:rsid w:val="00CD77CF"/>
    <w:rsid w:val="00CE10BD"/>
    <w:rsid w:val="00CE11A3"/>
    <w:rsid w:val="00CE1479"/>
    <w:rsid w:val="00CE17C3"/>
    <w:rsid w:val="00CE1F17"/>
    <w:rsid w:val="00CE33D7"/>
    <w:rsid w:val="00CE3BBD"/>
    <w:rsid w:val="00CE4648"/>
    <w:rsid w:val="00CE50BF"/>
    <w:rsid w:val="00CE6B6E"/>
    <w:rsid w:val="00CE7F13"/>
    <w:rsid w:val="00CF0156"/>
    <w:rsid w:val="00CF26BF"/>
    <w:rsid w:val="00CF3FB2"/>
    <w:rsid w:val="00CF44A7"/>
    <w:rsid w:val="00CF66A7"/>
    <w:rsid w:val="00D004BE"/>
    <w:rsid w:val="00D00852"/>
    <w:rsid w:val="00D00DBC"/>
    <w:rsid w:val="00D02E55"/>
    <w:rsid w:val="00D03586"/>
    <w:rsid w:val="00D03B28"/>
    <w:rsid w:val="00D03E57"/>
    <w:rsid w:val="00D05726"/>
    <w:rsid w:val="00D075C6"/>
    <w:rsid w:val="00D12E54"/>
    <w:rsid w:val="00D14FB9"/>
    <w:rsid w:val="00D1502D"/>
    <w:rsid w:val="00D1561D"/>
    <w:rsid w:val="00D179F8"/>
    <w:rsid w:val="00D20DAB"/>
    <w:rsid w:val="00D213E9"/>
    <w:rsid w:val="00D2164C"/>
    <w:rsid w:val="00D21F96"/>
    <w:rsid w:val="00D23317"/>
    <w:rsid w:val="00D25465"/>
    <w:rsid w:val="00D256E5"/>
    <w:rsid w:val="00D26044"/>
    <w:rsid w:val="00D26513"/>
    <w:rsid w:val="00D30811"/>
    <w:rsid w:val="00D30E72"/>
    <w:rsid w:val="00D33B6C"/>
    <w:rsid w:val="00D3454C"/>
    <w:rsid w:val="00D34B9B"/>
    <w:rsid w:val="00D35540"/>
    <w:rsid w:val="00D37F45"/>
    <w:rsid w:val="00D4105E"/>
    <w:rsid w:val="00D41D60"/>
    <w:rsid w:val="00D42538"/>
    <w:rsid w:val="00D42E24"/>
    <w:rsid w:val="00D430AE"/>
    <w:rsid w:val="00D4371A"/>
    <w:rsid w:val="00D44A44"/>
    <w:rsid w:val="00D44FF4"/>
    <w:rsid w:val="00D455D9"/>
    <w:rsid w:val="00D46107"/>
    <w:rsid w:val="00D47DC4"/>
    <w:rsid w:val="00D503A7"/>
    <w:rsid w:val="00D506C3"/>
    <w:rsid w:val="00D50854"/>
    <w:rsid w:val="00D50899"/>
    <w:rsid w:val="00D53ABB"/>
    <w:rsid w:val="00D54158"/>
    <w:rsid w:val="00D5688B"/>
    <w:rsid w:val="00D569C4"/>
    <w:rsid w:val="00D56E04"/>
    <w:rsid w:val="00D60DAA"/>
    <w:rsid w:val="00D63D53"/>
    <w:rsid w:val="00D66619"/>
    <w:rsid w:val="00D66BC4"/>
    <w:rsid w:val="00D6758F"/>
    <w:rsid w:val="00D70699"/>
    <w:rsid w:val="00D72181"/>
    <w:rsid w:val="00D7396F"/>
    <w:rsid w:val="00D74943"/>
    <w:rsid w:val="00D7523E"/>
    <w:rsid w:val="00D76A0C"/>
    <w:rsid w:val="00D76A33"/>
    <w:rsid w:val="00D81AF1"/>
    <w:rsid w:val="00D82A5F"/>
    <w:rsid w:val="00D82A92"/>
    <w:rsid w:val="00D83EA8"/>
    <w:rsid w:val="00D842AB"/>
    <w:rsid w:val="00D843D7"/>
    <w:rsid w:val="00D84708"/>
    <w:rsid w:val="00D84A40"/>
    <w:rsid w:val="00D84E4B"/>
    <w:rsid w:val="00D85BFA"/>
    <w:rsid w:val="00D90345"/>
    <w:rsid w:val="00D906AD"/>
    <w:rsid w:val="00D92A4E"/>
    <w:rsid w:val="00D941AF"/>
    <w:rsid w:val="00D946CE"/>
    <w:rsid w:val="00D9529F"/>
    <w:rsid w:val="00D95BB2"/>
    <w:rsid w:val="00D96EC7"/>
    <w:rsid w:val="00D97D5E"/>
    <w:rsid w:val="00DA0581"/>
    <w:rsid w:val="00DA4017"/>
    <w:rsid w:val="00DA5B94"/>
    <w:rsid w:val="00DA7174"/>
    <w:rsid w:val="00DA72DC"/>
    <w:rsid w:val="00DB10F3"/>
    <w:rsid w:val="00DB11A4"/>
    <w:rsid w:val="00DB1260"/>
    <w:rsid w:val="00DB16ED"/>
    <w:rsid w:val="00DB34FA"/>
    <w:rsid w:val="00DB3D75"/>
    <w:rsid w:val="00DB5C76"/>
    <w:rsid w:val="00DB66B0"/>
    <w:rsid w:val="00DB75A2"/>
    <w:rsid w:val="00DC0159"/>
    <w:rsid w:val="00DC01C2"/>
    <w:rsid w:val="00DC0500"/>
    <w:rsid w:val="00DC1949"/>
    <w:rsid w:val="00DC1C9E"/>
    <w:rsid w:val="00DC304B"/>
    <w:rsid w:val="00DC46F3"/>
    <w:rsid w:val="00DC4908"/>
    <w:rsid w:val="00DC5090"/>
    <w:rsid w:val="00DC72EC"/>
    <w:rsid w:val="00DD1675"/>
    <w:rsid w:val="00DD1854"/>
    <w:rsid w:val="00DD23D2"/>
    <w:rsid w:val="00DD2B27"/>
    <w:rsid w:val="00DD2F32"/>
    <w:rsid w:val="00DD46EB"/>
    <w:rsid w:val="00DD53F3"/>
    <w:rsid w:val="00DD69DD"/>
    <w:rsid w:val="00DD6D90"/>
    <w:rsid w:val="00DD776A"/>
    <w:rsid w:val="00DD7CE7"/>
    <w:rsid w:val="00DD7E17"/>
    <w:rsid w:val="00DE1BA1"/>
    <w:rsid w:val="00DE1F7F"/>
    <w:rsid w:val="00DE261E"/>
    <w:rsid w:val="00DE35DB"/>
    <w:rsid w:val="00DE60AE"/>
    <w:rsid w:val="00DE7144"/>
    <w:rsid w:val="00DE74E0"/>
    <w:rsid w:val="00DF0023"/>
    <w:rsid w:val="00DF0288"/>
    <w:rsid w:val="00DF298C"/>
    <w:rsid w:val="00DF3569"/>
    <w:rsid w:val="00DF627C"/>
    <w:rsid w:val="00DF6BA2"/>
    <w:rsid w:val="00DF7503"/>
    <w:rsid w:val="00E0175A"/>
    <w:rsid w:val="00E027F3"/>
    <w:rsid w:val="00E03B9D"/>
    <w:rsid w:val="00E03D93"/>
    <w:rsid w:val="00E04865"/>
    <w:rsid w:val="00E049AF"/>
    <w:rsid w:val="00E064FA"/>
    <w:rsid w:val="00E0782F"/>
    <w:rsid w:val="00E10C62"/>
    <w:rsid w:val="00E10CD7"/>
    <w:rsid w:val="00E114C1"/>
    <w:rsid w:val="00E12B11"/>
    <w:rsid w:val="00E12CD9"/>
    <w:rsid w:val="00E164A3"/>
    <w:rsid w:val="00E1655A"/>
    <w:rsid w:val="00E20E18"/>
    <w:rsid w:val="00E20FCE"/>
    <w:rsid w:val="00E216A6"/>
    <w:rsid w:val="00E23C4E"/>
    <w:rsid w:val="00E26009"/>
    <w:rsid w:val="00E261E7"/>
    <w:rsid w:val="00E272F2"/>
    <w:rsid w:val="00E2749E"/>
    <w:rsid w:val="00E3018B"/>
    <w:rsid w:val="00E332F7"/>
    <w:rsid w:val="00E356B4"/>
    <w:rsid w:val="00E35B18"/>
    <w:rsid w:val="00E3699A"/>
    <w:rsid w:val="00E36F79"/>
    <w:rsid w:val="00E374E0"/>
    <w:rsid w:val="00E37F75"/>
    <w:rsid w:val="00E41E67"/>
    <w:rsid w:val="00E43258"/>
    <w:rsid w:val="00E433E7"/>
    <w:rsid w:val="00E47430"/>
    <w:rsid w:val="00E4775F"/>
    <w:rsid w:val="00E47A90"/>
    <w:rsid w:val="00E50484"/>
    <w:rsid w:val="00E5077E"/>
    <w:rsid w:val="00E523F8"/>
    <w:rsid w:val="00E52C20"/>
    <w:rsid w:val="00E53C86"/>
    <w:rsid w:val="00E53F53"/>
    <w:rsid w:val="00E552A0"/>
    <w:rsid w:val="00E555B0"/>
    <w:rsid w:val="00E578EB"/>
    <w:rsid w:val="00E615EF"/>
    <w:rsid w:val="00E6233B"/>
    <w:rsid w:val="00E62F5F"/>
    <w:rsid w:val="00E64491"/>
    <w:rsid w:val="00E65EDD"/>
    <w:rsid w:val="00E66812"/>
    <w:rsid w:val="00E74FBC"/>
    <w:rsid w:val="00E75828"/>
    <w:rsid w:val="00E76681"/>
    <w:rsid w:val="00E76936"/>
    <w:rsid w:val="00E81229"/>
    <w:rsid w:val="00E814AC"/>
    <w:rsid w:val="00E81C52"/>
    <w:rsid w:val="00E8255C"/>
    <w:rsid w:val="00E82A7A"/>
    <w:rsid w:val="00E867B4"/>
    <w:rsid w:val="00E87898"/>
    <w:rsid w:val="00E87F29"/>
    <w:rsid w:val="00E90063"/>
    <w:rsid w:val="00E90469"/>
    <w:rsid w:val="00E90583"/>
    <w:rsid w:val="00E9067B"/>
    <w:rsid w:val="00E90868"/>
    <w:rsid w:val="00E917E1"/>
    <w:rsid w:val="00E9253B"/>
    <w:rsid w:val="00E92C22"/>
    <w:rsid w:val="00E92F00"/>
    <w:rsid w:val="00E93926"/>
    <w:rsid w:val="00E950E7"/>
    <w:rsid w:val="00E9758C"/>
    <w:rsid w:val="00E97592"/>
    <w:rsid w:val="00E97717"/>
    <w:rsid w:val="00E97F4A"/>
    <w:rsid w:val="00EA02CF"/>
    <w:rsid w:val="00EA0DBB"/>
    <w:rsid w:val="00EA1EC7"/>
    <w:rsid w:val="00EA2A81"/>
    <w:rsid w:val="00EA35D6"/>
    <w:rsid w:val="00EA3622"/>
    <w:rsid w:val="00EA3F84"/>
    <w:rsid w:val="00EA4569"/>
    <w:rsid w:val="00EA47A1"/>
    <w:rsid w:val="00EA5967"/>
    <w:rsid w:val="00EA70E3"/>
    <w:rsid w:val="00EA7477"/>
    <w:rsid w:val="00EA77F3"/>
    <w:rsid w:val="00EA77FB"/>
    <w:rsid w:val="00EA796F"/>
    <w:rsid w:val="00EB00C9"/>
    <w:rsid w:val="00EB0FEF"/>
    <w:rsid w:val="00EB21A7"/>
    <w:rsid w:val="00EB2858"/>
    <w:rsid w:val="00EB3C88"/>
    <w:rsid w:val="00EB412B"/>
    <w:rsid w:val="00EB527C"/>
    <w:rsid w:val="00EB5D6A"/>
    <w:rsid w:val="00EB60CF"/>
    <w:rsid w:val="00EB6190"/>
    <w:rsid w:val="00EB72C5"/>
    <w:rsid w:val="00EC254A"/>
    <w:rsid w:val="00EC3F18"/>
    <w:rsid w:val="00EC3F55"/>
    <w:rsid w:val="00EC40B5"/>
    <w:rsid w:val="00EC53C5"/>
    <w:rsid w:val="00EC594D"/>
    <w:rsid w:val="00EC5D8C"/>
    <w:rsid w:val="00EC61ED"/>
    <w:rsid w:val="00EC6277"/>
    <w:rsid w:val="00ED0125"/>
    <w:rsid w:val="00ED06E1"/>
    <w:rsid w:val="00ED4125"/>
    <w:rsid w:val="00ED42E1"/>
    <w:rsid w:val="00ED488F"/>
    <w:rsid w:val="00ED4DB2"/>
    <w:rsid w:val="00ED5012"/>
    <w:rsid w:val="00ED5484"/>
    <w:rsid w:val="00ED587D"/>
    <w:rsid w:val="00ED5C09"/>
    <w:rsid w:val="00ED75C5"/>
    <w:rsid w:val="00EE00AB"/>
    <w:rsid w:val="00EE2109"/>
    <w:rsid w:val="00EE2259"/>
    <w:rsid w:val="00EE28BB"/>
    <w:rsid w:val="00EE2D3D"/>
    <w:rsid w:val="00EE57F1"/>
    <w:rsid w:val="00EE79C9"/>
    <w:rsid w:val="00EF0E2A"/>
    <w:rsid w:val="00EF25BD"/>
    <w:rsid w:val="00EF2CAC"/>
    <w:rsid w:val="00EF6E86"/>
    <w:rsid w:val="00EF7EB0"/>
    <w:rsid w:val="00F0000F"/>
    <w:rsid w:val="00F00AF7"/>
    <w:rsid w:val="00F01066"/>
    <w:rsid w:val="00F02FFC"/>
    <w:rsid w:val="00F033E6"/>
    <w:rsid w:val="00F03CCE"/>
    <w:rsid w:val="00F05D2C"/>
    <w:rsid w:val="00F05F9A"/>
    <w:rsid w:val="00F06756"/>
    <w:rsid w:val="00F0685D"/>
    <w:rsid w:val="00F068B5"/>
    <w:rsid w:val="00F07694"/>
    <w:rsid w:val="00F07BDD"/>
    <w:rsid w:val="00F12D19"/>
    <w:rsid w:val="00F137A2"/>
    <w:rsid w:val="00F13AE2"/>
    <w:rsid w:val="00F1412A"/>
    <w:rsid w:val="00F1588F"/>
    <w:rsid w:val="00F15B50"/>
    <w:rsid w:val="00F16562"/>
    <w:rsid w:val="00F16884"/>
    <w:rsid w:val="00F16D41"/>
    <w:rsid w:val="00F171EE"/>
    <w:rsid w:val="00F20F66"/>
    <w:rsid w:val="00F2145E"/>
    <w:rsid w:val="00F21D15"/>
    <w:rsid w:val="00F2593F"/>
    <w:rsid w:val="00F26496"/>
    <w:rsid w:val="00F306E8"/>
    <w:rsid w:val="00F3083D"/>
    <w:rsid w:val="00F30E46"/>
    <w:rsid w:val="00F3385A"/>
    <w:rsid w:val="00F33944"/>
    <w:rsid w:val="00F34E47"/>
    <w:rsid w:val="00F34E62"/>
    <w:rsid w:val="00F3569C"/>
    <w:rsid w:val="00F36E4A"/>
    <w:rsid w:val="00F40D3E"/>
    <w:rsid w:val="00F4115A"/>
    <w:rsid w:val="00F421B2"/>
    <w:rsid w:val="00F42328"/>
    <w:rsid w:val="00F42671"/>
    <w:rsid w:val="00F4298C"/>
    <w:rsid w:val="00F42F36"/>
    <w:rsid w:val="00F43D9D"/>
    <w:rsid w:val="00F44EB7"/>
    <w:rsid w:val="00F45701"/>
    <w:rsid w:val="00F45FAD"/>
    <w:rsid w:val="00F46C47"/>
    <w:rsid w:val="00F50CB0"/>
    <w:rsid w:val="00F519CE"/>
    <w:rsid w:val="00F52315"/>
    <w:rsid w:val="00F52896"/>
    <w:rsid w:val="00F53B18"/>
    <w:rsid w:val="00F53E57"/>
    <w:rsid w:val="00F54657"/>
    <w:rsid w:val="00F56DC0"/>
    <w:rsid w:val="00F56E16"/>
    <w:rsid w:val="00F60452"/>
    <w:rsid w:val="00F612C8"/>
    <w:rsid w:val="00F61DE6"/>
    <w:rsid w:val="00F64941"/>
    <w:rsid w:val="00F66653"/>
    <w:rsid w:val="00F66A3B"/>
    <w:rsid w:val="00F66FE7"/>
    <w:rsid w:val="00F7000C"/>
    <w:rsid w:val="00F70B08"/>
    <w:rsid w:val="00F71008"/>
    <w:rsid w:val="00F71582"/>
    <w:rsid w:val="00F73135"/>
    <w:rsid w:val="00F75823"/>
    <w:rsid w:val="00F779F8"/>
    <w:rsid w:val="00F77DC4"/>
    <w:rsid w:val="00F81978"/>
    <w:rsid w:val="00F84143"/>
    <w:rsid w:val="00F84A29"/>
    <w:rsid w:val="00F869DC"/>
    <w:rsid w:val="00F913C1"/>
    <w:rsid w:val="00F91475"/>
    <w:rsid w:val="00F91FCA"/>
    <w:rsid w:val="00F926CB"/>
    <w:rsid w:val="00F94D98"/>
    <w:rsid w:val="00F953B2"/>
    <w:rsid w:val="00F953E6"/>
    <w:rsid w:val="00FA0FC5"/>
    <w:rsid w:val="00FA1B22"/>
    <w:rsid w:val="00FA397B"/>
    <w:rsid w:val="00FA48A5"/>
    <w:rsid w:val="00FA5090"/>
    <w:rsid w:val="00FA5A84"/>
    <w:rsid w:val="00FA5C1D"/>
    <w:rsid w:val="00FA72A2"/>
    <w:rsid w:val="00FB14E5"/>
    <w:rsid w:val="00FB1FEB"/>
    <w:rsid w:val="00FB2BE7"/>
    <w:rsid w:val="00FB3833"/>
    <w:rsid w:val="00FB48D4"/>
    <w:rsid w:val="00FB65C9"/>
    <w:rsid w:val="00FB789B"/>
    <w:rsid w:val="00FC0871"/>
    <w:rsid w:val="00FC0EAE"/>
    <w:rsid w:val="00FC13CF"/>
    <w:rsid w:val="00FC2012"/>
    <w:rsid w:val="00FC219D"/>
    <w:rsid w:val="00FC27B2"/>
    <w:rsid w:val="00FC2F78"/>
    <w:rsid w:val="00FC33DB"/>
    <w:rsid w:val="00FC351C"/>
    <w:rsid w:val="00FC45F8"/>
    <w:rsid w:val="00FC481A"/>
    <w:rsid w:val="00FC5373"/>
    <w:rsid w:val="00FC5A3C"/>
    <w:rsid w:val="00FD1BD5"/>
    <w:rsid w:val="00FD3D3B"/>
    <w:rsid w:val="00FD4046"/>
    <w:rsid w:val="00FD52C0"/>
    <w:rsid w:val="00FD6A0C"/>
    <w:rsid w:val="00FD7986"/>
    <w:rsid w:val="00FE04C3"/>
    <w:rsid w:val="00FE39D0"/>
    <w:rsid w:val="00FE40C2"/>
    <w:rsid w:val="00FE4EFF"/>
    <w:rsid w:val="00FE5036"/>
    <w:rsid w:val="00FE519C"/>
    <w:rsid w:val="00FE57C2"/>
    <w:rsid w:val="00FF00BE"/>
    <w:rsid w:val="00FF0C10"/>
    <w:rsid w:val="00FF32A1"/>
    <w:rsid w:val="00FF41BA"/>
    <w:rsid w:val="00FF4BA0"/>
    <w:rsid w:val="00FF4E89"/>
    <w:rsid w:val="00FF60E9"/>
    <w:rsid w:val="50F95253"/>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1"/>
    <w:lsdException w:name="caption" w:uiPriority="35" w:qFormat="1"/>
    <w:lsdException w:name="footnote reference" w:uiPriority="0" w:qFormat="1"/>
    <w:lsdException w:name="page number" w:uiPriority="0"/>
    <w:lsdException w:name="Title" w:semiHidden="0" w:uiPriority="10" w:unhideWhenUsed="0" w:qFormat="1"/>
    <w:lsdException w:name="Default Paragraph Font" w:uiPriority="1"/>
    <w:lsdException w:name="Body Text" w:uiPriority="6"/>
    <w:lsdException w:name="Subtitle" w:semiHidden="0" w:uiPriority="11" w:unhideWhenUsed="0" w:qFormat="1"/>
    <w:lsdException w:name="Hyperlink" w:uiPriority="9"/>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A5227A"/>
    <w:pPr>
      <w:keepNext/>
      <w:keepLines/>
      <w:widowControl/>
      <w:numPr>
        <w:numId w:val="15"/>
      </w:numPr>
      <w:spacing w:after="260"/>
      <w:outlineLvl w:val="0"/>
    </w:pPr>
    <w:rPr>
      <w:rFonts w:eastAsia="ＭＳ ゴシック"/>
      <w:b/>
      <w:kern w:val="32"/>
      <w:szCs w:val="32"/>
      <w:u w:val="single"/>
    </w:rPr>
  </w:style>
  <w:style w:type="paragraph" w:styleId="Heading2">
    <w:name w:val="heading 2"/>
    <w:basedOn w:val="Normal"/>
    <w:next w:val="FERCparanumber"/>
    <w:link w:val="Heading2Char"/>
    <w:uiPriority w:val="9"/>
    <w:unhideWhenUsed/>
    <w:qFormat/>
    <w:rsid w:val="00A5227A"/>
    <w:pPr>
      <w:keepNext/>
      <w:keepLines/>
      <w:widowControl/>
      <w:numPr>
        <w:ilvl w:val="1"/>
        <w:numId w:val="15"/>
      </w:numPr>
      <w:spacing w:after="260"/>
      <w:outlineLvl w:val="1"/>
    </w:pPr>
    <w:rPr>
      <w:rFonts w:eastAsia="ＭＳ ゴシック"/>
      <w:b/>
      <w:kern w:val="32"/>
      <w:szCs w:val="26"/>
      <w:u w:val="single"/>
    </w:rPr>
  </w:style>
  <w:style w:type="paragraph" w:styleId="Heading3">
    <w:name w:val="heading 3"/>
    <w:basedOn w:val="Normal"/>
    <w:next w:val="FERCparanumber"/>
    <w:uiPriority w:val="9"/>
    <w:unhideWhenUsed/>
    <w:qFormat/>
    <w:rsid w:val="00A5227A"/>
    <w:pPr>
      <w:keepNext/>
      <w:keepLines/>
      <w:widowControl/>
      <w:numPr>
        <w:ilvl w:val="2"/>
        <w:numId w:val="15"/>
      </w:numPr>
      <w:spacing w:after="260"/>
      <w:outlineLvl w:val="2"/>
    </w:pPr>
    <w:rPr>
      <w:rFonts w:eastAsia="ＭＳ ゴシック"/>
      <w:b/>
      <w:kern w:val="32"/>
      <w:szCs w:val="24"/>
      <w:u w:val="single"/>
    </w:rPr>
  </w:style>
  <w:style w:type="paragraph" w:styleId="Heading4">
    <w:name w:val="heading 4"/>
    <w:basedOn w:val="Normal"/>
    <w:next w:val="FERCparanumber"/>
    <w:uiPriority w:val="9"/>
    <w:unhideWhenUsed/>
    <w:qFormat/>
    <w:rsid w:val="002261B3"/>
    <w:pPr>
      <w:keepNext/>
      <w:keepLines/>
      <w:widowControl/>
      <w:numPr>
        <w:ilvl w:val="3"/>
        <w:numId w:val="15"/>
      </w:numPr>
      <w:spacing w:after="260"/>
      <w:outlineLvl w:val="3"/>
    </w:pPr>
    <w:rPr>
      <w:rFonts w:eastAsia="ＭＳ ゴシック"/>
      <w:b/>
      <w:iCs/>
      <w:kern w:val="32"/>
      <w:u w:val="single"/>
    </w:rPr>
  </w:style>
  <w:style w:type="paragraph" w:styleId="Heading5">
    <w:name w:val="heading 5"/>
    <w:basedOn w:val="Normal"/>
    <w:next w:val="FERCparanumber"/>
    <w:uiPriority w:val="9"/>
    <w:semiHidden/>
    <w:unhideWhenUsed/>
    <w:qFormat/>
    <w:rsid w:val="002261B3"/>
    <w:pPr>
      <w:keepNext/>
      <w:keepLines/>
      <w:widowControl/>
      <w:numPr>
        <w:ilvl w:val="4"/>
        <w:numId w:val="15"/>
      </w:numPr>
      <w:spacing w:after="260"/>
      <w:outlineLvl w:val="4"/>
    </w:pPr>
    <w:rPr>
      <w:rFonts w:eastAsia="ＭＳ ゴシック"/>
      <w:b/>
      <w:kern w:val="32"/>
      <w:u w:val="single"/>
    </w:rPr>
  </w:style>
  <w:style w:type="paragraph" w:styleId="Heading6">
    <w:name w:val="heading 6"/>
    <w:basedOn w:val="Normal"/>
    <w:next w:val="FERCparanumber"/>
    <w:uiPriority w:val="9"/>
    <w:semiHidden/>
    <w:unhideWhenUsed/>
    <w:qFormat/>
    <w:rsid w:val="00A5227A"/>
    <w:pPr>
      <w:keepNext/>
      <w:keepLines/>
      <w:widowControl/>
      <w:numPr>
        <w:ilvl w:val="5"/>
        <w:numId w:val="15"/>
      </w:numPr>
      <w:spacing w:after="260"/>
      <w:outlineLvl w:val="5"/>
    </w:pPr>
    <w:rPr>
      <w:rFonts w:eastAsia="ＭＳ ゴシック"/>
      <w:b/>
      <w:kern w:val="32"/>
      <w:u w:val="single"/>
    </w:rPr>
  </w:style>
  <w:style w:type="paragraph" w:styleId="Heading7">
    <w:name w:val="heading 7"/>
    <w:basedOn w:val="Normal"/>
    <w:next w:val="FERCparanumber"/>
    <w:uiPriority w:val="9"/>
    <w:semiHidden/>
    <w:unhideWhenUsed/>
    <w:qFormat/>
    <w:rsid w:val="00A5227A"/>
    <w:pPr>
      <w:keepNext/>
      <w:keepLines/>
      <w:widowControl/>
      <w:numPr>
        <w:ilvl w:val="6"/>
        <w:numId w:val="15"/>
      </w:numPr>
      <w:spacing w:after="260"/>
      <w:outlineLvl w:val="6"/>
    </w:pPr>
    <w:rPr>
      <w:rFonts w:eastAsia="ＭＳ ゴシック"/>
      <w:b/>
      <w:iCs/>
      <w:kern w:val="32"/>
      <w:u w:val="single"/>
    </w:rPr>
  </w:style>
  <w:style w:type="paragraph" w:styleId="Heading8">
    <w:name w:val="heading 8"/>
    <w:basedOn w:val="Normal"/>
    <w:next w:val="FERCparanumber"/>
    <w:uiPriority w:val="9"/>
    <w:semiHidden/>
    <w:unhideWhenUsed/>
    <w:qFormat/>
    <w:rsid w:val="00A5227A"/>
    <w:pPr>
      <w:keepNext/>
      <w:keepLines/>
      <w:widowControl/>
      <w:numPr>
        <w:ilvl w:val="7"/>
        <w:numId w:val="15"/>
      </w:numPr>
      <w:spacing w:after="260"/>
      <w:outlineLvl w:val="7"/>
    </w:pPr>
    <w:rPr>
      <w:rFonts w:eastAsia="ＭＳ ゴシック"/>
      <w:b/>
      <w:kern w:val="32"/>
      <w:szCs w:val="21"/>
      <w:u w:val="single"/>
    </w:rPr>
  </w:style>
  <w:style w:type="paragraph" w:styleId="Heading9">
    <w:name w:val="heading 9"/>
    <w:basedOn w:val="Normal"/>
    <w:next w:val="FERCparanumber"/>
    <w:uiPriority w:val="9"/>
    <w:semiHidden/>
    <w:unhideWhenUsed/>
    <w:qFormat/>
    <w:rsid w:val="00A5227A"/>
    <w:pPr>
      <w:keepNext/>
      <w:keepLines/>
      <w:widowControl/>
      <w:numPr>
        <w:ilvl w:val="8"/>
        <w:numId w:val="15"/>
      </w:numPr>
      <w:spacing w:after="260"/>
      <w:outlineLvl w:val="8"/>
    </w:pPr>
    <w:rPr>
      <w:rFonts w:eastAsia="ＭＳ ゴシック"/>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ＭＳ 明朝"/>
      <w:i/>
      <w:iCs/>
      <w:color w:val="5B9BD5"/>
    </w:rPr>
  </w:style>
  <w:style w:type="paragraph" w:styleId="BodyText">
    <w:name w:val="Body Text"/>
    <w:basedOn w:val="Normal"/>
    <w:link w:val="BodyTextChar"/>
    <w:uiPriority w:val="6"/>
    <w:unhideWhenUsed/>
    <w:rsid w:val="009E214D"/>
    <w:pPr>
      <w:spacing w:after="240"/>
      <w:ind w:firstLine="720"/>
    </w:pPr>
  </w:style>
  <w:style w:type="character" w:customStyle="1" w:styleId="BodyTextChar">
    <w:name w:val="Body Text Char"/>
    <w:basedOn w:val="DefaultParagraphFont"/>
    <w:link w:val="BodyText"/>
    <w:uiPriority w:val="6"/>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1"/>
    <w:unhideWhenUsed/>
    <w:rsid w:val="00AF2305"/>
    <w:rPr>
      <w:rFonts w:ascii="Arial" w:hAnsi="Arial" w:cs="Arial"/>
      <w:sz w:val="20"/>
      <w:szCs w:val="20"/>
    </w:rPr>
  </w:style>
  <w:style w:type="character" w:customStyle="1" w:styleId="CommentTextChar">
    <w:name w:val="Comment Text Char"/>
    <w:basedOn w:val="DefaultParagraphFont"/>
    <w:link w:val="CommentText"/>
    <w:uiPriority w:val="1"/>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ＭＳ ゴシック" w:hAnsi="Calibri Light" w:cs="Times New Roman"/>
      <w:sz w:val="24"/>
      <w:szCs w:val="24"/>
    </w:rPr>
  </w:style>
  <w:style w:type="paragraph" w:styleId="EnvelopeReturn">
    <w:name w:val="envelope return"/>
    <w:basedOn w:val="Normal"/>
    <w:uiPriority w:val="99"/>
    <w:semiHidden/>
    <w:unhideWhenUsed/>
    <w:rsid w:val="00CE7F13"/>
    <w:rPr>
      <w:rFonts w:ascii="Calibri Light" w:eastAsia="ＭＳ ゴシック"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ＭＳ ゴシック"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ＭＳ ゴシック"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ＭＳ ゴシック"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ＭＳ 明朝"/>
      <w:color w:val="5A5A5A"/>
      <w:spacing w:val="15"/>
    </w:rPr>
  </w:style>
  <w:style w:type="character" w:customStyle="1" w:styleId="SubtitleChar">
    <w:name w:val="Subtitle Char"/>
    <w:basedOn w:val="DefaultParagraphFont"/>
    <w:link w:val="Subtitle"/>
    <w:uiPriority w:val="11"/>
    <w:rsid w:val="00CE7F13"/>
    <w:rPr>
      <w:rFonts w:eastAsia="ＭＳ 明朝"/>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ＭＳ ゴシック"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ＭＳ ゴシック"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ＭＳ ゴシック"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5830A4"/>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ＭＳ ゴシック" w:hAnsi="Times New Roman" w:cs="Times New Roman"/>
      <w:b/>
      <w:kern w:val="32"/>
      <w:sz w:val="26"/>
      <w:szCs w:val="32"/>
      <w:u w:val="single"/>
    </w:rPr>
  </w:style>
  <w:style w:type="character" w:customStyle="1" w:styleId="Heading2Char">
    <w:name w:val="Heading 2 Char"/>
    <w:basedOn w:val="DefaultParagraphFont"/>
    <w:link w:val="Heading2"/>
    <w:rsid w:val="00EB5D6A"/>
    <w:rPr>
      <w:rFonts w:ascii="Times New Roman" w:eastAsia="ＭＳ ゴシック" w:hAnsi="Times New Roman" w:cs="Times New Roman"/>
      <w:b/>
      <w:kern w:val="32"/>
      <w:sz w:val="26"/>
      <w:szCs w:val="26"/>
      <w:u w:val="single"/>
    </w:rPr>
  </w:style>
  <w:style w:type="paragraph" w:styleId="FootnoteText">
    <w:name w:val="footnote text"/>
    <w:aliases w:val="Footnote Text Char1 Char,Footnote Text Char Char Char,Footnote Text Char Char1,fn,Footnote Text Char Char,Footnote Text Char1 Char Char Char1,Footnote Text Char Char Char Char Char1,Footnote Text MRP,fn Char Char,ft,f,c,Footnote Text Char1"/>
    <w:basedOn w:val="Normal"/>
    <w:link w:val="FootnoteTextChar"/>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28,Style 11,Style 16,Styl,Footnote Reference (EIS),fnr,Footnote reference (EA),Style 30,."/>
    <w:basedOn w:val="DefaultParagraphFont"/>
    <w:unhideWhenUsed/>
    <w:qFormat/>
    <w:rsid w:val="00DD46EB"/>
    <w:rPr>
      <w:rFonts w:ascii="Times New Roman" w:hAnsi="Times New Roman" w:cs="Times New Roman"/>
      <w:b/>
      <w:sz w:val="26"/>
      <w:vertAlign w:val="superscript"/>
    </w:rPr>
  </w:style>
  <w:style w:type="paragraph" w:customStyle="1" w:styleId="FERCNopara">
    <w:name w:val="FERC Nopara"/>
    <w:basedOn w:val="Normal"/>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character" w:customStyle="1" w:styleId="FootnoteTextChar">
    <w:name w:val="Footnote Text Char"/>
    <w:aliases w:val="Footnote Text Char1 Char Char,Footnote Text Char Char Char Char,Footnote Text Char Char1 Char,fn Char,Footnote Text Char Char Char1,Footnote Text Char1 Char Char Char1 Char,Footnote Text Char Char Char Char Char1 Char,ft Char,f Char"/>
    <w:basedOn w:val="DefaultParagraphFont"/>
    <w:link w:val="FootnoteText"/>
    <w:rsid w:val="00300A1A"/>
    <w:rPr>
      <w:rFonts w:ascii="Times New Roman" w:hAnsi="Times New Roman" w:cs="Times New Roman"/>
      <w:sz w:val="26"/>
      <w:szCs w:val="20"/>
    </w:rPr>
  </w:style>
  <w:style w:type="character" w:styleId="Mention">
    <w:name w:val="Mention"/>
    <w:basedOn w:val="DefaultParagraphFont"/>
    <w:uiPriority w:val="99"/>
    <w:unhideWhenUsed/>
    <w:rsid w:val="00C37A59"/>
    <w:rPr>
      <w:color w:val="2B579A"/>
      <w:shd w:val="clear" w:color="auto" w:fill="E1DFDD"/>
    </w:rPr>
  </w:style>
  <w:style w:type="paragraph" w:styleId="Revision">
    <w:name w:val="Revision"/>
    <w:hidden/>
    <w:uiPriority w:val="99"/>
    <w:semiHidden/>
    <w:rsid w:val="00B300AF"/>
    <w:pPr>
      <w:spacing w:after="0" w:line="240" w:lineRule="auto"/>
    </w:pPr>
    <w:rPr>
      <w:rFonts w:ascii="Times New Roman" w:hAnsi="Times New Roman" w:cs="Times New Roman"/>
      <w:sz w:val="26"/>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etariff.ferc.gov/TariffSectionDetails.aspx?tid=898&amp;sid=377542" TargetMode="External" /><Relationship Id="rId12" Type="http://schemas.openxmlformats.org/officeDocument/2006/relationships/hyperlink" Target="http://etariff.ferc.gov/TariffSectionDetails.aspx?tid=898&amp;sid=377543"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4a4cd09-5f17-433b-814a-38e7e9115d16" ContentTypeId="0x01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3C69E-FBA0-4A26-917A-FA743FD23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C8A5F-80FF-4D80-AE4D-FFAC6DE23E70}">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9A7E7523-5FEE-4ABC-8355-5D53677D7A5C}">
  <ds:schemaRefs>
    <ds:schemaRef ds:uri="http://schemas.microsoft.com/sharepoint/v3/contenttype/forms"/>
  </ds:schemaRefs>
</ds:datastoreItem>
</file>

<file path=customXml/itemProps4.xml><?xml version="1.0" encoding="utf-8"?>
<ds:datastoreItem xmlns:ds="http://schemas.openxmlformats.org/officeDocument/2006/customXml" ds:itemID="{F8967E73-9FA3-4DAA-8686-01C3B29F806B}">
  <ds:schemaRefs>
    <ds:schemaRef ds:uri="Microsoft.SharePoint.Taxonomy.ContentTypeSync"/>
  </ds:schemaRefs>
</ds:datastoreItem>
</file>

<file path=customXml/itemProps5.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7</Pages>
  <Words>1526</Words>
  <Characters>8518</Characters>
  <Application>Microsoft Office Word</Application>
  <DocSecurity>0</DocSecurity>
  <Lines>154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2026-08-24T17:00:12Z</cp:lastPrinted>
  <dcterms:created xsi:type="dcterms:W3CDTF">2026-08-24T15:27:00Z</dcterms:created>
  <dcterms:modified xsi:type="dcterms:W3CDTF">2026-08-24T15:47:00Z</dcterms:modified>
</cp:coreProperties>
</file>