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6.0 -->
  <w:body>
    <w:p w:rsidR="001A27DF">
      <w:pPr>
        <w:jc w:val="center"/>
      </w:pPr>
      <w:r>
        <w:t>196 FERC ¶ 61,073</w:t>
      </w:r>
    </w:p>
    <w:p w:rsidR="00B86E6D" w:rsidRPr="00B86E6D" w:rsidP="00F37781">
      <w:pPr>
        <w:jc w:val="center"/>
      </w:pPr>
      <w:r w:rsidRPr="00B86E6D">
        <w:rPr>
          <w:b/>
        </w:rPr>
        <w:fldChar w:fldCharType="begin"/>
      </w:r>
      <w:r w:rsidRPr="00B86E6D">
        <w:rPr>
          <w:b/>
        </w:rPr>
        <w:instrText xml:space="preserve"> MACROBUTTON  AcceptAllChangesInDoc </w:instrText>
      </w:r>
      <w:r w:rsidRPr="00B86E6D">
        <w:rPr>
          <w:b/>
        </w:rPr>
        <w:fldChar w:fldCharType="end"/>
      </w:r>
      <w:r w:rsidRPr="00B86E6D">
        <w:t>UNITED STATES OF AMERICA</w:t>
      </w:r>
    </w:p>
    <w:p w:rsidR="00B86E6D" w:rsidRPr="00B86E6D">
      <w:pPr>
        <w:jc w:val="center"/>
      </w:pPr>
      <w:r w:rsidRPr="00B86E6D">
        <w:t>FEDERAL ENERGY REGULATORY COMMISSION</w:t>
      </w:r>
    </w:p>
    <w:p w:rsidR="00B86E6D" w:rsidRPr="00B86E6D"/>
    <w:p w:rsidR="00B86E6D" w:rsidRPr="00F37781" w:rsidP="00F37781">
      <w:pPr>
        <w:widowControl/>
      </w:pPr>
      <w:r w:rsidRPr="00F37781">
        <w:t>Before Commissioners:  Laura V. Swett, Chairman;</w:t>
      </w:r>
    </w:p>
    <w:p w:rsidR="00F37781" w:rsidRPr="00F37781" w:rsidP="00F37781">
      <w:pPr>
        <w:widowControl/>
      </w:pPr>
      <w:r w:rsidRPr="00F37781">
        <w:t xml:space="preserve">                                        David Rosner, Lindsay S. See,</w:t>
      </w:r>
    </w:p>
    <w:p w:rsidR="00F37781" w:rsidRPr="00B86E6D" w:rsidP="00F37781">
      <w:pPr>
        <w:widowControl/>
      </w:pPr>
      <w:r w:rsidRPr="00F37781">
        <w:t xml:space="preserve">                                        Judy W. Chang, and David LaCerte.</w:t>
      </w:r>
    </w:p>
    <w:p w:rsidR="00B86E6D" w:rsidRPr="00B86E6D"/>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1E0"/>
      </w:tblPr>
      <w:tblGrid>
        <w:gridCol w:w="5934"/>
        <w:gridCol w:w="1534"/>
        <w:gridCol w:w="1892"/>
      </w:tblGrid>
      <w:tr w:rsidTr="00B86E6D">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1E0"/>
        </w:tblPrEx>
        <w:tc>
          <w:tcPr>
            <w:tcW w:w="6088" w:type="dxa"/>
          </w:tcPr>
          <w:p w:rsidR="00B86E6D" w:rsidRPr="00B86E6D">
            <w:pPr>
              <w:widowControl/>
              <w:autoSpaceDE/>
              <w:autoSpaceDN/>
              <w:adjustRightInd/>
              <w:spacing w:after="0" w:line="240" w:lineRule="auto"/>
              <w:rPr>
                <w:rFonts w:ascii="Times New Roman" w:eastAsia="Calibri" w:hAnsi="Times New Roman" w:cs="Times New Roman"/>
                <w:sz w:val="26"/>
                <w:szCs w:val="22"/>
                <w:lang w:val="en-US" w:eastAsia="en-US" w:bidi="ar-SA"/>
              </w:rPr>
            </w:pPr>
            <w:r w:rsidRPr="00B86E6D">
              <w:rPr>
                <w:rFonts w:ascii="Times New Roman" w:eastAsia="Calibri" w:hAnsi="Times New Roman" w:cs="Times New Roman"/>
                <w:sz w:val="26"/>
                <w:szCs w:val="22"/>
                <w:lang w:val="en-US" w:eastAsia="en-US" w:bidi="ar-SA"/>
              </w:rPr>
              <w:t>New York Independent System Operator, Inc.</w:t>
            </w:r>
          </w:p>
        </w:tc>
        <w:tc>
          <w:tcPr>
            <w:tcW w:w="1560" w:type="dxa"/>
          </w:tcPr>
          <w:p w:rsidR="00B86E6D" w:rsidRPr="00B86E6D" w:rsidP="00B86E6D">
            <w:pPr>
              <w:widowControl/>
              <w:autoSpaceDE/>
              <w:autoSpaceDN/>
              <w:adjustRightInd/>
              <w:spacing w:after="0" w:line="240" w:lineRule="auto"/>
              <w:jc w:val="right"/>
              <w:rPr>
                <w:rFonts w:ascii="Times New Roman" w:eastAsia="Calibri" w:hAnsi="Times New Roman" w:cs="Times New Roman"/>
                <w:sz w:val="26"/>
                <w:szCs w:val="22"/>
                <w:lang w:val="en-US" w:eastAsia="en-US" w:bidi="ar-SA"/>
              </w:rPr>
            </w:pPr>
            <w:r w:rsidRPr="00B86E6D">
              <w:rPr>
                <w:rFonts w:ascii="Times New Roman" w:eastAsia="Calibri" w:hAnsi="Times New Roman" w:cs="Times New Roman"/>
                <w:sz w:val="26"/>
                <w:szCs w:val="22"/>
                <w:lang w:val="en-US" w:eastAsia="en-US" w:bidi="ar-SA"/>
              </w:rPr>
              <w:t>Docket No.</w:t>
            </w:r>
          </w:p>
        </w:tc>
        <w:tc>
          <w:tcPr>
            <w:tcW w:w="1928" w:type="dxa"/>
            <w:tcMar>
              <w:left w:w="144" w:type="dxa"/>
            </w:tcMar>
          </w:tcPr>
          <w:p w:rsidR="00B86E6D" w:rsidRPr="00B86E6D">
            <w:pPr>
              <w:widowControl/>
              <w:autoSpaceDE/>
              <w:autoSpaceDN/>
              <w:adjustRightInd/>
              <w:spacing w:after="0" w:line="240" w:lineRule="auto"/>
              <w:ind w:hanging="140"/>
              <w:rPr>
                <w:rFonts w:ascii="Times New Roman" w:eastAsia="Calibri" w:hAnsi="Times New Roman" w:cs="Times New Roman"/>
                <w:sz w:val="26"/>
                <w:szCs w:val="22"/>
                <w:lang w:val="en-US" w:eastAsia="en-US" w:bidi="ar-SA"/>
              </w:rPr>
            </w:pPr>
            <w:r>
              <w:rPr>
                <w:rFonts w:ascii="Times New Roman" w:eastAsia="Calibri" w:hAnsi="Times New Roman" w:cs="Times New Roman"/>
                <w:sz w:val="26"/>
                <w:szCs w:val="22"/>
                <w:lang w:val="en-US" w:eastAsia="en-US" w:bidi="ar-SA"/>
              </w:rPr>
              <w:t xml:space="preserve"> </w:t>
            </w:r>
            <w:r w:rsidRPr="00B86E6D">
              <w:rPr>
                <w:rFonts w:ascii="Times New Roman" w:eastAsia="Calibri" w:hAnsi="Times New Roman" w:cs="Times New Roman"/>
                <w:sz w:val="26"/>
                <w:szCs w:val="22"/>
                <w:lang w:val="en-US" w:eastAsia="en-US" w:bidi="ar-SA"/>
              </w:rPr>
              <w:t>ER26-2698-000</w:t>
            </w:r>
          </w:p>
        </w:tc>
      </w:tr>
    </w:tbl>
    <w:p w:rsidR="00B86E6D" w:rsidRPr="00B86E6D">
      <w:pPr>
        <w:jc w:val="center"/>
      </w:pPr>
    </w:p>
    <w:p w:rsidR="00B86E6D" w:rsidRPr="00B86E6D">
      <w:pPr>
        <w:jc w:val="center"/>
      </w:pPr>
      <w:r>
        <w:t>ORDER ACCEPTING TARIFF REVISIONS</w:t>
      </w:r>
      <w:r w:rsidR="009D3E4D">
        <w:t>,</w:t>
      </w:r>
      <w:r w:rsidR="00980E37">
        <w:t xml:space="preserve"> SUBJECT TO CONDITION</w:t>
      </w:r>
    </w:p>
    <w:p w:rsidR="00B86E6D" w:rsidRPr="00B86E6D">
      <w:pPr>
        <w:jc w:val="center"/>
      </w:pPr>
    </w:p>
    <w:p w:rsidR="00B86E6D" w:rsidP="00F37781">
      <w:pPr>
        <w:widowControl/>
        <w:jc w:val="center"/>
      </w:pPr>
      <w:r w:rsidRPr="00F37781">
        <w:t>(</w:t>
      </w:r>
      <w:r w:rsidRPr="00F37781">
        <w:fldChar w:fldCharType="begin"/>
      </w:r>
      <w:r w:rsidRPr="00F37781">
        <w:instrText xml:space="preserve"> MACROBUTTON  AcceptAllChangesInDoc </w:instrText>
      </w:r>
      <w:r w:rsidRPr="00F37781">
        <w:fldChar w:fldCharType="end"/>
      </w:r>
      <w:r w:rsidRPr="00F37781" w:rsidR="00F37781">
        <w:t>Issued July 2</w:t>
      </w:r>
      <w:r w:rsidR="00935B93">
        <w:t>8</w:t>
      </w:r>
      <w:r w:rsidRPr="00F37781" w:rsidR="00F37781">
        <w:t>, 2026</w:t>
      </w:r>
      <w:r w:rsidRPr="00F37781">
        <w:t>)</w:t>
      </w:r>
    </w:p>
    <w:p w:rsidR="00B86E6D" w:rsidRPr="00B86E6D">
      <w:pPr>
        <w:rPr>
          <w:bCs/>
        </w:rPr>
      </w:pPr>
    </w:p>
    <w:p w:rsidR="00B86E6D" w:rsidRPr="00F60738" w:rsidP="00BB2E26">
      <w:pPr>
        <w:pStyle w:val="FERCparanumber"/>
      </w:pPr>
      <w:r w:rsidRPr="00BB2E26">
        <w:t xml:space="preserve">On May 29, 2026, </w:t>
      </w:r>
      <w:r w:rsidR="000B339A">
        <w:t>as supplemented on July 8</w:t>
      </w:r>
      <w:r w:rsidRPr="00BB2E26">
        <w:t>, 2026, pursuant to section 205 of the Federal Power Act (FPA)</w:t>
      </w:r>
      <w:r>
        <w:rPr>
          <w:b/>
          <w:vertAlign w:val="superscript"/>
        </w:rPr>
        <w:footnoteReference w:id="3"/>
      </w:r>
      <w:r w:rsidRPr="00BB2E26">
        <w:t xml:space="preserve"> and Part 35 of the Commission’s regulations,</w:t>
      </w:r>
      <w:r>
        <w:rPr>
          <w:b/>
          <w:vertAlign w:val="superscript"/>
        </w:rPr>
        <w:footnoteReference w:id="4"/>
      </w:r>
      <w:r w:rsidRPr="00BB2E26">
        <w:t xml:space="preserve"> New York Independent System Operator, Inc. (NYISO) submitted proposed revisions to Attachment HH of NYISO’s Open Access Transmission Tariff (OATT)</w:t>
      </w:r>
      <w:r>
        <w:rPr>
          <w:b/>
          <w:vertAlign w:val="superscript"/>
        </w:rPr>
        <w:footnoteReference w:id="5"/>
      </w:r>
      <w:r w:rsidRPr="00BB2E26">
        <w:t xml:space="preserve"> to incorporate additional efficiencies into its new Cluster Study Process</w:t>
      </w:r>
      <w:r>
        <w:rPr>
          <w:b/>
          <w:vertAlign w:val="superscript"/>
        </w:rPr>
        <w:footnoteReference w:id="6"/>
      </w:r>
      <w:r w:rsidRPr="00BB2E26">
        <w:t xml:space="preserve"> implemented in response to Order </w:t>
      </w:r>
      <w:r w:rsidR="00F37781">
        <w:t xml:space="preserve">                </w:t>
      </w:r>
      <w:r w:rsidRPr="00BB2E26">
        <w:t>Nos. 2023 and 2023-A.</w:t>
      </w:r>
      <w:r>
        <w:rPr>
          <w:b/>
          <w:vertAlign w:val="superscript"/>
        </w:rPr>
        <w:footnoteReference w:id="7"/>
      </w:r>
      <w:r w:rsidRPr="00BB2E26">
        <w:t xml:space="preserve">  As discussed below, we accept NYISO’s proposed OATT revisions, </w:t>
      </w:r>
      <w:r w:rsidRPr="00F60738" w:rsidR="00A919F3">
        <w:t xml:space="preserve">subject to condition, </w:t>
      </w:r>
      <w:r w:rsidRPr="00F60738">
        <w:t>effective July 29, 2026, as requested</w:t>
      </w:r>
      <w:r w:rsidRPr="00F60738" w:rsidR="002A5C8A">
        <w:t>, and direct NYISO to submit a compliance filing within 30 days of the date of this order</w:t>
      </w:r>
      <w:r w:rsidRPr="00F60738">
        <w:t>.</w:t>
      </w:r>
    </w:p>
    <w:p w:rsidR="00B86E6D" w:rsidRPr="00F60738" w:rsidP="00B86E6D">
      <w:pPr>
        <w:pStyle w:val="Heading1"/>
      </w:pPr>
      <w:r w:rsidRPr="00F60738">
        <w:t>Background</w:t>
      </w:r>
    </w:p>
    <w:p w:rsidR="0057059A" w:rsidRPr="00F60738" w:rsidP="0057059A">
      <w:pPr>
        <w:pStyle w:val="FERCparanumber"/>
      </w:pPr>
      <w:r w:rsidRPr="00F60738">
        <w:t>On July 28, 2023, the Commission issued Order No</w:t>
      </w:r>
      <w:r w:rsidRPr="00F60738" w:rsidR="003E2823">
        <w:t xml:space="preserve">. 2023.  </w:t>
      </w:r>
      <w:r w:rsidRPr="00F60738">
        <w:t>Order No. 2023 require</w:t>
      </w:r>
      <w:r w:rsidRPr="00F60738" w:rsidR="00C82C2C">
        <w:t>d</w:t>
      </w:r>
      <w:r w:rsidRPr="00F60738">
        <w:t xml:space="preserve"> all public utility transmission providers to adopt certain revisions to the generator interconnection process, including revised </w:t>
      </w:r>
      <w:r w:rsidRPr="00F60738">
        <w:rPr>
          <w:i/>
        </w:rPr>
        <w:t>pro forma</w:t>
      </w:r>
      <w:r w:rsidRPr="00F60738">
        <w:t xml:space="preserve"> Large Generator Interconnection Procedures (LGIP) and a revised </w:t>
      </w:r>
      <w:r w:rsidRPr="00F60738">
        <w:rPr>
          <w:i/>
        </w:rPr>
        <w:t xml:space="preserve">pro forma </w:t>
      </w:r>
      <w:r w:rsidRPr="00F60738">
        <w:t>Large Generator Interconnection Agreement (LGIA),</w:t>
      </w:r>
      <w:r>
        <w:rPr>
          <w:rStyle w:val="FootnoteReference"/>
        </w:rPr>
        <w:footnoteReference w:id="8"/>
      </w:r>
      <w:r w:rsidRPr="00F60738">
        <w:t xml:space="preserve"> to ensure that interconnection customers are able to interconnect to the transmission system in a reliable, efficient, transparent, and timely manner, and to prevent undue discrimination.</w:t>
      </w:r>
      <w:r>
        <w:rPr>
          <w:b/>
          <w:vertAlign w:val="superscript"/>
        </w:rPr>
        <w:footnoteReference w:id="9"/>
      </w:r>
      <w:r w:rsidRPr="00F60738">
        <w:t xml:space="preserve">  In Order No. 2023, the Commission revised the </w:t>
      </w:r>
      <w:r w:rsidRPr="00F60738">
        <w:rPr>
          <w:i/>
        </w:rPr>
        <w:t xml:space="preserve">pro forma </w:t>
      </w:r>
      <w:r w:rsidRPr="00F60738">
        <w:t xml:space="preserve">LGIP and </w:t>
      </w:r>
      <w:r w:rsidRPr="00F60738">
        <w:rPr>
          <w:i/>
        </w:rPr>
        <w:t xml:space="preserve">pro forma </w:t>
      </w:r>
      <w:r w:rsidRPr="00F60738">
        <w:t>LGIA to require transmission providers to study interconnection requests in clusters.</w:t>
      </w:r>
      <w:r>
        <w:rPr>
          <w:rStyle w:val="FootnoteReference"/>
        </w:rPr>
        <w:footnoteReference w:id="10"/>
      </w:r>
      <w:r w:rsidRPr="00F60738">
        <w:t xml:space="preserve">  </w:t>
      </w:r>
    </w:p>
    <w:p w:rsidR="007764C6" w:rsidRPr="00F60738" w:rsidP="0057059A">
      <w:pPr>
        <w:pStyle w:val="FERCparanumber"/>
      </w:pPr>
      <w:r w:rsidRPr="00F60738">
        <w:t xml:space="preserve">The Commission explained in Order No. 2023 </w:t>
      </w:r>
      <w:r w:rsidRPr="00F60738" w:rsidR="00225149">
        <w:t xml:space="preserve">that </w:t>
      </w:r>
      <w:r w:rsidRPr="00F60738">
        <w:t xml:space="preserve">variations from the Commission’s </w:t>
      </w:r>
      <w:r w:rsidRPr="00F60738">
        <w:rPr>
          <w:i/>
        </w:rPr>
        <w:t>pro forma</w:t>
      </w:r>
      <w:r w:rsidRPr="00F60738">
        <w:t xml:space="preserve"> LGIP and </w:t>
      </w:r>
      <w:r w:rsidRPr="00F60738" w:rsidR="008E009D">
        <w:rPr>
          <w:i/>
        </w:rPr>
        <w:t>pro forma</w:t>
      </w:r>
      <w:r w:rsidRPr="00F60738" w:rsidR="008E009D">
        <w:t xml:space="preserve"> </w:t>
      </w:r>
      <w:r w:rsidRPr="00F60738">
        <w:t>LGIA would be reviewed under the same standard allowed by Order Nos. 2003, 2006, and 845.</w:t>
      </w:r>
      <w:r>
        <w:rPr>
          <w:b/>
          <w:vertAlign w:val="superscript"/>
        </w:rPr>
        <w:footnoteReference w:id="11"/>
      </w:r>
      <w:r w:rsidRPr="00F60738">
        <w:t xml:space="preserve">  </w:t>
      </w:r>
      <w:r w:rsidRPr="00F60738" w:rsidR="00382F3E">
        <w:t xml:space="preserve">In </w:t>
      </w:r>
      <w:r w:rsidRPr="00F60738">
        <w:t>Order No. 2003</w:t>
      </w:r>
      <w:r w:rsidRPr="00F60738" w:rsidR="00382F3E">
        <w:t xml:space="preserve">, the Commission </w:t>
      </w:r>
      <w:r w:rsidRPr="00F60738" w:rsidR="00F51845">
        <w:t>permitted</w:t>
      </w:r>
      <w:r w:rsidRPr="00F60738" w:rsidR="00382F3E">
        <w:t xml:space="preserve"> </w:t>
      </w:r>
      <w:r w:rsidRPr="00F60738" w:rsidR="00F51845">
        <w:t>R</w:t>
      </w:r>
      <w:r w:rsidRPr="00F60738" w:rsidR="00382F3E">
        <w:t xml:space="preserve">egional </w:t>
      </w:r>
      <w:r w:rsidRPr="00F60738" w:rsidR="00F51845">
        <w:t>T</w:t>
      </w:r>
      <w:r w:rsidRPr="00F60738" w:rsidR="00382F3E">
        <w:t xml:space="preserve">ransmission </w:t>
      </w:r>
      <w:r w:rsidRPr="00F60738" w:rsidR="00F51845">
        <w:t>O</w:t>
      </w:r>
      <w:r w:rsidRPr="00F60738" w:rsidR="00382F3E">
        <w:t xml:space="preserve">rganizations and </w:t>
      </w:r>
      <w:r w:rsidRPr="00F60738" w:rsidR="00F51845">
        <w:t>I</w:t>
      </w:r>
      <w:r w:rsidRPr="00F60738" w:rsidR="00382F3E">
        <w:t xml:space="preserve">ndependent </w:t>
      </w:r>
      <w:r w:rsidRPr="00F60738" w:rsidR="00F51845">
        <w:t>S</w:t>
      </w:r>
      <w:r w:rsidRPr="00F60738" w:rsidR="00382F3E">
        <w:t xml:space="preserve">ystem </w:t>
      </w:r>
      <w:r w:rsidRPr="00F60738" w:rsidR="00F51845">
        <w:t>O</w:t>
      </w:r>
      <w:r w:rsidRPr="00F60738" w:rsidR="00382F3E">
        <w:t xml:space="preserve">perators (RTO/ISO) to </w:t>
      </w:r>
      <w:r w:rsidRPr="00F60738" w:rsidR="007C5645">
        <w:t>seek</w:t>
      </w:r>
      <w:r w:rsidRPr="00F60738" w:rsidR="00382F3E">
        <w:t xml:space="preserve"> </w:t>
      </w:r>
      <w:r w:rsidRPr="00F60738" w:rsidR="006A2DB7">
        <w:t>“</w:t>
      </w:r>
      <w:r w:rsidRPr="00F60738" w:rsidR="00382F3E">
        <w:t>independent entity variations</w:t>
      </w:r>
      <w:r w:rsidRPr="00F60738" w:rsidR="006A2DB7">
        <w:t>”</w:t>
      </w:r>
      <w:r w:rsidRPr="00F60738" w:rsidR="00382F3E">
        <w:t xml:space="preserve"> for pricing and </w:t>
      </w:r>
      <w:r w:rsidR="00F37781">
        <w:t xml:space="preserve">                    </w:t>
      </w:r>
      <w:r w:rsidRPr="00F60738" w:rsidR="00382F3E">
        <w:t xml:space="preserve">non-pricing provisions, </w:t>
      </w:r>
      <w:r w:rsidRPr="00F60738" w:rsidR="0005019C">
        <w:t>and stated</w:t>
      </w:r>
      <w:r w:rsidRPr="00F60738" w:rsidR="00382F3E">
        <w:t xml:space="preserve"> that RTOs/ISOs </w:t>
      </w:r>
      <w:r w:rsidRPr="00F60738" w:rsidR="00F44CBD">
        <w:t xml:space="preserve">“shall </w:t>
      </w:r>
      <w:r w:rsidR="00935B93">
        <w:t xml:space="preserve">therefore </w:t>
      </w:r>
      <w:r w:rsidRPr="00F60738" w:rsidR="00F44CBD">
        <w:t>have greater flexibility to customize [their] interconnection procedures and agreement</w:t>
      </w:r>
      <w:r w:rsidR="00935B93">
        <w:t>s</w:t>
      </w:r>
      <w:r w:rsidRPr="00F60738" w:rsidR="00F44CBD">
        <w:t xml:space="preserve"> to fit regional needs.”</w:t>
      </w:r>
      <w:r>
        <w:rPr>
          <w:b/>
          <w:vertAlign w:val="superscript"/>
        </w:rPr>
        <w:footnoteReference w:id="12"/>
      </w:r>
      <w:r w:rsidRPr="00F60738" w:rsidR="00F44CBD">
        <w:t xml:space="preserve">  </w:t>
      </w:r>
      <w:r w:rsidRPr="00F60738" w:rsidR="00A067A2">
        <w:t>The Commission stated that this approach recognizes that an RTO/ISO is less likely to act in an unduly discriminatory manner than a transmission provider that is a market participant.</w:t>
      </w:r>
      <w:r>
        <w:rPr>
          <w:b/>
          <w:vertAlign w:val="superscript"/>
        </w:rPr>
        <w:footnoteReference w:id="13"/>
      </w:r>
      <w:r w:rsidRPr="00F60738" w:rsidR="00A067A2">
        <w:t xml:space="preserve">  </w:t>
      </w:r>
      <w:r w:rsidRPr="00F60738" w:rsidR="007831DA">
        <w:t xml:space="preserve">The Commission has granted independent entity variations from interconnection-related rulemakings where the RTO/ISO demonstrates that the proposed variation:  (1) is just and reasonable and not unduly discriminatory or preferential; and </w:t>
      </w:r>
      <w:r w:rsidR="00F37781">
        <w:t xml:space="preserve">   (</w:t>
      </w:r>
      <w:r w:rsidRPr="00F60738" w:rsidR="007831DA">
        <w:t>2) accomplishes the purposes of the order.</w:t>
      </w:r>
      <w:r>
        <w:rPr>
          <w:b/>
          <w:vertAlign w:val="superscript"/>
        </w:rPr>
        <w:footnoteReference w:id="14"/>
      </w:r>
      <w:r w:rsidRPr="00F60738">
        <w:t xml:space="preserve">  </w:t>
      </w:r>
    </w:p>
    <w:p w:rsidR="0057059A" w:rsidRPr="00F60738" w:rsidP="0057059A">
      <w:pPr>
        <w:pStyle w:val="FERCparanumber"/>
      </w:pPr>
      <w:r w:rsidRPr="00F60738">
        <w:t xml:space="preserve">In May 2024, NYISO submitted its </w:t>
      </w:r>
      <w:r w:rsidRPr="00F60738" w:rsidR="00D86650">
        <w:t>initial</w:t>
      </w:r>
      <w:r w:rsidRPr="00F60738">
        <w:t xml:space="preserve"> proposal to comply with the requirements of Order No. 2023.  </w:t>
      </w:r>
      <w:r w:rsidRPr="00F60738" w:rsidR="00647879">
        <w:t>Through several orders on compliance, t</w:t>
      </w:r>
      <w:r w:rsidRPr="00F60738" w:rsidR="00E24073">
        <w:t xml:space="preserve">he Commission </w:t>
      </w:r>
      <w:r w:rsidRPr="00F60738" w:rsidR="00647879">
        <w:t xml:space="preserve">accepted </w:t>
      </w:r>
      <w:r w:rsidRPr="00F60738" w:rsidR="006241F2">
        <w:t xml:space="preserve">certain aspects of NYISO’s </w:t>
      </w:r>
      <w:r w:rsidRPr="00F60738" w:rsidR="00B41016">
        <w:t xml:space="preserve">compliance </w:t>
      </w:r>
      <w:r w:rsidRPr="00F60738" w:rsidR="006241F2">
        <w:t>proposals</w:t>
      </w:r>
      <w:r w:rsidRPr="00F60738" w:rsidR="00E153A7">
        <w:t>, granted a number of independent entity variations,</w:t>
      </w:r>
      <w:r w:rsidRPr="00F60738" w:rsidR="006241F2">
        <w:t xml:space="preserve"> and directed further compliance.</w:t>
      </w:r>
      <w:r>
        <w:rPr>
          <w:b/>
          <w:vertAlign w:val="superscript"/>
        </w:rPr>
        <w:footnoteReference w:id="15"/>
      </w:r>
      <w:r w:rsidRPr="00F60738">
        <w:t xml:space="preserve">  </w:t>
      </w:r>
      <w:r w:rsidRPr="00F60738" w:rsidR="009037F2">
        <w:t xml:space="preserve">Among other things, the Commission granted </w:t>
      </w:r>
      <w:r w:rsidRPr="00F60738" w:rsidR="009C33D1">
        <w:t xml:space="preserve">NYISO’s requested independent entity variation to adopt </w:t>
      </w:r>
      <w:r w:rsidRPr="00F60738" w:rsidR="00285412">
        <w:t>a 460-day, two-phase cluster study</w:t>
      </w:r>
      <w:r w:rsidRPr="00F60738" w:rsidR="001158DB">
        <w:t xml:space="preserve"> for both small and large generating facilities</w:t>
      </w:r>
      <w:r w:rsidRPr="00F60738" w:rsidR="00285412">
        <w:t>, with a decision period to enter each study phase, in place of the cluster study, cluster restudy, and individual facilities study structure adopted in Order No. 2023</w:t>
      </w:r>
      <w:r w:rsidRPr="00F60738" w:rsidR="009C33D1">
        <w:t>.</w:t>
      </w:r>
      <w:r>
        <w:rPr>
          <w:rStyle w:val="FootnoteReference"/>
        </w:rPr>
        <w:footnoteReference w:id="16"/>
      </w:r>
      <w:r w:rsidRPr="00F60738" w:rsidR="009C33D1">
        <w:t xml:space="preserve">  </w:t>
      </w:r>
      <w:r w:rsidRPr="00F60738" w:rsidR="00BC32FD">
        <w:t xml:space="preserve">On </w:t>
      </w:r>
      <w:r w:rsidRPr="00F60738" w:rsidR="00275624">
        <w:t>July 14, 2026</w:t>
      </w:r>
      <w:r w:rsidRPr="00F60738" w:rsidR="00BC32FD">
        <w:t xml:space="preserve">, </w:t>
      </w:r>
      <w:r w:rsidRPr="00F60738" w:rsidR="001054DD">
        <w:t xml:space="preserve">NYISO’s </w:t>
      </w:r>
      <w:r w:rsidRPr="00F60738" w:rsidR="00BC0926">
        <w:t>latest</w:t>
      </w:r>
      <w:r w:rsidRPr="00F60738" w:rsidR="001054DD">
        <w:t xml:space="preserve"> </w:t>
      </w:r>
      <w:r w:rsidRPr="00F60738" w:rsidR="00DA5909">
        <w:t xml:space="preserve">filing </w:t>
      </w:r>
      <w:r w:rsidRPr="00F60738" w:rsidR="00EB35D0">
        <w:t xml:space="preserve">to comply with Order No. 2023 </w:t>
      </w:r>
      <w:r w:rsidRPr="00F60738" w:rsidR="00DA5909">
        <w:t>was accepted</w:t>
      </w:r>
      <w:r w:rsidRPr="00F60738" w:rsidR="00BC0926">
        <w:t xml:space="preserve"> without further compliance directives</w:t>
      </w:r>
      <w:r w:rsidRPr="00F60738" w:rsidR="00DA5909">
        <w:t>.</w:t>
      </w:r>
      <w:r>
        <w:rPr>
          <w:rStyle w:val="FootnoteReference"/>
        </w:rPr>
        <w:footnoteReference w:id="17"/>
      </w:r>
    </w:p>
    <w:p w:rsidR="00B86E6D" w:rsidP="00B86E6D">
      <w:pPr>
        <w:pStyle w:val="Heading1"/>
      </w:pPr>
      <w:r>
        <w:t>Filing</w:t>
      </w:r>
    </w:p>
    <w:p w:rsidR="008019FA" w:rsidP="008019FA">
      <w:pPr>
        <w:pStyle w:val="FERCparanumber"/>
      </w:pPr>
      <w:r>
        <w:t xml:space="preserve">NYISO states that </w:t>
      </w:r>
      <w:r w:rsidRPr="00A96B69">
        <w:t>it</w:t>
      </w:r>
      <w:r w:rsidR="009135A2">
        <w:t xml:space="preserve"> initiated it</w:t>
      </w:r>
      <w:r w:rsidRPr="00A96B69">
        <w:t xml:space="preserve">s </w:t>
      </w:r>
      <w:r w:rsidR="009135A2">
        <w:t xml:space="preserve">inaugural </w:t>
      </w:r>
      <w:r w:rsidR="00BD215E">
        <w:t xml:space="preserve">Cluster Study Process – the </w:t>
      </w:r>
      <w:r w:rsidRPr="00A96B69">
        <w:t xml:space="preserve">Transition Cluster Study </w:t>
      </w:r>
      <w:r w:rsidR="005C387D">
        <w:t>–</w:t>
      </w:r>
      <w:r w:rsidR="00BD215E">
        <w:t xml:space="preserve"> </w:t>
      </w:r>
      <w:r w:rsidR="005C387D">
        <w:t>on August 1, 2024.</w:t>
      </w:r>
      <w:r>
        <w:rPr>
          <w:rStyle w:val="FootnoteReference"/>
        </w:rPr>
        <w:footnoteReference w:id="18"/>
      </w:r>
      <w:r w:rsidR="005C387D">
        <w:t xml:space="preserve">  </w:t>
      </w:r>
      <w:r w:rsidR="003A020A">
        <w:t xml:space="preserve">NYISO asserts that this study </w:t>
      </w:r>
      <w:r w:rsidRPr="00A96B69">
        <w:t>began with nearly 400 projects and more than 70 GW of proposed generation, double NYISO’s peak load</w:t>
      </w:r>
      <w:r w:rsidR="000140BA">
        <w:t>,</w:t>
      </w:r>
      <w:r w:rsidR="00C558D6">
        <w:t xml:space="preserve"> </w:t>
      </w:r>
      <w:r w:rsidR="000140BA">
        <w:t>which</w:t>
      </w:r>
      <w:r w:rsidR="00C558D6">
        <w:t xml:space="preserve"> </w:t>
      </w:r>
      <w:r w:rsidRPr="00A96B69">
        <w:t>create</w:t>
      </w:r>
      <w:r w:rsidR="00C56510">
        <w:t>d</w:t>
      </w:r>
      <w:r w:rsidRPr="00A96B69">
        <w:t xml:space="preserve"> unique challenges that stemmed from </w:t>
      </w:r>
      <w:r w:rsidRPr="00A96B69" w:rsidR="002F7263">
        <w:t>excessive</w:t>
      </w:r>
      <w:r w:rsidRPr="00A96B69">
        <w:t xml:space="preserve"> iterations of deficiency reviews driven by inconsistent or incomplete </w:t>
      </w:r>
      <w:r w:rsidR="004462D4">
        <w:t>i</w:t>
      </w:r>
      <w:r w:rsidRPr="00A96B69">
        <w:t xml:space="preserve">nterconnection </w:t>
      </w:r>
      <w:r w:rsidR="004462D4">
        <w:t>r</w:t>
      </w:r>
      <w:r w:rsidRPr="00A96B69">
        <w:t xml:space="preserve">equest submissions, </w:t>
      </w:r>
      <w:r w:rsidR="00E96DBB">
        <w:t xml:space="preserve">as well as </w:t>
      </w:r>
      <w:r w:rsidRPr="00A96B69">
        <w:t>delays caused by lengthy deficiency cure periods, withdrawals, and resolution of disputes.</w:t>
      </w:r>
      <w:r>
        <w:rPr>
          <w:rStyle w:val="FootnoteReference"/>
        </w:rPr>
        <w:footnoteReference w:id="19"/>
      </w:r>
      <w:r>
        <w:t xml:space="preserve">  To address these challenges, NYISO proposes revisions to Attachment HH of its OATT to </w:t>
      </w:r>
      <w:r w:rsidRPr="00184385">
        <w:t>incorporate efficiencies into its Cluster Study Process</w:t>
      </w:r>
      <w:r>
        <w:t xml:space="preserve">.  </w:t>
      </w:r>
      <w:r w:rsidR="000E6FB1">
        <w:t xml:space="preserve">NYISO </w:t>
      </w:r>
      <w:r w:rsidR="00462F63">
        <w:t>states</w:t>
      </w:r>
      <w:r w:rsidR="000E6FB1">
        <w:t xml:space="preserve"> that these </w:t>
      </w:r>
      <w:r w:rsidRPr="000E6FB1" w:rsidR="000E6FB1">
        <w:t xml:space="preserve">proposed revisions build on </w:t>
      </w:r>
      <w:r w:rsidR="000E6FB1">
        <w:t>its</w:t>
      </w:r>
      <w:r w:rsidRPr="000E6FB1" w:rsidR="000E6FB1">
        <w:t xml:space="preserve"> existing </w:t>
      </w:r>
      <w:r w:rsidR="000E6FB1">
        <w:t xml:space="preserve">independent entity </w:t>
      </w:r>
      <w:r w:rsidRPr="000E6FB1" w:rsidR="000E6FB1">
        <w:t>variations to revise and clarify tariff provisions that have proven to be ambiguous or unduly difficult to implement in NYISO’s experience or to otherwise improve the existing procedures based on lessons learned.</w:t>
      </w:r>
      <w:r>
        <w:rPr>
          <w:rStyle w:val="FootnoteReference"/>
        </w:rPr>
        <w:footnoteReference w:id="20"/>
      </w:r>
    </w:p>
    <w:p w:rsidR="008019FA" w:rsidP="008019FA">
      <w:pPr>
        <w:pStyle w:val="FERCparanumber"/>
      </w:pPr>
      <w:r>
        <w:t xml:space="preserve">NYISO </w:t>
      </w:r>
      <w:r w:rsidR="0023104B">
        <w:t xml:space="preserve">proposes several </w:t>
      </w:r>
      <w:r w:rsidR="00780C00">
        <w:t xml:space="preserve">tariff revisions to </w:t>
      </w:r>
      <w:r w:rsidR="000001BE">
        <w:t xml:space="preserve">improve the </w:t>
      </w:r>
      <w:r w:rsidR="0023104B">
        <w:t xml:space="preserve">efficiency in the submission and validation of </w:t>
      </w:r>
      <w:r w:rsidR="004462D4">
        <w:t>i</w:t>
      </w:r>
      <w:r w:rsidR="00771C6F">
        <w:t xml:space="preserve">nterconnection </w:t>
      </w:r>
      <w:r w:rsidR="004462D4">
        <w:t>r</w:t>
      </w:r>
      <w:r w:rsidR="00771C6F">
        <w:t>equests</w:t>
      </w:r>
      <w:r w:rsidR="003C2FAD">
        <w:t>, including</w:t>
      </w:r>
      <w:r w:rsidR="005A5A2A">
        <w:t>:  (1)</w:t>
      </w:r>
      <w:r w:rsidR="00771C6F">
        <w:t xml:space="preserve"> </w:t>
      </w:r>
      <w:r w:rsidRPr="009B6F5E">
        <w:t>eliminat</w:t>
      </w:r>
      <w:r w:rsidR="005A5A2A">
        <w:t>ing</w:t>
      </w:r>
      <w:r w:rsidRPr="009B6F5E">
        <w:t xml:space="preserve"> unnecessary or redundant fields and clarif</w:t>
      </w:r>
      <w:r w:rsidR="007D5EDE">
        <w:t xml:space="preserve">ying submission requirements on its </w:t>
      </w:r>
      <w:r w:rsidR="004462D4">
        <w:t>i</w:t>
      </w:r>
      <w:r w:rsidR="007D5EDE">
        <w:t xml:space="preserve">nterconnection </w:t>
      </w:r>
      <w:r w:rsidR="004462D4">
        <w:t>r</w:t>
      </w:r>
      <w:r w:rsidR="007D5EDE">
        <w:t xml:space="preserve">equest form; </w:t>
      </w:r>
      <w:r w:rsidR="002D3CB2">
        <w:t xml:space="preserve">and </w:t>
      </w:r>
      <w:r w:rsidR="007D5EDE">
        <w:t>(2)</w:t>
      </w:r>
      <w:r w:rsidRPr="00D46939">
        <w:t xml:space="preserve"> revis</w:t>
      </w:r>
      <w:r w:rsidR="007D5EDE">
        <w:t>ing</w:t>
      </w:r>
      <w:r w:rsidRPr="00D46939">
        <w:t xml:space="preserve"> its </w:t>
      </w:r>
      <w:r w:rsidR="004462D4">
        <w:t>i</w:t>
      </w:r>
      <w:r w:rsidRPr="00D46939">
        <w:t xml:space="preserve">nterconnection </w:t>
      </w:r>
      <w:r w:rsidR="004462D4">
        <w:t>r</w:t>
      </w:r>
      <w:r w:rsidRPr="00D46939">
        <w:t xml:space="preserve">equest information requirements to establish that technical data and modeling data submitted with the Pending Project’s </w:t>
      </w:r>
      <w:r w:rsidR="004462D4">
        <w:t>i</w:t>
      </w:r>
      <w:r w:rsidRPr="00D46939">
        <w:t xml:space="preserve">nterconnection </w:t>
      </w:r>
      <w:r w:rsidR="004462D4">
        <w:t>r</w:t>
      </w:r>
      <w:r w:rsidRPr="00D46939">
        <w:t xml:space="preserve">equest need not be resubmitted with the Contingent Project’s </w:t>
      </w:r>
      <w:r w:rsidR="004462D4">
        <w:t>i</w:t>
      </w:r>
      <w:r w:rsidRPr="00D46939">
        <w:t xml:space="preserve">nterconnection </w:t>
      </w:r>
      <w:r w:rsidR="004462D4">
        <w:t>r</w:t>
      </w:r>
      <w:r w:rsidRPr="00D46939">
        <w:t>equest submission</w:t>
      </w:r>
      <w:r>
        <w:t xml:space="preserve"> because NYISO is able to populate this information itself.</w:t>
      </w:r>
      <w:r>
        <w:rPr>
          <w:rStyle w:val="FootnoteReference"/>
        </w:rPr>
        <w:footnoteReference w:id="21"/>
      </w:r>
      <w:r>
        <w:t xml:space="preserve">  NYISO explains that th</w:t>
      </w:r>
      <w:r w:rsidR="00373E95">
        <w:t>ese</w:t>
      </w:r>
      <w:r>
        <w:t xml:space="preserve"> proposed </w:t>
      </w:r>
      <w:r w:rsidRPr="003278DB">
        <w:t>change</w:t>
      </w:r>
      <w:r w:rsidR="00235208">
        <w:t>s</w:t>
      </w:r>
      <w:r w:rsidRPr="003278DB">
        <w:t xml:space="preserve"> will reduce administrative burdens on the </w:t>
      </w:r>
      <w:r w:rsidR="00080273">
        <w:t>i</w:t>
      </w:r>
      <w:r w:rsidRPr="003278DB">
        <w:t xml:space="preserve">nterconnection </w:t>
      </w:r>
      <w:r w:rsidR="00080273">
        <w:t>c</w:t>
      </w:r>
      <w:r w:rsidRPr="003278DB">
        <w:t>ustomer, eliminate possible inconsistencies arising between two submissions for the same project, and minimize deficiencies and corresponding withdrawals</w:t>
      </w:r>
      <w:r>
        <w:t>.</w:t>
      </w:r>
      <w:r>
        <w:rPr>
          <w:rStyle w:val="FootnoteReference"/>
        </w:rPr>
        <w:footnoteReference w:id="22"/>
      </w:r>
    </w:p>
    <w:p w:rsidR="008019FA" w:rsidP="008019FA">
      <w:pPr>
        <w:pStyle w:val="FERCparanumber"/>
      </w:pPr>
      <w:r w:rsidRPr="00974B6B">
        <w:t>NYISO</w:t>
      </w:r>
      <w:r w:rsidR="00F25402">
        <w:t xml:space="preserve"> next proposes several </w:t>
      </w:r>
      <w:r w:rsidR="002A7E61">
        <w:t xml:space="preserve">tariff </w:t>
      </w:r>
      <w:r w:rsidR="00F25402">
        <w:t>revisions to improve the Phase 1 and Phase 2 Studies.</w:t>
      </w:r>
      <w:r>
        <w:rPr>
          <w:rStyle w:val="FootnoteReference"/>
        </w:rPr>
        <w:footnoteReference w:id="23"/>
      </w:r>
      <w:r w:rsidR="00F25402">
        <w:t xml:space="preserve">  First, NYISO</w:t>
      </w:r>
      <w:r w:rsidRPr="00974B6B">
        <w:t xml:space="preserve"> proposes an avenue through which the next-in-line Cluster Study Project can proceed to use an available P</w:t>
      </w:r>
      <w:r w:rsidR="009D5082">
        <w:t xml:space="preserve">oint </w:t>
      </w:r>
      <w:r w:rsidR="007B7F80">
        <w:t>of</w:t>
      </w:r>
      <w:r w:rsidR="009D5082">
        <w:t xml:space="preserve"> </w:t>
      </w:r>
      <w:r w:rsidRPr="00974B6B">
        <w:t>I</w:t>
      </w:r>
      <w:r w:rsidR="003A114A">
        <w:t xml:space="preserve">nterconnection </w:t>
      </w:r>
      <w:r w:rsidRPr="00974B6B">
        <w:t>due to a higher queue</w:t>
      </w:r>
      <w:r w:rsidR="00F25C4E">
        <w:t>d</w:t>
      </w:r>
      <w:r w:rsidRPr="00974B6B">
        <w:t xml:space="preserve"> Cluster Study Project’s failure to proceed.</w:t>
      </w:r>
      <w:r>
        <w:rPr>
          <w:rStyle w:val="FootnoteReference"/>
        </w:rPr>
        <w:footnoteReference w:id="24"/>
      </w:r>
      <w:r w:rsidRPr="00974B6B">
        <w:t xml:space="preserve">  </w:t>
      </w:r>
      <w:r w:rsidR="00A40F38">
        <w:t xml:space="preserve">For example, </w:t>
      </w:r>
      <w:r w:rsidR="00045499">
        <w:t xml:space="preserve">a Cluster Study Project that has been deemed Physically Infeasible in the Customer Engagement Window because the </w:t>
      </w:r>
      <w:r w:rsidRPr="00974B6B" w:rsidR="00815967">
        <w:t>P</w:t>
      </w:r>
      <w:r w:rsidR="00815967">
        <w:t xml:space="preserve">oint of </w:t>
      </w:r>
      <w:r w:rsidRPr="00974B6B" w:rsidR="00815967">
        <w:t>I</w:t>
      </w:r>
      <w:r w:rsidR="00815967">
        <w:t xml:space="preserve">nterconnection </w:t>
      </w:r>
      <w:r w:rsidR="00045499">
        <w:t>could only accommodate one Cluster Study Project</w:t>
      </w:r>
      <w:r w:rsidR="00674A0D">
        <w:t xml:space="preserve"> would be permitted to request conditional entry into the Phase 1 Study</w:t>
      </w:r>
      <w:r w:rsidR="00701BCA">
        <w:t xml:space="preserve"> if the higher-queued project </w:t>
      </w:r>
      <w:r w:rsidR="00212881">
        <w:t>did not meet</w:t>
      </w:r>
      <w:r w:rsidRPr="00701BCA" w:rsidR="00701BCA">
        <w:t xml:space="preserve"> Phase 1 Study entry requirements</w:t>
      </w:r>
      <w:r w:rsidR="00772187">
        <w:t xml:space="preserve">, such as providing Readiness Deposit </w:t>
      </w:r>
      <w:r w:rsidR="00210CF4">
        <w:t>1</w:t>
      </w:r>
      <w:r w:rsidR="00674A0D">
        <w:t>.</w:t>
      </w:r>
      <w:r w:rsidR="00210CF4">
        <w:t xml:space="preserve"> </w:t>
      </w:r>
      <w:r w:rsidR="00674A0D">
        <w:t xml:space="preserve"> </w:t>
      </w:r>
      <w:r w:rsidRPr="00974B6B" w:rsidR="00235C43">
        <w:t xml:space="preserve">NYISO </w:t>
      </w:r>
      <w:r w:rsidR="00796AA1">
        <w:t>contends</w:t>
      </w:r>
      <w:r w:rsidRPr="00974B6B" w:rsidR="00235C43">
        <w:t xml:space="preserve"> that </w:t>
      </w:r>
      <w:r w:rsidR="00796AA1">
        <w:t>these</w:t>
      </w:r>
      <w:r w:rsidRPr="00974B6B" w:rsidR="00235C43">
        <w:t xml:space="preserve"> revisions provide additional opportunities for </w:t>
      </w:r>
      <w:r w:rsidR="00080273">
        <w:t>i</w:t>
      </w:r>
      <w:r w:rsidRPr="00974B6B" w:rsidR="00235C43">
        <w:t xml:space="preserve">nterconnection </w:t>
      </w:r>
      <w:r w:rsidR="00080273">
        <w:t>c</w:t>
      </w:r>
      <w:r w:rsidRPr="00974B6B" w:rsidR="00235C43">
        <w:t>ustomers to advance through the interconnection process without burdening other parties.</w:t>
      </w:r>
      <w:r>
        <w:rPr>
          <w:rStyle w:val="FootnoteReference"/>
        </w:rPr>
        <w:footnoteReference w:id="25"/>
      </w:r>
      <w:r w:rsidR="00235C43">
        <w:t xml:space="preserve"> </w:t>
      </w:r>
      <w:r w:rsidRPr="00974B6B">
        <w:t xml:space="preserve"> </w:t>
      </w:r>
      <w:r w:rsidR="008653DE">
        <w:t xml:space="preserve">Second, </w:t>
      </w:r>
      <w:r w:rsidRPr="00974B6B">
        <w:t xml:space="preserve">NYISO proposes to clarify that the timing requirements for the performance of the Phase 1 Study apply to only those Affected Transmission Owners that NYISO identifies in response to the </w:t>
      </w:r>
      <w:r w:rsidR="00080273">
        <w:t>i</w:t>
      </w:r>
      <w:r w:rsidRPr="00974B6B">
        <w:t xml:space="preserve">nterconnection </w:t>
      </w:r>
      <w:r w:rsidR="00080273">
        <w:t>c</w:t>
      </w:r>
      <w:r w:rsidRPr="00974B6B">
        <w:t xml:space="preserve">ustomer’s submission of its </w:t>
      </w:r>
      <w:r w:rsidR="004462D4">
        <w:t>i</w:t>
      </w:r>
      <w:r w:rsidRPr="00974B6B">
        <w:t xml:space="preserve">nterconnection </w:t>
      </w:r>
      <w:r w:rsidR="004462D4">
        <w:t>r</w:t>
      </w:r>
      <w:r w:rsidRPr="00974B6B">
        <w:t xml:space="preserve">equest. </w:t>
      </w:r>
      <w:r w:rsidR="00E151C6">
        <w:t xml:space="preserve"> </w:t>
      </w:r>
      <w:r w:rsidR="001A3114">
        <w:t>Thus, i</w:t>
      </w:r>
      <w:r w:rsidRPr="001A3114" w:rsidR="001A3114">
        <w:t xml:space="preserve">f an Affected Transmission Owner is subsequently identified during the Phase 1 Study process, the Affected Transmission Owner may complete its Phase 1 Study as part of the Phase 2 Study process. </w:t>
      </w:r>
      <w:r w:rsidR="00644854">
        <w:t xml:space="preserve"> </w:t>
      </w:r>
      <w:r w:rsidR="00355C5E">
        <w:t>NYISO states that it</w:t>
      </w:r>
      <w:r w:rsidRPr="00355C5E" w:rsidR="00355C5E">
        <w:t xml:space="preserve"> is not always able to identify an Affected Transmission Owner based solely on the information submitted by the </w:t>
      </w:r>
      <w:r w:rsidR="00080273">
        <w:t>i</w:t>
      </w:r>
      <w:r w:rsidRPr="00355C5E" w:rsidR="00355C5E">
        <w:t xml:space="preserve">nterconnection </w:t>
      </w:r>
      <w:r w:rsidR="00080273">
        <w:t>c</w:t>
      </w:r>
      <w:r w:rsidRPr="00355C5E" w:rsidR="00355C5E">
        <w:t xml:space="preserve">ustomer with its </w:t>
      </w:r>
      <w:r w:rsidR="006A4BE2">
        <w:t>i</w:t>
      </w:r>
      <w:r w:rsidRPr="00355C5E" w:rsidR="00355C5E">
        <w:t xml:space="preserve">nterconnection </w:t>
      </w:r>
      <w:r w:rsidR="006A4BE2">
        <w:t>r</w:t>
      </w:r>
      <w:r w:rsidRPr="00355C5E" w:rsidR="00355C5E">
        <w:t>equest</w:t>
      </w:r>
      <w:r w:rsidR="00355C5E">
        <w:t xml:space="preserve"> because c</w:t>
      </w:r>
      <w:r w:rsidRPr="00355C5E" w:rsidR="00355C5E">
        <w:t xml:space="preserve">ertain system impacts may only become clear as part of the study process or with additional input from the Connecting Transmission Owners.  </w:t>
      </w:r>
      <w:r w:rsidR="00355C5E">
        <w:t>For example, i</w:t>
      </w:r>
      <w:r w:rsidRPr="00355C5E" w:rsidR="00355C5E">
        <w:t xml:space="preserve">f an Affected Transmission Owner is identified later in the process, </w:t>
      </w:r>
      <w:r w:rsidR="00355C5E">
        <w:t xml:space="preserve">NYISO states that </w:t>
      </w:r>
      <w:r w:rsidRPr="00355C5E" w:rsidR="00355C5E">
        <w:t xml:space="preserve">it may have difficulty completing any required Phase 1 Study within the timeframes for that study established in the OATT, which can result in delays to the completion of the </w:t>
      </w:r>
      <w:r w:rsidR="00F37781">
        <w:t xml:space="preserve">            </w:t>
      </w:r>
      <w:r w:rsidRPr="00355C5E" w:rsidR="00355C5E">
        <w:t>Phase 1 Study process for all Cluster Study Projects.</w:t>
      </w:r>
      <w:r w:rsidR="00355C5E">
        <w:t xml:space="preserve">  </w:t>
      </w:r>
      <w:r w:rsidR="006B4DA1">
        <w:t xml:space="preserve">NYISO explains that </w:t>
      </w:r>
      <w:r w:rsidR="003A6303">
        <w:t xml:space="preserve">its proposed </w:t>
      </w:r>
      <w:r w:rsidR="006B4DA1">
        <w:t xml:space="preserve">revisions </w:t>
      </w:r>
      <w:r w:rsidRPr="006B4DA1" w:rsidR="006B4DA1">
        <w:t>will reduce the impact on the timeframe for the overall Cluster Study of those Affected Transmission Owners that are not immediately identified</w:t>
      </w:r>
      <w:r w:rsidR="006D3736">
        <w:t>,</w:t>
      </w:r>
      <w:r w:rsidRPr="006B4DA1" w:rsidR="006B4DA1">
        <w:t xml:space="preserve"> and </w:t>
      </w:r>
      <w:r w:rsidR="00644854">
        <w:t>contends that</w:t>
      </w:r>
      <w:r w:rsidRPr="006B4DA1" w:rsidR="006B4DA1">
        <w:t xml:space="preserve"> they provide a reasonable period of time for those Affected Transmission Owners to perform a Phase 1 Study without delaying the progression of the Cluster Study</w:t>
      </w:r>
      <w:r w:rsidR="00644854">
        <w:t>.</w:t>
      </w:r>
      <w:r>
        <w:rPr>
          <w:rStyle w:val="FootnoteReference"/>
        </w:rPr>
        <w:footnoteReference w:id="26"/>
      </w:r>
      <w:r w:rsidRPr="006B4DA1" w:rsidR="006B4DA1">
        <w:t xml:space="preserve"> </w:t>
      </w:r>
      <w:r w:rsidRPr="00974B6B">
        <w:t xml:space="preserve"> </w:t>
      </w:r>
      <w:r w:rsidR="008653DE">
        <w:t>Third</w:t>
      </w:r>
      <w:r w:rsidR="001C6524">
        <w:t xml:space="preserve">, </w:t>
      </w:r>
      <w:r w:rsidRPr="00974B6B">
        <w:t>NYISO proposes t</w:t>
      </w:r>
      <w:r w:rsidR="005F752B">
        <w:t xml:space="preserve">wo revisions to improve coordination among the parties in the Cluster Study Process:  (1) </w:t>
      </w:r>
      <w:r w:rsidR="00B64915">
        <w:t xml:space="preserve">Connecting Transmission Owners </w:t>
      </w:r>
      <w:r w:rsidRPr="00B64915" w:rsidR="00B64915">
        <w:t xml:space="preserve">and Affected Transmission Owners </w:t>
      </w:r>
      <w:r w:rsidR="00B64915">
        <w:t xml:space="preserve">must </w:t>
      </w:r>
      <w:r w:rsidRPr="00B64915" w:rsidR="00B64915">
        <w:t xml:space="preserve">review comments from </w:t>
      </w:r>
      <w:r w:rsidR="00080273">
        <w:t>i</w:t>
      </w:r>
      <w:r w:rsidRPr="00B64915" w:rsidR="00B64915">
        <w:t xml:space="preserve">nterconnection </w:t>
      </w:r>
      <w:r w:rsidR="00080273">
        <w:t>c</w:t>
      </w:r>
      <w:r w:rsidRPr="00B64915" w:rsidR="00B64915">
        <w:t>ustomers and NYISO and provide responses with the finalized Phase 1 Study report</w:t>
      </w:r>
      <w:r w:rsidR="00EE24E2">
        <w:t>;</w:t>
      </w:r>
      <w:r w:rsidR="00B64915">
        <w:t xml:space="preserve"> and (2) NYISO will</w:t>
      </w:r>
      <w:r w:rsidRPr="00974B6B">
        <w:t xml:space="preserve"> provide a Cluster Study upgrade summary after the completion of each Cluster Study.</w:t>
      </w:r>
      <w:r>
        <w:rPr>
          <w:rStyle w:val="FootnoteReference"/>
        </w:rPr>
        <w:t xml:space="preserve"> </w:t>
      </w:r>
    </w:p>
    <w:p w:rsidR="00B61EB5" w:rsidRPr="001D653C" w:rsidP="00A11DB8">
      <w:pPr>
        <w:pStyle w:val="FERCparanumber"/>
      </w:pPr>
      <w:r w:rsidRPr="00292F37">
        <w:t>NYISO</w:t>
      </w:r>
      <w:r w:rsidRPr="001779DC">
        <w:t xml:space="preserve"> </w:t>
      </w:r>
      <w:r w:rsidR="009972AB">
        <w:t>next</w:t>
      </w:r>
      <w:r w:rsidRPr="001779DC">
        <w:t xml:space="preserve"> proposes </w:t>
      </w:r>
      <w:r w:rsidR="008F0683">
        <w:t xml:space="preserve">several </w:t>
      </w:r>
      <w:r w:rsidR="0032012D">
        <w:t>tariff</w:t>
      </w:r>
      <w:r w:rsidR="008F0683">
        <w:t xml:space="preserve"> revisions </w:t>
      </w:r>
      <w:r w:rsidRPr="001779DC">
        <w:t>to limit the impact of Cluster Study Project withdrawals.</w:t>
      </w:r>
      <w:r>
        <w:rPr>
          <w:rStyle w:val="FootnoteReference"/>
        </w:rPr>
        <w:footnoteReference w:id="27"/>
      </w:r>
      <w:r w:rsidRPr="00292F37">
        <w:rPr>
          <w:i/>
          <w:iCs/>
        </w:rPr>
        <w:t xml:space="preserve">  </w:t>
      </w:r>
      <w:r w:rsidR="00CB3FF0">
        <w:t>First, NYISO proposes to clarify</w:t>
      </w:r>
      <w:r>
        <w:t xml:space="preserve"> </w:t>
      </w:r>
      <w:r w:rsidR="00610D1D">
        <w:t>the scenarios in which a project may be deemed Physically Infeasible</w:t>
      </w:r>
      <w:r w:rsidR="00FA4201">
        <w:t>.</w:t>
      </w:r>
      <w:r>
        <w:rPr>
          <w:rStyle w:val="FootnoteReference"/>
        </w:rPr>
        <w:footnoteReference w:id="28"/>
      </w:r>
      <w:r w:rsidR="00FA4201">
        <w:t xml:space="preserve"> </w:t>
      </w:r>
      <w:r w:rsidR="00547ADD">
        <w:t xml:space="preserve"> </w:t>
      </w:r>
      <w:r w:rsidR="003871E4">
        <w:t>For example</w:t>
      </w:r>
      <w:r w:rsidR="00A77654">
        <w:t>, N</w:t>
      </w:r>
      <w:r w:rsidRPr="00A77654" w:rsidR="00A77654">
        <w:t xml:space="preserve">YISO proposes to clarify that all three </w:t>
      </w:r>
      <w:r w:rsidR="003C5762">
        <w:t xml:space="preserve">existing </w:t>
      </w:r>
      <w:r w:rsidRPr="00A77654" w:rsidR="00A77654">
        <w:t>criteria under Scenario No. 1 must be met to determine that a Cluster Study Project is Physically Infeasible</w:t>
      </w:r>
      <w:r w:rsidR="00A77654">
        <w:t xml:space="preserve">:  </w:t>
      </w:r>
      <w:r w:rsidRPr="00A77654" w:rsidR="00A77654">
        <w:t xml:space="preserve">(1) the substation for the selected </w:t>
      </w:r>
      <w:r w:rsidRPr="00974B6B" w:rsidR="00815967">
        <w:t>P</w:t>
      </w:r>
      <w:r w:rsidR="00815967">
        <w:t xml:space="preserve">oint of </w:t>
      </w:r>
      <w:r w:rsidRPr="00974B6B" w:rsidR="00815967">
        <w:t>I</w:t>
      </w:r>
      <w:r w:rsidR="00815967">
        <w:t xml:space="preserve">nterconnection </w:t>
      </w:r>
      <w:r w:rsidRPr="00A77654" w:rsidR="00A77654">
        <w:t>does not have any available bus positions</w:t>
      </w:r>
      <w:r w:rsidR="0054042F">
        <w:t>;</w:t>
      </w:r>
      <w:r w:rsidRPr="00A77654" w:rsidR="00A77654">
        <w:t xml:space="preserve"> (2) the substation is not expandable electrically or within the existing substation footprint</w:t>
      </w:r>
      <w:r w:rsidR="0054042F">
        <w:t>;</w:t>
      </w:r>
      <w:r w:rsidRPr="00A77654" w:rsidR="00A77654">
        <w:t xml:space="preserve"> and (3) adjacent usable vacant land is not available.</w:t>
      </w:r>
      <w:r w:rsidR="00A77654">
        <w:t xml:space="preserve">  NYISO </w:t>
      </w:r>
      <w:r w:rsidR="00084F9A">
        <w:t>also</w:t>
      </w:r>
      <w:r w:rsidR="00A77654">
        <w:t xml:space="preserve"> </w:t>
      </w:r>
      <w:r w:rsidR="003A537B">
        <w:t>p</w:t>
      </w:r>
      <w:r w:rsidRPr="003A537B" w:rsidR="003A537B">
        <w:t xml:space="preserve">roposes </w:t>
      </w:r>
      <w:r w:rsidR="003A537B">
        <w:t>adding</w:t>
      </w:r>
      <w:r w:rsidRPr="003A537B" w:rsidR="003A537B">
        <w:t xml:space="preserve"> to the third </w:t>
      </w:r>
      <w:r w:rsidR="000951C1">
        <w:t>criterion</w:t>
      </w:r>
      <w:r w:rsidRPr="003A537B" w:rsidR="003A537B">
        <w:t xml:space="preserve"> in Scenario No. 1 that the </w:t>
      </w:r>
      <w:r w:rsidR="00F54451">
        <w:t>t</w:t>
      </w:r>
      <w:r w:rsidRPr="003A537B" w:rsidR="003A537B">
        <w:t xml:space="preserve">ransmission </w:t>
      </w:r>
      <w:r w:rsidR="00F54451">
        <w:t>o</w:t>
      </w:r>
      <w:r w:rsidRPr="003A537B" w:rsidR="003A537B">
        <w:t>wner is the party determining whether adjacent usable vacant land is availabl</w:t>
      </w:r>
      <w:r w:rsidR="003A537B">
        <w:t xml:space="preserve">e.  </w:t>
      </w:r>
      <w:r w:rsidR="009C0468">
        <w:t xml:space="preserve">NYISO also proposes </w:t>
      </w:r>
      <w:r w:rsidR="00190DD8">
        <w:t xml:space="preserve">various other clarifications </w:t>
      </w:r>
      <w:r w:rsidR="00225F31">
        <w:t>to the Physically Infeasibility scenarios.</w:t>
      </w:r>
      <w:r w:rsidR="00A77654">
        <w:t xml:space="preserve">  </w:t>
      </w:r>
      <w:r w:rsidRPr="001779DC">
        <w:t xml:space="preserve">NYISO </w:t>
      </w:r>
      <w:r w:rsidR="002E26CB">
        <w:t xml:space="preserve">contends that these proposed changes </w:t>
      </w:r>
      <w:r w:rsidRPr="002E26CB" w:rsidR="002E26CB">
        <w:t xml:space="preserve">will ensure consistent application when applying the Physical Infeasibility definition </w:t>
      </w:r>
      <w:r w:rsidR="00CE03A0">
        <w:t>and</w:t>
      </w:r>
      <w:r w:rsidRPr="002E26CB" w:rsidR="002E26CB">
        <w:t xml:space="preserve"> </w:t>
      </w:r>
      <w:r w:rsidR="00933F94">
        <w:t xml:space="preserve">thus </w:t>
      </w:r>
      <w:r w:rsidRPr="002E26CB" w:rsidR="002E26CB">
        <w:t>help to eliminate unnecessary withdrawals and reduce the number of disputes.</w:t>
      </w:r>
      <w:r>
        <w:rPr>
          <w:rStyle w:val="FootnoteReference"/>
        </w:rPr>
        <w:footnoteReference w:id="29"/>
      </w:r>
      <w:r w:rsidRPr="002E26CB" w:rsidR="002E26CB">
        <w:t xml:space="preserve"> </w:t>
      </w:r>
      <w:r w:rsidR="001E604D">
        <w:t xml:space="preserve"> </w:t>
      </w:r>
      <w:r w:rsidRPr="001779DC">
        <w:t xml:space="preserve">NYISO </w:t>
      </w:r>
      <w:r>
        <w:t>also</w:t>
      </w:r>
      <w:r w:rsidRPr="001779DC">
        <w:t xml:space="preserve"> proposes limiting the scope of </w:t>
      </w:r>
      <w:r w:rsidR="00F54451">
        <w:t>t</w:t>
      </w:r>
      <w:r w:rsidRPr="001779DC">
        <w:t xml:space="preserve">ransmission </w:t>
      </w:r>
      <w:r w:rsidR="00F54451">
        <w:t>o</w:t>
      </w:r>
      <w:r w:rsidRPr="001779DC">
        <w:t xml:space="preserve">wner-specific technical information requests </w:t>
      </w:r>
      <w:r>
        <w:t>and aligning</w:t>
      </w:r>
      <w:r w:rsidRPr="001779DC">
        <w:t xml:space="preserve"> all deficiency cure periods for </w:t>
      </w:r>
      <w:r w:rsidR="00DF29C7">
        <w:t>p</w:t>
      </w:r>
      <w:r w:rsidRPr="001779DC">
        <w:t>ost-</w:t>
      </w:r>
      <w:r w:rsidR="00DF29C7">
        <w:t>i</w:t>
      </w:r>
      <w:r w:rsidRPr="001779DC">
        <w:t xml:space="preserve">nterconnection </w:t>
      </w:r>
      <w:r w:rsidR="00DF29C7">
        <w:t>r</w:t>
      </w:r>
      <w:r w:rsidRPr="001779DC">
        <w:t xml:space="preserve">equest </w:t>
      </w:r>
      <w:r w:rsidR="00DF29C7">
        <w:t>v</w:t>
      </w:r>
      <w:r w:rsidRPr="001779DC">
        <w:t xml:space="preserve">alidation </w:t>
      </w:r>
      <w:r w:rsidR="00DF29C7">
        <w:t>i</w:t>
      </w:r>
      <w:r w:rsidRPr="001779DC">
        <w:t xml:space="preserve">nformational </w:t>
      </w:r>
      <w:r w:rsidR="00DF29C7">
        <w:t>r</w:t>
      </w:r>
      <w:r w:rsidRPr="001779DC">
        <w:t xml:space="preserve">equests to all be 10 </w:t>
      </w:r>
      <w:r w:rsidR="00B46A95">
        <w:t>b</w:t>
      </w:r>
      <w:r w:rsidRPr="001779DC">
        <w:t xml:space="preserve">usiness </w:t>
      </w:r>
      <w:r w:rsidR="00B46A95">
        <w:t>d</w:t>
      </w:r>
      <w:r w:rsidRPr="001779DC">
        <w:t>ays</w:t>
      </w:r>
      <w:r w:rsidR="00A75817">
        <w:t xml:space="preserve">, </w:t>
      </w:r>
      <w:r w:rsidR="00777FB5">
        <w:t xml:space="preserve">specifically </w:t>
      </w:r>
      <w:r w:rsidR="00E841C0">
        <w:t>aligning on business days</w:t>
      </w:r>
      <w:r w:rsidR="00591B03">
        <w:t xml:space="preserve"> as a unit of measure</w:t>
      </w:r>
      <w:r w:rsidR="00E841C0">
        <w:t xml:space="preserve">, </w:t>
      </w:r>
      <w:r w:rsidR="00A75817">
        <w:t>which NYIS</w:t>
      </w:r>
      <w:r w:rsidR="006C52DB">
        <w:t>O</w:t>
      </w:r>
      <w:r w:rsidR="00A75817">
        <w:t xml:space="preserve"> argues will </w:t>
      </w:r>
      <w:r w:rsidRPr="00A75817" w:rsidR="00A75817">
        <w:t>clarify requirements and reduce confusion</w:t>
      </w:r>
      <w:r w:rsidRPr="001779DC">
        <w:t>.</w:t>
      </w:r>
      <w:r>
        <w:rPr>
          <w:rStyle w:val="FootnoteReference"/>
        </w:rPr>
        <w:footnoteReference w:id="30"/>
      </w:r>
      <w:r w:rsidRPr="00292F37">
        <w:rPr>
          <w:color w:val="000000"/>
        </w:rPr>
        <w:t xml:space="preserve">  </w:t>
      </w:r>
    </w:p>
    <w:p w:rsidR="00F7787C" w:rsidRPr="00507C72" w:rsidP="008019FA">
      <w:pPr>
        <w:pStyle w:val="FERCparanumber"/>
      </w:pPr>
      <w:r w:rsidRPr="00292F37">
        <w:rPr>
          <w:color w:val="000000"/>
        </w:rPr>
        <w:t xml:space="preserve">NYISO </w:t>
      </w:r>
      <w:r w:rsidR="007805D6">
        <w:rPr>
          <w:color w:val="000000"/>
        </w:rPr>
        <w:t xml:space="preserve">further </w:t>
      </w:r>
      <w:r w:rsidRPr="00292F37">
        <w:rPr>
          <w:color w:val="000000"/>
        </w:rPr>
        <w:t xml:space="preserve">proposes to </w:t>
      </w:r>
      <w:r w:rsidR="00D87408">
        <w:rPr>
          <w:color w:val="000000"/>
        </w:rPr>
        <w:t xml:space="preserve">eliminate </w:t>
      </w:r>
      <w:r w:rsidR="008314AF">
        <w:rPr>
          <w:color w:val="000000"/>
        </w:rPr>
        <w:t xml:space="preserve">withdrawal cure periods </w:t>
      </w:r>
      <w:r w:rsidR="00A430FE">
        <w:rPr>
          <w:color w:val="000000"/>
        </w:rPr>
        <w:t xml:space="preserve">for certain </w:t>
      </w:r>
      <w:r w:rsidR="00F37781">
        <w:rPr>
          <w:color w:val="000000"/>
        </w:rPr>
        <w:t xml:space="preserve">             </w:t>
      </w:r>
      <w:r w:rsidR="00A430FE">
        <w:rPr>
          <w:color w:val="000000"/>
        </w:rPr>
        <w:t>time</w:t>
      </w:r>
      <w:r w:rsidR="00EF085B">
        <w:rPr>
          <w:color w:val="000000"/>
        </w:rPr>
        <w:t>-</w:t>
      </w:r>
      <w:r w:rsidR="00A430FE">
        <w:rPr>
          <w:color w:val="000000"/>
        </w:rPr>
        <w:t>critical deficiencies</w:t>
      </w:r>
      <w:r w:rsidR="007805D6">
        <w:rPr>
          <w:color w:val="000000"/>
        </w:rPr>
        <w:t>,</w:t>
      </w:r>
      <w:r w:rsidR="00A430FE">
        <w:rPr>
          <w:color w:val="000000"/>
        </w:rPr>
        <w:t xml:space="preserve"> namely</w:t>
      </w:r>
      <w:r w:rsidR="00B228E1">
        <w:rPr>
          <w:color w:val="000000"/>
        </w:rPr>
        <w:t xml:space="preserve">: </w:t>
      </w:r>
      <w:r w:rsidR="00A430FE">
        <w:rPr>
          <w:color w:val="000000"/>
        </w:rPr>
        <w:t xml:space="preserve"> </w:t>
      </w:r>
      <w:r w:rsidRPr="00A11DB8" w:rsidR="00537A3E">
        <w:rPr>
          <w:color w:val="000000"/>
        </w:rPr>
        <w:t>(</w:t>
      </w:r>
      <w:r w:rsidRPr="00292F37">
        <w:rPr>
          <w:color w:val="000000"/>
        </w:rPr>
        <w:t>1</w:t>
      </w:r>
      <w:r w:rsidRPr="00A11DB8" w:rsidR="00537A3E">
        <w:rPr>
          <w:color w:val="000000"/>
        </w:rPr>
        <w:t xml:space="preserve">) </w:t>
      </w:r>
      <w:r w:rsidRPr="00A11DB8" w:rsidR="00A70B4D">
        <w:rPr>
          <w:color w:val="000000"/>
        </w:rPr>
        <w:t>f</w:t>
      </w:r>
      <w:r w:rsidRPr="00A11DB8">
        <w:rPr>
          <w:color w:val="000000"/>
        </w:rPr>
        <w:t xml:space="preserve">ailure to submit </w:t>
      </w:r>
      <w:r w:rsidRPr="00292F37">
        <w:rPr>
          <w:color w:val="000000"/>
        </w:rPr>
        <w:t>the initial study deposit</w:t>
      </w:r>
      <w:r w:rsidR="0007390B">
        <w:rPr>
          <w:color w:val="000000"/>
        </w:rPr>
        <w:t xml:space="preserve"> o</w:t>
      </w:r>
      <w:r w:rsidR="001A1623">
        <w:rPr>
          <w:color w:val="000000"/>
        </w:rPr>
        <w:t xml:space="preserve">r timely </w:t>
      </w:r>
      <w:r w:rsidR="00AE7D7A">
        <w:rPr>
          <w:color w:val="000000"/>
        </w:rPr>
        <w:t>respond to</w:t>
      </w:r>
      <w:r w:rsidR="001A1623">
        <w:rPr>
          <w:color w:val="000000"/>
        </w:rPr>
        <w:t xml:space="preserve"> information </w:t>
      </w:r>
      <w:r w:rsidR="00AE7D7A">
        <w:rPr>
          <w:color w:val="000000"/>
        </w:rPr>
        <w:t>requests</w:t>
      </w:r>
      <w:r w:rsidR="001A1623">
        <w:rPr>
          <w:color w:val="000000"/>
        </w:rPr>
        <w:t xml:space="preserve"> during the Application Window</w:t>
      </w:r>
      <w:r w:rsidR="00083429">
        <w:rPr>
          <w:color w:val="000000"/>
        </w:rPr>
        <w:t xml:space="preserve"> and Customer Engagement Window</w:t>
      </w:r>
      <w:r w:rsidR="00537A3E">
        <w:rPr>
          <w:color w:val="000000"/>
        </w:rPr>
        <w:t>; (2</w:t>
      </w:r>
      <w:r w:rsidRPr="00A11DB8" w:rsidR="00537A3E">
        <w:rPr>
          <w:color w:val="000000"/>
        </w:rPr>
        <w:t>)</w:t>
      </w:r>
      <w:r w:rsidRPr="00292F37">
        <w:rPr>
          <w:color w:val="000000"/>
        </w:rPr>
        <w:t xml:space="preserve"> failure to submit Readiness Deposit 1</w:t>
      </w:r>
      <w:r w:rsidR="00537A3E">
        <w:rPr>
          <w:color w:val="000000"/>
        </w:rPr>
        <w:t xml:space="preserve"> or meet the deadline to proceed to Phase </w:t>
      </w:r>
      <w:r w:rsidR="004B4811">
        <w:rPr>
          <w:color w:val="000000"/>
        </w:rPr>
        <w:t>1</w:t>
      </w:r>
      <w:r w:rsidRPr="00A11DB8" w:rsidR="00774D7D">
        <w:rPr>
          <w:color w:val="000000"/>
        </w:rPr>
        <w:t>;</w:t>
      </w:r>
      <w:r w:rsidRPr="00292F37">
        <w:rPr>
          <w:color w:val="000000"/>
        </w:rPr>
        <w:t xml:space="preserve"> </w:t>
      </w:r>
      <w:r w:rsidR="00D1564F">
        <w:rPr>
          <w:color w:val="000000"/>
        </w:rPr>
        <w:t xml:space="preserve">(3) </w:t>
      </w:r>
      <w:r w:rsidRPr="00292F37">
        <w:rPr>
          <w:color w:val="000000"/>
        </w:rPr>
        <w:t>failure to submit Readiness Deposit 2</w:t>
      </w:r>
      <w:r w:rsidR="001230FE">
        <w:rPr>
          <w:color w:val="000000"/>
        </w:rPr>
        <w:t xml:space="preserve">; and (4) failure to meet the </w:t>
      </w:r>
      <w:r w:rsidR="008A3FED">
        <w:rPr>
          <w:color w:val="000000"/>
        </w:rPr>
        <w:t xml:space="preserve">deadlines for the </w:t>
      </w:r>
      <w:r w:rsidR="001230FE">
        <w:rPr>
          <w:color w:val="000000"/>
        </w:rPr>
        <w:t xml:space="preserve">Final Decision Period </w:t>
      </w:r>
      <w:r w:rsidR="008A3FED">
        <w:rPr>
          <w:color w:val="000000"/>
        </w:rPr>
        <w:t xml:space="preserve">or </w:t>
      </w:r>
      <w:r w:rsidRPr="008A3FED" w:rsidR="008A3FED">
        <w:rPr>
          <w:color w:val="000000"/>
        </w:rPr>
        <w:t xml:space="preserve">Additional </w:t>
      </w:r>
      <w:r w:rsidR="00004515">
        <w:rPr>
          <w:color w:val="000000"/>
        </w:rPr>
        <w:t>S</w:t>
      </w:r>
      <w:r w:rsidR="00A53F44">
        <w:rPr>
          <w:color w:val="000000"/>
        </w:rPr>
        <w:t xml:space="preserve">ystem </w:t>
      </w:r>
      <w:r w:rsidR="00004515">
        <w:rPr>
          <w:color w:val="000000"/>
        </w:rPr>
        <w:t>D</w:t>
      </w:r>
      <w:r w:rsidR="00A53F44">
        <w:rPr>
          <w:color w:val="000000"/>
        </w:rPr>
        <w:t xml:space="preserve">eliverability </w:t>
      </w:r>
      <w:r w:rsidR="00004515">
        <w:rPr>
          <w:color w:val="000000"/>
        </w:rPr>
        <w:t>U</w:t>
      </w:r>
      <w:r w:rsidR="00A53F44">
        <w:rPr>
          <w:color w:val="000000"/>
        </w:rPr>
        <w:t>pgrad</w:t>
      </w:r>
      <w:r w:rsidR="00004515">
        <w:rPr>
          <w:color w:val="000000"/>
        </w:rPr>
        <w:t>e</w:t>
      </w:r>
      <w:r w:rsidR="009150EF">
        <w:rPr>
          <w:color w:val="000000"/>
        </w:rPr>
        <w:t>s</w:t>
      </w:r>
      <w:r w:rsidR="00004515">
        <w:rPr>
          <w:color w:val="000000"/>
        </w:rPr>
        <w:t xml:space="preserve"> (</w:t>
      </w:r>
      <w:r w:rsidRPr="008A3FED" w:rsidR="008A3FED">
        <w:rPr>
          <w:color w:val="000000"/>
        </w:rPr>
        <w:t>SDU</w:t>
      </w:r>
      <w:r w:rsidR="00004515">
        <w:rPr>
          <w:color w:val="000000"/>
        </w:rPr>
        <w:t>)</w:t>
      </w:r>
      <w:r w:rsidRPr="008A3FED" w:rsidR="008A3FED">
        <w:rPr>
          <w:color w:val="000000"/>
        </w:rPr>
        <w:t xml:space="preserve"> Decision </w:t>
      </w:r>
      <w:r w:rsidR="00833CEC">
        <w:rPr>
          <w:color w:val="000000"/>
        </w:rPr>
        <w:t>Period</w:t>
      </w:r>
      <w:r w:rsidR="00A70B4D">
        <w:rPr>
          <w:color w:val="000000"/>
        </w:rPr>
        <w:t>.</w:t>
      </w:r>
      <w:r>
        <w:rPr>
          <w:rStyle w:val="FootnoteReference"/>
          <w:color w:val="000000"/>
        </w:rPr>
        <w:footnoteReference w:id="31"/>
      </w:r>
      <w:r w:rsidRPr="00292F37">
        <w:rPr>
          <w:color w:val="000000"/>
        </w:rPr>
        <w:t xml:space="preserve"> </w:t>
      </w:r>
      <w:r w:rsidRPr="00A11DB8">
        <w:rPr>
          <w:i/>
        </w:rPr>
        <w:t xml:space="preserve"> </w:t>
      </w:r>
      <w:r w:rsidRPr="00292F37">
        <w:rPr>
          <w:color w:val="000000"/>
        </w:rPr>
        <w:t xml:space="preserve">NYISO </w:t>
      </w:r>
      <w:r w:rsidR="002858EA">
        <w:rPr>
          <w:color w:val="000000"/>
        </w:rPr>
        <w:t xml:space="preserve">also </w:t>
      </w:r>
      <w:r w:rsidRPr="00292F37">
        <w:rPr>
          <w:color w:val="000000"/>
        </w:rPr>
        <w:t>proposes to remove an exception which provides for a 10</w:t>
      </w:r>
      <w:r w:rsidR="000A5304">
        <w:rPr>
          <w:color w:val="000000"/>
        </w:rPr>
        <w:t xml:space="preserve"> b</w:t>
      </w:r>
      <w:r w:rsidRPr="00292F37">
        <w:rPr>
          <w:color w:val="000000"/>
        </w:rPr>
        <w:t xml:space="preserve">usiness </w:t>
      </w:r>
      <w:r w:rsidR="000A5304">
        <w:rPr>
          <w:color w:val="000000"/>
        </w:rPr>
        <w:t>d</w:t>
      </w:r>
      <w:r w:rsidRPr="00292F37">
        <w:rPr>
          <w:color w:val="000000"/>
        </w:rPr>
        <w:t>ay cure period for failure to timely make a payment or submit deposit</w:t>
      </w:r>
      <w:r w:rsidR="005669AC">
        <w:rPr>
          <w:color w:val="000000"/>
        </w:rPr>
        <w:t>s</w:t>
      </w:r>
      <w:r w:rsidRPr="00292F37">
        <w:rPr>
          <w:color w:val="000000"/>
        </w:rPr>
        <w:t>.</w:t>
      </w:r>
      <w:r>
        <w:rPr>
          <w:rStyle w:val="FootnoteReference"/>
          <w:color w:val="000000"/>
        </w:rPr>
        <w:footnoteReference w:id="32"/>
      </w:r>
      <w:r>
        <w:rPr>
          <w:color w:val="000000"/>
        </w:rPr>
        <w:t xml:space="preserve">  </w:t>
      </w:r>
      <w:r w:rsidR="00D57A80">
        <w:rPr>
          <w:color w:val="000000"/>
        </w:rPr>
        <w:t>NYISO states that</w:t>
      </w:r>
      <w:r w:rsidR="00AF7770">
        <w:rPr>
          <w:color w:val="000000"/>
        </w:rPr>
        <w:t xml:space="preserve"> </w:t>
      </w:r>
      <w:r w:rsidR="00432831">
        <w:t xml:space="preserve">the </w:t>
      </w:r>
      <w:r w:rsidR="00AF7770">
        <w:t xml:space="preserve">standard </w:t>
      </w:r>
      <w:r w:rsidR="00432831">
        <w:t>15</w:t>
      </w:r>
      <w:r w:rsidR="00D57A80">
        <w:t xml:space="preserve"> b</w:t>
      </w:r>
      <w:r w:rsidR="00AF7770">
        <w:t xml:space="preserve">usiness </w:t>
      </w:r>
      <w:r w:rsidR="00D57A80">
        <w:t>d</w:t>
      </w:r>
      <w:r w:rsidR="00AF7770">
        <w:t>ay</w:t>
      </w:r>
      <w:r w:rsidR="00432831">
        <w:t xml:space="preserve"> cure period </w:t>
      </w:r>
      <w:r w:rsidRPr="006F2918" w:rsidR="00AF7770">
        <w:t xml:space="preserve">set forth in Section 40.6.4.1 </w:t>
      </w:r>
      <w:r w:rsidR="00AF7770">
        <w:t xml:space="preserve">will apply </w:t>
      </w:r>
      <w:r w:rsidR="001270D0">
        <w:t>t</w:t>
      </w:r>
      <w:r w:rsidRPr="001270D0" w:rsidR="001270D0">
        <w:t xml:space="preserve">o </w:t>
      </w:r>
      <w:r w:rsidR="00CC4507">
        <w:t>w</w:t>
      </w:r>
      <w:r w:rsidRPr="001270D0" w:rsidR="001270D0">
        <w:t>ithdrawals due to non-payment</w:t>
      </w:r>
      <w:r w:rsidR="00CC4507">
        <w:t>, other than those listed above</w:t>
      </w:r>
      <w:r w:rsidR="00AF7770">
        <w:t>.</w:t>
      </w:r>
      <w:r>
        <w:rPr>
          <w:rStyle w:val="FootnoteReference"/>
        </w:rPr>
        <w:footnoteReference w:id="33"/>
      </w:r>
      <w:r w:rsidR="00AF7770">
        <w:t xml:space="preserve">  </w:t>
      </w:r>
      <w:r w:rsidRPr="00BB003D" w:rsidR="00BB003D">
        <w:t xml:space="preserve">For example, if an </w:t>
      </w:r>
      <w:r w:rsidR="003E17E7">
        <w:t>i</w:t>
      </w:r>
      <w:r w:rsidRPr="00BB003D" w:rsidR="00BB003D">
        <w:t xml:space="preserve">nterconnection </w:t>
      </w:r>
      <w:r w:rsidR="003E17E7">
        <w:t>c</w:t>
      </w:r>
      <w:r w:rsidRPr="00BB003D" w:rsidR="00BB003D">
        <w:t xml:space="preserve">ustomer fails to timely pay a monthly invoice </w:t>
      </w:r>
      <w:r w:rsidRPr="00BB003D" w:rsidR="00432831">
        <w:t xml:space="preserve">for </w:t>
      </w:r>
      <w:r w:rsidRPr="00BB003D" w:rsidR="00BB003D">
        <w:t xml:space="preserve">study costs, it will be subject to withdrawal and afforded 15 </w:t>
      </w:r>
      <w:r w:rsidR="00B630C7">
        <w:t>b</w:t>
      </w:r>
      <w:r w:rsidRPr="00BB003D" w:rsidR="00BB003D">
        <w:t xml:space="preserve">usiness </w:t>
      </w:r>
      <w:r w:rsidR="00B630C7">
        <w:t>d</w:t>
      </w:r>
      <w:r w:rsidRPr="00BB003D" w:rsidR="00BB003D">
        <w:t xml:space="preserve">ays to make </w:t>
      </w:r>
      <w:r w:rsidRPr="00BB003D" w:rsidR="00700257">
        <w:t xml:space="preserve">the </w:t>
      </w:r>
      <w:r w:rsidRPr="00BB003D" w:rsidR="00BB003D">
        <w:t>required payment.</w:t>
      </w:r>
      <w:r>
        <w:t xml:space="preserve">  </w:t>
      </w:r>
      <w:r w:rsidR="00B446D5">
        <w:rPr>
          <w:color w:val="000000"/>
        </w:rPr>
        <w:t xml:space="preserve">NYISO argues that these revisions </w:t>
      </w:r>
      <w:r w:rsidRPr="00B446D5" w:rsidR="00B446D5">
        <w:rPr>
          <w:color w:val="000000"/>
        </w:rPr>
        <w:t>will reduce the potential for study delays</w:t>
      </w:r>
      <w:r w:rsidR="00B446D5">
        <w:rPr>
          <w:color w:val="000000"/>
        </w:rPr>
        <w:t xml:space="preserve"> and notes that </w:t>
      </w:r>
      <w:r w:rsidRPr="008E0B0C" w:rsidR="008E0B0C">
        <w:rPr>
          <w:color w:val="000000"/>
        </w:rPr>
        <w:t xml:space="preserve">the </w:t>
      </w:r>
      <w:r w:rsidR="00080273">
        <w:rPr>
          <w:color w:val="000000"/>
        </w:rPr>
        <w:t>i</w:t>
      </w:r>
      <w:r w:rsidRPr="008E0B0C" w:rsidR="008E0B0C">
        <w:rPr>
          <w:color w:val="000000"/>
        </w:rPr>
        <w:t xml:space="preserve">nterconnection </w:t>
      </w:r>
      <w:r w:rsidR="00080273">
        <w:rPr>
          <w:color w:val="000000"/>
        </w:rPr>
        <w:t>c</w:t>
      </w:r>
      <w:r w:rsidRPr="008E0B0C" w:rsidR="008E0B0C">
        <w:rPr>
          <w:color w:val="000000"/>
        </w:rPr>
        <w:t xml:space="preserve">ustomer </w:t>
      </w:r>
      <w:r w:rsidR="008E0B0C">
        <w:rPr>
          <w:color w:val="000000"/>
        </w:rPr>
        <w:t xml:space="preserve">will still be able to </w:t>
      </w:r>
      <w:r w:rsidRPr="008E0B0C" w:rsidR="008E0B0C">
        <w:rPr>
          <w:color w:val="000000"/>
        </w:rPr>
        <w:t>initiate Dispute Resolution concerning the deficiencies that led to the withdrawal</w:t>
      </w:r>
      <w:r w:rsidR="008E0B0C">
        <w:rPr>
          <w:color w:val="000000"/>
        </w:rPr>
        <w:t xml:space="preserve">. </w:t>
      </w:r>
      <w:r w:rsidR="00E5430E">
        <w:rPr>
          <w:color w:val="000000"/>
        </w:rPr>
        <w:t xml:space="preserve"> </w:t>
      </w:r>
      <w:r w:rsidR="00AC2B64">
        <w:rPr>
          <w:color w:val="000000"/>
        </w:rPr>
        <w:t xml:space="preserve">NYISO notes that the tariff language included with its Initial Filing </w:t>
      </w:r>
      <w:r w:rsidRPr="00E450FA" w:rsidR="00AC2B64">
        <w:rPr>
          <w:color w:val="000000"/>
        </w:rPr>
        <w:t>inadvertently misnumbered the categories</w:t>
      </w:r>
      <w:r w:rsidR="00AC2B64">
        <w:rPr>
          <w:color w:val="000000"/>
        </w:rPr>
        <w:t xml:space="preserve"> of exceptions to the 15</w:t>
      </w:r>
      <w:r w:rsidR="003E7E76">
        <w:rPr>
          <w:color w:val="000000"/>
        </w:rPr>
        <w:t xml:space="preserve"> </w:t>
      </w:r>
      <w:r w:rsidR="00B46A95">
        <w:rPr>
          <w:color w:val="000000"/>
        </w:rPr>
        <w:t>b</w:t>
      </w:r>
      <w:r w:rsidR="00AC2B64">
        <w:rPr>
          <w:color w:val="000000"/>
        </w:rPr>
        <w:t xml:space="preserve">usiness </w:t>
      </w:r>
      <w:r w:rsidR="00B46A95">
        <w:rPr>
          <w:color w:val="000000"/>
        </w:rPr>
        <w:t>d</w:t>
      </w:r>
      <w:r w:rsidR="00AC2B64">
        <w:rPr>
          <w:color w:val="000000"/>
        </w:rPr>
        <w:t xml:space="preserve">ay cure period in Section </w:t>
      </w:r>
      <w:r w:rsidRPr="005C1701" w:rsidR="00AC2B64">
        <w:rPr>
          <w:color w:val="000000"/>
        </w:rPr>
        <w:t>40.6.4.1</w:t>
      </w:r>
      <w:r w:rsidR="00AC2B64">
        <w:rPr>
          <w:color w:val="000000"/>
        </w:rPr>
        <w:t xml:space="preserve">, </w:t>
      </w:r>
      <w:r w:rsidRPr="00C41401" w:rsidR="00AC2B64">
        <w:rPr>
          <w:color w:val="000000"/>
        </w:rPr>
        <w:t>creating the potential for confusion.</w:t>
      </w:r>
      <w:r>
        <w:rPr>
          <w:rStyle w:val="FootnoteReference"/>
          <w:color w:val="000000"/>
        </w:rPr>
        <w:footnoteReference w:id="34"/>
      </w:r>
      <w:r w:rsidR="00AC2B64">
        <w:rPr>
          <w:color w:val="000000"/>
        </w:rPr>
        <w:t xml:space="preserve">  NYISO consents to the Commission conditioning its acceptance of the filing on NYISO submitting a compliance filing to </w:t>
      </w:r>
      <w:r w:rsidR="00027B86">
        <w:rPr>
          <w:color w:val="000000"/>
        </w:rPr>
        <w:t>correct</w:t>
      </w:r>
      <w:r w:rsidR="00AC2B64">
        <w:rPr>
          <w:color w:val="000000"/>
        </w:rPr>
        <w:t xml:space="preserve"> this </w:t>
      </w:r>
      <w:r w:rsidR="00027B86">
        <w:rPr>
          <w:color w:val="000000"/>
        </w:rPr>
        <w:t>misnumbering</w:t>
      </w:r>
      <w:r w:rsidR="00AC2B64">
        <w:rPr>
          <w:color w:val="000000"/>
        </w:rPr>
        <w:t>, and NYISO proposes illustrative tariff language that would be included in this compliance filing.</w:t>
      </w:r>
    </w:p>
    <w:p w:rsidR="008019FA" w:rsidRPr="00AD71B5" w:rsidP="008019FA">
      <w:pPr>
        <w:pStyle w:val="FERCparanumber"/>
      </w:pPr>
      <w:r>
        <w:t xml:space="preserve">In addition, </w:t>
      </w:r>
      <w:r w:rsidRPr="00292F37">
        <w:t xml:space="preserve">NYISO proposes to permit an </w:t>
      </w:r>
      <w:r w:rsidR="00A234B9">
        <w:t>i</w:t>
      </w:r>
      <w:r w:rsidRPr="00292F37">
        <w:t xml:space="preserve">nterconnection </w:t>
      </w:r>
      <w:r w:rsidR="00A234B9">
        <w:t>c</w:t>
      </w:r>
      <w:r w:rsidRPr="00292F37">
        <w:t xml:space="preserve">ustomer to conditionally enter the Phase </w:t>
      </w:r>
      <w:r w:rsidR="0072687F">
        <w:t>1</w:t>
      </w:r>
      <w:r w:rsidRPr="00292F37">
        <w:t xml:space="preserve"> Study or Phase 2 Study if it has a pending dispute.  </w:t>
      </w:r>
      <w:r w:rsidR="00C41606">
        <w:t>NYISO contends that this revision</w:t>
      </w:r>
      <w:r w:rsidR="00FB211B">
        <w:t xml:space="preserve"> </w:t>
      </w:r>
      <w:r w:rsidRPr="00C41606" w:rsidR="00C41606">
        <w:t>will ensure that Cluster Study Projects that are ultimately determined in a dispute resolution proceeding to be eligible to proceed in the Cluster Study are not foreclosed from doing so because they were not permitted to satisfy the requirements to move on to the next process stage.</w:t>
      </w:r>
      <w:r>
        <w:rPr>
          <w:rStyle w:val="FootnoteReference"/>
        </w:rPr>
        <w:footnoteReference w:id="35"/>
      </w:r>
    </w:p>
    <w:p w:rsidR="008019FA" w:rsidRPr="00AD71B5" w:rsidP="008019FA">
      <w:pPr>
        <w:pStyle w:val="FERCparanumber"/>
      </w:pPr>
      <w:r w:rsidRPr="00C14942">
        <w:t xml:space="preserve">NYISO </w:t>
      </w:r>
      <w:r w:rsidR="00B917E3">
        <w:t xml:space="preserve">next </w:t>
      </w:r>
      <w:r w:rsidRPr="00C14942">
        <w:t xml:space="preserve">proposes </w:t>
      </w:r>
      <w:r w:rsidR="008843B4">
        <w:t xml:space="preserve">tariff revisions </w:t>
      </w:r>
      <w:r w:rsidR="0009603C">
        <w:t>to provide</w:t>
      </w:r>
      <w:r w:rsidRPr="00C14942">
        <w:t xml:space="preserve"> efficiency improvements in the Cluster Study Process.</w:t>
      </w:r>
      <w:r>
        <w:rPr>
          <w:rStyle w:val="FootnoteReference"/>
        </w:rPr>
        <w:footnoteReference w:id="36"/>
      </w:r>
      <w:r w:rsidRPr="00C14942">
        <w:t xml:space="preserve">  NYISO </w:t>
      </w:r>
      <w:r w:rsidR="00A32588">
        <w:t xml:space="preserve">first </w:t>
      </w:r>
      <w:r w:rsidRPr="00C14942">
        <w:t xml:space="preserve">proposes to clarify rules concerning </w:t>
      </w:r>
      <w:r w:rsidR="004449B9">
        <w:t xml:space="preserve">the timing of </w:t>
      </w:r>
      <w:r w:rsidR="00C73820">
        <w:t>C</w:t>
      </w:r>
      <w:r w:rsidRPr="00C14942">
        <w:t xml:space="preserve">ontingent </w:t>
      </w:r>
      <w:r w:rsidR="00C73820">
        <w:t>P</w:t>
      </w:r>
      <w:r w:rsidRPr="00C14942">
        <w:t>roject withdrawal.</w:t>
      </w:r>
      <w:r>
        <w:rPr>
          <w:rStyle w:val="FootnoteReference"/>
        </w:rPr>
        <w:footnoteReference w:id="37"/>
      </w:r>
      <w:r w:rsidR="00265E9C">
        <w:t xml:space="preserve">  </w:t>
      </w:r>
      <w:r w:rsidRPr="00265E9C" w:rsidR="00265E9C">
        <w:t>NYISO proposes to provide that</w:t>
      </w:r>
      <w:r w:rsidR="00595B13">
        <w:t>,</w:t>
      </w:r>
      <w:r w:rsidRPr="00265E9C" w:rsidR="00265E9C">
        <w:t xml:space="preserve"> if the </w:t>
      </w:r>
      <w:r w:rsidR="00A234B9">
        <w:t>i</w:t>
      </w:r>
      <w:r w:rsidRPr="00265E9C" w:rsidR="00265E9C">
        <w:t xml:space="preserve">nterconnection </w:t>
      </w:r>
      <w:r w:rsidR="00A234B9">
        <w:t>c</w:t>
      </w:r>
      <w:r w:rsidRPr="00265E9C" w:rsidR="00265E9C">
        <w:t xml:space="preserve">ustomer accepts the </w:t>
      </w:r>
      <w:r w:rsidR="00E329A8">
        <w:t xml:space="preserve">System Upgrade Facilities </w:t>
      </w:r>
      <w:r w:rsidRPr="00265E9C" w:rsidR="00265E9C">
        <w:t xml:space="preserve">Project Cost Allocation or the </w:t>
      </w:r>
      <w:r w:rsidR="00AB7D73">
        <w:t>Connecting</w:t>
      </w:r>
      <w:r w:rsidRPr="008D7300" w:rsidR="008D7300">
        <w:t xml:space="preserve"> Transmission Owner Attachment Facilities </w:t>
      </w:r>
      <w:r w:rsidRPr="00265E9C" w:rsidR="00265E9C">
        <w:t xml:space="preserve">required for the </w:t>
      </w:r>
      <w:r w:rsidR="00FC301D">
        <w:t>E</w:t>
      </w:r>
      <w:r w:rsidRPr="00FC301D" w:rsidR="00FC301D">
        <w:t xml:space="preserve">nergy Resource Interconnection Service </w:t>
      </w:r>
      <w:r w:rsidRPr="00265E9C" w:rsidR="00265E9C">
        <w:t xml:space="preserve">for the Pending Project in any decision round in the Final Decision Period, then </w:t>
      </w:r>
      <w:r w:rsidR="00896C1F">
        <w:t>NYISO</w:t>
      </w:r>
      <w:r w:rsidR="00265E9C">
        <w:t xml:space="preserve"> </w:t>
      </w:r>
      <w:r w:rsidRPr="00265E9C" w:rsidR="00265E9C">
        <w:t>shall withdraw the Contingent Project.</w:t>
      </w:r>
      <w:r w:rsidRPr="00AD71B5">
        <w:rPr>
          <w:i/>
          <w:iCs/>
        </w:rPr>
        <w:t xml:space="preserve">  </w:t>
      </w:r>
      <w:r w:rsidRPr="00814D4C">
        <w:t xml:space="preserve">NYISO </w:t>
      </w:r>
      <w:r w:rsidR="00F3603C">
        <w:t>then proposes to clarify its</w:t>
      </w:r>
      <w:r w:rsidRPr="00C14942">
        <w:t xml:space="preserve"> Final Decision Period rule</w:t>
      </w:r>
      <w:r w:rsidR="00F3603C">
        <w:t xml:space="preserve"> which states that </w:t>
      </w:r>
      <w:r w:rsidRPr="00C14942" w:rsidR="00F3603C">
        <w:t xml:space="preserve">an </w:t>
      </w:r>
      <w:r w:rsidR="00F3603C">
        <w:t>interconnection customer</w:t>
      </w:r>
      <w:r w:rsidRPr="00C14942" w:rsidR="00F3603C">
        <w:t xml:space="preserve"> with increased costs must elect anew in the next round whether to accept its updated project cost allocation and pay cash or post security for the updated amount, unless its costs do not increase by greater than 10%.</w:t>
      </w:r>
      <w:r w:rsidRPr="00AD71B5" w:rsidR="00F3603C">
        <w:rPr>
          <w:i/>
          <w:iCs/>
        </w:rPr>
        <w:t xml:space="preserve">  </w:t>
      </w:r>
      <w:r w:rsidRPr="00C14942">
        <w:t>NYISO proposes to clarify how it calculates the greater than 10% amount for the Final Decision Period requirements</w:t>
      </w:r>
      <w:r w:rsidR="00D70867">
        <w:t>:</w:t>
      </w:r>
      <w:r w:rsidR="007D5612">
        <w:t xml:space="preserve"> specifically, </w:t>
      </w:r>
      <w:r w:rsidRPr="00C14942">
        <w:t>the greater than 10% amount will be determined not based on cost increases between individual rounds but based on the cumulative increase in costs that occur across multiple rounds.</w:t>
      </w:r>
      <w:r>
        <w:rPr>
          <w:rStyle w:val="FootnoteReference"/>
        </w:rPr>
        <w:footnoteReference w:id="38"/>
      </w:r>
      <w:r w:rsidRPr="00C14942">
        <w:t xml:space="preserve">  </w:t>
      </w:r>
      <w:r w:rsidR="00936E5A">
        <w:t xml:space="preserve">NYISO </w:t>
      </w:r>
      <w:r w:rsidR="009E2D1F">
        <w:t xml:space="preserve">explains </w:t>
      </w:r>
      <w:r w:rsidR="00936E5A">
        <w:t xml:space="preserve">that this </w:t>
      </w:r>
      <w:r w:rsidR="00EB53B0">
        <w:t xml:space="preserve">revision will prevent the interconnection customer from facing the unreasonable situation in which </w:t>
      </w:r>
      <w:r w:rsidRPr="00EB53B0" w:rsidR="00EB53B0">
        <w:t>its cost increases end up cumulatively much higher than 10%, but it does not have the opportunity to make a new election</w:t>
      </w:r>
      <w:r w:rsidR="00EB53B0">
        <w:t xml:space="preserve">. </w:t>
      </w:r>
      <w:r w:rsidR="00B36859">
        <w:t xml:space="preserve"> </w:t>
      </w:r>
      <w:r w:rsidRPr="00C14942">
        <w:t xml:space="preserve">NYISO </w:t>
      </w:r>
      <w:r>
        <w:t>also</w:t>
      </w:r>
      <w:r w:rsidRPr="00C14942">
        <w:t xml:space="preserve"> proposes to subje</w:t>
      </w:r>
      <w:r w:rsidRPr="00292F37">
        <w:t xml:space="preserve">ct Interconnection Customers to interest for unpaid invoiced amounts and </w:t>
      </w:r>
      <w:r w:rsidR="009E2D1F">
        <w:t xml:space="preserve">to calculate such </w:t>
      </w:r>
      <w:r w:rsidRPr="00292F37">
        <w:t>interest in accordance with the interest rate established by the Commission’s regulations.</w:t>
      </w:r>
      <w:r>
        <w:rPr>
          <w:rStyle w:val="FootnoteReference"/>
        </w:rPr>
        <w:footnoteReference w:id="39"/>
      </w:r>
      <w:r w:rsidRPr="00292F37">
        <w:t xml:space="preserve">  NYISO </w:t>
      </w:r>
      <w:r w:rsidR="009E2D1F">
        <w:t>argues</w:t>
      </w:r>
      <w:r w:rsidRPr="00292F37" w:rsidR="009E2D1F">
        <w:t xml:space="preserve"> </w:t>
      </w:r>
      <w:r w:rsidRPr="00292F37">
        <w:t xml:space="preserve">that it cannot postpone its payments for study work incurred in the Cluster Study Process because an </w:t>
      </w:r>
      <w:r w:rsidR="00A234B9">
        <w:t>i</w:t>
      </w:r>
      <w:r w:rsidRPr="00292F37">
        <w:t xml:space="preserve">nterconnection </w:t>
      </w:r>
      <w:r w:rsidR="00A234B9">
        <w:t>c</w:t>
      </w:r>
      <w:r w:rsidRPr="00292F37">
        <w:t>ustomer fails to timely pay its invoice.</w:t>
      </w:r>
      <w:r>
        <w:rPr>
          <w:rStyle w:val="FootnoteReference"/>
        </w:rPr>
        <w:footnoteReference w:id="40"/>
      </w:r>
    </w:p>
    <w:p w:rsidR="008D445E" w:rsidRPr="001D653C" w:rsidP="008019FA">
      <w:pPr>
        <w:pStyle w:val="FERCparanumber"/>
      </w:pPr>
      <w:r w:rsidRPr="00B71C16">
        <w:t xml:space="preserve">NYISO proposes </w:t>
      </w:r>
      <w:r w:rsidR="0009603C">
        <w:t>tariff revisions to provide</w:t>
      </w:r>
      <w:r w:rsidR="00D16E81">
        <w:t xml:space="preserve"> </w:t>
      </w:r>
      <w:r w:rsidRPr="00B71C16">
        <w:t xml:space="preserve">pre- and </w:t>
      </w:r>
      <w:r w:rsidRPr="000165AB">
        <w:t>post-Cluster Study Process improvements</w:t>
      </w:r>
      <w:r>
        <w:t>.</w:t>
      </w:r>
      <w:r>
        <w:rPr>
          <w:rStyle w:val="FootnoteReference"/>
        </w:rPr>
        <w:footnoteReference w:id="41"/>
      </w:r>
      <w:r>
        <w:t xml:space="preserve">  </w:t>
      </w:r>
      <w:r w:rsidRPr="000165AB">
        <w:t xml:space="preserve">Specifically, NYISO proposes to remove the requirement that the </w:t>
      </w:r>
      <w:r w:rsidR="00F37781">
        <w:t xml:space="preserve">           </w:t>
      </w:r>
      <w:r w:rsidRPr="000165AB">
        <w:t xml:space="preserve">Pre-Application Report cover up to two </w:t>
      </w:r>
      <w:r w:rsidRPr="00974B6B" w:rsidR="00815967">
        <w:t>P</w:t>
      </w:r>
      <w:r w:rsidR="00815967">
        <w:t xml:space="preserve">oints of </w:t>
      </w:r>
      <w:r w:rsidRPr="00974B6B" w:rsidR="00815967">
        <w:t>I</w:t>
      </w:r>
      <w:r w:rsidR="00815967">
        <w:t xml:space="preserve">nterconnection </w:t>
      </w:r>
      <w:r w:rsidRPr="000165AB">
        <w:t>for each request</w:t>
      </w:r>
      <w:r w:rsidRPr="005866C7">
        <w:rPr>
          <w:i/>
          <w:iCs/>
        </w:rPr>
        <w:t>.</w:t>
      </w:r>
      <w:r>
        <w:rPr>
          <w:rStyle w:val="FootnoteReference"/>
        </w:rPr>
        <w:footnoteReference w:id="42"/>
      </w:r>
      <w:r w:rsidRPr="005866C7">
        <w:rPr>
          <w:i/>
          <w:iCs/>
        </w:rPr>
        <w:t xml:space="preserve">  </w:t>
      </w:r>
      <w:r w:rsidRPr="000165AB">
        <w:t xml:space="preserve">NYISO </w:t>
      </w:r>
      <w:r>
        <w:t>states that</w:t>
      </w:r>
      <w:r w:rsidRPr="000165AB">
        <w:t xml:space="preserve">, where there are two </w:t>
      </w:r>
      <w:r w:rsidRPr="00974B6B" w:rsidR="00815967">
        <w:t>P</w:t>
      </w:r>
      <w:r w:rsidR="00815967">
        <w:t xml:space="preserve">oints of </w:t>
      </w:r>
      <w:r w:rsidRPr="00974B6B" w:rsidR="00815967">
        <w:t>I</w:t>
      </w:r>
      <w:r w:rsidR="00815967">
        <w:t>nterconnection</w:t>
      </w:r>
      <w:r w:rsidRPr="000165AB">
        <w:t xml:space="preserve">, there </w:t>
      </w:r>
      <w:r w:rsidRPr="00AD71B5">
        <w:t xml:space="preserve">may be two different Connecting Transmission Owners, making a single Pre-Application Report impractical.  NYISO also proposes that, for the Pre-Application Report process, the applicable Connecting Transmission Owner, in coordination with any Affected Transmission Owners, </w:t>
      </w:r>
      <w:r w:rsidR="009E16AF">
        <w:t>must</w:t>
      </w:r>
      <w:r w:rsidRPr="00AD71B5" w:rsidR="009E16AF">
        <w:t xml:space="preserve"> </w:t>
      </w:r>
      <w:r w:rsidRPr="00AD71B5">
        <w:t xml:space="preserve">complete and return to the requesting entity a </w:t>
      </w:r>
      <w:r w:rsidR="00F37781">
        <w:t xml:space="preserve">                            </w:t>
      </w:r>
      <w:r w:rsidRPr="00AD71B5">
        <w:t>Pre-Application Report.  NYISO further proposes certain revisions to the form to clarify and provide additional detail for certain data elements.</w:t>
      </w:r>
      <w:r w:rsidRPr="00AD71B5">
        <w:rPr>
          <w:i/>
          <w:iCs/>
        </w:rPr>
        <w:t xml:space="preserve">  </w:t>
      </w:r>
      <w:r w:rsidRPr="00AD71B5">
        <w:t xml:space="preserve">NYISO additionally proposes more flexibility upfront for the parties to establish a realistic Commercial Operation Date as part of the negotiation of an interconnection agreement but will then apply more stringent requirements for subsequent requests to extend that </w:t>
      </w:r>
      <w:r w:rsidRPr="00AD71B5" w:rsidR="00074D94">
        <w:t>Commercial Operation Date</w:t>
      </w:r>
      <w:r w:rsidRPr="00AD71B5">
        <w:t>.</w:t>
      </w:r>
      <w:r>
        <w:rPr>
          <w:rStyle w:val="FootnoteReference"/>
        </w:rPr>
        <w:footnoteReference w:id="43"/>
      </w:r>
      <w:r w:rsidRPr="00AD71B5">
        <w:t xml:space="preserve">  Accordingly, NYISO proposes certain reforms to its </w:t>
      </w:r>
      <w:r w:rsidRPr="00AD71B5" w:rsidR="00074D94">
        <w:t xml:space="preserve">Commercial Operation Date </w:t>
      </w:r>
      <w:r w:rsidRPr="00AD71B5">
        <w:t xml:space="preserve">extension requirements to continue to incentivize progress towards project completion without encouraging speculative or less commercially ready projects to remain in the </w:t>
      </w:r>
      <w:r w:rsidR="00254227">
        <w:t>q</w:t>
      </w:r>
      <w:r w:rsidRPr="00AD71B5">
        <w:t xml:space="preserve">ueue.  NYISO states that this change eliminates unnecessary reporting requirements and will assist NYISO in determining whether a project remains on target for its </w:t>
      </w:r>
      <w:r w:rsidRPr="00AD71B5" w:rsidR="00074D94">
        <w:t xml:space="preserve">Commercial Operation Date </w:t>
      </w:r>
      <w:r w:rsidRPr="00AD71B5">
        <w:t>or must seek an extension.</w:t>
      </w:r>
      <w:r>
        <w:rPr>
          <w:rStyle w:val="FootnoteReference"/>
        </w:rPr>
        <w:footnoteReference w:id="44"/>
      </w:r>
      <w:r w:rsidRPr="00AD71B5">
        <w:t xml:space="preserve">  Additionally, NYISO proposes that, rather than two separate reporting obligations, there be only one quarterly reporting obligation.</w:t>
      </w:r>
      <w:r w:rsidRPr="00AD71B5">
        <w:rPr>
          <w:color w:val="000000"/>
        </w:rPr>
        <w:t xml:space="preserve">  </w:t>
      </w:r>
    </w:p>
    <w:p w:rsidR="00A4557F" w:rsidRPr="00AA13AF" w:rsidP="00485C63">
      <w:pPr>
        <w:pStyle w:val="FERCparanumber"/>
      </w:pPr>
      <w:r w:rsidRPr="00240A8B">
        <w:rPr>
          <w:color w:val="000000"/>
        </w:rPr>
        <w:t xml:space="preserve">Finally, NYISO proposes various ministerial </w:t>
      </w:r>
      <w:r w:rsidR="00066631">
        <w:rPr>
          <w:color w:val="000000"/>
        </w:rPr>
        <w:t>tariff</w:t>
      </w:r>
      <w:r w:rsidRPr="00240A8B">
        <w:rPr>
          <w:color w:val="000000"/>
        </w:rPr>
        <w:t xml:space="preserve"> revisions to clean-up and clarify existing language, including consolidat</w:t>
      </w:r>
      <w:r w:rsidRPr="00240A8B" w:rsidR="003B5B14">
        <w:rPr>
          <w:color w:val="000000"/>
        </w:rPr>
        <w:t>ing</w:t>
      </w:r>
      <w:r w:rsidRPr="00240A8B" w:rsidR="008019FA">
        <w:rPr>
          <w:color w:val="000000"/>
        </w:rPr>
        <w:t xml:space="preserve"> study cost allocation rules for </w:t>
      </w:r>
      <w:r w:rsidR="00F37781">
        <w:rPr>
          <w:color w:val="000000"/>
        </w:rPr>
        <w:t xml:space="preserve">                  </w:t>
      </w:r>
      <w:r w:rsidRPr="00240A8B" w:rsidR="008019FA">
        <w:rPr>
          <w:color w:val="000000"/>
        </w:rPr>
        <w:t>non-cluster studies</w:t>
      </w:r>
      <w:r w:rsidRPr="00240A8B" w:rsidR="00594648">
        <w:rPr>
          <w:color w:val="000000"/>
        </w:rPr>
        <w:t xml:space="preserve"> into one </w:t>
      </w:r>
      <w:r w:rsidRPr="00240A8B" w:rsidR="00E661A3">
        <w:rPr>
          <w:color w:val="000000"/>
        </w:rPr>
        <w:t>section of Attachment HH</w:t>
      </w:r>
      <w:r w:rsidRPr="00240A8B" w:rsidR="008019FA">
        <w:rPr>
          <w:color w:val="000000"/>
        </w:rPr>
        <w:t>.</w:t>
      </w:r>
      <w:r>
        <w:rPr>
          <w:rStyle w:val="FootnoteReference"/>
          <w:color w:val="000000"/>
        </w:rPr>
        <w:footnoteReference w:id="45"/>
      </w:r>
    </w:p>
    <w:p w:rsidR="00B86E6D" w:rsidP="00B86E6D">
      <w:pPr>
        <w:pStyle w:val="Heading1"/>
      </w:pPr>
      <w:r>
        <w:t>Notice and Responsive Pleadings</w:t>
      </w:r>
    </w:p>
    <w:p w:rsidR="00CE65A1" w:rsidP="00CE65A1">
      <w:pPr>
        <w:pStyle w:val="FERCparanumber"/>
      </w:pPr>
      <w:r>
        <w:t xml:space="preserve">Notice of NYISO’s </w:t>
      </w:r>
      <w:r w:rsidR="000C22BD">
        <w:t>Initial F</w:t>
      </w:r>
      <w:r>
        <w:t xml:space="preserve">iling was published in the </w:t>
      </w:r>
      <w:r w:rsidRPr="003C6A80">
        <w:rPr>
          <w:i/>
        </w:rPr>
        <w:t>Federal Register</w:t>
      </w:r>
      <w:r>
        <w:t xml:space="preserve">, </w:t>
      </w:r>
      <w:r w:rsidR="00F37781">
        <w:t xml:space="preserve">                            </w:t>
      </w:r>
      <w:r>
        <w:t xml:space="preserve">91 Fed. Reg. 33169 (June 3, 2026), with interventions and protests due on or before </w:t>
      </w:r>
      <w:r w:rsidR="00F37781">
        <w:t xml:space="preserve">                 </w:t>
      </w:r>
      <w:r>
        <w:t>June 22, 2026.  A timely motion to intervene was filed by the New York Transmission Owners.</w:t>
      </w:r>
      <w:r>
        <w:rPr>
          <w:rStyle w:val="FootnoteReference"/>
        </w:rPr>
        <w:footnoteReference w:id="46"/>
      </w:r>
    </w:p>
    <w:p w:rsidR="00B86E6D" w:rsidP="00B86E6D">
      <w:pPr>
        <w:pStyle w:val="Heading1"/>
      </w:pPr>
      <w:r>
        <w:t>Discussion</w:t>
      </w:r>
    </w:p>
    <w:p w:rsidR="00B86E6D" w:rsidP="00B86E6D">
      <w:pPr>
        <w:pStyle w:val="Heading2"/>
      </w:pPr>
      <w:r>
        <w:t>Procedural Matters</w:t>
      </w:r>
    </w:p>
    <w:p w:rsidR="00632E9C" w:rsidRPr="00632E9C" w:rsidP="00632E9C">
      <w:pPr>
        <w:pStyle w:val="FERCparanumber"/>
      </w:pPr>
      <w:r>
        <w:t>Pursuant to Rule 214 of the Commission’s Rules of Practice and Procedure,</w:t>
      </w:r>
      <w:r w:rsidR="00647962">
        <w:t xml:space="preserve"> </w:t>
      </w:r>
      <w:r w:rsidR="00F37781">
        <w:t xml:space="preserve">                </w:t>
      </w:r>
      <w:r>
        <w:t>18 C.F.R. § 385.214 (2025), the New York Transmission Owners’ timely, unopposed motion to intervene serve</w:t>
      </w:r>
      <w:r w:rsidR="000A675B">
        <w:t>s</w:t>
      </w:r>
      <w:r>
        <w:t xml:space="preserve"> to make </w:t>
      </w:r>
      <w:r w:rsidR="00EC2D24">
        <w:t>them</w:t>
      </w:r>
      <w:r>
        <w:t xml:space="preserve"> part</w:t>
      </w:r>
      <w:r w:rsidR="00EC2D24">
        <w:t>ies</w:t>
      </w:r>
      <w:r>
        <w:t xml:space="preserve"> to this proceeding.</w:t>
      </w:r>
    </w:p>
    <w:p w:rsidR="00B86E6D" w:rsidP="00B86E6D">
      <w:pPr>
        <w:pStyle w:val="Heading2"/>
      </w:pPr>
      <w:r>
        <w:t>Substantive Matters</w:t>
      </w:r>
    </w:p>
    <w:p w:rsidR="004448DE" w:rsidP="00C85B01">
      <w:pPr>
        <w:pStyle w:val="FERCparanumber"/>
      </w:pPr>
      <w:r>
        <w:t xml:space="preserve">We accept NYISO’s </w:t>
      </w:r>
      <w:r w:rsidR="00682DBD">
        <w:t xml:space="preserve">proposed </w:t>
      </w:r>
      <w:r w:rsidR="00507C72">
        <w:t>OATT</w:t>
      </w:r>
      <w:r w:rsidR="00682DBD">
        <w:t xml:space="preserve"> revisions, </w:t>
      </w:r>
      <w:r w:rsidR="00F532DD">
        <w:t xml:space="preserve">effective July </w:t>
      </w:r>
      <w:r w:rsidR="00B00FB5">
        <w:t xml:space="preserve">29, 2026, as requested, </w:t>
      </w:r>
      <w:r w:rsidR="00804671">
        <w:t xml:space="preserve">subject to condition, </w:t>
      </w:r>
      <w:r w:rsidR="00023459">
        <w:t xml:space="preserve">and direct NYISO to submit a compliance filing </w:t>
      </w:r>
      <w:r w:rsidR="00DC3077">
        <w:t>within 30 days of the date of this order, as discussed below.</w:t>
      </w:r>
      <w:r>
        <w:rPr>
          <w:rStyle w:val="FootnoteReference"/>
        </w:rPr>
        <w:footnoteReference w:id="47"/>
      </w:r>
      <w:r w:rsidR="00DC3077">
        <w:t xml:space="preserve">  </w:t>
      </w:r>
      <w:r w:rsidR="00C85B01">
        <w:t>We find that NYISO’s proposal</w:t>
      </w:r>
      <w:r w:rsidR="004660B6">
        <w:t xml:space="preserve">, including the requested </w:t>
      </w:r>
      <w:r w:rsidR="00E8705C">
        <w:t>independent entity variations</w:t>
      </w:r>
      <w:r w:rsidR="007C3895">
        <w:t>,</w:t>
      </w:r>
      <w:r w:rsidR="00C85B01">
        <w:t xml:space="preserve"> </w:t>
      </w:r>
      <w:r w:rsidR="00912288">
        <w:t>is</w:t>
      </w:r>
      <w:r w:rsidR="00C85B01">
        <w:t xml:space="preserve"> just and reasonable </w:t>
      </w:r>
      <w:r w:rsidR="00C33126">
        <w:t xml:space="preserve">and not unduly discriminatory or preferential </w:t>
      </w:r>
      <w:r w:rsidR="00C85B01">
        <w:t xml:space="preserve">because </w:t>
      </w:r>
      <w:r w:rsidR="00682E53">
        <w:t>the proposal</w:t>
      </w:r>
      <w:r w:rsidR="00C85B01">
        <w:t xml:space="preserve"> </w:t>
      </w:r>
      <w:r w:rsidR="00234E50">
        <w:t xml:space="preserve">makes various </w:t>
      </w:r>
      <w:r w:rsidR="006E268E">
        <w:t xml:space="preserve">changes and </w:t>
      </w:r>
      <w:r w:rsidR="00C505FE">
        <w:t xml:space="preserve">clarifications to NYISO’s </w:t>
      </w:r>
      <w:r w:rsidR="00917AC1">
        <w:t>interconnection procedures</w:t>
      </w:r>
      <w:r w:rsidR="007053DA">
        <w:t xml:space="preserve"> that </w:t>
      </w:r>
      <w:r w:rsidR="006E268E">
        <w:t xml:space="preserve">will improve the efficiency of </w:t>
      </w:r>
      <w:r w:rsidR="00DA5D1D">
        <w:t>NYISO’s Cluster Study Process by</w:t>
      </w:r>
      <w:r w:rsidR="00C505FE">
        <w:t xml:space="preserve"> </w:t>
      </w:r>
      <w:r w:rsidRPr="00BB785C" w:rsidR="00C85B01">
        <w:t>reduc</w:t>
      </w:r>
      <w:r w:rsidR="00DA5D1D">
        <w:t>ing</w:t>
      </w:r>
      <w:r w:rsidRPr="00BB785C" w:rsidR="00C85B01">
        <w:t xml:space="preserve"> deficiencies and disputes, streamlin</w:t>
      </w:r>
      <w:r w:rsidR="002C240A">
        <w:t>ing</w:t>
      </w:r>
      <w:r w:rsidRPr="00BB785C" w:rsidR="00C85B01">
        <w:t xml:space="preserve"> workflows, limit</w:t>
      </w:r>
      <w:r w:rsidR="002C240A">
        <w:t>ing</w:t>
      </w:r>
      <w:r w:rsidRPr="00BB785C" w:rsidR="00C85B01">
        <w:t xml:space="preserve"> delays triggered by withdrawals, </w:t>
      </w:r>
      <w:r w:rsidR="00A20684">
        <w:t xml:space="preserve">and </w:t>
      </w:r>
      <w:r w:rsidRPr="00BB785C" w:rsidR="00C85B01">
        <w:t>increas</w:t>
      </w:r>
      <w:r w:rsidR="00A20684">
        <w:t>ing</w:t>
      </w:r>
      <w:r w:rsidRPr="00BB785C" w:rsidR="00C85B01">
        <w:t xml:space="preserve"> predictability and transparency</w:t>
      </w:r>
      <w:r w:rsidR="00C85B01">
        <w:t>.</w:t>
      </w:r>
      <w:r w:rsidR="00394602">
        <w:t xml:space="preserve"> </w:t>
      </w:r>
      <w:r w:rsidR="00A62C53">
        <w:t xml:space="preserve"> </w:t>
      </w:r>
      <w:r w:rsidR="00394602">
        <w:t xml:space="preserve">We also find that the proposed </w:t>
      </w:r>
      <w:r w:rsidR="00507C72">
        <w:t>OATT</w:t>
      </w:r>
      <w:r w:rsidR="00394602">
        <w:t xml:space="preserve"> revisions will accomplish the purpose</w:t>
      </w:r>
      <w:r w:rsidR="00653193">
        <w:t>s</w:t>
      </w:r>
      <w:r w:rsidR="00394602">
        <w:t xml:space="preserve"> </w:t>
      </w:r>
      <w:r w:rsidR="00847660">
        <w:t xml:space="preserve">of Order Nos. 2023 and 2023-A </w:t>
      </w:r>
      <w:r w:rsidRPr="00EF1667" w:rsidR="000B1A5D">
        <w:t xml:space="preserve">by </w:t>
      </w:r>
      <w:r w:rsidR="0061146F">
        <w:t xml:space="preserve">helping to </w:t>
      </w:r>
      <w:r w:rsidRPr="00EF1667" w:rsidR="000B1A5D">
        <w:t>ensur</w:t>
      </w:r>
      <w:r w:rsidR="0061146F">
        <w:t>e</w:t>
      </w:r>
      <w:r w:rsidRPr="00EF1667" w:rsidR="000B1A5D">
        <w:t xml:space="preserve"> a</w:t>
      </w:r>
      <w:r w:rsidR="003E7FDB">
        <w:t>n</w:t>
      </w:r>
      <w:r w:rsidRPr="00EF1667" w:rsidR="000B1A5D">
        <w:t xml:space="preserve"> efficient</w:t>
      </w:r>
      <w:r w:rsidR="00E60D6E">
        <w:t>, transparent, and timely</w:t>
      </w:r>
      <w:r w:rsidRPr="00EF1667" w:rsidR="000B1A5D">
        <w:t xml:space="preserve"> interconnection study process</w:t>
      </w:r>
      <w:r w:rsidR="00F95642">
        <w:t>.</w:t>
      </w:r>
      <w:r>
        <w:rPr>
          <w:rStyle w:val="FootnoteReference"/>
        </w:rPr>
        <w:footnoteReference w:id="48"/>
      </w:r>
      <w:r w:rsidR="00847660">
        <w:t xml:space="preserve"> </w:t>
      </w:r>
      <w:r w:rsidR="001A2DBE">
        <w:t xml:space="preserve"> </w:t>
      </w:r>
    </w:p>
    <w:p w:rsidR="00606A0B" w:rsidRPr="00F81AB7" w:rsidP="00F81AB7">
      <w:pPr>
        <w:pStyle w:val="FERCparanumber"/>
      </w:pPr>
      <w:r w:rsidRPr="00FD7036">
        <w:t>We agree with</w:t>
      </w:r>
      <w:r w:rsidR="00AD0EA2">
        <w:t xml:space="preserve"> </w:t>
      </w:r>
      <w:r w:rsidRPr="00D2202A" w:rsidR="00AD0EA2">
        <w:t xml:space="preserve">NYISO </w:t>
      </w:r>
      <w:r>
        <w:t xml:space="preserve">that its </w:t>
      </w:r>
      <w:r w:rsidRPr="00D2202A" w:rsidR="00AD0EA2">
        <w:t>propose</w:t>
      </w:r>
      <w:r>
        <w:t>d</w:t>
      </w:r>
      <w:r w:rsidRPr="00D2202A" w:rsidR="00AD0EA2">
        <w:t xml:space="preserve"> efficiency improvements in the submission and validation of </w:t>
      </w:r>
      <w:r w:rsidR="006A4BE2">
        <w:t>i</w:t>
      </w:r>
      <w:r w:rsidRPr="00D2202A" w:rsidR="00AD0EA2">
        <w:t xml:space="preserve">nterconnection </w:t>
      </w:r>
      <w:r w:rsidR="006A4BE2">
        <w:t>r</w:t>
      </w:r>
      <w:r w:rsidRPr="00D2202A" w:rsidR="00AD0EA2">
        <w:t>equests</w:t>
      </w:r>
      <w:r w:rsidR="00FD7036">
        <w:t xml:space="preserve"> increase </w:t>
      </w:r>
      <w:r w:rsidRPr="00D2202A" w:rsidR="00AD0EA2">
        <w:t xml:space="preserve">efficiency without reducing the information that NYISO needs to process </w:t>
      </w:r>
      <w:r w:rsidR="006A4BE2">
        <w:t>i</w:t>
      </w:r>
      <w:r w:rsidRPr="00D2202A" w:rsidR="00AD0EA2">
        <w:t xml:space="preserve">nterconnection </w:t>
      </w:r>
      <w:r w:rsidR="006A4BE2">
        <w:t>r</w:t>
      </w:r>
      <w:r w:rsidRPr="00D2202A" w:rsidR="00AD0EA2">
        <w:t>equests</w:t>
      </w:r>
      <w:r w:rsidR="00AD0EA2">
        <w:t>.</w:t>
      </w:r>
      <w:r w:rsidR="00BD5227">
        <w:t xml:space="preserve"> </w:t>
      </w:r>
      <w:r w:rsidRPr="00D2202A" w:rsidR="00AD0EA2">
        <w:t xml:space="preserve"> </w:t>
      </w:r>
      <w:r w:rsidR="00BD366D">
        <w:t xml:space="preserve">We agree that NYISO’s proposed </w:t>
      </w:r>
      <w:r w:rsidR="00507C72">
        <w:t xml:space="preserve">OATT </w:t>
      </w:r>
      <w:r w:rsidR="00BD366D">
        <w:t xml:space="preserve">revisions </w:t>
      </w:r>
      <w:r w:rsidR="00E5660D">
        <w:t xml:space="preserve">regarding </w:t>
      </w:r>
      <w:r w:rsidR="00E05157">
        <w:t>the Phase 1 and Phase 2 Studies</w:t>
      </w:r>
      <w:r w:rsidRPr="00BD5227" w:rsidR="00E05157">
        <w:t xml:space="preserve"> </w:t>
      </w:r>
      <w:r w:rsidR="00000AB3">
        <w:t>will</w:t>
      </w:r>
      <w:r w:rsidRPr="00BD5227" w:rsidR="00BD5227">
        <w:t xml:space="preserve"> </w:t>
      </w:r>
      <w:r w:rsidR="000966E6">
        <w:t xml:space="preserve">improve coordination </w:t>
      </w:r>
      <w:r w:rsidR="00094F6A">
        <w:t xml:space="preserve">and </w:t>
      </w:r>
      <w:r w:rsidRPr="00BD5227" w:rsidR="00AD0EA2">
        <w:t xml:space="preserve">provide additional opportunities for </w:t>
      </w:r>
      <w:r w:rsidR="00A234B9">
        <w:t>i</w:t>
      </w:r>
      <w:r w:rsidRPr="00BD5227" w:rsidR="00AD0EA2">
        <w:t xml:space="preserve">nterconnection </w:t>
      </w:r>
      <w:r w:rsidR="00A234B9">
        <w:t>c</w:t>
      </w:r>
      <w:r w:rsidRPr="00BD5227" w:rsidR="00AD0EA2">
        <w:t>ustomers to advance through the interconnection process without burdening other parties.</w:t>
      </w:r>
      <w:r w:rsidR="00F81AB7">
        <w:t xml:space="preserve">  </w:t>
      </w:r>
      <w:r w:rsidRPr="00F81AB7" w:rsidR="00F81AB7">
        <w:t xml:space="preserve">Regarding </w:t>
      </w:r>
      <w:r w:rsidRPr="00F81AB7" w:rsidR="00AD0EA2">
        <w:t>NYISO</w:t>
      </w:r>
      <w:r w:rsidRPr="00F81AB7" w:rsidR="00F81AB7">
        <w:t xml:space="preserve">’s </w:t>
      </w:r>
      <w:r w:rsidRPr="00F81AB7" w:rsidR="00AD0EA2">
        <w:t>propose</w:t>
      </w:r>
      <w:r w:rsidRPr="00F81AB7" w:rsidR="00F81AB7">
        <w:t>d clarifications to</w:t>
      </w:r>
      <w:r w:rsidRPr="00F81AB7" w:rsidR="00AD0EA2">
        <w:t xml:space="preserve"> the timing requirements for the performance of the Phase 1 Study</w:t>
      </w:r>
      <w:r w:rsidRPr="00F81AB7" w:rsidR="00F81AB7">
        <w:t>, we agree with NYISO that</w:t>
      </w:r>
      <w:r w:rsidRPr="00F81AB7" w:rsidR="00AD0EA2">
        <w:t xml:space="preserve"> the proposed revisions will </w:t>
      </w:r>
      <w:r w:rsidRPr="006B4DA1" w:rsidR="00094F6A">
        <w:t>provide a reasonable period of time for Affected Transmission Owners to perform a Phase 1 Study without delaying the progression of the Cluster Study</w:t>
      </w:r>
      <w:r w:rsidR="00251881">
        <w:t>.</w:t>
      </w:r>
    </w:p>
    <w:p w:rsidR="00AD0EA2" w:rsidRPr="00AF688D" w:rsidP="00AF688D">
      <w:pPr>
        <w:pStyle w:val="FERCparanumber"/>
        <w:rPr>
          <w:i/>
          <w:iCs/>
        </w:rPr>
      </w:pPr>
      <w:r w:rsidRPr="00215341">
        <w:t>As to NYISO’s proposals to limit</w:t>
      </w:r>
      <w:r w:rsidRPr="00215341">
        <w:t xml:space="preserve"> the impact of Cluster Study Project withdrawals</w:t>
      </w:r>
      <w:r w:rsidRPr="00215341">
        <w:t>, we agree with NYISO</w:t>
      </w:r>
      <w:r w:rsidRPr="00215341">
        <w:t xml:space="preserve"> that the proposed changes provide clarity regarding which Cluster Study Projects will not be able to interconnect so that they can be </w:t>
      </w:r>
      <w:r w:rsidRPr="00AF688D">
        <w:t xml:space="preserve">quickly </w:t>
      </w:r>
      <w:r w:rsidR="005D7169">
        <w:t>removed</w:t>
      </w:r>
      <w:r w:rsidRPr="00AF688D">
        <w:t xml:space="preserve"> from the </w:t>
      </w:r>
      <w:r w:rsidR="005D7169">
        <w:t>interconnection queue</w:t>
      </w:r>
      <w:r w:rsidRPr="00AF688D">
        <w:t>, minimizing withdrawal penalties, resources, and time.</w:t>
      </w:r>
      <w:r w:rsidRPr="00AF688D" w:rsidR="00AF688D">
        <w:rPr>
          <w:i/>
          <w:iCs/>
        </w:rPr>
        <w:t xml:space="preserve">  </w:t>
      </w:r>
      <w:r w:rsidRPr="00AF688D" w:rsidR="000F0E80">
        <w:t xml:space="preserve">Regarding NYISO’s </w:t>
      </w:r>
      <w:r w:rsidRPr="00AF688D">
        <w:t>propose</w:t>
      </w:r>
      <w:r w:rsidRPr="00AF688D" w:rsidR="000F0E80">
        <w:t xml:space="preserve">d changes to the </w:t>
      </w:r>
      <w:r w:rsidRPr="00AF688D" w:rsidR="00D647DC">
        <w:t>withdrawal</w:t>
      </w:r>
      <w:r w:rsidRPr="00AF688D" w:rsidR="000F0E80">
        <w:t xml:space="preserve"> periods,</w:t>
      </w:r>
      <w:r w:rsidRPr="00AF688D">
        <w:t xml:space="preserve"> </w:t>
      </w:r>
      <w:r w:rsidRPr="00AF688D" w:rsidR="00D647DC">
        <w:t>we agree with NYISO that these changes will</w:t>
      </w:r>
      <w:r w:rsidRPr="00AF688D">
        <w:t xml:space="preserve"> reduce the potential for study delays.  Interconnection </w:t>
      </w:r>
      <w:r w:rsidR="00080273">
        <w:t>c</w:t>
      </w:r>
      <w:r w:rsidRPr="00AF688D">
        <w:t>ustomers will still be able to use dispute resolution concerning the deficiencies that led to withdrawal.</w:t>
      </w:r>
      <w:r w:rsidR="006543B1">
        <w:t xml:space="preserve">  </w:t>
      </w:r>
      <w:r w:rsidR="00655088">
        <w:t xml:space="preserve">As NYISO clarifies in its </w:t>
      </w:r>
      <w:r w:rsidR="00BC32C3">
        <w:t>S</w:t>
      </w:r>
      <w:r w:rsidR="00655088">
        <w:t xml:space="preserve">upplemental </w:t>
      </w:r>
      <w:r w:rsidR="00BC32C3">
        <w:t>F</w:t>
      </w:r>
      <w:r w:rsidR="00655088">
        <w:t xml:space="preserve">iling, </w:t>
      </w:r>
      <w:r w:rsidR="00080273">
        <w:t>i</w:t>
      </w:r>
      <w:r w:rsidR="002652BE">
        <w:t xml:space="preserve">nterconnection </w:t>
      </w:r>
      <w:r w:rsidR="00080273">
        <w:t>c</w:t>
      </w:r>
      <w:r w:rsidR="002652BE">
        <w:t xml:space="preserve">ustomers will have the standard </w:t>
      </w:r>
      <w:r w:rsidRPr="009A6058" w:rsidR="009A6058">
        <w:t>15</w:t>
      </w:r>
      <w:r w:rsidR="003E7E76">
        <w:t xml:space="preserve"> </w:t>
      </w:r>
      <w:r w:rsidR="00310DC7">
        <w:t>b</w:t>
      </w:r>
      <w:r w:rsidRPr="009A6058" w:rsidR="009A6058">
        <w:t xml:space="preserve">usiness </w:t>
      </w:r>
      <w:r w:rsidR="00310DC7">
        <w:t>d</w:t>
      </w:r>
      <w:r w:rsidRPr="009A6058" w:rsidR="009A6058">
        <w:t>ay cure period</w:t>
      </w:r>
      <w:r w:rsidR="00F61721">
        <w:t xml:space="preserve"> to cure withdrawals due to </w:t>
      </w:r>
      <w:r w:rsidR="00F37781">
        <w:t xml:space="preserve">                       </w:t>
      </w:r>
      <w:r w:rsidR="00F61721">
        <w:t>non-payment</w:t>
      </w:r>
      <w:r w:rsidR="009A6058">
        <w:t>, barring certain exceptions, rather than the existing 10</w:t>
      </w:r>
      <w:r w:rsidR="003E7E76">
        <w:t xml:space="preserve"> </w:t>
      </w:r>
      <w:r w:rsidR="00310DC7">
        <w:t>b</w:t>
      </w:r>
      <w:r w:rsidR="009A6058">
        <w:t xml:space="preserve">usiness </w:t>
      </w:r>
      <w:r w:rsidR="00310DC7">
        <w:t>d</w:t>
      </w:r>
      <w:r w:rsidR="009A6058">
        <w:t>ay cure period</w:t>
      </w:r>
      <w:r w:rsidR="00A962BB">
        <w:t>.</w:t>
      </w:r>
      <w:r w:rsidRPr="009A6058" w:rsidR="009A6058">
        <w:t xml:space="preserve"> </w:t>
      </w:r>
      <w:r w:rsidR="00CF21A1">
        <w:t xml:space="preserve"> </w:t>
      </w:r>
      <w:r w:rsidR="00F52F3B">
        <w:t>W</w:t>
      </w:r>
      <w:r w:rsidR="007254B4">
        <w:t>e</w:t>
      </w:r>
      <w:r w:rsidR="006918B9">
        <w:t xml:space="preserve"> find that t</w:t>
      </w:r>
      <w:r w:rsidR="00D07479">
        <w:t>he</w:t>
      </w:r>
      <w:r w:rsidR="00623D48">
        <w:t xml:space="preserve"> illustrative tariff language</w:t>
      </w:r>
      <w:r w:rsidR="00D07479">
        <w:t xml:space="preserve"> in </w:t>
      </w:r>
      <w:r w:rsidR="00BC32C3">
        <w:t xml:space="preserve">the </w:t>
      </w:r>
      <w:r w:rsidR="00CF21A6">
        <w:t>S</w:t>
      </w:r>
      <w:r w:rsidR="00623D48">
        <w:t xml:space="preserve">upplemental </w:t>
      </w:r>
      <w:r w:rsidR="00CF21A6">
        <w:t>F</w:t>
      </w:r>
      <w:r w:rsidR="00623D48">
        <w:t xml:space="preserve">iling </w:t>
      </w:r>
      <w:r w:rsidR="00F9706B">
        <w:t>creates clari</w:t>
      </w:r>
      <w:r w:rsidR="00644FA6">
        <w:t>t</w:t>
      </w:r>
      <w:r w:rsidR="00F9706B">
        <w:t xml:space="preserve">y and </w:t>
      </w:r>
      <w:r w:rsidR="00623D48">
        <w:t xml:space="preserve">removes </w:t>
      </w:r>
      <w:r w:rsidR="00F9706B">
        <w:t>any potential</w:t>
      </w:r>
      <w:r w:rsidR="00623D48">
        <w:t xml:space="preserve"> ambiguity</w:t>
      </w:r>
      <w:r w:rsidR="006F604A">
        <w:t xml:space="preserve"> as to the scope of proposed exception categories to the standard 15 business day cure period</w:t>
      </w:r>
      <w:r w:rsidR="006543B1">
        <w:t>.</w:t>
      </w:r>
      <w:r>
        <w:rPr>
          <w:rStyle w:val="FootnoteReference"/>
        </w:rPr>
        <w:footnoteReference w:id="49"/>
      </w:r>
      <w:r w:rsidR="006543B1">
        <w:t xml:space="preserve">  We therefore direct NYISO to file, within 30 days of the date of this order,</w:t>
      </w:r>
      <w:r w:rsidR="00FF152E">
        <w:t xml:space="preserve"> a compliance filing to </w:t>
      </w:r>
      <w:r w:rsidRPr="00FA1FC8" w:rsidR="00FA1FC8">
        <w:t>more clearly delineate the exception categories</w:t>
      </w:r>
      <w:r w:rsidR="00FD659E">
        <w:t xml:space="preserve"> in accordance with its supplemental illustrative tariff language</w:t>
      </w:r>
      <w:r w:rsidR="004824E2">
        <w:t xml:space="preserve">, as NYISO consents </w:t>
      </w:r>
      <w:r w:rsidR="009A15BA">
        <w:t xml:space="preserve">to do </w:t>
      </w:r>
      <w:r w:rsidR="004824E2">
        <w:t xml:space="preserve">in its </w:t>
      </w:r>
      <w:r w:rsidR="00567411">
        <w:t>S</w:t>
      </w:r>
      <w:r w:rsidR="004824E2">
        <w:t>upplement</w:t>
      </w:r>
      <w:r w:rsidR="009447C8">
        <w:t xml:space="preserve">al </w:t>
      </w:r>
      <w:r w:rsidR="00567411">
        <w:t>F</w:t>
      </w:r>
      <w:r w:rsidR="009447C8">
        <w:t>iling</w:t>
      </w:r>
      <w:r w:rsidR="004824E2">
        <w:t>.</w:t>
      </w:r>
    </w:p>
    <w:p w:rsidR="00AD0EA2" w:rsidRPr="005333BC" w:rsidP="005333BC">
      <w:pPr>
        <w:pStyle w:val="FERCparanumber"/>
        <w:rPr>
          <w:color w:val="FF0000"/>
        </w:rPr>
      </w:pPr>
      <w:r w:rsidRPr="00F23F1C">
        <w:t>As to NYISO’s proposed</w:t>
      </w:r>
      <w:r w:rsidRPr="00F23F1C">
        <w:t xml:space="preserve"> efficiency improvements in the Cluster Study Process</w:t>
      </w:r>
      <w:r w:rsidRPr="00F23F1C">
        <w:t xml:space="preserve"> regarding </w:t>
      </w:r>
      <w:r w:rsidR="00CF2DA3">
        <w:t>C</w:t>
      </w:r>
      <w:r w:rsidRPr="00F23F1C">
        <w:t xml:space="preserve">ontingent </w:t>
      </w:r>
      <w:r w:rsidR="00CF2DA3">
        <w:t>P</w:t>
      </w:r>
      <w:r w:rsidRPr="00F23F1C">
        <w:t>roject withdrawal</w:t>
      </w:r>
      <w:r w:rsidRPr="00F23F1C">
        <w:t>, we agree with NYISO</w:t>
      </w:r>
      <w:r w:rsidRPr="00F23F1C">
        <w:t xml:space="preserve"> that th</w:t>
      </w:r>
      <w:r w:rsidRPr="00F23F1C">
        <w:t>e</w:t>
      </w:r>
      <w:r w:rsidRPr="00F23F1C">
        <w:t xml:space="preserve"> proposed </w:t>
      </w:r>
      <w:r w:rsidR="00E6366A">
        <w:t>revisions</w:t>
      </w:r>
      <w:r w:rsidRPr="00F23F1C" w:rsidR="00E6366A">
        <w:t xml:space="preserve"> </w:t>
      </w:r>
      <w:r w:rsidRPr="00F23F1C">
        <w:t xml:space="preserve">will help to avoid confusion regarding the timing of a </w:t>
      </w:r>
      <w:r w:rsidR="001C5644">
        <w:t>C</w:t>
      </w:r>
      <w:r w:rsidRPr="00F23F1C">
        <w:t xml:space="preserve">ontingent </w:t>
      </w:r>
      <w:r w:rsidR="001C5644">
        <w:t>P</w:t>
      </w:r>
      <w:r w:rsidRPr="00F23F1C">
        <w:t>roject’s withdrawal from the subsequent cluster study and is thus just</w:t>
      </w:r>
      <w:r w:rsidR="001E2D8B">
        <w:t xml:space="preserve"> </w:t>
      </w:r>
      <w:r w:rsidRPr="00F23F1C">
        <w:t>and reasonable.</w:t>
      </w:r>
      <w:r w:rsidR="002C3EB2">
        <w:rPr>
          <w:color w:val="FF0000"/>
        </w:rPr>
        <w:t xml:space="preserve">  </w:t>
      </w:r>
      <w:r w:rsidRPr="002C3EB2">
        <w:t xml:space="preserve">Regarding Final Decision Period rules, </w:t>
      </w:r>
      <w:r w:rsidRPr="002C3EB2" w:rsidR="00CC4F9B">
        <w:t xml:space="preserve">wherein </w:t>
      </w:r>
      <w:r w:rsidRPr="002C3EB2">
        <w:t>NYISO proposes to clarify how it calculates the greater than 10% amount for the Final Decision Period requirements</w:t>
      </w:r>
      <w:r w:rsidRPr="002C3EB2" w:rsidR="002C3EB2">
        <w:t xml:space="preserve">, </w:t>
      </w:r>
      <w:r w:rsidRPr="002C3EB2" w:rsidR="00D76D9F">
        <w:t>we agree with NYISO that the</w:t>
      </w:r>
      <w:r w:rsidRPr="002C3EB2">
        <w:t xml:space="preserve"> proposed clarification will </w:t>
      </w:r>
      <w:r w:rsidR="00457B9B">
        <w:t xml:space="preserve">provide </w:t>
      </w:r>
      <w:r w:rsidRPr="002C3EB2">
        <w:t xml:space="preserve">the </w:t>
      </w:r>
      <w:r w:rsidR="00080273">
        <w:t>i</w:t>
      </w:r>
      <w:r w:rsidRPr="002C3EB2">
        <w:t xml:space="preserve">nterconnection </w:t>
      </w:r>
      <w:r w:rsidR="00080273">
        <w:t>c</w:t>
      </w:r>
      <w:r w:rsidRPr="002C3EB2">
        <w:t xml:space="preserve">ustomer the opportunity to make a new election in a </w:t>
      </w:r>
      <w:r w:rsidRPr="00361794">
        <w:t>given round when its project cost allocation is greater than 10%.</w:t>
      </w:r>
      <w:r w:rsidR="005333BC">
        <w:rPr>
          <w:color w:val="FF0000"/>
        </w:rPr>
        <w:t xml:space="preserve">  </w:t>
      </w:r>
      <w:r w:rsidRPr="00361794" w:rsidR="0096773D">
        <w:t xml:space="preserve">As to </w:t>
      </w:r>
      <w:r w:rsidRPr="00361794">
        <w:t>NYISO</w:t>
      </w:r>
      <w:r w:rsidRPr="00361794" w:rsidR="0096773D">
        <w:t xml:space="preserve">’s </w:t>
      </w:r>
      <w:r w:rsidRPr="00361794">
        <w:t>propos</w:t>
      </w:r>
      <w:r w:rsidRPr="00361794" w:rsidR="0096773D">
        <w:t>al</w:t>
      </w:r>
      <w:r w:rsidRPr="00361794">
        <w:t xml:space="preserve"> to subject </w:t>
      </w:r>
      <w:r w:rsidR="00080273">
        <w:t>i</w:t>
      </w:r>
      <w:r w:rsidRPr="00361794">
        <w:t xml:space="preserve">nterconnection </w:t>
      </w:r>
      <w:r w:rsidR="00080273">
        <w:t>c</w:t>
      </w:r>
      <w:r w:rsidRPr="00361794">
        <w:t xml:space="preserve">ustomers to interest for unpaid invoiced amounts </w:t>
      </w:r>
      <w:r w:rsidR="00883706">
        <w:t>with</w:t>
      </w:r>
      <w:r w:rsidRPr="00361794" w:rsidR="00883706">
        <w:t xml:space="preserve"> </w:t>
      </w:r>
      <w:r w:rsidRPr="00361794">
        <w:t>such interest calculated in accordance with the interest rate established by the Commission’s regulations</w:t>
      </w:r>
      <w:r w:rsidRPr="00361794" w:rsidR="0096773D">
        <w:t>, we agree with NYISO that</w:t>
      </w:r>
      <w:r w:rsidRPr="00361794">
        <w:t xml:space="preserve"> </w:t>
      </w:r>
      <w:r w:rsidRPr="00361794" w:rsidR="00361794">
        <w:t xml:space="preserve">its proposal </w:t>
      </w:r>
      <w:r w:rsidR="00441D98">
        <w:t xml:space="preserve">helps to </w:t>
      </w:r>
      <w:r w:rsidRPr="00361794">
        <w:t xml:space="preserve">protect NYISO from financial risks and incentivizes timely payments by </w:t>
      </w:r>
      <w:r w:rsidR="00080273">
        <w:t>i</w:t>
      </w:r>
      <w:r w:rsidRPr="00361794">
        <w:t xml:space="preserve">nterconnection </w:t>
      </w:r>
      <w:r w:rsidR="00080273">
        <w:t>c</w:t>
      </w:r>
      <w:r w:rsidRPr="00361794">
        <w:t>ustomers.</w:t>
      </w:r>
    </w:p>
    <w:p w:rsidR="00C46FE9" w:rsidRPr="00567256" w:rsidP="00AD0EA2">
      <w:pPr>
        <w:pStyle w:val="FERCparanumber"/>
      </w:pPr>
      <w:r>
        <w:t>Regarding</w:t>
      </w:r>
      <w:r w:rsidRPr="00567256" w:rsidR="00567256">
        <w:t xml:space="preserve"> NYISO’s proposed pre- and post-Cluster Study process improvements, we agree with NYISO that the changes </w:t>
      </w:r>
      <w:r w:rsidRPr="00567256" w:rsidR="00AD0EA2">
        <w:t xml:space="preserve">eliminate unnecessary reporting requirements during the Cluster Study Process and better facilitate NYISO’s ability to track the progress of Cluster Study Projects </w:t>
      </w:r>
      <w:r w:rsidRPr="00567256" w:rsidR="00567256">
        <w:t>and that, a</w:t>
      </w:r>
      <w:r w:rsidRPr="00567256" w:rsidR="00AD0EA2">
        <w:t xml:space="preserve">mong other things, these requirements will assist NYISO in determining whether a project remains on target for its </w:t>
      </w:r>
      <w:r w:rsidRPr="00AD71B5" w:rsidR="00074D94">
        <w:t xml:space="preserve">Commercial Operation Date </w:t>
      </w:r>
      <w:r w:rsidRPr="00567256" w:rsidR="00AD0EA2">
        <w:t xml:space="preserve">included in NYISO’s </w:t>
      </w:r>
      <w:r w:rsidR="00A60DC8">
        <w:t>q</w:t>
      </w:r>
      <w:r w:rsidRPr="00567256" w:rsidR="00AD0EA2">
        <w:t xml:space="preserve">ueue or </w:t>
      </w:r>
      <w:r w:rsidR="00A60DC8">
        <w:t>whether it needs to</w:t>
      </w:r>
      <w:r w:rsidRPr="00567256" w:rsidR="00AD0EA2">
        <w:t xml:space="preserve"> seek an extension. </w:t>
      </w:r>
    </w:p>
    <w:p w:rsidR="00B86E6D" w:rsidRPr="00B86E6D">
      <w:r w:rsidRPr="00B86E6D">
        <w:rPr>
          <w:u w:val="single"/>
        </w:rPr>
        <w:t>The Commission orders</w:t>
      </w:r>
      <w:r w:rsidRPr="00B86E6D">
        <w:t>:</w:t>
      </w:r>
    </w:p>
    <w:p w:rsidR="0072237A" w:rsidRPr="00B86E6D" w:rsidP="00092CA2"/>
    <w:p w:rsidR="00D9065D" w:rsidP="00092CA2">
      <w:pPr>
        <w:pStyle w:val="ListParagraph"/>
        <w:numPr>
          <w:ilvl w:val="0"/>
          <w:numId w:val="23"/>
        </w:numPr>
        <w:spacing w:after="260"/>
        <w:contextualSpacing w:val="0"/>
      </w:pPr>
      <w:r>
        <w:t xml:space="preserve">NYISO’s proposed OATT revisions are hereby accepted, </w:t>
      </w:r>
      <w:r w:rsidR="00A16805">
        <w:t xml:space="preserve">subject to condition, </w:t>
      </w:r>
      <w:r>
        <w:t>effective July 29, 2026, as requested, as discussed in the body of this order.</w:t>
      </w:r>
    </w:p>
    <w:p w:rsidR="005A6838" w:rsidRPr="005A6838" w:rsidP="005A6838">
      <w:pPr>
        <w:numPr>
          <w:ilvl w:val="0"/>
          <w:numId w:val="23"/>
        </w:numPr>
      </w:pPr>
      <w:r>
        <w:t xml:space="preserve">NYISO is hereby directed </w:t>
      </w:r>
      <w:r w:rsidR="003A61A5">
        <w:t>to</w:t>
      </w:r>
      <w:r w:rsidR="001E2D8B">
        <w:t xml:space="preserve"> </w:t>
      </w:r>
      <w:r w:rsidR="003A61A5">
        <w:t>submit a compliance filing, within 30 days of this order, as discussed in the body of this order.</w:t>
      </w:r>
    </w:p>
    <w:p w:rsidR="005A6838" w:rsidRPr="00B86E6D" w:rsidP="00092CA2"/>
    <w:p w:rsidR="00B86E6D" w:rsidRPr="00B86E6D">
      <w:r w:rsidRPr="00B86E6D">
        <w:t>By the Commission.</w:t>
      </w:r>
    </w:p>
    <w:p w:rsidR="00B86E6D"/>
    <w:p w:rsidR="00F37781" w:rsidP="00F37781">
      <w:pPr>
        <w:widowControl/>
      </w:pPr>
      <w:r w:rsidRPr="00F37781">
        <w:t>( S E A L )</w:t>
      </w:r>
    </w:p>
    <w:p w:rsidR="00935B93" w:rsidP="00935B93">
      <w:pPr>
        <w:widowControl/>
      </w:pPr>
    </w:p>
    <w:p w:rsidR="00935B93" w:rsidP="00935B93">
      <w:pPr>
        <w:widowControl/>
      </w:pPr>
    </w:p>
    <w:p w:rsidR="00935B93" w:rsidP="00935B93">
      <w:pPr>
        <w:widowControl/>
      </w:pPr>
    </w:p>
    <w:p w:rsidR="00935B93" w:rsidRPr="00935B93" w:rsidP="00935B93">
      <w:pPr>
        <w:widowControl/>
        <w:ind w:firstLine="2606"/>
        <w:jc w:val="center"/>
      </w:pPr>
      <w:r w:rsidRPr="00935B93">
        <w:t>Debbie-Anne A. Reese,</w:t>
      </w:r>
    </w:p>
    <w:p w:rsidR="00935B93" w:rsidRPr="00935B93" w:rsidP="00935B93">
      <w:pPr>
        <w:widowControl/>
        <w:ind w:firstLine="2606"/>
        <w:jc w:val="center"/>
      </w:pPr>
      <w:r w:rsidRPr="00935B93">
        <w:t>Secretary.</w:t>
      </w:r>
    </w:p>
    <w:p w:rsidR="00935B93" w:rsidRPr="00B86E6D" w:rsidP="00935B93">
      <w:pPr>
        <w:widowControl/>
      </w:pPr>
    </w:p>
    <w:p w:rsidR="00B86E6D" w:rsidRPr="00B86E6D" w:rsidP="00401A63"/>
    <w:p w:rsidR="0075371A">
      <w:pPr>
        <w:widowControl/>
        <w:spacing w:after="160" w:line="259" w:lineRule="auto"/>
        <w:rPr>
          <w:szCs w:val="20"/>
        </w:rPr>
      </w:pPr>
      <w:r>
        <w:br w:type="page"/>
      </w:r>
    </w:p>
    <w:p w:rsidR="0075371A" w:rsidRPr="00AA3D8E" w:rsidP="0075371A">
      <w:pPr>
        <w:jc w:val="center"/>
        <w:rPr>
          <w:b/>
          <w:bCs/>
          <w:u w:val="single"/>
        </w:rPr>
      </w:pPr>
      <w:r w:rsidRPr="00AA3D8E">
        <w:rPr>
          <w:b/>
          <w:bCs/>
          <w:u w:val="single"/>
        </w:rPr>
        <w:t>Appendix</w:t>
      </w:r>
      <w:r>
        <w:rPr>
          <w:b/>
          <w:bCs/>
          <w:u w:val="single"/>
        </w:rPr>
        <w:t xml:space="preserve"> – Tariff Records</w:t>
      </w:r>
    </w:p>
    <w:p w:rsidR="0075371A" w:rsidP="0075371A"/>
    <w:p w:rsidR="0075371A" w:rsidP="0075371A">
      <w:pPr>
        <w:widowControl/>
        <w:spacing w:line="259" w:lineRule="auto"/>
        <w:jc w:val="center"/>
      </w:pPr>
      <w:r w:rsidRPr="003B21D7">
        <w:t>New York Independent System Operator, Inc.</w:t>
      </w:r>
    </w:p>
    <w:p w:rsidR="0075371A" w:rsidP="0075371A">
      <w:pPr>
        <w:widowControl/>
        <w:spacing w:line="259" w:lineRule="auto"/>
        <w:jc w:val="center"/>
      </w:pPr>
      <w:r w:rsidRPr="003B21D7">
        <w:t>NYISO Tariffs</w:t>
      </w:r>
    </w:p>
    <w:p w:rsidR="0075371A" w:rsidRPr="00E67DDB" w:rsidP="0075371A">
      <w:pPr>
        <w:widowControl/>
        <w:spacing w:line="259" w:lineRule="auto"/>
        <w:jc w:val="center"/>
      </w:pPr>
    </w:p>
    <w:p w:rsidR="0075371A" w:rsidRPr="00E67DDB" w:rsidP="0075371A">
      <w:pPr>
        <w:pStyle w:val="FootnoteText"/>
        <w:numPr>
          <w:ilvl w:val="0"/>
          <w:numId w:val="24"/>
        </w:numPr>
        <w:spacing w:after="0"/>
      </w:pPr>
      <w:hyperlink r:id="rId11" w:history="1">
        <w:r w:rsidRPr="00E67DDB">
          <w:rPr>
            <w:rStyle w:val="Hyperlink"/>
          </w:rPr>
          <w:t>NYISO OATT, 40.1 OATT Att HH Definitions (4.0.0)</w:t>
        </w:r>
      </w:hyperlink>
      <w:r w:rsidRPr="00E67DDB">
        <w:tab/>
      </w:r>
    </w:p>
    <w:p w:rsidR="0075371A" w:rsidRPr="00E67DDB" w:rsidP="0075371A">
      <w:pPr>
        <w:pStyle w:val="FootnoteText"/>
        <w:numPr>
          <w:ilvl w:val="0"/>
          <w:numId w:val="24"/>
        </w:numPr>
        <w:spacing w:after="0"/>
      </w:pPr>
      <w:hyperlink r:id="rId12" w:history="1">
        <w:r w:rsidRPr="00E67DDB">
          <w:rPr>
            <w:rStyle w:val="Hyperlink"/>
          </w:rPr>
          <w:t>NYISO OATT, 40.2 OATT Att HH Effective Date, Scope, and Application of S (2.0.0)</w:t>
        </w:r>
      </w:hyperlink>
    </w:p>
    <w:p w:rsidR="0075371A" w:rsidRPr="00E67DDB" w:rsidP="0075371A">
      <w:pPr>
        <w:pStyle w:val="FootnoteText"/>
        <w:numPr>
          <w:ilvl w:val="0"/>
          <w:numId w:val="24"/>
        </w:numPr>
        <w:spacing w:after="0"/>
      </w:pPr>
      <w:hyperlink r:id="rId13" w:history="1">
        <w:r w:rsidRPr="00E67DDB">
          <w:rPr>
            <w:rStyle w:val="Hyperlink"/>
          </w:rPr>
          <w:t>NYISO OATT, 40.4 OATT Att HH Pre-Application Interconnection Information (1.0.0)</w:t>
        </w:r>
      </w:hyperlink>
      <w:r w:rsidRPr="00E67DDB">
        <w:tab/>
      </w:r>
    </w:p>
    <w:p w:rsidR="0075371A" w:rsidRPr="00E67DDB" w:rsidP="0075371A">
      <w:pPr>
        <w:pStyle w:val="FootnoteText"/>
        <w:numPr>
          <w:ilvl w:val="0"/>
          <w:numId w:val="24"/>
        </w:numPr>
        <w:spacing w:after="0"/>
      </w:pPr>
      <w:hyperlink r:id="rId14" w:history="1">
        <w:r w:rsidRPr="00E67DDB">
          <w:rPr>
            <w:rStyle w:val="Hyperlink"/>
          </w:rPr>
          <w:t>NYISO OATT, 40.5 OATT Att HH Cluster Study Process Start Date/Applicatio (3.0.0)</w:t>
        </w:r>
      </w:hyperlink>
      <w:r w:rsidRPr="00E67DDB">
        <w:tab/>
      </w:r>
    </w:p>
    <w:p w:rsidR="0075371A" w:rsidRPr="00E67DDB" w:rsidP="0075371A">
      <w:pPr>
        <w:pStyle w:val="FootnoteText"/>
        <w:numPr>
          <w:ilvl w:val="0"/>
          <w:numId w:val="24"/>
        </w:numPr>
        <w:spacing w:after="0"/>
      </w:pPr>
      <w:hyperlink r:id="rId15" w:history="1">
        <w:r w:rsidRPr="00E67DDB">
          <w:rPr>
            <w:rStyle w:val="Hyperlink"/>
          </w:rPr>
          <w:t>NYISO OATT, 40.6 OATT Att HH Queue Position/ Modification/ Withdrawal/ W (5.0.0)</w:t>
        </w:r>
      </w:hyperlink>
      <w:r w:rsidRPr="00E67DDB">
        <w:tab/>
      </w:r>
    </w:p>
    <w:p w:rsidR="0075371A" w:rsidRPr="00E67DDB" w:rsidP="0075371A">
      <w:pPr>
        <w:pStyle w:val="FootnoteText"/>
        <w:numPr>
          <w:ilvl w:val="0"/>
          <w:numId w:val="24"/>
        </w:numPr>
        <w:spacing w:after="0"/>
      </w:pPr>
      <w:hyperlink r:id="rId16" w:history="1">
        <w:r w:rsidRPr="00E67DDB">
          <w:rPr>
            <w:rStyle w:val="Hyperlink"/>
          </w:rPr>
          <w:t>NYISO OATT, 40.7 OATT Att HH Customer Engagement Window/ Phase 1 Entry D (2.0.0)</w:t>
        </w:r>
      </w:hyperlink>
    </w:p>
    <w:p w:rsidR="0075371A" w:rsidRPr="00E67DDB" w:rsidP="0075371A">
      <w:pPr>
        <w:pStyle w:val="FootnoteText"/>
        <w:numPr>
          <w:ilvl w:val="0"/>
          <w:numId w:val="24"/>
        </w:numPr>
        <w:spacing w:after="0"/>
      </w:pPr>
      <w:hyperlink r:id="rId17" w:history="1">
        <w:r w:rsidRPr="00E67DDB">
          <w:rPr>
            <w:rStyle w:val="Hyperlink"/>
          </w:rPr>
          <w:t>NYISO OATT, 40.9 OATT Att HH Cluster Study Overview/ NYISO Minimum Inter (3.0.0)</w:t>
        </w:r>
      </w:hyperlink>
    </w:p>
    <w:p w:rsidR="0075371A" w:rsidRPr="00E67DDB" w:rsidP="0075371A">
      <w:pPr>
        <w:pStyle w:val="FootnoteText"/>
        <w:numPr>
          <w:ilvl w:val="0"/>
          <w:numId w:val="24"/>
        </w:numPr>
        <w:spacing w:after="0"/>
      </w:pPr>
      <w:hyperlink r:id="rId18" w:history="1">
        <w:r w:rsidRPr="00E67DDB">
          <w:rPr>
            <w:rStyle w:val="Hyperlink"/>
          </w:rPr>
          <w:t>NYISO OATT, 40.10 OATT Att HH Phase 1 Study Process, Development of Syst (2.0.0)</w:t>
        </w:r>
      </w:hyperlink>
    </w:p>
    <w:p w:rsidR="0075371A" w:rsidRPr="00E67DDB" w:rsidP="0075371A">
      <w:pPr>
        <w:pStyle w:val="FootnoteText"/>
        <w:numPr>
          <w:ilvl w:val="0"/>
          <w:numId w:val="24"/>
        </w:numPr>
        <w:spacing w:after="0"/>
      </w:pPr>
      <w:hyperlink r:id="rId19" w:history="1">
        <w:r w:rsidRPr="00E67DDB">
          <w:rPr>
            <w:rStyle w:val="Hyperlink"/>
          </w:rPr>
          <w:t>NYISO OATT, 40.11 OATT Att HH Phase 2 Study (1.0.0)</w:t>
        </w:r>
      </w:hyperlink>
    </w:p>
    <w:p w:rsidR="0075371A" w:rsidRPr="00E67DDB" w:rsidP="0075371A">
      <w:pPr>
        <w:pStyle w:val="FootnoteText"/>
        <w:numPr>
          <w:ilvl w:val="0"/>
          <w:numId w:val="24"/>
        </w:numPr>
        <w:spacing w:after="0"/>
      </w:pPr>
      <w:hyperlink r:id="rId20" w:history="1">
        <w:r w:rsidRPr="00E67DDB">
          <w:rPr>
            <w:rStyle w:val="Hyperlink"/>
          </w:rPr>
          <w:t>NYISO OATT, 40.12 OATT Att HH Cluster Baseline Assessment and Cluster Pr (2.0.0)</w:t>
        </w:r>
      </w:hyperlink>
    </w:p>
    <w:p w:rsidR="0075371A" w:rsidRPr="00E67DDB" w:rsidP="0075371A">
      <w:pPr>
        <w:pStyle w:val="FootnoteText"/>
        <w:numPr>
          <w:ilvl w:val="0"/>
          <w:numId w:val="24"/>
        </w:numPr>
        <w:spacing w:after="0"/>
      </w:pPr>
      <w:hyperlink r:id="rId21" w:history="1">
        <w:r w:rsidRPr="00E67DDB">
          <w:rPr>
            <w:rStyle w:val="Hyperlink"/>
          </w:rPr>
          <w:t>NYISO OATT, 40.15 OATT Att HH Final Decision Period / Additional SDU Stu (1.0.0)</w:t>
        </w:r>
      </w:hyperlink>
    </w:p>
    <w:p w:rsidR="0075371A" w:rsidRPr="00E67DDB" w:rsidP="0075371A">
      <w:pPr>
        <w:pStyle w:val="FootnoteText"/>
        <w:numPr>
          <w:ilvl w:val="0"/>
          <w:numId w:val="24"/>
        </w:numPr>
        <w:spacing w:after="0"/>
      </w:pPr>
      <w:hyperlink r:id="rId22" w:history="1">
        <w:r w:rsidRPr="00E67DDB">
          <w:rPr>
            <w:rStyle w:val="Hyperlink"/>
          </w:rPr>
          <w:t>NYISO OATT, 40.16 OATT Att HH Forfeiture of Security/ Future Cost Respon (1.0.0)</w:t>
        </w:r>
      </w:hyperlink>
    </w:p>
    <w:p w:rsidR="0075371A" w:rsidRPr="00E67DDB" w:rsidP="0075371A">
      <w:pPr>
        <w:pStyle w:val="FootnoteText"/>
        <w:numPr>
          <w:ilvl w:val="0"/>
          <w:numId w:val="24"/>
        </w:numPr>
        <w:spacing w:after="0"/>
      </w:pPr>
      <w:hyperlink r:id="rId23" w:history="1">
        <w:r w:rsidRPr="00E67DDB">
          <w:rPr>
            <w:rStyle w:val="Hyperlink"/>
          </w:rPr>
          <w:t>NYISO OATT, 40.19 OATT Att HH Expedited Deliverability Study Procedures (5.0.0)</w:t>
        </w:r>
      </w:hyperlink>
    </w:p>
    <w:p w:rsidR="0075371A" w:rsidRPr="00E67DDB" w:rsidP="0075371A">
      <w:pPr>
        <w:pStyle w:val="FootnoteText"/>
        <w:numPr>
          <w:ilvl w:val="0"/>
          <w:numId w:val="24"/>
        </w:numPr>
        <w:spacing w:after="0"/>
      </w:pPr>
      <w:hyperlink r:id="rId24" w:history="1">
        <w:r w:rsidRPr="00E67DDB">
          <w:rPr>
            <w:rStyle w:val="Hyperlink"/>
          </w:rPr>
          <w:t>NYISO OATT, 40.23 OATT Att HH Fast Track Process (2.0.0)</w:t>
        </w:r>
      </w:hyperlink>
    </w:p>
    <w:p w:rsidR="0075371A" w:rsidRPr="00E67DDB" w:rsidP="0075371A">
      <w:pPr>
        <w:pStyle w:val="FootnoteText"/>
        <w:numPr>
          <w:ilvl w:val="0"/>
          <w:numId w:val="24"/>
        </w:numPr>
        <w:spacing w:after="0"/>
      </w:pPr>
      <w:hyperlink r:id="rId25" w:history="1">
        <w:r w:rsidRPr="00E67DDB">
          <w:rPr>
            <w:rStyle w:val="Hyperlink"/>
          </w:rPr>
          <w:t>NYISO OATT, 40.24 OATT Att HH Miscellaneous (2.0.0)</w:t>
        </w:r>
      </w:hyperlink>
    </w:p>
    <w:p w:rsidR="0075371A" w:rsidRPr="00E67DDB" w:rsidP="0075371A">
      <w:pPr>
        <w:pStyle w:val="FootnoteText"/>
        <w:numPr>
          <w:ilvl w:val="0"/>
          <w:numId w:val="24"/>
        </w:numPr>
        <w:spacing w:after="0"/>
      </w:pPr>
      <w:hyperlink r:id="rId26" w:history="1">
        <w:r w:rsidRPr="00E67DDB">
          <w:rPr>
            <w:rStyle w:val="Hyperlink"/>
          </w:rPr>
          <w:t>NYISO OATT, 40.25.1 OATT Att HH Appendix 1 Interconnection Request (2.0.0)</w:t>
        </w:r>
      </w:hyperlink>
    </w:p>
    <w:p w:rsidR="0075371A" w:rsidRPr="00E67DDB" w:rsidP="0075371A">
      <w:pPr>
        <w:pStyle w:val="FootnoteText"/>
        <w:numPr>
          <w:ilvl w:val="0"/>
          <w:numId w:val="24"/>
        </w:numPr>
        <w:spacing w:after="0"/>
      </w:pPr>
      <w:hyperlink r:id="rId27" w:history="1">
        <w:r w:rsidRPr="00E67DDB">
          <w:rPr>
            <w:rStyle w:val="Hyperlink"/>
          </w:rPr>
          <w:t>NYISO OATT, 40.25.2 OATT Att HH Appendix 2 CRIS-Only Request (1.0.0)</w:t>
        </w:r>
      </w:hyperlink>
    </w:p>
    <w:p w:rsidR="0075371A" w:rsidRPr="00E67DDB" w:rsidP="0075371A">
      <w:pPr>
        <w:pStyle w:val="FootnoteText"/>
        <w:numPr>
          <w:ilvl w:val="0"/>
          <w:numId w:val="24"/>
        </w:numPr>
        <w:spacing w:after="0"/>
      </w:pPr>
      <w:hyperlink r:id="rId28" w:history="1">
        <w:r w:rsidRPr="00E67DDB">
          <w:rPr>
            <w:rStyle w:val="Hyperlink"/>
          </w:rPr>
          <w:t>NYISO OATT, 40.25.4 OATT Att HH Appendix 4 Pre-Application Request Form (1.0.0)</w:t>
        </w:r>
      </w:hyperlink>
    </w:p>
    <w:p w:rsidR="00FF32A1" w:rsidRPr="00B86E6D" w:rsidP="0075371A">
      <w:pPr>
        <w:pStyle w:val="FootnoteText"/>
        <w:numPr>
          <w:ilvl w:val="0"/>
          <w:numId w:val="24"/>
        </w:numPr>
        <w:spacing w:after="0"/>
      </w:pPr>
      <w:hyperlink r:id="rId29" w:history="1">
        <w:r w:rsidRPr="00E67DDB">
          <w:rPr>
            <w:rStyle w:val="Hyperlink"/>
          </w:rPr>
          <w:t>NYISO OATT, 40.25.5 OATT Att HH Appendix 5 Facility Modification Request (1.0.0)</w:t>
        </w:r>
      </w:hyperlink>
    </w:p>
    <w:sectPr w:rsidSect="00B86E6D">
      <w:headerReference w:type="even" r:id="rId30"/>
      <w:headerReference w:type="default" r:id="rId31"/>
      <w:headerReference w:type="first" r:id="rId32"/>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7925" w:rsidP="0048020B">
      <w:r>
        <w:separator/>
      </w:r>
    </w:p>
  </w:endnote>
  <w:endnote w:type="continuationSeparator" w:id="1">
    <w:p w:rsidR="00F57925" w:rsidP="004802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ＭＳ ゴシック">
    <w:panose1 w:val="00000000000000000000"/>
    <w:charset w:val="80"/>
    <w:family w:val="auto"/>
    <w:pitch w:val="default"/>
    <w:sig w:usb0="00000000" w:usb1="00000000" w:usb2="00000000" w:usb3="00000000" w:csb0="00000000" w:csb1="00000000"/>
  </w:font>
  <w:font w:name="Cambria Math">
    <w:panose1 w:val="00000000000000000000"/>
    <w:charset w:val="00"/>
    <w:family w:val="auto"/>
    <w:pitch w:val="default"/>
    <w:sig w:usb0="00000000" w:usb1="00000000" w:usb2="00000000" w:usb3="00000000" w:csb0="00000000" w:csb1="00000000"/>
  </w:font>
  <w:font w:name="ＭＳ 明朝">
    <w:panose1 w:val="00000000000000000000"/>
    <w:charset w:val="8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7925" w:rsidP="0048020B">
      <w:r>
        <w:separator/>
      </w:r>
    </w:p>
  </w:footnote>
  <w:footnote w:type="continuationSeparator" w:id="1">
    <w:p w:rsidR="00F57925" w:rsidP="0048020B">
      <w:r>
        <w:continuationSeparator/>
      </w:r>
    </w:p>
  </w:footnote>
  <w:footnote w:type="continuationNotice" w:id="2">
    <w:p w:rsidR="00F57925" w:rsidRPr="00BB69A5" w:rsidP="00BB69A5">
      <w:pPr>
        <w:spacing w:line="20" w:lineRule="exact"/>
        <w:rPr>
          <w:sz w:val="2"/>
        </w:rPr>
      </w:pPr>
    </w:p>
  </w:footnote>
  <w:footnote w:id="3">
    <w:p w:rsidR="00BB2E26" w:rsidP="00BB2E26">
      <w:pPr>
        <w:pStyle w:val="FootnoteText"/>
      </w:pPr>
      <w:r>
        <w:rPr>
          <w:rStyle w:val="FootnoteReference"/>
        </w:rPr>
        <w:footnoteRef/>
      </w:r>
      <w:r>
        <w:t xml:space="preserve"> </w:t>
      </w:r>
      <w:r w:rsidRPr="009812E9">
        <w:t>16 U.S.C. § 824d.</w:t>
      </w:r>
    </w:p>
  </w:footnote>
  <w:footnote w:id="4">
    <w:p w:rsidR="00BB2E26" w:rsidP="00BB2E26">
      <w:pPr>
        <w:pStyle w:val="FootnoteText"/>
      </w:pPr>
      <w:r>
        <w:rPr>
          <w:rStyle w:val="FootnoteReference"/>
        </w:rPr>
        <w:footnoteRef/>
      </w:r>
      <w:r>
        <w:t xml:space="preserve"> </w:t>
      </w:r>
      <w:r w:rsidRPr="009812E9">
        <w:t xml:space="preserve">18 C.F.R </w:t>
      </w:r>
      <w:r>
        <w:t>pt.</w:t>
      </w:r>
      <w:r w:rsidRPr="009812E9">
        <w:t xml:space="preserve"> 35 (202</w:t>
      </w:r>
      <w:r>
        <w:t>5</w:t>
      </w:r>
      <w:r w:rsidRPr="009812E9">
        <w:t>).</w:t>
      </w:r>
    </w:p>
  </w:footnote>
  <w:footnote w:id="5">
    <w:p w:rsidR="00BB2E26" w:rsidP="00BB2E26">
      <w:pPr>
        <w:pStyle w:val="FootnoteText"/>
      </w:pPr>
      <w:r>
        <w:rPr>
          <w:rStyle w:val="FootnoteReference"/>
        </w:rPr>
        <w:footnoteRef/>
      </w:r>
      <w:r>
        <w:t xml:space="preserve"> </w:t>
      </w:r>
      <w:r>
        <w:rPr>
          <w:i/>
          <w:iCs/>
        </w:rPr>
        <w:t>See</w:t>
      </w:r>
      <w:r>
        <w:t xml:space="preserve"> Appendix for eTariff records accepted in this order.</w:t>
      </w:r>
    </w:p>
  </w:footnote>
  <w:footnote w:id="6">
    <w:p w:rsidR="00BB2E26" w:rsidP="00BB2E26">
      <w:pPr>
        <w:pStyle w:val="FootnoteText"/>
      </w:pPr>
      <w:r>
        <w:rPr>
          <w:rStyle w:val="FootnoteReference"/>
        </w:rPr>
        <w:footnoteRef/>
      </w:r>
      <w:r>
        <w:t xml:space="preserve"> </w:t>
      </w:r>
      <w:r w:rsidRPr="005A14E2">
        <w:t>Capitalized terms</w:t>
      </w:r>
      <w:r>
        <w:t xml:space="preserve"> used</w:t>
      </w:r>
      <w:r w:rsidRPr="005A14E2">
        <w:t xml:space="preserve"> that are not otherwise defined in this </w:t>
      </w:r>
      <w:r>
        <w:t xml:space="preserve">order </w:t>
      </w:r>
      <w:r w:rsidRPr="005A14E2">
        <w:t>have the meaning</w:t>
      </w:r>
      <w:r>
        <w:t xml:space="preserve">s ascribed to them in the </w:t>
      </w:r>
      <w:r w:rsidRPr="005A14E2">
        <w:t xml:space="preserve">OATT and </w:t>
      </w:r>
      <w:r>
        <w:t xml:space="preserve">NYISO </w:t>
      </w:r>
      <w:r w:rsidRPr="005A14E2">
        <w:t>Market Administration and Control Area Services Tariff.</w:t>
      </w:r>
    </w:p>
  </w:footnote>
  <w:footnote w:id="7">
    <w:p w:rsidR="00BB2E26" w:rsidRPr="00F71C4C" w:rsidP="00935B93">
      <w:pPr>
        <w:pStyle w:val="FootnoteText"/>
        <w:widowControl/>
      </w:pPr>
      <w:r>
        <w:rPr>
          <w:rStyle w:val="FootnoteReference"/>
        </w:rPr>
        <w:footnoteRef/>
      </w:r>
      <w:r>
        <w:t xml:space="preserve"> </w:t>
      </w:r>
      <w:r w:rsidRPr="00F500A7">
        <w:rPr>
          <w:i/>
        </w:rPr>
        <w:t>Improvements to Generator Interconnection Procs. &amp; Agreements</w:t>
      </w:r>
      <w:r w:rsidRPr="00092CA2">
        <w:t>,</w:t>
      </w:r>
      <w:r w:rsidRPr="0062065C">
        <w:t xml:space="preserve"> Order </w:t>
      </w:r>
      <w:r w:rsidR="00F37781">
        <w:t xml:space="preserve">                </w:t>
      </w:r>
      <w:r w:rsidRPr="0062065C">
        <w:t xml:space="preserve">No. 2023, 184 FERC ¶ 61,054, </w:t>
      </w:r>
      <w:r w:rsidRPr="00F500A7">
        <w:rPr>
          <w:i/>
        </w:rPr>
        <w:t>order on reh’g</w:t>
      </w:r>
      <w:r w:rsidRPr="00092CA2">
        <w:t>,</w:t>
      </w:r>
      <w:r w:rsidRPr="0062065C">
        <w:t xml:space="preserve"> 185 FERC ¶ 61,063 (2023), </w:t>
      </w:r>
      <w:r w:rsidRPr="00F500A7">
        <w:rPr>
          <w:i/>
        </w:rPr>
        <w:t>order on reh’g</w:t>
      </w:r>
      <w:r w:rsidRPr="00092CA2">
        <w:t>,</w:t>
      </w:r>
      <w:r w:rsidRPr="00E343F5">
        <w:rPr>
          <w:iCs/>
        </w:rPr>
        <w:t xml:space="preserve"> </w:t>
      </w:r>
      <w:r w:rsidRPr="0062065C">
        <w:t xml:space="preserve">Order No. 2023-A, 186 FERC ¶ 61,199, </w:t>
      </w:r>
      <w:r w:rsidRPr="00311051">
        <w:rPr>
          <w:i/>
        </w:rPr>
        <w:t>errata notice</w:t>
      </w:r>
      <w:r w:rsidRPr="0062065C">
        <w:t>, 188 FERC ¶ 61,134 (2024</w:t>
      </w:r>
      <w:r w:rsidR="006F7AD4">
        <w:t>)</w:t>
      </w:r>
      <w:r>
        <w:t>.</w:t>
      </w:r>
    </w:p>
  </w:footnote>
  <w:footnote w:id="8">
    <w:p w:rsidR="0057059A" w:rsidP="0057059A">
      <w:pPr>
        <w:pStyle w:val="FootnoteText"/>
      </w:pPr>
      <w:r>
        <w:rPr>
          <w:rStyle w:val="FootnoteReference"/>
        </w:rPr>
        <w:footnoteRef/>
      </w:r>
      <w:r>
        <w:t xml:space="preserve"> </w:t>
      </w:r>
      <w:r w:rsidRPr="005E1AD2">
        <w:t xml:space="preserve">The </w:t>
      </w:r>
      <w:r w:rsidRPr="005E1AD2">
        <w:rPr>
          <w:i/>
        </w:rPr>
        <w:t xml:space="preserve">pro forma </w:t>
      </w:r>
      <w:r w:rsidRPr="005E1AD2">
        <w:t xml:space="preserve">LGIP and </w:t>
      </w:r>
      <w:r w:rsidRPr="005E1AD2">
        <w:rPr>
          <w:i/>
        </w:rPr>
        <w:t xml:space="preserve">pro forma </w:t>
      </w:r>
      <w:r w:rsidRPr="005E1AD2">
        <w:t>LGIA establish the terms and conditions under which public utilities that own, control, or operate facilities for transmitting energy in interstate commerce must provide interconnection service to generating facilities larger than 20 MW.</w:t>
      </w:r>
      <w:r>
        <w:t xml:space="preserve">  </w:t>
      </w:r>
      <w:r w:rsidRPr="007D0C99">
        <w:t>Order No. 2023, 184 FERC ¶ 61,054 at P 2.</w:t>
      </w:r>
    </w:p>
  </w:footnote>
  <w:footnote w:id="9">
    <w:p w:rsidR="0057059A" w:rsidRPr="005444E2" w:rsidP="0057059A">
      <w:pPr>
        <w:pStyle w:val="FootnoteText"/>
      </w:pPr>
      <w:r w:rsidRPr="005444E2">
        <w:rPr>
          <w:rStyle w:val="FootnoteReference"/>
        </w:rPr>
        <w:footnoteRef/>
      </w:r>
      <w:r w:rsidRPr="005444E2">
        <w:t xml:space="preserve"> </w:t>
      </w:r>
      <w:r w:rsidRPr="00A568C2">
        <w:rPr>
          <w:i/>
          <w:iCs/>
        </w:rPr>
        <w:t>Id.</w:t>
      </w:r>
      <w:r>
        <w:t xml:space="preserve"> P 1</w:t>
      </w:r>
      <w:r w:rsidRPr="00431E9C">
        <w:t>.</w:t>
      </w:r>
    </w:p>
  </w:footnote>
  <w:footnote w:id="10">
    <w:p w:rsidR="0057059A" w:rsidP="0057059A">
      <w:pPr>
        <w:pStyle w:val="FootnoteText"/>
      </w:pPr>
      <w:r>
        <w:rPr>
          <w:rStyle w:val="FootnoteReference"/>
        </w:rPr>
        <w:footnoteRef/>
      </w:r>
      <w:r>
        <w:t xml:space="preserve"> </w:t>
      </w:r>
      <w:r w:rsidRPr="001614F5">
        <w:rPr>
          <w:i/>
          <w:iCs/>
        </w:rPr>
        <w:t>Id.</w:t>
      </w:r>
      <w:r>
        <w:t xml:space="preserve"> P 5.</w:t>
      </w:r>
    </w:p>
  </w:footnote>
  <w:footnote w:id="11">
    <w:p w:rsidR="005A5E06" w:rsidRPr="006869B8" w:rsidP="005A5E06">
      <w:pPr>
        <w:pStyle w:val="FootnoteText"/>
      </w:pPr>
      <w:r w:rsidRPr="006869B8">
        <w:rPr>
          <w:rStyle w:val="FootnoteReference"/>
        </w:rPr>
        <w:footnoteRef/>
      </w:r>
      <w:r w:rsidRPr="006869B8">
        <w:t xml:space="preserve"> </w:t>
      </w:r>
      <w:r w:rsidRPr="001614F5" w:rsidR="008A55F4">
        <w:rPr>
          <w:i/>
          <w:iCs/>
        </w:rPr>
        <w:t>Id.</w:t>
      </w:r>
      <w:r w:rsidR="008A55F4">
        <w:t xml:space="preserve"> </w:t>
      </w:r>
      <w:r w:rsidRPr="006869B8">
        <w:t xml:space="preserve">P 1764 (citing </w:t>
      </w:r>
      <w:r w:rsidRPr="006869B8">
        <w:rPr>
          <w:i/>
          <w:iCs/>
        </w:rPr>
        <w:t>Standardization of Generator Interconnection Agreements &amp; Procs.</w:t>
      </w:r>
      <w:r w:rsidRPr="006869B8">
        <w:t xml:space="preserve">, Order No. 2003, 104 FERC ¶ 61,103, at P 826 (2003), </w:t>
      </w:r>
      <w:r w:rsidRPr="006869B8">
        <w:rPr>
          <w:i/>
          <w:iCs/>
        </w:rPr>
        <w:t>order on reh’g</w:t>
      </w:r>
      <w:r w:rsidRPr="006869B8">
        <w:t xml:space="preserve">, Order </w:t>
      </w:r>
      <w:r w:rsidR="00F37781">
        <w:t xml:space="preserve">              </w:t>
      </w:r>
      <w:r w:rsidRPr="006869B8">
        <w:t xml:space="preserve">No. 2003-A, 106 FERC ¶ 61,220, </w:t>
      </w:r>
      <w:r w:rsidRPr="006869B8">
        <w:rPr>
          <w:i/>
          <w:iCs/>
        </w:rPr>
        <w:t>order on reh’g</w:t>
      </w:r>
      <w:r w:rsidRPr="006869B8">
        <w:t xml:space="preserve">, Order No. 2003-B, 109 FERC ¶ 61,287 (2004), </w:t>
      </w:r>
      <w:r w:rsidRPr="006869B8">
        <w:rPr>
          <w:i/>
          <w:iCs/>
        </w:rPr>
        <w:t>order on reh’g</w:t>
      </w:r>
      <w:r w:rsidRPr="006869B8">
        <w:t xml:space="preserve">, Order No. 2003-C, 111 FERC ¶ 61,401 (2005), </w:t>
      </w:r>
      <w:r w:rsidRPr="006869B8">
        <w:rPr>
          <w:i/>
          <w:iCs/>
        </w:rPr>
        <w:t>aff’d sub nom. Nat’l Ass’n of Regul. Util. Comm’rs v. FERC</w:t>
      </w:r>
      <w:r w:rsidRPr="006869B8">
        <w:t xml:space="preserve">, 475 F.3d 1277 (D.C. Cir. 2007); </w:t>
      </w:r>
      <w:r w:rsidRPr="006869B8">
        <w:rPr>
          <w:i/>
          <w:iCs/>
        </w:rPr>
        <w:t>Standardization of Small Generator Interconnection Agreements &amp; Procs</w:t>
      </w:r>
      <w:r w:rsidRPr="006869B8">
        <w:t xml:space="preserve">., Order </w:t>
      </w:r>
      <w:r w:rsidR="00F37781">
        <w:t xml:space="preserve">             </w:t>
      </w:r>
      <w:r w:rsidRPr="006869B8">
        <w:t xml:space="preserve">No. 2006, 111 FERC ¶ 61,220, at PP 447, 549, </w:t>
      </w:r>
      <w:r w:rsidRPr="006869B8">
        <w:rPr>
          <w:i/>
          <w:iCs/>
        </w:rPr>
        <w:t>order on reh’g</w:t>
      </w:r>
      <w:r w:rsidRPr="006869B8">
        <w:t xml:space="preserve">, Order No. 2006-A, </w:t>
      </w:r>
      <w:r w:rsidR="00F37781">
        <w:t xml:space="preserve">              </w:t>
      </w:r>
      <w:r w:rsidRPr="006869B8">
        <w:t xml:space="preserve">113 FERC ¶ 61,195 (2005), </w:t>
      </w:r>
      <w:r w:rsidRPr="006869B8">
        <w:rPr>
          <w:i/>
          <w:iCs/>
        </w:rPr>
        <w:t>order granting clarification</w:t>
      </w:r>
      <w:r w:rsidRPr="006869B8">
        <w:t xml:space="preserve">, Order No. 2006-B, 116 FERC </w:t>
      </w:r>
      <w:r w:rsidR="00F37781">
        <w:t xml:space="preserve">             </w:t>
      </w:r>
      <w:r w:rsidRPr="006869B8">
        <w:t xml:space="preserve">¶ 61,046 (2006); </w:t>
      </w:r>
      <w:r w:rsidRPr="006869B8">
        <w:rPr>
          <w:i/>
          <w:iCs/>
        </w:rPr>
        <w:t>see Reform of Generator Interconnection Procs. &amp; Agreements</w:t>
      </w:r>
      <w:r w:rsidRPr="006869B8">
        <w:t xml:space="preserve">, Order No. 845, 163 FERC ¶ 61,043, at P 556 (2018), </w:t>
      </w:r>
      <w:r w:rsidRPr="006869B8">
        <w:rPr>
          <w:i/>
          <w:iCs/>
        </w:rPr>
        <w:t>order on reh’g</w:t>
      </w:r>
      <w:r w:rsidRPr="006869B8">
        <w:t xml:space="preserve">, Order No. 845-A, </w:t>
      </w:r>
      <w:r w:rsidR="00F37781">
        <w:t xml:space="preserve">                   </w:t>
      </w:r>
      <w:r w:rsidRPr="006869B8">
        <w:t xml:space="preserve">166 FERC ¶ 61,137, </w:t>
      </w:r>
      <w:r w:rsidRPr="006869B8">
        <w:rPr>
          <w:i/>
          <w:iCs/>
        </w:rPr>
        <w:t>order on reh’g</w:t>
      </w:r>
      <w:r w:rsidRPr="006869B8">
        <w:t>, Order No. 845-B, 168 FERC ¶ 61,092 (2019)).</w:t>
      </w:r>
    </w:p>
  </w:footnote>
  <w:footnote w:id="12">
    <w:p w:rsidR="00F44CBD" w:rsidRPr="006869B8" w:rsidP="00F44CBD">
      <w:pPr>
        <w:pStyle w:val="FootnoteText"/>
      </w:pPr>
      <w:r w:rsidRPr="006869B8">
        <w:rPr>
          <w:rStyle w:val="FootnoteReference"/>
        </w:rPr>
        <w:footnoteRef/>
      </w:r>
      <w:r w:rsidRPr="006869B8">
        <w:t xml:space="preserve"> Order No. 2003, 104 FERC ¶ 61,103 at P 82</w:t>
      </w:r>
      <w:r w:rsidR="00935B93">
        <w:t>7</w:t>
      </w:r>
      <w:r w:rsidRPr="006869B8">
        <w:t>.</w:t>
      </w:r>
    </w:p>
  </w:footnote>
  <w:footnote w:id="13">
    <w:p w:rsidR="00A067A2" w:rsidRPr="006869B8" w:rsidP="00A067A2">
      <w:pPr>
        <w:pStyle w:val="FootnoteText"/>
      </w:pPr>
      <w:r w:rsidRPr="006869B8">
        <w:rPr>
          <w:rStyle w:val="FootnoteReference"/>
        </w:rPr>
        <w:footnoteRef/>
      </w:r>
      <w:r w:rsidRPr="006869B8">
        <w:t xml:space="preserve"> </w:t>
      </w:r>
      <w:r w:rsidRPr="006869B8">
        <w:rPr>
          <w:i/>
          <w:iCs/>
        </w:rPr>
        <w:t xml:space="preserve">Id. </w:t>
      </w:r>
      <w:r w:rsidRPr="006869B8">
        <w:t>P 827.</w:t>
      </w:r>
    </w:p>
  </w:footnote>
  <w:footnote w:id="14">
    <w:p w:rsidR="007831DA" w:rsidRPr="006869B8" w:rsidP="007831DA">
      <w:pPr>
        <w:pStyle w:val="FootnoteText"/>
      </w:pPr>
      <w:r w:rsidRPr="006869B8">
        <w:rPr>
          <w:rStyle w:val="FootnoteReference"/>
        </w:rPr>
        <w:footnoteRef/>
      </w:r>
      <w:r w:rsidRPr="006869B8">
        <w:t xml:space="preserve"> </w:t>
      </w:r>
      <w:r w:rsidRPr="006869B8">
        <w:rPr>
          <w:i/>
          <w:iCs/>
        </w:rPr>
        <w:t>See, e.g.</w:t>
      </w:r>
      <w:r w:rsidRPr="006869B8">
        <w:t>,</w:t>
      </w:r>
      <w:r w:rsidRPr="006869B8">
        <w:rPr>
          <w:i/>
          <w:iCs/>
        </w:rPr>
        <w:t xml:space="preserve"> ISO New England, Inc.</w:t>
      </w:r>
      <w:r w:rsidRPr="006869B8">
        <w:t xml:space="preserve">, 164 FERC ¶ 61,222, at P 9 (2018) (citing Order No. 2003, 104 FERC ¶ 61,103 at PP 26, 827; </w:t>
      </w:r>
      <w:r w:rsidRPr="006869B8">
        <w:rPr>
          <w:i/>
          <w:iCs/>
        </w:rPr>
        <w:t>Midcontinent Indep. Sys. Operator, Inc.</w:t>
      </w:r>
      <w:r w:rsidRPr="006869B8">
        <w:t xml:space="preserve">, 154 FERC ¶ 61,247, at P 20 (2016); </w:t>
      </w:r>
      <w:r w:rsidRPr="006869B8">
        <w:rPr>
          <w:i/>
          <w:iCs/>
        </w:rPr>
        <w:t>Cal. Indep. Sys. Operator Corp.</w:t>
      </w:r>
      <w:r w:rsidRPr="006869B8">
        <w:t xml:space="preserve">, 140 FERC </w:t>
      </w:r>
      <w:r w:rsidR="00F37781">
        <w:t xml:space="preserve">               </w:t>
      </w:r>
      <w:r w:rsidRPr="006869B8">
        <w:t>¶ 61,070, at P 44 (2012)).</w:t>
      </w:r>
    </w:p>
  </w:footnote>
  <w:footnote w:id="15">
    <w:p w:rsidR="0057059A" w:rsidP="0057059A">
      <w:pPr>
        <w:pStyle w:val="FootnoteText"/>
      </w:pPr>
      <w:r>
        <w:rPr>
          <w:rStyle w:val="FootnoteReference"/>
        </w:rPr>
        <w:footnoteRef/>
      </w:r>
      <w:r>
        <w:t xml:space="preserve"> </w:t>
      </w:r>
      <w:r w:rsidRPr="007A6634">
        <w:rPr>
          <w:i/>
          <w:iCs/>
        </w:rPr>
        <w:t>N.Y. Indep. Sys. Operator, Inc.</w:t>
      </w:r>
      <w:r w:rsidRPr="007A6634">
        <w:t>, 191 FERC ¶ 61,049 (2025)</w:t>
      </w:r>
      <w:r w:rsidR="007B199C">
        <w:t xml:space="preserve"> (First Compliance Order)</w:t>
      </w:r>
      <w:r w:rsidRPr="007A6634">
        <w:t xml:space="preserve">; </w:t>
      </w:r>
      <w:r w:rsidRPr="007A6634">
        <w:rPr>
          <w:i/>
          <w:iCs/>
        </w:rPr>
        <w:t>N.Y. Indep. Sys. Operator, Inc.</w:t>
      </w:r>
      <w:r w:rsidRPr="007A6634">
        <w:t>, 193 FERC ¶ 61,031 (2025)</w:t>
      </w:r>
      <w:r w:rsidR="007B199C">
        <w:t xml:space="preserve"> (Second Compliance Order</w:t>
      </w:r>
      <w:r w:rsidR="00587AD5">
        <w:t>)</w:t>
      </w:r>
      <w:r w:rsidRPr="007A6634">
        <w:t xml:space="preserve">; </w:t>
      </w:r>
      <w:r w:rsidRPr="007A6634">
        <w:rPr>
          <w:i/>
          <w:iCs/>
        </w:rPr>
        <w:t>N.Y. Indep. Sys. Operator, Inc.</w:t>
      </w:r>
      <w:r w:rsidRPr="00092CA2">
        <w:t>,</w:t>
      </w:r>
      <w:r>
        <w:t xml:space="preserve"> </w:t>
      </w:r>
      <w:r w:rsidRPr="00CB71D9" w:rsidR="00CB71D9">
        <w:t>195 FERC ¶ 61,093</w:t>
      </w:r>
      <w:r w:rsidRPr="007A6634">
        <w:t xml:space="preserve"> (2026).</w:t>
      </w:r>
    </w:p>
  </w:footnote>
  <w:footnote w:id="16">
    <w:p w:rsidR="009C33D1" w:rsidRPr="009C33D1">
      <w:pPr>
        <w:pStyle w:val="FootnoteText"/>
      </w:pPr>
      <w:r>
        <w:rPr>
          <w:rStyle w:val="FootnoteReference"/>
        </w:rPr>
        <w:footnoteRef/>
      </w:r>
      <w:r>
        <w:t xml:space="preserve"> </w:t>
      </w:r>
      <w:r w:rsidR="007B199C">
        <w:t>First Compliance Order</w:t>
      </w:r>
      <w:r w:rsidRPr="007A6634" w:rsidR="007460AD">
        <w:t xml:space="preserve">, 191 FERC ¶ 61,049 </w:t>
      </w:r>
      <w:r w:rsidR="00C57CCA">
        <w:t xml:space="preserve">at PP </w:t>
      </w:r>
      <w:r w:rsidR="00C31F1C">
        <w:t>90</w:t>
      </w:r>
      <w:r w:rsidR="00D02593">
        <w:t xml:space="preserve">, </w:t>
      </w:r>
      <w:r w:rsidR="00136F79">
        <w:t xml:space="preserve">104, </w:t>
      </w:r>
      <w:r w:rsidR="00D02593">
        <w:t>113</w:t>
      </w:r>
      <w:r w:rsidRPr="007A6634" w:rsidR="007460AD">
        <w:t xml:space="preserve">; </w:t>
      </w:r>
      <w:r w:rsidR="002A4DF8">
        <w:rPr>
          <w:i/>
          <w:iCs/>
        </w:rPr>
        <w:t>see also</w:t>
      </w:r>
      <w:r>
        <w:rPr>
          <w:i/>
          <w:iCs/>
        </w:rPr>
        <w:t xml:space="preserve"> </w:t>
      </w:r>
      <w:r w:rsidR="007B199C">
        <w:t>Second Compliance Order</w:t>
      </w:r>
      <w:r w:rsidRPr="007A6634" w:rsidR="00023E6D">
        <w:t>, 193 FERC ¶ 61,031</w:t>
      </w:r>
      <w:r w:rsidR="00023E6D">
        <w:t xml:space="preserve"> at P 15.</w:t>
      </w:r>
    </w:p>
  </w:footnote>
  <w:footnote w:id="17">
    <w:p w:rsidR="00DA5909">
      <w:pPr>
        <w:pStyle w:val="FootnoteText"/>
      </w:pPr>
      <w:r>
        <w:rPr>
          <w:rStyle w:val="FootnoteReference"/>
        </w:rPr>
        <w:footnoteRef/>
      </w:r>
      <w:r>
        <w:t xml:space="preserve"> </w:t>
      </w:r>
      <w:r w:rsidRPr="007A6634" w:rsidR="00436859">
        <w:rPr>
          <w:i/>
          <w:iCs/>
        </w:rPr>
        <w:t>N.Y. Indep. Sys. Operator, Inc.</w:t>
      </w:r>
      <w:r w:rsidRPr="007A6634" w:rsidR="00436859">
        <w:t>,</w:t>
      </w:r>
      <w:r>
        <w:t xml:space="preserve"> </w:t>
      </w:r>
      <w:r w:rsidR="00014BD8">
        <w:t xml:space="preserve">Docket No. </w:t>
      </w:r>
      <w:r w:rsidRPr="007938AE" w:rsidR="007938AE">
        <w:t>ER24-1915</w:t>
      </w:r>
      <w:r w:rsidR="007938AE">
        <w:t>-005</w:t>
      </w:r>
      <w:r w:rsidR="00D91220">
        <w:t xml:space="preserve"> (July 14, 2026)</w:t>
      </w:r>
      <w:r w:rsidR="00F25A98">
        <w:t xml:space="preserve"> (delegated order).</w:t>
      </w:r>
    </w:p>
  </w:footnote>
  <w:footnote w:id="18">
    <w:p w:rsidR="005C387D">
      <w:pPr>
        <w:pStyle w:val="FootnoteText"/>
      </w:pPr>
      <w:r>
        <w:rPr>
          <w:rStyle w:val="FootnoteReference"/>
        </w:rPr>
        <w:footnoteRef/>
      </w:r>
      <w:r>
        <w:t xml:space="preserve"> </w:t>
      </w:r>
      <w:r w:rsidR="00AA13AF">
        <w:t xml:space="preserve">Initial </w:t>
      </w:r>
      <w:r>
        <w:t>Filing, Transmittal Letter at 1.</w:t>
      </w:r>
    </w:p>
  </w:footnote>
  <w:footnote w:id="19">
    <w:p w:rsidR="008019FA" w:rsidP="008019FA">
      <w:pPr>
        <w:pStyle w:val="FootnoteText"/>
      </w:pPr>
      <w:r>
        <w:rPr>
          <w:rStyle w:val="FootnoteReference"/>
        </w:rPr>
        <w:footnoteRef/>
      </w:r>
      <w:r>
        <w:t xml:space="preserve"> </w:t>
      </w:r>
      <w:r w:rsidR="009A68EB">
        <w:rPr>
          <w:i/>
          <w:iCs/>
        </w:rPr>
        <w:t>Id.</w:t>
      </w:r>
      <w:r w:rsidR="009A68EB">
        <w:t xml:space="preserve"> </w:t>
      </w:r>
      <w:r>
        <w:t>at 10.</w:t>
      </w:r>
    </w:p>
  </w:footnote>
  <w:footnote w:id="20">
    <w:p w:rsidR="00E5532E" w:rsidP="00E5532E">
      <w:pPr>
        <w:pStyle w:val="FootnoteText"/>
      </w:pPr>
      <w:r>
        <w:rPr>
          <w:rStyle w:val="FootnoteReference"/>
        </w:rPr>
        <w:footnoteRef/>
      </w:r>
      <w:r>
        <w:t xml:space="preserve"> </w:t>
      </w:r>
      <w:r>
        <w:rPr>
          <w:i/>
          <w:iCs/>
        </w:rPr>
        <w:t>Id.</w:t>
      </w:r>
      <w:r>
        <w:t xml:space="preserve"> at 8.</w:t>
      </w:r>
    </w:p>
  </w:footnote>
  <w:footnote w:id="21">
    <w:p w:rsidR="008019FA" w:rsidP="008019FA">
      <w:pPr>
        <w:pStyle w:val="FootnoteText"/>
      </w:pPr>
      <w:r>
        <w:rPr>
          <w:rStyle w:val="FootnoteReference"/>
        </w:rPr>
        <w:footnoteRef/>
      </w:r>
      <w:r>
        <w:t xml:space="preserve"> </w:t>
      </w:r>
      <w:r w:rsidRPr="0084271E" w:rsidR="00373E95">
        <w:rPr>
          <w:i/>
        </w:rPr>
        <w:t>Id.</w:t>
      </w:r>
      <w:r w:rsidR="00373E95">
        <w:t xml:space="preserve"> </w:t>
      </w:r>
      <w:r>
        <w:t>at 1</w:t>
      </w:r>
      <w:r w:rsidR="00373E95">
        <w:t>1</w:t>
      </w:r>
      <w:r>
        <w:t>-13.</w:t>
      </w:r>
      <w:r w:rsidR="0006008B">
        <w:t xml:space="preserve">  </w:t>
      </w:r>
      <w:r w:rsidR="008E080F">
        <w:t>T</w:t>
      </w:r>
      <w:r w:rsidRPr="008E080F" w:rsidR="008E080F">
        <w:t xml:space="preserve">he Standard Interconnection Procedures include requirements to permit </w:t>
      </w:r>
      <w:r w:rsidR="00080273">
        <w:t>i</w:t>
      </w:r>
      <w:r w:rsidRPr="008E080F" w:rsidR="008E080F">
        <w:t xml:space="preserve">nterconnection </w:t>
      </w:r>
      <w:r w:rsidR="00080273">
        <w:t>c</w:t>
      </w:r>
      <w:r w:rsidRPr="008E080F" w:rsidR="008E080F">
        <w:t>ustomers with Cluster Study Projects participating in an ongoing study process (the Pending Project) to submit the same project as a contingent project (Contingent Project) during the Application Window for the next study process.</w:t>
      </w:r>
    </w:p>
  </w:footnote>
  <w:footnote w:id="22">
    <w:p w:rsidR="008019FA" w:rsidP="008019FA">
      <w:pPr>
        <w:pStyle w:val="FootnoteText"/>
      </w:pPr>
      <w:r>
        <w:rPr>
          <w:rStyle w:val="FootnoteReference"/>
        </w:rPr>
        <w:footnoteRef/>
      </w:r>
      <w:r>
        <w:t xml:space="preserve"> </w:t>
      </w:r>
      <w:r w:rsidRPr="0084271E">
        <w:rPr>
          <w:i/>
          <w:iCs/>
        </w:rPr>
        <w:t>Id.</w:t>
      </w:r>
      <w:r>
        <w:t xml:space="preserve"> at 13.</w:t>
      </w:r>
    </w:p>
  </w:footnote>
  <w:footnote w:id="23">
    <w:p w:rsidR="00F25402">
      <w:pPr>
        <w:pStyle w:val="FootnoteText"/>
      </w:pPr>
      <w:r>
        <w:rPr>
          <w:rStyle w:val="FootnoteReference"/>
        </w:rPr>
        <w:footnoteRef/>
      </w:r>
      <w:r>
        <w:t xml:space="preserve"> </w:t>
      </w:r>
      <w:r w:rsidRPr="0084271E">
        <w:rPr>
          <w:i/>
          <w:iCs/>
        </w:rPr>
        <w:t>Id.</w:t>
      </w:r>
    </w:p>
  </w:footnote>
  <w:footnote w:id="24">
    <w:p w:rsidR="008019FA" w:rsidP="008019FA">
      <w:pPr>
        <w:pStyle w:val="FootnoteText"/>
      </w:pPr>
      <w:r>
        <w:rPr>
          <w:rStyle w:val="FootnoteReference"/>
        </w:rPr>
        <w:footnoteRef/>
      </w:r>
      <w:r>
        <w:t xml:space="preserve"> </w:t>
      </w:r>
      <w:r w:rsidRPr="003C6A80">
        <w:rPr>
          <w:i/>
        </w:rPr>
        <w:t>Id.</w:t>
      </w:r>
      <w:r>
        <w:t xml:space="preserve"> at 14</w:t>
      </w:r>
      <w:r w:rsidR="005C2D93">
        <w:t>-15</w:t>
      </w:r>
      <w:r>
        <w:t>.</w:t>
      </w:r>
    </w:p>
  </w:footnote>
  <w:footnote w:id="25">
    <w:p w:rsidR="00235C43" w:rsidP="00235C43">
      <w:pPr>
        <w:pStyle w:val="FootnoteText"/>
      </w:pPr>
      <w:r>
        <w:rPr>
          <w:rStyle w:val="FootnoteReference"/>
        </w:rPr>
        <w:footnoteRef/>
      </w:r>
      <w:r>
        <w:t xml:space="preserve"> </w:t>
      </w:r>
      <w:r w:rsidRPr="003C6A80">
        <w:rPr>
          <w:i/>
        </w:rPr>
        <w:t>Id.</w:t>
      </w:r>
      <w:r>
        <w:t xml:space="preserve"> at 15.</w:t>
      </w:r>
    </w:p>
  </w:footnote>
  <w:footnote w:id="26">
    <w:p w:rsidR="009562EB">
      <w:pPr>
        <w:pStyle w:val="FootnoteText"/>
      </w:pPr>
      <w:r>
        <w:rPr>
          <w:rStyle w:val="FootnoteReference"/>
        </w:rPr>
        <w:footnoteRef/>
      </w:r>
      <w:r>
        <w:t xml:space="preserve"> </w:t>
      </w:r>
      <w:r w:rsidRPr="003C6A80">
        <w:rPr>
          <w:i/>
        </w:rPr>
        <w:t>Id.</w:t>
      </w:r>
      <w:r>
        <w:t xml:space="preserve"> at 16.</w:t>
      </w:r>
    </w:p>
  </w:footnote>
  <w:footnote w:id="27">
    <w:p w:rsidR="00F771FA">
      <w:pPr>
        <w:pStyle w:val="FootnoteText"/>
      </w:pPr>
      <w:r>
        <w:rPr>
          <w:rStyle w:val="FootnoteReference"/>
        </w:rPr>
        <w:footnoteRef/>
      </w:r>
      <w:r>
        <w:t xml:space="preserve"> </w:t>
      </w:r>
      <w:r w:rsidRPr="003C6A80">
        <w:rPr>
          <w:i/>
        </w:rPr>
        <w:t>Id.</w:t>
      </w:r>
      <w:r w:rsidRPr="003C6A80">
        <w:t xml:space="preserve"> at </w:t>
      </w:r>
      <w:r w:rsidR="00307245">
        <w:t>17</w:t>
      </w:r>
      <w:r w:rsidRPr="003C6A80">
        <w:t>.</w:t>
      </w:r>
    </w:p>
  </w:footnote>
  <w:footnote w:id="28">
    <w:p w:rsidR="00FA4201">
      <w:pPr>
        <w:pStyle w:val="FootnoteText"/>
      </w:pPr>
      <w:r>
        <w:rPr>
          <w:rStyle w:val="FootnoteReference"/>
        </w:rPr>
        <w:footnoteRef/>
      </w:r>
      <w:r>
        <w:t xml:space="preserve"> </w:t>
      </w:r>
      <w:r w:rsidRPr="003C6A80" w:rsidR="009E4635">
        <w:rPr>
          <w:i/>
        </w:rPr>
        <w:t>Id.</w:t>
      </w:r>
      <w:r w:rsidRPr="003C6A80" w:rsidR="009E4635">
        <w:t xml:space="preserve"> at </w:t>
      </w:r>
      <w:r w:rsidR="009E4635">
        <w:t>17-19.</w:t>
      </w:r>
      <w:r w:rsidR="00256253">
        <w:t xml:space="preserve">  </w:t>
      </w:r>
      <w:r w:rsidR="00906267">
        <w:t>NYISO states that t</w:t>
      </w:r>
      <w:r w:rsidRPr="00906267" w:rsidR="00906267">
        <w:t xml:space="preserve">he purpose of </w:t>
      </w:r>
      <w:r w:rsidR="009A21F5">
        <w:t>its</w:t>
      </w:r>
      <w:r w:rsidRPr="00906267" w:rsidR="009A21F5">
        <w:t xml:space="preserve"> </w:t>
      </w:r>
      <w:r w:rsidRPr="00906267" w:rsidR="00906267">
        <w:t>Physical Infeasibility screening is to identify early in the study process, when possible, those Cluster Study Projects that will not be able to interconnect due to physical infeasibility issues, so that such Cluster Study Projects can withdraw without incurring significant costs, time, and resources.</w:t>
      </w:r>
      <w:r w:rsidR="00906267">
        <w:t xml:space="preserve">  </w:t>
      </w:r>
      <w:r w:rsidRPr="00865D6C" w:rsidR="00865D6C">
        <w:t xml:space="preserve">The Physical Infeasibility screen identifies whether the Cluster Study Project falls into one or more of </w:t>
      </w:r>
      <w:r w:rsidR="00865D6C">
        <w:t xml:space="preserve">four </w:t>
      </w:r>
      <w:r w:rsidRPr="00865D6C" w:rsidR="00865D6C">
        <w:t>scenarios</w:t>
      </w:r>
      <w:r w:rsidR="00865D6C">
        <w:t xml:space="preserve"> </w:t>
      </w:r>
      <w:r w:rsidR="00D4743A">
        <w:t xml:space="preserve">regarding substation availability, </w:t>
      </w:r>
      <w:r w:rsidR="00D45DD3">
        <w:t xml:space="preserve">consistency with Good Utility Practice or Applicable Reliability Requirements, </w:t>
      </w:r>
      <w:r w:rsidR="00A94597">
        <w:t xml:space="preserve">tie line viability, </w:t>
      </w:r>
      <w:r w:rsidR="00D1443C">
        <w:t xml:space="preserve">and </w:t>
      </w:r>
      <w:r w:rsidR="00740CB9">
        <w:t xml:space="preserve">equipment ratings. </w:t>
      </w:r>
      <w:r w:rsidR="00865D6C">
        <w:t xml:space="preserve"> </w:t>
      </w:r>
    </w:p>
  </w:footnote>
  <w:footnote w:id="29">
    <w:p w:rsidR="00CE03A0">
      <w:pPr>
        <w:pStyle w:val="FootnoteText"/>
      </w:pPr>
      <w:r>
        <w:rPr>
          <w:rStyle w:val="FootnoteReference"/>
        </w:rPr>
        <w:footnoteRef/>
      </w:r>
      <w:r>
        <w:t xml:space="preserve"> </w:t>
      </w:r>
      <w:r w:rsidRPr="003C6A80">
        <w:rPr>
          <w:i/>
        </w:rPr>
        <w:t>Id.</w:t>
      </w:r>
      <w:r w:rsidRPr="003C6A80">
        <w:t xml:space="preserve"> at </w:t>
      </w:r>
      <w:r>
        <w:t>19.</w:t>
      </w:r>
      <w:r w:rsidR="000A354C">
        <w:t xml:space="preserve"> </w:t>
      </w:r>
    </w:p>
  </w:footnote>
  <w:footnote w:id="30">
    <w:p w:rsidR="008019FA" w:rsidRPr="003C6A80" w:rsidP="008019FA">
      <w:pPr>
        <w:pStyle w:val="FootnoteText"/>
        <w:rPr>
          <w:u w:val="single"/>
        </w:rPr>
      </w:pPr>
      <w:r>
        <w:rPr>
          <w:rStyle w:val="FootnoteReference"/>
        </w:rPr>
        <w:footnoteRef/>
      </w:r>
      <w:r>
        <w:t xml:space="preserve"> </w:t>
      </w:r>
      <w:r w:rsidRPr="003C6A80">
        <w:rPr>
          <w:i/>
        </w:rPr>
        <w:t>Id.</w:t>
      </w:r>
      <w:r w:rsidRPr="003C6A80">
        <w:t xml:space="preserve"> at 21.</w:t>
      </w:r>
    </w:p>
  </w:footnote>
  <w:footnote w:id="31">
    <w:p w:rsidR="00ED0D71">
      <w:pPr>
        <w:pStyle w:val="FootnoteText"/>
      </w:pPr>
      <w:r>
        <w:rPr>
          <w:rStyle w:val="FootnoteReference"/>
        </w:rPr>
        <w:footnoteRef/>
      </w:r>
      <w:r>
        <w:t xml:space="preserve"> </w:t>
      </w:r>
      <w:r w:rsidRPr="00E94223" w:rsidR="0070731F">
        <w:rPr>
          <w:i/>
        </w:rPr>
        <w:t>Id.</w:t>
      </w:r>
      <w:r w:rsidR="0070731F">
        <w:t xml:space="preserve"> at 21-24.</w:t>
      </w:r>
      <w:r w:rsidR="00A22602">
        <w:t xml:space="preserve">  </w:t>
      </w:r>
      <w:r w:rsidR="00C7518A">
        <w:t xml:space="preserve">System Deliverability </w:t>
      </w:r>
      <w:r w:rsidR="00F26B2C">
        <w:t>Upgrades</w:t>
      </w:r>
      <w:r w:rsidR="001B0A4D">
        <w:t xml:space="preserve"> are</w:t>
      </w:r>
      <w:r w:rsidR="00F26B2C">
        <w:t xml:space="preserve"> </w:t>
      </w:r>
      <w:r w:rsidRPr="002A4688" w:rsidR="002A4688">
        <w:t>the configuration of electrical equipment that can be used to make the modifications or additions required for the proposed Project to connect reliably</w:t>
      </w:r>
      <w:r w:rsidR="001F72A3">
        <w:t>.</w:t>
      </w:r>
      <w:r w:rsidR="00E05524">
        <w:t xml:space="preserve">  </w:t>
      </w:r>
      <w:r w:rsidR="00F37781">
        <w:t xml:space="preserve">NYISO, </w:t>
      </w:r>
      <w:r w:rsidR="00E05524">
        <w:t>OATT</w:t>
      </w:r>
      <w:r w:rsidRPr="002D6F16" w:rsidR="00E05524">
        <w:t xml:space="preserve">, </w:t>
      </w:r>
      <w:r w:rsidR="00F37781">
        <w:t>a</w:t>
      </w:r>
      <w:r w:rsidR="00E05524">
        <w:t>ttach</w:t>
      </w:r>
      <w:r w:rsidR="00F37781">
        <w:t>.</w:t>
      </w:r>
      <w:r w:rsidR="00E05524">
        <w:t xml:space="preserve"> HH</w:t>
      </w:r>
      <w:r w:rsidRPr="002D6F16" w:rsidR="00E05524">
        <w:t xml:space="preserve">, </w:t>
      </w:r>
      <w:r w:rsidR="00FE5C38">
        <w:t>§</w:t>
      </w:r>
      <w:r w:rsidR="00E05524">
        <w:t xml:space="preserve"> </w:t>
      </w:r>
      <w:r w:rsidRPr="000B65F9" w:rsidR="00E05524">
        <w:t>40.1</w:t>
      </w:r>
      <w:r w:rsidR="00E05524">
        <w:t xml:space="preserve"> </w:t>
      </w:r>
      <w:r w:rsidR="00FE5C38">
        <w:t xml:space="preserve">(Definitions) </w:t>
      </w:r>
      <w:r w:rsidR="00E05524">
        <w:t>(</w:t>
      </w:r>
      <w:r w:rsidR="006815C9">
        <w:t>3</w:t>
      </w:r>
      <w:r w:rsidR="00E05524">
        <w:t>.0.0).</w:t>
      </w:r>
    </w:p>
  </w:footnote>
  <w:footnote w:id="32">
    <w:p w:rsidR="004725D4" w:rsidP="001E6AE2">
      <w:pPr>
        <w:pStyle w:val="FootnoteText"/>
      </w:pPr>
      <w:r>
        <w:rPr>
          <w:rStyle w:val="FootnoteReference"/>
        </w:rPr>
        <w:footnoteRef/>
      </w:r>
      <w:r>
        <w:t xml:space="preserve"> </w:t>
      </w:r>
      <w:r w:rsidR="0053272A">
        <w:t xml:space="preserve">Initial Filing, Transmittal Letter </w:t>
      </w:r>
      <w:r>
        <w:t>at 24.</w:t>
      </w:r>
    </w:p>
  </w:footnote>
  <w:footnote w:id="33">
    <w:p w:rsidR="00AF7770" w:rsidP="00AF7770">
      <w:pPr>
        <w:pStyle w:val="FootnoteText"/>
      </w:pPr>
      <w:r>
        <w:rPr>
          <w:rStyle w:val="FootnoteReference"/>
        </w:rPr>
        <w:footnoteRef/>
      </w:r>
      <w:r>
        <w:t xml:space="preserve"> Supplemental Filing, Transmittal Letter at 2.</w:t>
      </w:r>
    </w:p>
  </w:footnote>
  <w:footnote w:id="34">
    <w:p w:rsidR="00AC2B64" w:rsidP="00AC2B64">
      <w:pPr>
        <w:pStyle w:val="FootnoteText"/>
      </w:pPr>
      <w:r>
        <w:rPr>
          <w:rStyle w:val="FootnoteReference"/>
        </w:rPr>
        <w:footnoteRef/>
      </w:r>
      <w:r>
        <w:t xml:space="preserve"> </w:t>
      </w:r>
      <w:r>
        <w:rPr>
          <w:i/>
          <w:iCs/>
        </w:rPr>
        <w:t>Id.</w:t>
      </w:r>
      <w:r>
        <w:t xml:space="preserve"> at 3.</w:t>
      </w:r>
    </w:p>
  </w:footnote>
  <w:footnote w:id="35">
    <w:p w:rsidR="009B2B63">
      <w:pPr>
        <w:pStyle w:val="FootnoteText"/>
      </w:pPr>
      <w:r>
        <w:rPr>
          <w:rStyle w:val="FootnoteReference"/>
        </w:rPr>
        <w:footnoteRef/>
      </w:r>
      <w:r>
        <w:t xml:space="preserve"> </w:t>
      </w:r>
      <w:r w:rsidR="00CC23A3">
        <w:t>Initial Filing, Transmittal Letter at 24-25.</w:t>
      </w:r>
    </w:p>
  </w:footnote>
  <w:footnote w:id="36">
    <w:p w:rsidR="00183B2C">
      <w:pPr>
        <w:pStyle w:val="FootnoteText"/>
      </w:pPr>
      <w:r>
        <w:rPr>
          <w:rStyle w:val="FootnoteReference"/>
        </w:rPr>
        <w:footnoteRef/>
      </w:r>
      <w:r>
        <w:t xml:space="preserve"> </w:t>
      </w:r>
      <w:r w:rsidRPr="00F666C3">
        <w:rPr>
          <w:i/>
        </w:rPr>
        <w:t>Id.</w:t>
      </w:r>
      <w:r>
        <w:t xml:space="preserve"> at 25.</w:t>
      </w:r>
    </w:p>
  </w:footnote>
  <w:footnote w:id="37">
    <w:p w:rsidR="008019FA" w:rsidP="008019FA">
      <w:pPr>
        <w:pStyle w:val="FootnoteText"/>
      </w:pPr>
      <w:r>
        <w:rPr>
          <w:rStyle w:val="FootnoteReference"/>
        </w:rPr>
        <w:footnoteRef/>
      </w:r>
      <w:r>
        <w:t xml:space="preserve"> </w:t>
      </w:r>
      <w:r w:rsidRPr="003C6A80">
        <w:rPr>
          <w:i/>
        </w:rPr>
        <w:t>Id.</w:t>
      </w:r>
      <w:r>
        <w:t xml:space="preserve"> at 25-26.</w:t>
      </w:r>
    </w:p>
  </w:footnote>
  <w:footnote w:id="38">
    <w:p w:rsidR="008019FA" w:rsidP="008019FA">
      <w:pPr>
        <w:pStyle w:val="FootnoteText"/>
      </w:pPr>
      <w:r>
        <w:rPr>
          <w:rStyle w:val="FootnoteReference"/>
        </w:rPr>
        <w:footnoteRef/>
      </w:r>
      <w:r>
        <w:t xml:space="preserve"> </w:t>
      </w:r>
      <w:r w:rsidRPr="003C6A80">
        <w:rPr>
          <w:i/>
        </w:rPr>
        <w:t>Id.</w:t>
      </w:r>
      <w:r>
        <w:t xml:space="preserve"> at 26.</w:t>
      </w:r>
    </w:p>
  </w:footnote>
  <w:footnote w:id="39">
    <w:p w:rsidR="008019FA" w:rsidP="008019FA">
      <w:pPr>
        <w:pStyle w:val="FootnoteText"/>
      </w:pPr>
      <w:r>
        <w:rPr>
          <w:rStyle w:val="FootnoteReference"/>
        </w:rPr>
        <w:footnoteRef/>
      </w:r>
      <w:r>
        <w:t xml:space="preserve"> </w:t>
      </w:r>
      <w:r w:rsidRPr="003C6A80">
        <w:rPr>
          <w:i/>
        </w:rPr>
        <w:t>Id.</w:t>
      </w:r>
      <w:r>
        <w:t xml:space="preserve"> at 27-28.</w:t>
      </w:r>
    </w:p>
  </w:footnote>
  <w:footnote w:id="40">
    <w:p w:rsidR="008019FA" w:rsidP="008019FA">
      <w:pPr>
        <w:pStyle w:val="FootnoteText"/>
      </w:pPr>
      <w:r>
        <w:rPr>
          <w:rStyle w:val="FootnoteReference"/>
        </w:rPr>
        <w:footnoteRef/>
      </w:r>
      <w:r>
        <w:t xml:space="preserve"> </w:t>
      </w:r>
      <w:r w:rsidRPr="003C6A80">
        <w:rPr>
          <w:i/>
        </w:rPr>
        <w:t>Id.</w:t>
      </w:r>
      <w:r>
        <w:t xml:space="preserve"> at 27.</w:t>
      </w:r>
    </w:p>
  </w:footnote>
  <w:footnote w:id="41">
    <w:p w:rsidR="008019FA" w:rsidRPr="005866C7" w:rsidP="008019FA">
      <w:pPr>
        <w:pStyle w:val="FootnoteText"/>
      </w:pPr>
      <w:r>
        <w:rPr>
          <w:rStyle w:val="FootnoteReference"/>
        </w:rPr>
        <w:footnoteRef/>
      </w:r>
      <w:r>
        <w:t xml:space="preserve"> </w:t>
      </w:r>
      <w:r>
        <w:rPr>
          <w:i/>
          <w:iCs/>
        </w:rPr>
        <w:t>Id.</w:t>
      </w:r>
      <w:r>
        <w:t xml:space="preserve"> at 28-34.</w:t>
      </w:r>
    </w:p>
  </w:footnote>
  <w:footnote w:id="42">
    <w:p w:rsidR="008019FA" w:rsidP="008019FA">
      <w:pPr>
        <w:pStyle w:val="FootnoteText"/>
      </w:pPr>
      <w:r>
        <w:rPr>
          <w:rStyle w:val="FootnoteReference"/>
        </w:rPr>
        <w:footnoteRef/>
      </w:r>
      <w:r>
        <w:t xml:space="preserve"> </w:t>
      </w:r>
      <w:r w:rsidRPr="0084271E">
        <w:rPr>
          <w:i/>
          <w:iCs/>
        </w:rPr>
        <w:t>Id.</w:t>
      </w:r>
      <w:r>
        <w:t xml:space="preserve"> at 28.</w:t>
      </w:r>
    </w:p>
  </w:footnote>
  <w:footnote w:id="43">
    <w:p w:rsidR="008019FA" w:rsidP="008019FA">
      <w:pPr>
        <w:pStyle w:val="FootnoteText"/>
      </w:pPr>
      <w:r>
        <w:rPr>
          <w:rStyle w:val="FootnoteReference"/>
        </w:rPr>
        <w:footnoteRef/>
      </w:r>
      <w:r>
        <w:t xml:space="preserve"> </w:t>
      </w:r>
      <w:r w:rsidRPr="0084271E">
        <w:rPr>
          <w:i/>
          <w:iCs/>
        </w:rPr>
        <w:t>Id.</w:t>
      </w:r>
      <w:r>
        <w:t xml:space="preserve"> at 30.</w:t>
      </w:r>
    </w:p>
  </w:footnote>
  <w:footnote w:id="44">
    <w:p w:rsidR="008019FA" w:rsidP="008019FA">
      <w:pPr>
        <w:pStyle w:val="FootnoteText"/>
      </w:pPr>
      <w:r>
        <w:rPr>
          <w:rStyle w:val="FootnoteReference"/>
        </w:rPr>
        <w:footnoteRef/>
      </w:r>
      <w:r>
        <w:t xml:space="preserve"> </w:t>
      </w:r>
      <w:r w:rsidRPr="003C6A80">
        <w:rPr>
          <w:i/>
        </w:rPr>
        <w:t>Id.</w:t>
      </w:r>
      <w:r>
        <w:t xml:space="preserve"> at 34-35.</w:t>
      </w:r>
    </w:p>
  </w:footnote>
  <w:footnote w:id="45">
    <w:p w:rsidR="008019FA" w:rsidRPr="005866C7" w:rsidP="008019FA">
      <w:pPr>
        <w:pStyle w:val="FootnoteText"/>
      </w:pPr>
      <w:r>
        <w:rPr>
          <w:rStyle w:val="FootnoteReference"/>
        </w:rPr>
        <w:footnoteRef/>
      </w:r>
      <w:r>
        <w:t xml:space="preserve"> </w:t>
      </w:r>
      <w:r>
        <w:rPr>
          <w:i/>
        </w:rPr>
        <w:t xml:space="preserve">Id. </w:t>
      </w:r>
      <w:r>
        <w:t>at 35</w:t>
      </w:r>
      <w:r w:rsidR="00240A8B">
        <w:t>-39</w:t>
      </w:r>
      <w:r>
        <w:t>.</w:t>
      </w:r>
    </w:p>
  </w:footnote>
  <w:footnote w:id="46">
    <w:p w:rsidR="00CE65A1" w:rsidP="00CE65A1">
      <w:pPr>
        <w:pStyle w:val="FootnoteText"/>
      </w:pPr>
      <w:r>
        <w:rPr>
          <w:rStyle w:val="FootnoteReference"/>
        </w:rPr>
        <w:footnoteRef/>
      </w:r>
      <w:r>
        <w:t xml:space="preserve"> For purposes of this filing, the New York Transmission Owners are: </w:t>
      </w:r>
      <w:r w:rsidR="00F37781">
        <w:t xml:space="preserve"> </w:t>
      </w:r>
      <w:r>
        <w:t>Central Hudson Gas &amp; Electric Corporation; Consolidated Edison Company of New York, Inc.; Long Island Power Authority; New York Power Authority; New York State Electric &amp; Gas Corporation; Niagara Mohawk Power Corporation; Orange and Rockland Utilities, Inc.; and Rochester Gas and Electric Corporation.</w:t>
      </w:r>
    </w:p>
  </w:footnote>
  <w:footnote w:id="47">
    <w:p w:rsidR="00DC3077" w:rsidP="00DC3077">
      <w:pPr>
        <w:pStyle w:val="FootnoteText"/>
      </w:pPr>
      <w:r>
        <w:rPr>
          <w:rStyle w:val="FootnoteReference"/>
        </w:rPr>
        <w:footnoteRef/>
      </w:r>
      <w:r>
        <w:t xml:space="preserve"> </w:t>
      </w:r>
      <w:r w:rsidRPr="005B67A2">
        <w:t>The United States Court of Appeals for the District of Columbia Circuit has held that, in certain circumstances, the Commission has “authority to propose modifications to</w:t>
      </w:r>
      <w:r>
        <w:t xml:space="preserve"> </w:t>
      </w:r>
      <w:r w:rsidRPr="005B67A2">
        <w:t xml:space="preserve">a utility’s [FPA section 205] proposal </w:t>
      </w:r>
      <w:r w:rsidRPr="005B67A2">
        <w:rPr>
          <w:i/>
          <w:iCs/>
        </w:rPr>
        <w:t>if the utility consents to the modifications</w:t>
      </w:r>
      <w:r w:rsidRPr="005B67A2">
        <w:t xml:space="preserve">.”  </w:t>
      </w:r>
      <w:r w:rsidRPr="005B67A2">
        <w:rPr>
          <w:i/>
          <w:iCs/>
        </w:rPr>
        <w:t>NRG</w:t>
      </w:r>
      <w:r>
        <w:rPr>
          <w:i/>
          <w:iCs/>
        </w:rPr>
        <w:t xml:space="preserve"> Power Mktg., LLC</w:t>
      </w:r>
      <w:r w:rsidR="00FE5C38">
        <w:rPr>
          <w:i/>
          <w:iCs/>
        </w:rPr>
        <w:t xml:space="preserve"> v. FERC</w:t>
      </w:r>
      <w:r w:rsidRPr="005B67A2">
        <w:t>, 862 F.3d</w:t>
      </w:r>
      <w:r>
        <w:t xml:space="preserve"> 108,</w:t>
      </w:r>
      <w:r w:rsidRPr="005B67A2">
        <w:t xml:space="preserve"> 114-15 </w:t>
      </w:r>
      <w:r>
        <w:t xml:space="preserve">(D.C. Cir. 2017) </w:t>
      </w:r>
      <w:r w:rsidRPr="005B67A2">
        <w:t xml:space="preserve">(emphasis added).  </w:t>
      </w:r>
    </w:p>
  </w:footnote>
  <w:footnote w:id="48">
    <w:p w:rsidR="000B1A5D" w:rsidRPr="006869B8" w:rsidP="00F37781">
      <w:pPr>
        <w:pStyle w:val="FootnoteText"/>
        <w:widowControl/>
      </w:pPr>
      <w:r w:rsidRPr="006869B8">
        <w:rPr>
          <w:rStyle w:val="FootnoteReference"/>
        </w:rPr>
        <w:footnoteRef/>
      </w:r>
      <w:r w:rsidRPr="006869B8">
        <w:t xml:space="preserve"> Order No. 2023, 184 FERC ¶ 61,054 at P </w:t>
      </w:r>
      <w:r w:rsidR="007D29FF">
        <w:t xml:space="preserve">3 (adopting reforms to </w:t>
      </w:r>
      <w:r w:rsidR="00B51369">
        <w:t>“</w:t>
      </w:r>
      <w:r w:rsidRPr="00B51369" w:rsidR="00B51369">
        <w:t>the Commission</w:t>
      </w:r>
      <w:r w:rsidR="00E130C2">
        <w:t>’</w:t>
      </w:r>
      <w:r w:rsidRPr="00B51369" w:rsidR="00B51369">
        <w:t>s standard interconnection procedures and agreements to ensure that interconnection customers are able to interconnect to the transmission system in a reliable, efficient, transparent, and timely manner</w:t>
      </w:r>
      <w:r w:rsidR="00E130C2">
        <w:t xml:space="preserve">, </w:t>
      </w:r>
      <w:r w:rsidRPr="00E130C2" w:rsidR="00E130C2">
        <w:t>thereby ensuring that rates, terms, and conditions for Commission-jurisdictional services are just, reasonable, and not unduly discriminatory or preferential</w:t>
      </w:r>
      <w:r w:rsidR="00E130C2">
        <w:t>”)</w:t>
      </w:r>
      <w:r w:rsidRPr="006869B8">
        <w:t>.</w:t>
      </w:r>
    </w:p>
  </w:footnote>
  <w:footnote w:id="49">
    <w:p w:rsidR="001262E5" w:rsidP="00935B93">
      <w:pPr>
        <w:pStyle w:val="FootnoteText"/>
        <w:widowControl/>
      </w:pPr>
      <w:r>
        <w:rPr>
          <w:rStyle w:val="FootnoteReference"/>
        </w:rPr>
        <w:footnoteRef/>
      </w:r>
      <w:r>
        <w:t xml:space="preserve"> </w:t>
      </w:r>
      <w:r w:rsidR="00A05168">
        <w:t xml:space="preserve">Supplemental </w:t>
      </w:r>
      <w:r w:rsidR="0042318C">
        <w:t xml:space="preserve">Filing, </w:t>
      </w:r>
      <w:r w:rsidR="00FE5C38">
        <w:t>a</w:t>
      </w:r>
      <w:r w:rsidR="00A05168">
        <w:t>ttach</w:t>
      </w:r>
      <w:r w:rsidR="00FE5C38">
        <w:t>.</w:t>
      </w:r>
      <w:r w:rsidR="00A05168">
        <w:t xml:space="preserve"> </w:t>
      </w:r>
      <w:r w:rsidR="00407D12">
        <w:t>I</w:t>
      </w:r>
      <w:r w:rsidR="00A05168">
        <w:t xml:space="preserve"> </w:t>
      </w:r>
      <w:r w:rsidR="00FE5C38">
        <w:t>(</w:t>
      </w:r>
      <w:r w:rsidR="000B65F9">
        <w:t xml:space="preserve">Illustrative OATT </w:t>
      </w:r>
      <w:r w:rsidR="002D243F">
        <w:t>Attachment HH</w:t>
      </w:r>
      <w:r w:rsidR="00FE5C38">
        <w:t>)</w:t>
      </w:r>
      <w:r w:rsidR="002D243F">
        <w:t>,</w:t>
      </w:r>
      <w:r w:rsidR="00FE5C38">
        <w:t xml:space="preserve"> §</w:t>
      </w:r>
      <w:r w:rsidR="002D243F">
        <w:t xml:space="preserve"> </w:t>
      </w:r>
      <w:r w:rsidRPr="000B65F9" w:rsidR="000B65F9">
        <w:t>40.6.4.1</w:t>
      </w:r>
      <w:r w:rsidR="002D243F">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407EE0">
    <w:pPr>
      <w:pStyle w:val="Header"/>
      <w:framePr w:wrap="around" w:vAnchor="text" w:hAnchor="margin" w:xAlign="right" w:y="1"/>
      <w:rPr>
        <w:rStyle w:val="PageNumber"/>
      </w:rPr>
    </w:pPr>
    <w:r>
      <w:rPr>
        <w:noProof/>
      </w:rPr>
      <w:pict>
        <v:shapetype id="_x0000_t202" coordsize="21600,21600" o:spt="202" path="m,l,21600r21600,l21600,xe">
          <v:stroke joinstyle="miter"/>
          <v:path gradientshapeok="t" o:connecttype="rect"/>
        </v:shapetype>
        <v:shape id="Text Box 2" o:spid="_x0000_s2049" type="#_x0000_t202" alt="CUI" style="width:22.4pt;height:29.95pt;margin-top:0;margin-left:0;mso-position-horizontal:center;mso-position-horizontal-relative:page;mso-position-vertical:top;mso-position-vertical-relative:page;mso-wrap-distance-bottom:0;mso-wrap-distance-left:0;mso-wrap-distance-right:0;mso-wrap-distance-top:0;mso-wrap-style:none;position:absolute;v-text-anchor:top;z-index:251659264" filled="f" fillcolor="this" stroked="f">
          <v:textbox style="mso-fit-shape-to-text:t" inset="0,15pt,0,0">
            <w:txbxContent>
              <w:p w:rsidR="005333BC" w:rsidRPr="005333BC" w:rsidP="005333BC">
                <w:pPr>
                  <w:rPr>
                    <w:rFonts w:eastAsia="Times New Roman"/>
                    <w:noProof/>
                    <w:color w:val="FF0000"/>
                    <w:szCs w:val="26"/>
                  </w:rPr>
                </w:pPr>
                <w:r w:rsidRPr="005333BC">
                  <w:rPr>
                    <w:rFonts w:eastAsia="Times New Roman"/>
                    <w:noProof/>
                    <w:color w:val="FF0000"/>
                    <w:szCs w:val="26"/>
                  </w:rPr>
                  <w:t>CUI</w:t>
                </w:r>
              </w:p>
            </w:txbxContent>
          </v:textbox>
        </v:shape>
      </w:pict>
    </w:r>
    <w:r w:rsidR="00653D8D">
      <w:rPr>
        <w:rStyle w:val="PageNumber"/>
      </w:rPr>
      <w:fldChar w:fldCharType="begin"/>
    </w:r>
    <w:r w:rsidR="00653D8D">
      <w:rPr>
        <w:rStyle w:val="PageNumber"/>
      </w:rPr>
      <w:instrText xml:space="preserve">PAGE  </w:instrText>
    </w:r>
    <w:r w:rsidR="00653D8D">
      <w:rPr>
        <w:rStyle w:val="PageNumber"/>
      </w:rPr>
      <w:fldChar w:fldCharType="separate"/>
    </w:r>
    <w:r w:rsidR="00653D8D">
      <w:rPr>
        <w:rStyle w:val="PageNumber"/>
        <w:noProof/>
      </w:rPr>
      <w:t>- 1 -</w:t>
    </w:r>
    <w:r w:rsidR="00653D8D">
      <w:rPr>
        <w:rStyle w:val="PageNumber"/>
      </w:rPr>
      <w:fldChar w:fldCharType="end"/>
    </w:r>
  </w:p>
  <w:p w:rsidR="00653D8D" w:rsidP="00407EE0">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B86E6D">
    <w:pPr>
      <w:pStyle w:val="Header"/>
      <w:tabs>
        <w:tab w:val="clear" w:pos="4680"/>
      </w:tabs>
      <w:spacing w:after="240"/>
    </w:pPr>
    <w:r>
      <w:rPr>
        <w:noProof/>
      </w:rPr>
      <w:pict>
        <v:shapetype id="_x0000_t202" coordsize="21600,21600" o:spt="202" path="m,l,21600r21600,l21600,xe">
          <v:stroke joinstyle="miter"/>
          <v:path gradientshapeok="t" o:connecttype="rect"/>
        </v:shapetype>
        <v:shape id="Text Box 3" o:spid="_x0000_s2050" type="#_x0000_t202" alt="CUI" style="width:22.4pt;height:29.95pt;margin-top:0;margin-left:0;mso-position-horizontal:center;mso-position-horizontal-relative:page;mso-position-vertical:top;mso-position-vertical-relative:page;mso-wrap-distance-bottom:0;mso-wrap-distance-left:0;mso-wrap-distance-right:0;mso-wrap-distance-top:0;mso-wrap-style:none;position:absolute;v-text-anchor:top;z-index:251660288" filled="f" fillcolor="this" stroked="f">
          <v:textbox style="mso-fit-shape-to-text:t" inset="0,15pt,0,0">
            <w:txbxContent>
              <w:p w:rsidR="005333BC" w:rsidRPr="005333BC" w:rsidP="005333BC">
                <w:pPr>
                  <w:rPr>
                    <w:rFonts w:eastAsia="Times New Roman"/>
                    <w:noProof/>
                    <w:color w:val="FF0000"/>
                    <w:szCs w:val="26"/>
                  </w:rPr>
                </w:pPr>
              </w:p>
            </w:txbxContent>
          </v:textbox>
        </v:shape>
      </w:pict>
    </w:r>
    <w:r w:rsidR="00B86E6D">
      <w:t>Docket No. ER26-2698-000</w:t>
      <w:tab/>
    </w:r>
    <w:r w:rsidR="00B86E6D">
      <w:fldChar w:fldCharType="begin"/>
    </w:r>
    <w:r w:rsidR="00B86E6D">
      <w:instrText xml:space="preserve"> PAGE  \* MERGEFORMAT </w:instrText>
    </w:r>
    <w:r w:rsidR="00B86E6D">
      <w:fldChar w:fldCharType="separate"/>
    </w:r>
    <w:r w:rsidR="00B86E6D">
      <w:rPr>
        <w:noProof/>
      </w:rPr>
      <w:t>- 12 -</w:t>
    </w:r>
    <w:r w:rsidR="00B86E6D">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EC3F55">
    <w:pPr>
      <w:pStyle w:val="Header"/>
      <w:tabs>
        <w:tab w:val="clear" w:pos="4680"/>
      </w:tabs>
    </w:pPr>
    <w:r>
      <w:rPr>
        <w:noProof/>
      </w:rPr>
      <w:pict>
        <v:shapetype id="_x0000_t202" coordsize="21600,21600" o:spt="202" path="m,l,21600r21600,l21600,xe">
          <v:stroke joinstyle="miter"/>
          <v:path gradientshapeok="t" o:connecttype="rect"/>
        </v:shapetype>
        <v:shape id="Text Box 1" o:spid="_x0000_s2051" type="#_x0000_t202" alt="CUI" style="width:22.4pt;height:29.95pt;margin-top:0;margin-left:0;mso-position-horizontal:center;mso-position-horizontal-relative:page;mso-position-vertical:top;mso-position-vertical-relative:page;mso-wrap-distance-bottom:0;mso-wrap-distance-left:0;mso-wrap-distance-right:0;mso-wrap-distance-top:0;mso-wrap-style:none;position:absolute;v-text-anchor:top;z-index:251658240" filled="f" fillcolor="this" stroked="f">
          <v:textbox style="mso-fit-shape-to-text:t" inset="0,15pt,0,0">
            <w:txbxContent>
              <w:p w:rsidR="005333BC" w:rsidRPr="005333BC" w:rsidP="005333BC">
                <w:pPr>
                  <w:rPr>
                    <w:rFonts w:eastAsia="Times New Roman"/>
                    <w:noProof/>
                    <w:color w:val="FF0000"/>
                    <w:szCs w:val="26"/>
                  </w:rPr>
                </w:pP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140521F"/>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FFFFFF7C"/>
    <w:multiLevelType w:val="singleLevel"/>
    <w:tmpl w:val="F2926A2A"/>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9D9AAD9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98D2401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2F2AD59C"/>
    <w:lvl w:ilvl="0">
      <w:start w:val="1"/>
      <w:numFmt w:val="decimal"/>
      <w:pStyle w:val="ListNumber2"/>
      <w:lvlText w:val="%1."/>
      <w:lvlJc w:val="left"/>
      <w:pPr>
        <w:tabs>
          <w:tab w:val="num" w:pos="720"/>
        </w:tabs>
        <w:ind w:left="720" w:hanging="360"/>
      </w:pPr>
    </w:lvl>
  </w:abstractNum>
  <w:abstractNum w:abstractNumId="5">
    <w:nsid w:val="FFFFFF80"/>
    <w:multiLevelType w:val="singleLevel"/>
    <w:tmpl w:val="8BCEEC38"/>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F124AF36"/>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00D0A812"/>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AB72DF00"/>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CA0E1DC4"/>
    <w:lvl w:ilvl="0">
      <w:start w:val="1"/>
      <w:numFmt w:val="decimal"/>
      <w:pStyle w:val="ListNumber"/>
      <w:lvlText w:val="%1."/>
      <w:lvlJc w:val="left"/>
      <w:pPr>
        <w:tabs>
          <w:tab w:val="num" w:pos="360"/>
        </w:tabs>
        <w:ind w:left="360" w:hanging="360"/>
      </w:pPr>
    </w:lvl>
  </w:abstractNum>
  <w:abstractNum w:abstractNumId="10">
    <w:nsid w:val="FFFFFF89"/>
    <w:multiLevelType w:val="singleLevel"/>
    <w:tmpl w:val="283861D6"/>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0AF6CD3"/>
    <w:multiLevelType w:val="hybridMultilevel"/>
    <w:tmpl w:val="64A0B718"/>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2">
    <w:nsid w:val="0AD240F1"/>
    <w:multiLevelType w:val="hybridMultilevel"/>
    <w:tmpl w:val="CFBE3900"/>
    <w:lvl w:ilvl="0">
      <w:start w:val="7"/>
      <w:numFmt w:val="bullet"/>
      <w:lvlText w:val="-"/>
      <w:lvlJc w:val="left"/>
      <w:pPr>
        <w:ind w:left="9480" w:hanging="360"/>
      </w:pPr>
      <w:rPr>
        <w:rFonts w:ascii="Times New Roman" w:eastAsia="Calibri" w:hAnsi="Times New Roman" w:cs="Times New Roman" w:hint="default"/>
      </w:rPr>
    </w:lvl>
    <w:lvl w:ilvl="1" w:tentative="1">
      <w:start w:val="1"/>
      <w:numFmt w:val="bullet"/>
      <w:lvlText w:val="o"/>
      <w:lvlJc w:val="left"/>
      <w:pPr>
        <w:ind w:left="10200" w:hanging="360"/>
      </w:pPr>
      <w:rPr>
        <w:rFonts w:ascii="Courier New" w:hAnsi="Courier New" w:cs="Courier New" w:hint="default"/>
      </w:rPr>
    </w:lvl>
    <w:lvl w:ilvl="2" w:tentative="1">
      <w:start w:val="1"/>
      <w:numFmt w:val="bullet"/>
      <w:lvlText w:val=""/>
      <w:lvlJc w:val="left"/>
      <w:pPr>
        <w:ind w:left="10920" w:hanging="360"/>
      </w:pPr>
      <w:rPr>
        <w:rFonts w:ascii="Wingdings" w:hAnsi="Wingdings" w:hint="default"/>
      </w:rPr>
    </w:lvl>
    <w:lvl w:ilvl="3" w:tentative="1">
      <w:start w:val="1"/>
      <w:numFmt w:val="bullet"/>
      <w:lvlText w:val=""/>
      <w:lvlJc w:val="left"/>
      <w:pPr>
        <w:ind w:left="11640" w:hanging="360"/>
      </w:pPr>
      <w:rPr>
        <w:rFonts w:ascii="Symbol" w:hAnsi="Symbol" w:hint="default"/>
      </w:rPr>
    </w:lvl>
    <w:lvl w:ilvl="4" w:tentative="1">
      <w:start w:val="1"/>
      <w:numFmt w:val="bullet"/>
      <w:lvlText w:val="o"/>
      <w:lvlJc w:val="left"/>
      <w:pPr>
        <w:ind w:left="12360" w:hanging="360"/>
      </w:pPr>
      <w:rPr>
        <w:rFonts w:ascii="Courier New" w:hAnsi="Courier New" w:cs="Courier New" w:hint="default"/>
      </w:rPr>
    </w:lvl>
    <w:lvl w:ilvl="5" w:tentative="1">
      <w:start w:val="1"/>
      <w:numFmt w:val="bullet"/>
      <w:lvlText w:val=""/>
      <w:lvlJc w:val="left"/>
      <w:pPr>
        <w:ind w:left="13080" w:hanging="360"/>
      </w:pPr>
      <w:rPr>
        <w:rFonts w:ascii="Wingdings" w:hAnsi="Wingdings" w:hint="default"/>
      </w:rPr>
    </w:lvl>
    <w:lvl w:ilvl="6" w:tentative="1">
      <w:start w:val="1"/>
      <w:numFmt w:val="bullet"/>
      <w:lvlText w:val=""/>
      <w:lvlJc w:val="left"/>
      <w:pPr>
        <w:ind w:left="13800" w:hanging="360"/>
      </w:pPr>
      <w:rPr>
        <w:rFonts w:ascii="Symbol" w:hAnsi="Symbol" w:hint="default"/>
      </w:rPr>
    </w:lvl>
    <w:lvl w:ilvl="7" w:tentative="1">
      <w:start w:val="1"/>
      <w:numFmt w:val="bullet"/>
      <w:lvlText w:val="o"/>
      <w:lvlJc w:val="left"/>
      <w:pPr>
        <w:ind w:left="14520" w:hanging="360"/>
      </w:pPr>
      <w:rPr>
        <w:rFonts w:ascii="Courier New" w:hAnsi="Courier New" w:cs="Courier New" w:hint="default"/>
      </w:rPr>
    </w:lvl>
    <w:lvl w:ilvl="8" w:tentative="1">
      <w:start w:val="1"/>
      <w:numFmt w:val="bullet"/>
      <w:lvlText w:val=""/>
      <w:lvlJc w:val="left"/>
      <w:pPr>
        <w:ind w:left="15240" w:hanging="360"/>
      </w:pPr>
      <w:rPr>
        <w:rFonts w:ascii="Wingdings" w:hAnsi="Wingdings" w:hint="default"/>
      </w:rPr>
    </w:lvl>
  </w:abstractNum>
  <w:abstractNum w:abstractNumId="13">
    <w:nsid w:val="13B11278"/>
    <w:multiLevelType w:val="hybridMultilevel"/>
    <w:tmpl w:val="8158AD8E"/>
    <w:lvl w:ilvl="0">
      <w:start w:val="7"/>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5">
    <w:nsid w:val="1E5A2883"/>
    <w:multiLevelType w:val="hybridMultilevel"/>
    <w:tmpl w:val="543635AE"/>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6">
    <w:nsid w:val="345B509D"/>
    <w:multiLevelType w:val="hybridMultilevel"/>
    <w:tmpl w:val="9D2645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FBF35A2"/>
    <w:multiLevelType w:val="hybridMultilevel"/>
    <w:tmpl w:val="903277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746082C"/>
    <w:multiLevelType w:val="hybridMultilevel"/>
    <w:tmpl w:val="287213FA"/>
    <w:lvl w:ilvl="0">
      <w:start w:val="1"/>
      <w:numFmt w:val="upperLetter"/>
      <w:lvlText w:val="(%1)"/>
      <w:lvlJc w:val="left"/>
      <w:pPr>
        <w:ind w:left="0" w:firstLine="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8225637"/>
    <w:multiLevelType w:val="hybridMultilevel"/>
    <w:tmpl w:val="6A42F076"/>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5B6502FF"/>
    <w:multiLevelType w:val="multilevel"/>
    <w:tmpl w:val="42787ABA"/>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lowerRoman"/>
      <w:pStyle w:val="Heading8"/>
      <w:lvlText w:val="(%8)"/>
      <w:lvlJc w:val="left"/>
      <w:pPr>
        <w:tabs>
          <w:tab w:val="num" w:pos="5760"/>
        </w:tabs>
        <w:ind w:left="5760" w:hanging="720"/>
      </w:pPr>
    </w:lvl>
    <w:lvl w:ilvl="8">
      <w:start w:val="1"/>
      <w:numFmt w:val="decimalZero"/>
      <w:pStyle w:val="Heading9"/>
      <w:lvlText w:val="(%9)"/>
      <w:lvlJc w:val="left"/>
      <w:pPr>
        <w:tabs>
          <w:tab w:val="num" w:pos="6480"/>
        </w:tabs>
        <w:ind w:left="6480" w:hanging="720"/>
      </w:pPr>
    </w:lvl>
  </w:abstractNum>
  <w:abstractNum w:abstractNumId="21">
    <w:nsid w:val="66646187"/>
    <w:multiLevelType w:val="hybridMultilevel"/>
    <w:tmpl w:val="9DCC217A"/>
    <w:lvl w:ilvl="0">
      <w:start w:val="1"/>
      <w:numFmt w:val="bullet"/>
      <w:lvlText w:val=""/>
      <w:lvlJc w:val="left"/>
      <w:pPr>
        <w:tabs>
          <w:tab w:val="num" w:pos="36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707A48D3"/>
    <w:multiLevelType w:val="multilevel"/>
    <w:tmpl w:val="D4FA253C"/>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decimalZero"/>
      <w:lvlText w:val="(%9)"/>
      <w:lvlJc w:val="left"/>
      <w:pPr>
        <w:tabs>
          <w:tab w:val="num" w:pos="6480"/>
        </w:tabs>
        <w:ind w:left="6480" w:hanging="720"/>
      </w:pPr>
    </w:lvl>
  </w:abstractNum>
  <w:abstractNum w:abstractNumId="23">
    <w:nsid w:val="7D3B09D3"/>
    <w:multiLevelType w:val="hybridMultilevel"/>
    <w:tmpl w:val="9DAEA726"/>
    <w:lvl w:ilvl="0">
      <w:start w:val="1"/>
      <w:numFmt w:val="decimal"/>
      <w:pStyle w:val="FERCparanumber"/>
      <w:lvlText w:val="%1."/>
      <w:lvlJc w:val="left"/>
      <w:pPr>
        <w:tabs>
          <w:tab w:val="num" w:pos="720"/>
        </w:tabs>
        <w:ind w:left="0" w:firstLine="0"/>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specVanish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E4E4DD3"/>
    <w:multiLevelType w:val="hybridMultilevel"/>
    <w:tmpl w:val="ED2073C2"/>
    <w:lvl w:ilvl="0">
      <w:start w:val="1"/>
      <w:numFmt w:val="decimal"/>
      <w:pStyle w:val="Non-TOCStyle"/>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23"/>
  </w:num>
  <w:num w:numId="12">
    <w:abstractNumId w:val="21"/>
  </w:num>
  <w:num w:numId="13">
    <w:abstractNumId w:val="14"/>
  </w:num>
  <w:num w:numId="14">
    <w:abstractNumId w:val="22"/>
  </w:num>
  <w:num w:numId="15">
    <w:abstractNumId w:val="20"/>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1"/>
  </w:num>
  <w:num w:numId="19">
    <w:abstractNumId w:val="15"/>
  </w:num>
  <w:num w:numId="20">
    <w:abstractNumId w:val="13"/>
  </w:num>
  <w:num w:numId="21">
    <w:abstractNumId w:val="24"/>
  </w:num>
  <w:num w:numId="22">
    <w:abstractNumId w:val="17"/>
  </w:num>
  <w:num w:numId="23">
    <w:abstractNumId w:val="18"/>
  </w:num>
  <w:num w:numId="24">
    <w:abstractNumId w:val="16"/>
  </w:num>
  <w:num w:numId="25">
    <w:abstractNumId w:val="19"/>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20"/>
  <w:characterSpacingControl w:val="doNotCompress"/>
  <w:footnotePr>
    <w:footnote w:id="0"/>
    <w:footnote w:id="1"/>
    <w:footnote w:id="2"/>
  </w:footnotePr>
  <w:endnotePr>
    <w:endnote w:id="0"/>
    <w:endnote w:id="1"/>
  </w:endnotePr>
  <w:compat/>
  <w:rsids>
    <w:rsidRoot w:val="00B86E6D"/>
    <w:rsid w:val="000001BE"/>
    <w:rsid w:val="00000928"/>
    <w:rsid w:val="00000AB3"/>
    <w:rsid w:val="00000AFC"/>
    <w:rsid w:val="00001596"/>
    <w:rsid w:val="00002533"/>
    <w:rsid w:val="000027FC"/>
    <w:rsid w:val="00003340"/>
    <w:rsid w:val="00004154"/>
    <w:rsid w:val="00004515"/>
    <w:rsid w:val="000045F5"/>
    <w:rsid w:val="00005323"/>
    <w:rsid w:val="00006776"/>
    <w:rsid w:val="0000731D"/>
    <w:rsid w:val="0001092A"/>
    <w:rsid w:val="00010FA6"/>
    <w:rsid w:val="0001141A"/>
    <w:rsid w:val="000118C8"/>
    <w:rsid w:val="000132A4"/>
    <w:rsid w:val="000140BA"/>
    <w:rsid w:val="000143AA"/>
    <w:rsid w:val="00014BD8"/>
    <w:rsid w:val="000157E4"/>
    <w:rsid w:val="000165AB"/>
    <w:rsid w:val="000178E1"/>
    <w:rsid w:val="0002042F"/>
    <w:rsid w:val="00020614"/>
    <w:rsid w:val="0002193B"/>
    <w:rsid w:val="00021D33"/>
    <w:rsid w:val="00022A33"/>
    <w:rsid w:val="00022DFC"/>
    <w:rsid w:val="0002306E"/>
    <w:rsid w:val="000232DA"/>
    <w:rsid w:val="00023459"/>
    <w:rsid w:val="0002355F"/>
    <w:rsid w:val="00023D6B"/>
    <w:rsid w:val="00023E6D"/>
    <w:rsid w:val="000241EC"/>
    <w:rsid w:val="000252F7"/>
    <w:rsid w:val="00025EBD"/>
    <w:rsid w:val="00026146"/>
    <w:rsid w:val="00026674"/>
    <w:rsid w:val="00026815"/>
    <w:rsid w:val="00026E4D"/>
    <w:rsid w:val="00027B86"/>
    <w:rsid w:val="0003057D"/>
    <w:rsid w:val="0003335C"/>
    <w:rsid w:val="0003382F"/>
    <w:rsid w:val="000338B6"/>
    <w:rsid w:val="00033CCC"/>
    <w:rsid w:val="000344F3"/>
    <w:rsid w:val="000345D0"/>
    <w:rsid w:val="0003513A"/>
    <w:rsid w:val="00035F77"/>
    <w:rsid w:val="00036612"/>
    <w:rsid w:val="00037546"/>
    <w:rsid w:val="000377BF"/>
    <w:rsid w:val="00037BD5"/>
    <w:rsid w:val="00040F8B"/>
    <w:rsid w:val="0004159B"/>
    <w:rsid w:val="00042296"/>
    <w:rsid w:val="000428C4"/>
    <w:rsid w:val="00042E9F"/>
    <w:rsid w:val="00042FD6"/>
    <w:rsid w:val="00043414"/>
    <w:rsid w:val="00043845"/>
    <w:rsid w:val="00045499"/>
    <w:rsid w:val="00045626"/>
    <w:rsid w:val="00046132"/>
    <w:rsid w:val="0004624A"/>
    <w:rsid w:val="000466ED"/>
    <w:rsid w:val="00046DF9"/>
    <w:rsid w:val="0005019C"/>
    <w:rsid w:val="0005135D"/>
    <w:rsid w:val="000523BD"/>
    <w:rsid w:val="000541D3"/>
    <w:rsid w:val="000550DC"/>
    <w:rsid w:val="00055F5F"/>
    <w:rsid w:val="00056C2F"/>
    <w:rsid w:val="0006008B"/>
    <w:rsid w:val="000608F4"/>
    <w:rsid w:val="00060952"/>
    <w:rsid w:val="0006117F"/>
    <w:rsid w:val="00061846"/>
    <w:rsid w:val="00062732"/>
    <w:rsid w:val="0006277D"/>
    <w:rsid w:val="00063382"/>
    <w:rsid w:val="00063BA0"/>
    <w:rsid w:val="00064089"/>
    <w:rsid w:val="00064BF2"/>
    <w:rsid w:val="00066631"/>
    <w:rsid w:val="00067922"/>
    <w:rsid w:val="00070361"/>
    <w:rsid w:val="00070857"/>
    <w:rsid w:val="000710BF"/>
    <w:rsid w:val="000712F8"/>
    <w:rsid w:val="000715FE"/>
    <w:rsid w:val="00073253"/>
    <w:rsid w:val="0007377C"/>
    <w:rsid w:val="0007390B"/>
    <w:rsid w:val="00074D94"/>
    <w:rsid w:val="00075794"/>
    <w:rsid w:val="00076309"/>
    <w:rsid w:val="0007636C"/>
    <w:rsid w:val="00076DFE"/>
    <w:rsid w:val="00077741"/>
    <w:rsid w:val="00080253"/>
    <w:rsid w:val="00080273"/>
    <w:rsid w:val="00080D09"/>
    <w:rsid w:val="00080D22"/>
    <w:rsid w:val="00081086"/>
    <w:rsid w:val="000813A8"/>
    <w:rsid w:val="000817AD"/>
    <w:rsid w:val="00081F90"/>
    <w:rsid w:val="00082C4C"/>
    <w:rsid w:val="00082D34"/>
    <w:rsid w:val="00082DB2"/>
    <w:rsid w:val="00083429"/>
    <w:rsid w:val="0008360A"/>
    <w:rsid w:val="000837F2"/>
    <w:rsid w:val="00083B06"/>
    <w:rsid w:val="000842A3"/>
    <w:rsid w:val="0008478C"/>
    <w:rsid w:val="000847C2"/>
    <w:rsid w:val="00084A31"/>
    <w:rsid w:val="00084F9A"/>
    <w:rsid w:val="000851C3"/>
    <w:rsid w:val="0008521A"/>
    <w:rsid w:val="000858B6"/>
    <w:rsid w:val="00086D98"/>
    <w:rsid w:val="0008778D"/>
    <w:rsid w:val="0008785C"/>
    <w:rsid w:val="00087B1D"/>
    <w:rsid w:val="00090264"/>
    <w:rsid w:val="0009071B"/>
    <w:rsid w:val="00090962"/>
    <w:rsid w:val="00090CA2"/>
    <w:rsid w:val="00092634"/>
    <w:rsid w:val="00092CA2"/>
    <w:rsid w:val="00093B5E"/>
    <w:rsid w:val="00093DD9"/>
    <w:rsid w:val="00094F6A"/>
    <w:rsid w:val="000951C1"/>
    <w:rsid w:val="00095829"/>
    <w:rsid w:val="0009603C"/>
    <w:rsid w:val="0009629F"/>
    <w:rsid w:val="000966E6"/>
    <w:rsid w:val="000969DE"/>
    <w:rsid w:val="00097503"/>
    <w:rsid w:val="00097C05"/>
    <w:rsid w:val="000A0580"/>
    <w:rsid w:val="000A068F"/>
    <w:rsid w:val="000A1077"/>
    <w:rsid w:val="000A186A"/>
    <w:rsid w:val="000A2161"/>
    <w:rsid w:val="000A24B7"/>
    <w:rsid w:val="000A2535"/>
    <w:rsid w:val="000A2E03"/>
    <w:rsid w:val="000A2FCB"/>
    <w:rsid w:val="000A354C"/>
    <w:rsid w:val="000A3A2F"/>
    <w:rsid w:val="000A3D2F"/>
    <w:rsid w:val="000A3DF7"/>
    <w:rsid w:val="000A43CB"/>
    <w:rsid w:val="000A5304"/>
    <w:rsid w:val="000A5C81"/>
    <w:rsid w:val="000A675B"/>
    <w:rsid w:val="000A6835"/>
    <w:rsid w:val="000A6C08"/>
    <w:rsid w:val="000A6C8D"/>
    <w:rsid w:val="000A75FD"/>
    <w:rsid w:val="000B1281"/>
    <w:rsid w:val="000B1A5D"/>
    <w:rsid w:val="000B320F"/>
    <w:rsid w:val="000B339A"/>
    <w:rsid w:val="000B4124"/>
    <w:rsid w:val="000B65F9"/>
    <w:rsid w:val="000B7E62"/>
    <w:rsid w:val="000C0253"/>
    <w:rsid w:val="000C0717"/>
    <w:rsid w:val="000C0838"/>
    <w:rsid w:val="000C127B"/>
    <w:rsid w:val="000C1D09"/>
    <w:rsid w:val="000C1FCA"/>
    <w:rsid w:val="000C22BD"/>
    <w:rsid w:val="000C2326"/>
    <w:rsid w:val="000C3B71"/>
    <w:rsid w:val="000C4A0B"/>
    <w:rsid w:val="000C6088"/>
    <w:rsid w:val="000C6869"/>
    <w:rsid w:val="000C6F49"/>
    <w:rsid w:val="000C7273"/>
    <w:rsid w:val="000C7E72"/>
    <w:rsid w:val="000D0EE6"/>
    <w:rsid w:val="000D1D4B"/>
    <w:rsid w:val="000D1FB6"/>
    <w:rsid w:val="000D2607"/>
    <w:rsid w:val="000D31D9"/>
    <w:rsid w:val="000D3EC0"/>
    <w:rsid w:val="000D4710"/>
    <w:rsid w:val="000D4D55"/>
    <w:rsid w:val="000D52D2"/>
    <w:rsid w:val="000D6356"/>
    <w:rsid w:val="000D6DAC"/>
    <w:rsid w:val="000D7057"/>
    <w:rsid w:val="000D739B"/>
    <w:rsid w:val="000D7789"/>
    <w:rsid w:val="000D7DD4"/>
    <w:rsid w:val="000D7E4E"/>
    <w:rsid w:val="000D7E96"/>
    <w:rsid w:val="000E0266"/>
    <w:rsid w:val="000E065C"/>
    <w:rsid w:val="000E0790"/>
    <w:rsid w:val="000E07BC"/>
    <w:rsid w:val="000E0857"/>
    <w:rsid w:val="000E0FB3"/>
    <w:rsid w:val="000E113E"/>
    <w:rsid w:val="000E16A9"/>
    <w:rsid w:val="000E19EB"/>
    <w:rsid w:val="000E1BD2"/>
    <w:rsid w:val="000E2960"/>
    <w:rsid w:val="000E2BFA"/>
    <w:rsid w:val="000E327A"/>
    <w:rsid w:val="000E36C9"/>
    <w:rsid w:val="000E54CA"/>
    <w:rsid w:val="000E6FB1"/>
    <w:rsid w:val="000F032A"/>
    <w:rsid w:val="000F0E80"/>
    <w:rsid w:val="000F13D8"/>
    <w:rsid w:val="000F1EA0"/>
    <w:rsid w:val="000F1FF3"/>
    <w:rsid w:val="000F2DC1"/>
    <w:rsid w:val="000F346B"/>
    <w:rsid w:val="000F372C"/>
    <w:rsid w:val="000F41AD"/>
    <w:rsid w:val="000F45CA"/>
    <w:rsid w:val="000F46F8"/>
    <w:rsid w:val="000F47F0"/>
    <w:rsid w:val="000F5939"/>
    <w:rsid w:val="000F5E40"/>
    <w:rsid w:val="000F603B"/>
    <w:rsid w:val="000F6403"/>
    <w:rsid w:val="000F6C7F"/>
    <w:rsid w:val="000F7F01"/>
    <w:rsid w:val="001008B8"/>
    <w:rsid w:val="00100E1B"/>
    <w:rsid w:val="00100F00"/>
    <w:rsid w:val="00101107"/>
    <w:rsid w:val="00101643"/>
    <w:rsid w:val="00101EE1"/>
    <w:rsid w:val="00101F98"/>
    <w:rsid w:val="00101FD5"/>
    <w:rsid w:val="001021B6"/>
    <w:rsid w:val="0010238C"/>
    <w:rsid w:val="00102736"/>
    <w:rsid w:val="0010290F"/>
    <w:rsid w:val="001041F6"/>
    <w:rsid w:val="00104F76"/>
    <w:rsid w:val="001054DD"/>
    <w:rsid w:val="00105941"/>
    <w:rsid w:val="00105E7D"/>
    <w:rsid w:val="00106219"/>
    <w:rsid w:val="00106D30"/>
    <w:rsid w:val="00106E2B"/>
    <w:rsid w:val="00107E70"/>
    <w:rsid w:val="001116F1"/>
    <w:rsid w:val="00112CF6"/>
    <w:rsid w:val="00113412"/>
    <w:rsid w:val="0011369C"/>
    <w:rsid w:val="001158DB"/>
    <w:rsid w:val="00120603"/>
    <w:rsid w:val="001208A2"/>
    <w:rsid w:val="001209EF"/>
    <w:rsid w:val="00121E9C"/>
    <w:rsid w:val="001230FE"/>
    <w:rsid w:val="00123297"/>
    <w:rsid w:val="001236E4"/>
    <w:rsid w:val="00123D46"/>
    <w:rsid w:val="00124C66"/>
    <w:rsid w:val="00125602"/>
    <w:rsid w:val="00125A4A"/>
    <w:rsid w:val="001262E5"/>
    <w:rsid w:val="0012662C"/>
    <w:rsid w:val="00126B76"/>
    <w:rsid w:val="001270D0"/>
    <w:rsid w:val="0012713F"/>
    <w:rsid w:val="00127478"/>
    <w:rsid w:val="001279B9"/>
    <w:rsid w:val="00127B30"/>
    <w:rsid w:val="00130774"/>
    <w:rsid w:val="00130CCE"/>
    <w:rsid w:val="00132D57"/>
    <w:rsid w:val="001336DC"/>
    <w:rsid w:val="001342A6"/>
    <w:rsid w:val="00134C13"/>
    <w:rsid w:val="00136CEF"/>
    <w:rsid w:val="00136F79"/>
    <w:rsid w:val="00140319"/>
    <w:rsid w:val="00140331"/>
    <w:rsid w:val="00140368"/>
    <w:rsid w:val="00141D45"/>
    <w:rsid w:val="001421AA"/>
    <w:rsid w:val="00142CCF"/>
    <w:rsid w:val="00143257"/>
    <w:rsid w:val="001439B3"/>
    <w:rsid w:val="00143A8D"/>
    <w:rsid w:val="001445F5"/>
    <w:rsid w:val="00145EC3"/>
    <w:rsid w:val="00146074"/>
    <w:rsid w:val="00146A50"/>
    <w:rsid w:val="001512A7"/>
    <w:rsid w:val="001520D4"/>
    <w:rsid w:val="0015334E"/>
    <w:rsid w:val="00154474"/>
    <w:rsid w:val="001545F4"/>
    <w:rsid w:val="001549DE"/>
    <w:rsid w:val="00154B90"/>
    <w:rsid w:val="00154C7A"/>
    <w:rsid w:val="0015510C"/>
    <w:rsid w:val="00155289"/>
    <w:rsid w:val="00156262"/>
    <w:rsid w:val="00156BDF"/>
    <w:rsid w:val="00156C4B"/>
    <w:rsid w:val="00157F74"/>
    <w:rsid w:val="001614F5"/>
    <w:rsid w:val="001641DF"/>
    <w:rsid w:val="001646B7"/>
    <w:rsid w:val="0016505E"/>
    <w:rsid w:val="0016531B"/>
    <w:rsid w:val="001655C8"/>
    <w:rsid w:val="00167425"/>
    <w:rsid w:val="00171522"/>
    <w:rsid w:val="0017314F"/>
    <w:rsid w:val="001734AA"/>
    <w:rsid w:val="00174833"/>
    <w:rsid w:val="0017554C"/>
    <w:rsid w:val="0017696A"/>
    <w:rsid w:val="0017701D"/>
    <w:rsid w:val="001770F9"/>
    <w:rsid w:val="00177188"/>
    <w:rsid w:val="0017741F"/>
    <w:rsid w:val="001779DC"/>
    <w:rsid w:val="00180022"/>
    <w:rsid w:val="001807F9"/>
    <w:rsid w:val="00180E6E"/>
    <w:rsid w:val="001821C9"/>
    <w:rsid w:val="00182E4D"/>
    <w:rsid w:val="0018382F"/>
    <w:rsid w:val="00183B2C"/>
    <w:rsid w:val="00184368"/>
    <w:rsid w:val="00184385"/>
    <w:rsid w:val="001855A3"/>
    <w:rsid w:val="00185A6D"/>
    <w:rsid w:val="0018685A"/>
    <w:rsid w:val="00186E7E"/>
    <w:rsid w:val="00187400"/>
    <w:rsid w:val="0018758C"/>
    <w:rsid w:val="00187627"/>
    <w:rsid w:val="00190C1F"/>
    <w:rsid w:val="00190DD8"/>
    <w:rsid w:val="00191617"/>
    <w:rsid w:val="0019292E"/>
    <w:rsid w:val="0019374B"/>
    <w:rsid w:val="001960DD"/>
    <w:rsid w:val="00197B10"/>
    <w:rsid w:val="001A13E5"/>
    <w:rsid w:val="001A1578"/>
    <w:rsid w:val="001A1623"/>
    <w:rsid w:val="001A1641"/>
    <w:rsid w:val="001A1693"/>
    <w:rsid w:val="001A1B5E"/>
    <w:rsid w:val="001A1C90"/>
    <w:rsid w:val="001A2305"/>
    <w:rsid w:val="001A27DF"/>
    <w:rsid w:val="001A2AC8"/>
    <w:rsid w:val="001A2AF1"/>
    <w:rsid w:val="001A2DBE"/>
    <w:rsid w:val="001A3114"/>
    <w:rsid w:val="001A33D6"/>
    <w:rsid w:val="001A3507"/>
    <w:rsid w:val="001A483F"/>
    <w:rsid w:val="001A563A"/>
    <w:rsid w:val="001A68C8"/>
    <w:rsid w:val="001A6978"/>
    <w:rsid w:val="001A6A77"/>
    <w:rsid w:val="001A6F44"/>
    <w:rsid w:val="001A7FC6"/>
    <w:rsid w:val="001B010E"/>
    <w:rsid w:val="001B042B"/>
    <w:rsid w:val="001B0A4D"/>
    <w:rsid w:val="001B0E12"/>
    <w:rsid w:val="001B1FE9"/>
    <w:rsid w:val="001B2580"/>
    <w:rsid w:val="001B2C6D"/>
    <w:rsid w:val="001B2DF9"/>
    <w:rsid w:val="001B362D"/>
    <w:rsid w:val="001B3B96"/>
    <w:rsid w:val="001B43B4"/>
    <w:rsid w:val="001B4540"/>
    <w:rsid w:val="001B4868"/>
    <w:rsid w:val="001B49F3"/>
    <w:rsid w:val="001B4FB2"/>
    <w:rsid w:val="001B51E2"/>
    <w:rsid w:val="001B667D"/>
    <w:rsid w:val="001B6D16"/>
    <w:rsid w:val="001B74F5"/>
    <w:rsid w:val="001B7CD8"/>
    <w:rsid w:val="001C02AE"/>
    <w:rsid w:val="001C05FA"/>
    <w:rsid w:val="001C1444"/>
    <w:rsid w:val="001C2EE6"/>
    <w:rsid w:val="001C2FBB"/>
    <w:rsid w:val="001C3BB7"/>
    <w:rsid w:val="001C55C6"/>
    <w:rsid w:val="001C5644"/>
    <w:rsid w:val="001C6481"/>
    <w:rsid w:val="001C6524"/>
    <w:rsid w:val="001D154F"/>
    <w:rsid w:val="001D157C"/>
    <w:rsid w:val="001D1D92"/>
    <w:rsid w:val="001D264B"/>
    <w:rsid w:val="001D2652"/>
    <w:rsid w:val="001D2699"/>
    <w:rsid w:val="001D35B6"/>
    <w:rsid w:val="001D3B0D"/>
    <w:rsid w:val="001D4338"/>
    <w:rsid w:val="001D436C"/>
    <w:rsid w:val="001D49B1"/>
    <w:rsid w:val="001D4EA4"/>
    <w:rsid w:val="001D5172"/>
    <w:rsid w:val="001D63B2"/>
    <w:rsid w:val="001D653C"/>
    <w:rsid w:val="001D714F"/>
    <w:rsid w:val="001D7312"/>
    <w:rsid w:val="001D7927"/>
    <w:rsid w:val="001E067B"/>
    <w:rsid w:val="001E2D8B"/>
    <w:rsid w:val="001E3C47"/>
    <w:rsid w:val="001E4131"/>
    <w:rsid w:val="001E44D6"/>
    <w:rsid w:val="001E46F6"/>
    <w:rsid w:val="001E4AE6"/>
    <w:rsid w:val="001E513C"/>
    <w:rsid w:val="001E5694"/>
    <w:rsid w:val="001E5704"/>
    <w:rsid w:val="001E58AD"/>
    <w:rsid w:val="001E59F9"/>
    <w:rsid w:val="001E604D"/>
    <w:rsid w:val="001E6930"/>
    <w:rsid w:val="001E6AE2"/>
    <w:rsid w:val="001E7484"/>
    <w:rsid w:val="001E7A8F"/>
    <w:rsid w:val="001F183D"/>
    <w:rsid w:val="001F2198"/>
    <w:rsid w:val="001F39B4"/>
    <w:rsid w:val="001F44ED"/>
    <w:rsid w:val="001F4B15"/>
    <w:rsid w:val="001F51A0"/>
    <w:rsid w:val="001F5346"/>
    <w:rsid w:val="001F53C6"/>
    <w:rsid w:val="001F5CC6"/>
    <w:rsid w:val="001F6CED"/>
    <w:rsid w:val="001F6F4C"/>
    <w:rsid w:val="001F717E"/>
    <w:rsid w:val="001F71C8"/>
    <w:rsid w:val="001F72A3"/>
    <w:rsid w:val="001F781B"/>
    <w:rsid w:val="00200C6D"/>
    <w:rsid w:val="00202BC3"/>
    <w:rsid w:val="00202C77"/>
    <w:rsid w:val="00202F03"/>
    <w:rsid w:val="00203659"/>
    <w:rsid w:val="00203911"/>
    <w:rsid w:val="002042F8"/>
    <w:rsid w:val="00205051"/>
    <w:rsid w:val="0020507D"/>
    <w:rsid w:val="00205CDD"/>
    <w:rsid w:val="002072CF"/>
    <w:rsid w:val="0021010C"/>
    <w:rsid w:val="00210AFF"/>
    <w:rsid w:val="00210CF4"/>
    <w:rsid w:val="00211765"/>
    <w:rsid w:val="00212030"/>
    <w:rsid w:val="00212881"/>
    <w:rsid w:val="002136E7"/>
    <w:rsid w:val="00213CC6"/>
    <w:rsid w:val="00214B04"/>
    <w:rsid w:val="00215341"/>
    <w:rsid w:val="002206DB"/>
    <w:rsid w:val="0022182D"/>
    <w:rsid w:val="0022208C"/>
    <w:rsid w:val="00222986"/>
    <w:rsid w:val="00224859"/>
    <w:rsid w:val="00225111"/>
    <w:rsid w:val="00225149"/>
    <w:rsid w:val="00225A12"/>
    <w:rsid w:val="00225F31"/>
    <w:rsid w:val="002261B3"/>
    <w:rsid w:val="0022703A"/>
    <w:rsid w:val="00230A08"/>
    <w:rsid w:val="0023104B"/>
    <w:rsid w:val="002318B6"/>
    <w:rsid w:val="002324B4"/>
    <w:rsid w:val="0023290E"/>
    <w:rsid w:val="00232A57"/>
    <w:rsid w:val="00233CEF"/>
    <w:rsid w:val="00233FD0"/>
    <w:rsid w:val="002345FD"/>
    <w:rsid w:val="00234E50"/>
    <w:rsid w:val="00235208"/>
    <w:rsid w:val="002352B0"/>
    <w:rsid w:val="002354E4"/>
    <w:rsid w:val="00235C43"/>
    <w:rsid w:val="00235D46"/>
    <w:rsid w:val="00237B76"/>
    <w:rsid w:val="00240493"/>
    <w:rsid w:val="00240A8B"/>
    <w:rsid w:val="00241930"/>
    <w:rsid w:val="00241A9B"/>
    <w:rsid w:val="00241CBF"/>
    <w:rsid w:val="00241F16"/>
    <w:rsid w:val="00242BA6"/>
    <w:rsid w:val="00243942"/>
    <w:rsid w:val="00243E36"/>
    <w:rsid w:val="002441E9"/>
    <w:rsid w:val="00245416"/>
    <w:rsid w:val="0024557A"/>
    <w:rsid w:val="002464E8"/>
    <w:rsid w:val="0024699F"/>
    <w:rsid w:val="00246D73"/>
    <w:rsid w:val="0024701F"/>
    <w:rsid w:val="0024710C"/>
    <w:rsid w:val="002474C6"/>
    <w:rsid w:val="002515DA"/>
    <w:rsid w:val="002516A5"/>
    <w:rsid w:val="00251881"/>
    <w:rsid w:val="00251BC0"/>
    <w:rsid w:val="002528B7"/>
    <w:rsid w:val="00253776"/>
    <w:rsid w:val="002540ED"/>
    <w:rsid w:val="00254227"/>
    <w:rsid w:val="0025525B"/>
    <w:rsid w:val="00255417"/>
    <w:rsid w:val="00255D64"/>
    <w:rsid w:val="00256253"/>
    <w:rsid w:val="002563FD"/>
    <w:rsid w:val="00257989"/>
    <w:rsid w:val="00257D1C"/>
    <w:rsid w:val="002601EE"/>
    <w:rsid w:val="00260517"/>
    <w:rsid w:val="00260A09"/>
    <w:rsid w:val="0026130E"/>
    <w:rsid w:val="00261985"/>
    <w:rsid w:val="00261D23"/>
    <w:rsid w:val="00262FED"/>
    <w:rsid w:val="002634B7"/>
    <w:rsid w:val="0026366B"/>
    <w:rsid w:val="00263EF4"/>
    <w:rsid w:val="002649D0"/>
    <w:rsid w:val="002652BE"/>
    <w:rsid w:val="00265E9C"/>
    <w:rsid w:val="00267328"/>
    <w:rsid w:val="002727C1"/>
    <w:rsid w:val="00273AB3"/>
    <w:rsid w:val="00273E06"/>
    <w:rsid w:val="00274963"/>
    <w:rsid w:val="00274CA1"/>
    <w:rsid w:val="00275624"/>
    <w:rsid w:val="00277990"/>
    <w:rsid w:val="002817CE"/>
    <w:rsid w:val="00282902"/>
    <w:rsid w:val="00282F99"/>
    <w:rsid w:val="0028360D"/>
    <w:rsid w:val="00283AA6"/>
    <w:rsid w:val="00283CE7"/>
    <w:rsid w:val="00283D86"/>
    <w:rsid w:val="0028432C"/>
    <w:rsid w:val="00284C35"/>
    <w:rsid w:val="00284CD8"/>
    <w:rsid w:val="00284E46"/>
    <w:rsid w:val="00285412"/>
    <w:rsid w:val="002857E2"/>
    <w:rsid w:val="002858EA"/>
    <w:rsid w:val="00286587"/>
    <w:rsid w:val="002869B8"/>
    <w:rsid w:val="002870A9"/>
    <w:rsid w:val="002874DA"/>
    <w:rsid w:val="0028776A"/>
    <w:rsid w:val="00290ABD"/>
    <w:rsid w:val="00292DAB"/>
    <w:rsid w:val="00292F37"/>
    <w:rsid w:val="0029325E"/>
    <w:rsid w:val="00293975"/>
    <w:rsid w:val="00293E05"/>
    <w:rsid w:val="00293F61"/>
    <w:rsid w:val="00294704"/>
    <w:rsid w:val="00294FB7"/>
    <w:rsid w:val="00294FB9"/>
    <w:rsid w:val="0029571F"/>
    <w:rsid w:val="00296EE6"/>
    <w:rsid w:val="002A0671"/>
    <w:rsid w:val="002A0B4A"/>
    <w:rsid w:val="002A1C86"/>
    <w:rsid w:val="002A1DD3"/>
    <w:rsid w:val="002A260A"/>
    <w:rsid w:val="002A2B56"/>
    <w:rsid w:val="002A34C1"/>
    <w:rsid w:val="002A3862"/>
    <w:rsid w:val="002A3F44"/>
    <w:rsid w:val="002A4688"/>
    <w:rsid w:val="002A4DF8"/>
    <w:rsid w:val="002A5659"/>
    <w:rsid w:val="002A56BE"/>
    <w:rsid w:val="002A5C43"/>
    <w:rsid w:val="002A5C8A"/>
    <w:rsid w:val="002A5E98"/>
    <w:rsid w:val="002A66BC"/>
    <w:rsid w:val="002A6E11"/>
    <w:rsid w:val="002A729E"/>
    <w:rsid w:val="002A7E61"/>
    <w:rsid w:val="002A7FB5"/>
    <w:rsid w:val="002B20AE"/>
    <w:rsid w:val="002B262D"/>
    <w:rsid w:val="002B302C"/>
    <w:rsid w:val="002B3528"/>
    <w:rsid w:val="002B35F2"/>
    <w:rsid w:val="002B383C"/>
    <w:rsid w:val="002B4FA7"/>
    <w:rsid w:val="002B6125"/>
    <w:rsid w:val="002B613D"/>
    <w:rsid w:val="002B7102"/>
    <w:rsid w:val="002B72AC"/>
    <w:rsid w:val="002C177D"/>
    <w:rsid w:val="002C240A"/>
    <w:rsid w:val="002C31FB"/>
    <w:rsid w:val="002C3E42"/>
    <w:rsid w:val="002C3EB2"/>
    <w:rsid w:val="002C4641"/>
    <w:rsid w:val="002C4E58"/>
    <w:rsid w:val="002C4F3E"/>
    <w:rsid w:val="002C532F"/>
    <w:rsid w:val="002C57E5"/>
    <w:rsid w:val="002C5AA7"/>
    <w:rsid w:val="002C6770"/>
    <w:rsid w:val="002C6A22"/>
    <w:rsid w:val="002C768E"/>
    <w:rsid w:val="002C7704"/>
    <w:rsid w:val="002C7D96"/>
    <w:rsid w:val="002C7F13"/>
    <w:rsid w:val="002D1528"/>
    <w:rsid w:val="002D206A"/>
    <w:rsid w:val="002D243F"/>
    <w:rsid w:val="002D332B"/>
    <w:rsid w:val="002D358E"/>
    <w:rsid w:val="002D3628"/>
    <w:rsid w:val="002D3660"/>
    <w:rsid w:val="002D3CB2"/>
    <w:rsid w:val="002D65B3"/>
    <w:rsid w:val="002D6F16"/>
    <w:rsid w:val="002D7907"/>
    <w:rsid w:val="002D7D6B"/>
    <w:rsid w:val="002E0CDF"/>
    <w:rsid w:val="002E2247"/>
    <w:rsid w:val="002E26CB"/>
    <w:rsid w:val="002E2F21"/>
    <w:rsid w:val="002E345D"/>
    <w:rsid w:val="002E3D79"/>
    <w:rsid w:val="002E425E"/>
    <w:rsid w:val="002E4E8A"/>
    <w:rsid w:val="002E50F8"/>
    <w:rsid w:val="002E55A4"/>
    <w:rsid w:val="002E5907"/>
    <w:rsid w:val="002E7255"/>
    <w:rsid w:val="002F08DF"/>
    <w:rsid w:val="002F28A4"/>
    <w:rsid w:val="002F3B2C"/>
    <w:rsid w:val="002F4410"/>
    <w:rsid w:val="002F46BC"/>
    <w:rsid w:val="002F52A9"/>
    <w:rsid w:val="002F53FC"/>
    <w:rsid w:val="002F6DCB"/>
    <w:rsid w:val="002F7063"/>
    <w:rsid w:val="002F7263"/>
    <w:rsid w:val="002F779A"/>
    <w:rsid w:val="00300D9C"/>
    <w:rsid w:val="00300FD4"/>
    <w:rsid w:val="00301D68"/>
    <w:rsid w:val="0030279D"/>
    <w:rsid w:val="003031DA"/>
    <w:rsid w:val="00303910"/>
    <w:rsid w:val="00307245"/>
    <w:rsid w:val="00307995"/>
    <w:rsid w:val="00310192"/>
    <w:rsid w:val="00310DC7"/>
    <w:rsid w:val="00311051"/>
    <w:rsid w:val="00312651"/>
    <w:rsid w:val="00313634"/>
    <w:rsid w:val="00315627"/>
    <w:rsid w:val="003156B7"/>
    <w:rsid w:val="00315BB1"/>
    <w:rsid w:val="00315C17"/>
    <w:rsid w:val="00316AEA"/>
    <w:rsid w:val="0032012D"/>
    <w:rsid w:val="00320795"/>
    <w:rsid w:val="00322F05"/>
    <w:rsid w:val="003242DE"/>
    <w:rsid w:val="00324F79"/>
    <w:rsid w:val="003254EE"/>
    <w:rsid w:val="003262EB"/>
    <w:rsid w:val="00326302"/>
    <w:rsid w:val="00327401"/>
    <w:rsid w:val="003278DB"/>
    <w:rsid w:val="00331920"/>
    <w:rsid w:val="00332619"/>
    <w:rsid w:val="0033354B"/>
    <w:rsid w:val="003338BA"/>
    <w:rsid w:val="003346EB"/>
    <w:rsid w:val="00335933"/>
    <w:rsid w:val="00335CCE"/>
    <w:rsid w:val="003360FE"/>
    <w:rsid w:val="003370E4"/>
    <w:rsid w:val="00337353"/>
    <w:rsid w:val="0033771A"/>
    <w:rsid w:val="00342F97"/>
    <w:rsid w:val="0034304F"/>
    <w:rsid w:val="003437BD"/>
    <w:rsid w:val="00343D67"/>
    <w:rsid w:val="00343EA1"/>
    <w:rsid w:val="00344D3B"/>
    <w:rsid w:val="003455DA"/>
    <w:rsid w:val="00345AEF"/>
    <w:rsid w:val="00345DD0"/>
    <w:rsid w:val="003478CF"/>
    <w:rsid w:val="00350388"/>
    <w:rsid w:val="00350E98"/>
    <w:rsid w:val="00350FC8"/>
    <w:rsid w:val="00351241"/>
    <w:rsid w:val="00351C9E"/>
    <w:rsid w:val="003520AD"/>
    <w:rsid w:val="003520FB"/>
    <w:rsid w:val="00352ADF"/>
    <w:rsid w:val="0035534D"/>
    <w:rsid w:val="0035563E"/>
    <w:rsid w:val="00355C5E"/>
    <w:rsid w:val="00356733"/>
    <w:rsid w:val="0036048B"/>
    <w:rsid w:val="003608E7"/>
    <w:rsid w:val="00360AA1"/>
    <w:rsid w:val="00361794"/>
    <w:rsid w:val="00361FA8"/>
    <w:rsid w:val="00362D63"/>
    <w:rsid w:val="00364449"/>
    <w:rsid w:val="00364E6F"/>
    <w:rsid w:val="0036500A"/>
    <w:rsid w:val="003654D4"/>
    <w:rsid w:val="00365A46"/>
    <w:rsid w:val="00365BB5"/>
    <w:rsid w:val="00367152"/>
    <w:rsid w:val="003673DA"/>
    <w:rsid w:val="00367B2C"/>
    <w:rsid w:val="00367BB7"/>
    <w:rsid w:val="00367D94"/>
    <w:rsid w:val="00367F75"/>
    <w:rsid w:val="00370C82"/>
    <w:rsid w:val="0037169B"/>
    <w:rsid w:val="00371DD4"/>
    <w:rsid w:val="00373E95"/>
    <w:rsid w:val="00374532"/>
    <w:rsid w:val="0037460A"/>
    <w:rsid w:val="00374868"/>
    <w:rsid w:val="00375DF4"/>
    <w:rsid w:val="00376313"/>
    <w:rsid w:val="00380043"/>
    <w:rsid w:val="00381158"/>
    <w:rsid w:val="00381B73"/>
    <w:rsid w:val="00382304"/>
    <w:rsid w:val="00382F3E"/>
    <w:rsid w:val="00383004"/>
    <w:rsid w:val="003830CE"/>
    <w:rsid w:val="0038344A"/>
    <w:rsid w:val="00383D60"/>
    <w:rsid w:val="0038480B"/>
    <w:rsid w:val="003852BF"/>
    <w:rsid w:val="003858D3"/>
    <w:rsid w:val="00385E2D"/>
    <w:rsid w:val="00386A09"/>
    <w:rsid w:val="00386DDE"/>
    <w:rsid w:val="0038700A"/>
    <w:rsid w:val="003871E4"/>
    <w:rsid w:val="00387C51"/>
    <w:rsid w:val="00387E2B"/>
    <w:rsid w:val="0039009F"/>
    <w:rsid w:val="00390F05"/>
    <w:rsid w:val="00391444"/>
    <w:rsid w:val="003917D2"/>
    <w:rsid w:val="0039262E"/>
    <w:rsid w:val="003934DF"/>
    <w:rsid w:val="003937F3"/>
    <w:rsid w:val="00394602"/>
    <w:rsid w:val="003948A8"/>
    <w:rsid w:val="003957D1"/>
    <w:rsid w:val="00396E48"/>
    <w:rsid w:val="003977D7"/>
    <w:rsid w:val="003A020A"/>
    <w:rsid w:val="003A0FBF"/>
    <w:rsid w:val="003A114A"/>
    <w:rsid w:val="003A15D6"/>
    <w:rsid w:val="003A1CF3"/>
    <w:rsid w:val="003A447C"/>
    <w:rsid w:val="003A5145"/>
    <w:rsid w:val="003A537B"/>
    <w:rsid w:val="003A5AD1"/>
    <w:rsid w:val="003A61A5"/>
    <w:rsid w:val="003A6303"/>
    <w:rsid w:val="003A649F"/>
    <w:rsid w:val="003A66D4"/>
    <w:rsid w:val="003A75B3"/>
    <w:rsid w:val="003B013C"/>
    <w:rsid w:val="003B1174"/>
    <w:rsid w:val="003B1475"/>
    <w:rsid w:val="003B1CBA"/>
    <w:rsid w:val="003B21D7"/>
    <w:rsid w:val="003B2445"/>
    <w:rsid w:val="003B2C2C"/>
    <w:rsid w:val="003B38BA"/>
    <w:rsid w:val="003B436B"/>
    <w:rsid w:val="003B4F6E"/>
    <w:rsid w:val="003B5B14"/>
    <w:rsid w:val="003B5EC1"/>
    <w:rsid w:val="003B6408"/>
    <w:rsid w:val="003B6941"/>
    <w:rsid w:val="003B6A5F"/>
    <w:rsid w:val="003B6AB8"/>
    <w:rsid w:val="003B7032"/>
    <w:rsid w:val="003B7456"/>
    <w:rsid w:val="003B76C2"/>
    <w:rsid w:val="003B7C03"/>
    <w:rsid w:val="003B7E9A"/>
    <w:rsid w:val="003B7F05"/>
    <w:rsid w:val="003C0285"/>
    <w:rsid w:val="003C0638"/>
    <w:rsid w:val="003C18C6"/>
    <w:rsid w:val="003C1DBA"/>
    <w:rsid w:val="003C2FAD"/>
    <w:rsid w:val="003C3A1E"/>
    <w:rsid w:val="003C3A43"/>
    <w:rsid w:val="003C505B"/>
    <w:rsid w:val="003C50F8"/>
    <w:rsid w:val="003C5470"/>
    <w:rsid w:val="003C5762"/>
    <w:rsid w:val="003C6A80"/>
    <w:rsid w:val="003C6D81"/>
    <w:rsid w:val="003C6F0F"/>
    <w:rsid w:val="003C71CF"/>
    <w:rsid w:val="003C76A2"/>
    <w:rsid w:val="003C789D"/>
    <w:rsid w:val="003D260B"/>
    <w:rsid w:val="003D26AC"/>
    <w:rsid w:val="003D3256"/>
    <w:rsid w:val="003D3CD9"/>
    <w:rsid w:val="003D4A56"/>
    <w:rsid w:val="003D5827"/>
    <w:rsid w:val="003D5F5E"/>
    <w:rsid w:val="003D601A"/>
    <w:rsid w:val="003D6552"/>
    <w:rsid w:val="003D72AE"/>
    <w:rsid w:val="003D7B2C"/>
    <w:rsid w:val="003D7D95"/>
    <w:rsid w:val="003E0FFF"/>
    <w:rsid w:val="003E16CE"/>
    <w:rsid w:val="003E17E7"/>
    <w:rsid w:val="003E1917"/>
    <w:rsid w:val="003E1A79"/>
    <w:rsid w:val="003E1F18"/>
    <w:rsid w:val="003E229C"/>
    <w:rsid w:val="003E259A"/>
    <w:rsid w:val="003E2823"/>
    <w:rsid w:val="003E2D0B"/>
    <w:rsid w:val="003E3C80"/>
    <w:rsid w:val="003E41CC"/>
    <w:rsid w:val="003E4828"/>
    <w:rsid w:val="003E5211"/>
    <w:rsid w:val="003E66EC"/>
    <w:rsid w:val="003E6CA5"/>
    <w:rsid w:val="003E6E4B"/>
    <w:rsid w:val="003E7BD9"/>
    <w:rsid w:val="003E7E76"/>
    <w:rsid w:val="003E7FDB"/>
    <w:rsid w:val="003F1923"/>
    <w:rsid w:val="003F29E7"/>
    <w:rsid w:val="003F31D2"/>
    <w:rsid w:val="003F3544"/>
    <w:rsid w:val="003F3716"/>
    <w:rsid w:val="003F3953"/>
    <w:rsid w:val="003F3DC0"/>
    <w:rsid w:val="003F3F03"/>
    <w:rsid w:val="003F4845"/>
    <w:rsid w:val="003F4DBE"/>
    <w:rsid w:val="003F557E"/>
    <w:rsid w:val="003F586C"/>
    <w:rsid w:val="003F5D12"/>
    <w:rsid w:val="003F73C0"/>
    <w:rsid w:val="003F7965"/>
    <w:rsid w:val="003F7CC5"/>
    <w:rsid w:val="004000E9"/>
    <w:rsid w:val="004009F9"/>
    <w:rsid w:val="00400CC8"/>
    <w:rsid w:val="00400D68"/>
    <w:rsid w:val="0040127D"/>
    <w:rsid w:val="004017EA"/>
    <w:rsid w:val="0040185C"/>
    <w:rsid w:val="00401A63"/>
    <w:rsid w:val="00402C19"/>
    <w:rsid w:val="004035D5"/>
    <w:rsid w:val="00405399"/>
    <w:rsid w:val="004066CA"/>
    <w:rsid w:val="004067AD"/>
    <w:rsid w:val="004076B8"/>
    <w:rsid w:val="00407D12"/>
    <w:rsid w:val="00407D34"/>
    <w:rsid w:val="00407EE0"/>
    <w:rsid w:val="0041184B"/>
    <w:rsid w:val="00413D21"/>
    <w:rsid w:val="00413E4A"/>
    <w:rsid w:val="004147B7"/>
    <w:rsid w:val="00414806"/>
    <w:rsid w:val="00414944"/>
    <w:rsid w:val="00414B35"/>
    <w:rsid w:val="00414DDA"/>
    <w:rsid w:val="00415CA0"/>
    <w:rsid w:val="00415FCB"/>
    <w:rsid w:val="0041629A"/>
    <w:rsid w:val="00417D62"/>
    <w:rsid w:val="004200E6"/>
    <w:rsid w:val="0042192B"/>
    <w:rsid w:val="0042318C"/>
    <w:rsid w:val="00424B78"/>
    <w:rsid w:val="00424EE0"/>
    <w:rsid w:val="004253A9"/>
    <w:rsid w:val="0042579B"/>
    <w:rsid w:val="00426249"/>
    <w:rsid w:val="00426317"/>
    <w:rsid w:val="00431E9C"/>
    <w:rsid w:val="00432831"/>
    <w:rsid w:val="00432948"/>
    <w:rsid w:val="004335E8"/>
    <w:rsid w:val="00434709"/>
    <w:rsid w:val="00434D45"/>
    <w:rsid w:val="00434FDB"/>
    <w:rsid w:val="00435575"/>
    <w:rsid w:val="00436859"/>
    <w:rsid w:val="00436A3E"/>
    <w:rsid w:val="00440120"/>
    <w:rsid w:val="00440B24"/>
    <w:rsid w:val="00440C0C"/>
    <w:rsid w:val="00440D78"/>
    <w:rsid w:val="0044101E"/>
    <w:rsid w:val="004410EE"/>
    <w:rsid w:val="00441A2A"/>
    <w:rsid w:val="00441CF2"/>
    <w:rsid w:val="00441D98"/>
    <w:rsid w:val="004420F6"/>
    <w:rsid w:val="0044285E"/>
    <w:rsid w:val="0044359A"/>
    <w:rsid w:val="004448DE"/>
    <w:rsid w:val="004449B9"/>
    <w:rsid w:val="00444D6F"/>
    <w:rsid w:val="00444F65"/>
    <w:rsid w:val="004462D4"/>
    <w:rsid w:val="00446720"/>
    <w:rsid w:val="004474BB"/>
    <w:rsid w:val="004476C6"/>
    <w:rsid w:val="0044782B"/>
    <w:rsid w:val="00447E1C"/>
    <w:rsid w:val="0045130C"/>
    <w:rsid w:val="0045151E"/>
    <w:rsid w:val="004520F6"/>
    <w:rsid w:val="00453578"/>
    <w:rsid w:val="00453A7B"/>
    <w:rsid w:val="0045453B"/>
    <w:rsid w:val="00454A58"/>
    <w:rsid w:val="00455214"/>
    <w:rsid w:val="004558A1"/>
    <w:rsid w:val="00456136"/>
    <w:rsid w:val="00456D5A"/>
    <w:rsid w:val="00457B9B"/>
    <w:rsid w:val="00460E87"/>
    <w:rsid w:val="0046133D"/>
    <w:rsid w:val="00461720"/>
    <w:rsid w:val="00461B32"/>
    <w:rsid w:val="00462F63"/>
    <w:rsid w:val="004639D4"/>
    <w:rsid w:val="00463AE4"/>
    <w:rsid w:val="0046427A"/>
    <w:rsid w:val="00464328"/>
    <w:rsid w:val="004660B6"/>
    <w:rsid w:val="004669F5"/>
    <w:rsid w:val="00467680"/>
    <w:rsid w:val="00467CD9"/>
    <w:rsid w:val="00467F08"/>
    <w:rsid w:val="004725D4"/>
    <w:rsid w:val="00472C9B"/>
    <w:rsid w:val="00473A5E"/>
    <w:rsid w:val="00473EA1"/>
    <w:rsid w:val="00473ED1"/>
    <w:rsid w:val="004749B0"/>
    <w:rsid w:val="00475784"/>
    <w:rsid w:val="004758A9"/>
    <w:rsid w:val="0047600D"/>
    <w:rsid w:val="00476273"/>
    <w:rsid w:val="004767F5"/>
    <w:rsid w:val="00476FF4"/>
    <w:rsid w:val="00477399"/>
    <w:rsid w:val="0048020B"/>
    <w:rsid w:val="00480A2F"/>
    <w:rsid w:val="00480F62"/>
    <w:rsid w:val="004824E2"/>
    <w:rsid w:val="00485733"/>
    <w:rsid w:val="00485C63"/>
    <w:rsid w:val="004862A4"/>
    <w:rsid w:val="004864DA"/>
    <w:rsid w:val="00486957"/>
    <w:rsid w:val="00486FF1"/>
    <w:rsid w:val="004872BC"/>
    <w:rsid w:val="004874A4"/>
    <w:rsid w:val="00487677"/>
    <w:rsid w:val="0049054E"/>
    <w:rsid w:val="00490BF4"/>
    <w:rsid w:val="00490E44"/>
    <w:rsid w:val="00491606"/>
    <w:rsid w:val="0049252B"/>
    <w:rsid w:val="00493503"/>
    <w:rsid w:val="004938CC"/>
    <w:rsid w:val="00494355"/>
    <w:rsid w:val="00494945"/>
    <w:rsid w:val="00494C2A"/>
    <w:rsid w:val="00495E07"/>
    <w:rsid w:val="0049697C"/>
    <w:rsid w:val="004972B7"/>
    <w:rsid w:val="00497F70"/>
    <w:rsid w:val="004A00D2"/>
    <w:rsid w:val="004A03E5"/>
    <w:rsid w:val="004A2054"/>
    <w:rsid w:val="004A2227"/>
    <w:rsid w:val="004A2D88"/>
    <w:rsid w:val="004A3847"/>
    <w:rsid w:val="004A503D"/>
    <w:rsid w:val="004A54CA"/>
    <w:rsid w:val="004A66BD"/>
    <w:rsid w:val="004A6DF9"/>
    <w:rsid w:val="004B011F"/>
    <w:rsid w:val="004B141F"/>
    <w:rsid w:val="004B25DA"/>
    <w:rsid w:val="004B2A9E"/>
    <w:rsid w:val="004B2C53"/>
    <w:rsid w:val="004B3F0E"/>
    <w:rsid w:val="004B4811"/>
    <w:rsid w:val="004B4A8D"/>
    <w:rsid w:val="004B4FAC"/>
    <w:rsid w:val="004B4FE0"/>
    <w:rsid w:val="004B6AE5"/>
    <w:rsid w:val="004B79F6"/>
    <w:rsid w:val="004C002E"/>
    <w:rsid w:val="004C00F9"/>
    <w:rsid w:val="004C06B9"/>
    <w:rsid w:val="004C0B85"/>
    <w:rsid w:val="004C0E28"/>
    <w:rsid w:val="004C190E"/>
    <w:rsid w:val="004C4515"/>
    <w:rsid w:val="004C456B"/>
    <w:rsid w:val="004C461C"/>
    <w:rsid w:val="004C4D5F"/>
    <w:rsid w:val="004C5BA7"/>
    <w:rsid w:val="004C6475"/>
    <w:rsid w:val="004D0A13"/>
    <w:rsid w:val="004D1113"/>
    <w:rsid w:val="004D1448"/>
    <w:rsid w:val="004D35E8"/>
    <w:rsid w:val="004D490A"/>
    <w:rsid w:val="004D614C"/>
    <w:rsid w:val="004D6253"/>
    <w:rsid w:val="004D653E"/>
    <w:rsid w:val="004D7151"/>
    <w:rsid w:val="004D7D2A"/>
    <w:rsid w:val="004E02EA"/>
    <w:rsid w:val="004E072D"/>
    <w:rsid w:val="004E0B5B"/>
    <w:rsid w:val="004E1DAE"/>
    <w:rsid w:val="004E22F0"/>
    <w:rsid w:val="004E25A6"/>
    <w:rsid w:val="004E29BA"/>
    <w:rsid w:val="004E2A3D"/>
    <w:rsid w:val="004E3ABC"/>
    <w:rsid w:val="004E55C2"/>
    <w:rsid w:val="004E5BB3"/>
    <w:rsid w:val="004F0FDD"/>
    <w:rsid w:val="004F21E6"/>
    <w:rsid w:val="004F24DA"/>
    <w:rsid w:val="004F3015"/>
    <w:rsid w:val="004F3905"/>
    <w:rsid w:val="004F3F20"/>
    <w:rsid w:val="004F4F01"/>
    <w:rsid w:val="004F5759"/>
    <w:rsid w:val="004F5B8C"/>
    <w:rsid w:val="004F6475"/>
    <w:rsid w:val="004F7145"/>
    <w:rsid w:val="004F73B0"/>
    <w:rsid w:val="004F7405"/>
    <w:rsid w:val="004F7706"/>
    <w:rsid w:val="0050001C"/>
    <w:rsid w:val="0050044F"/>
    <w:rsid w:val="005018FF"/>
    <w:rsid w:val="0050270C"/>
    <w:rsid w:val="005047DF"/>
    <w:rsid w:val="0050528E"/>
    <w:rsid w:val="00505B10"/>
    <w:rsid w:val="00506547"/>
    <w:rsid w:val="005066B7"/>
    <w:rsid w:val="005066F7"/>
    <w:rsid w:val="00507C72"/>
    <w:rsid w:val="00510697"/>
    <w:rsid w:val="005111B1"/>
    <w:rsid w:val="00513346"/>
    <w:rsid w:val="00513D04"/>
    <w:rsid w:val="00513E14"/>
    <w:rsid w:val="005144FE"/>
    <w:rsid w:val="005154C1"/>
    <w:rsid w:val="005162AB"/>
    <w:rsid w:val="00516860"/>
    <w:rsid w:val="0051795B"/>
    <w:rsid w:val="0052083F"/>
    <w:rsid w:val="00521122"/>
    <w:rsid w:val="00521C2B"/>
    <w:rsid w:val="005223BF"/>
    <w:rsid w:val="0052351B"/>
    <w:rsid w:val="00523BDD"/>
    <w:rsid w:val="00524D60"/>
    <w:rsid w:val="00525956"/>
    <w:rsid w:val="00526BD1"/>
    <w:rsid w:val="00526C3C"/>
    <w:rsid w:val="00527FE1"/>
    <w:rsid w:val="00531AC4"/>
    <w:rsid w:val="0053272A"/>
    <w:rsid w:val="00532C8A"/>
    <w:rsid w:val="00532CD3"/>
    <w:rsid w:val="005333BC"/>
    <w:rsid w:val="00535AD8"/>
    <w:rsid w:val="0053655E"/>
    <w:rsid w:val="005366BF"/>
    <w:rsid w:val="0053742C"/>
    <w:rsid w:val="00537A3E"/>
    <w:rsid w:val="0054042F"/>
    <w:rsid w:val="00540796"/>
    <w:rsid w:val="00541146"/>
    <w:rsid w:val="005419DD"/>
    <w:rsid w:val="00542148"/>
    <w:rsid w:val="0054227D"/>
    <w:rsid w:val="00542814"/>
    <w:rsid w:val="005434FA"/>
    <w:rsid w:val="005444E2"/>
    <w:rsid w:val="00544BA1"/>
    <w:rsid w:val="00545A99"/>
    <w:rsid w:val="00545CC2"/>
    <w:rsid w:val="00546238"/>
    <w:rsid w:val="00546EB9"/>
    <w:rsid w:val="00547ADD"/>
    <w:rsid w:val="00547D3F"/>
    <w:rsid w:val="005507C7"/>
    <w:rsid w:val="00550EAF"/>
    <w:rsid w:val="00552271"/>
    <w:rsid w:val="00552A11"/>
    <w:rsid w:val="00552E97"/>
    <w:rsid w:val="00552FA5"/>
    <w:rsid w:val="005558E4"/>
    <w:rsid w:val="00555DE2"/>
    <w:rsid w:val="00555F0F"/>
    <w:rsid w:val="00556F1C"/>
    <w:rsid w:val="00557124"/>
    <w:rsid w:val="005577D9"/>
    <w:rsid w:val="00557D2F"/>
    <w:rsid w:val="00557D7C"/>
    <w:rsid w:val="00560FF8"/>
    <w:rsid w:val="00561584"/>
    <w:rsid w:val="00561DA8"/>
    <w:rsid w:val="00562CB2"/>
    <w:rsid w:val="00564FDE"/>
    <w:rsid w:val="00565E33"/>
    <w:rsid w:val="00566714"/>
    <w:rsid w:val="005669AC"/>
    <w:rsid w:val="00567256"/>
    <w:rsid w:val="00567411"/>
    <w:rsid w:val="00567830"/>
    <w:rsid w:val="00570084"/>
    <w:rsid w:val="005704C8"/>
    <w:rsid w:val="0057059A"/>
    <w:rsid w:val="00570B96"/>
    <w:rsid w:val="00571D6D"/>
    <w:rsid w:val="005727FA"/>
    <w:rsid w:val="00572A46"/>
    <w:rsid w:val="00572F46"/>
    <w:rsid w:val="00573F2A"/>
    <w:rsid w:val="0057435D"/>
    <w:rsid w:val="00574A02"/>
    <w:rsid w:val="00574D2A"/>
    <w:rsid w:val="00574F93"/>
    <w:rsid w:val="00576363"/>
    <w:rsid w:val="00576A54"/>
    <w:rsid w:val="00576B8C"/>
    <w:rsid w:val="005775D8"/>
    <w:rsid w:val="00577DC6"/>
    <w:rsid w:val="0058129B"/>
    <w:rsid w:val="00581694"/>
    <w:rsid w:val="005816F4"/>
    <w:rsid w:val="00581BDF"/>
    <w:rsid w:val="00583257"/>
    <w:rsid w:val="005838E2"/>
    <w:rsid w:val="00585174"/>
    <w:rsid w:val="00586087"/>
    <w:rsid w:val="005866C7"/>
    <w:rsid w:val="00587AD5"/>
    <w:rsid w:val="00587B48"/>
    <w:rsid w:val="0059038C"/>
    <w:rsid w:val="00591A98"/>
    <w:rsid w:val="00591B03"/>
    <w:rsid w:val="005921E2"/>
    <w:rsid w:val="00594648"/>
    <w:rsid w:val="00594E87"/>
    <w:rsid w:val="005950E5"/>
    <w:rsid w:val="00595A58"/>
    <w:rsid w:val="00595B13"/>
    <w:rsid w:val="00595EE3"/>
    <w:rsid w:val="00597309"/>
    <w:rsid w:val="005A047F"/>
    <w:rsid w:val="005A14E2"/>
    <w:rsid w:val="005A1772"/>
    <w:rsid w:val="005A1B4B"/>
    <w:rsid w:val="005A3773"/>
    <w:rsid w:val="005A4CD3"/>
    <w:rsid w:val="005A51A8"/>
    <w:rsid w:val="005A5753"/>
    <w:rsid w:val="005A5A2A"/>
    <w:rsid w:val="005A5E06"/>
    <w:rsid w:val="005A6838"/>
    <w:rsid w:val="005A6F7C"/>
    <w:rsid w:val="005B1068"/>
    <w:rsid w:val="005B132F"/>
    <w:rsid w:val="005B15EB"/>
    <w:rsid w:val="005B18B2"/>
    <w:rsid w:val="005B1B45"/>
    <w:rsid w:val="005B38E7"/>
    <w:rsid w:val="005B40A6"/>
    <w:rsid w:val="005B488B"/>
    <w:rsid w:val="005B5124"/>
    <w:rsid w:val="005B59E4"/>
    <w:rsid w:val="005B604E"/>
    <w:rsid w:val="005B6335"/>
    <w:rsid w:val="005B6549"/>
    <w:rsid w:val="005B67A2"/>
    <w:rsid w:val="005B7660"/>
    <w:rsid w:val="005C0180"/>
    <w:rsid w:val="005C01B7"/>
    <w:rsid w:val="005C11A2"/>
    <w:rsid w:val="005C13A4"/>
    <w:rsid w:val="005C14EE"/>
    <w:rsid w:val="005C1701"/>
    <w:rsid w:val="005C2D93"/>
    <w:rsid w:val="005C3154"/>
    <w:rsid w:val="005C37AA"/>
    <w:rsid w:val="005C387D"/>
    <w:rsid w:val="005C48B7"/>
    <w:rsid w:val="005C5438"/>
    <w:rsid w:val="005C5BB8"/>
    <w:rsid w:val="005C69EB"/>
    <w:rsid w:val="005C6C7F"/>
    <w:rsid w:val="005D075A"/>
    <w:rsid w:val="005D1789"/>
    <w:rsid w:val="005D27B0"/>
    <w:rsid w:val="005D2A79"/>
    <w:rsid w:val="005D3004"/>
    <w:rsid w:val="005D3402"/>
    <w:rsid w:val="005D3AF4"/>
    <w:rsid w:val="005D3D39"/>
    <w:rsid w:val="005D436C"/>
    <w:rsid w:val="005D49B1"/>
    <w:rsid w:val="005D580E"/>
    <w:rsid w:val="005D6C04"/>
    <w:rsid w:val="005D7169"/>
    <w:rsid w:val="005D770C"/>
    <w:rsid w:val="005D787E"/>
    <w:rsid w:val="005D78A5"/>
    <w:rsid w:val="005D7C39"/>
    <w:rsid w:val="005E07C2"/>
    <w:rsid w:val="005E13DF"/>
    <w:rsid w:val="005E1621"/>
    <w:rsid w:val="005E1AD2"/>
    <w:rsid w:val="005E3820"/>
    <w:rsid w:val="005E387D"/>
    <w:rsid w:val="005E3B75"/>
    <w:rsid w:val="005E3D15"/>
    <w:rsid w:val="005E4C65"/>
    <w:rsid w:val="005E4F39"/>
    <w:rsid w:val="005F2946"/>
    <w:rsid w:val="005F2C47"/>
    <w:rsid w:val="005F2F44"/>
    <w:rsid w:val="005F34C6"/>
    <w:rsid w:val="005F4318"/>
    <w:rsid w:val="005F4656"/>
    <w:rsid w:val="005F4BB6"/>
    <w:rsid w:val="005F4F8E"/>
    <w:rsid w:val="005F54A4"/>
    <w:rsid w:val="005F568B"/>
    <w:rsid w:val="005F71D1"/>
    <w:rsid w:val="005F752B"/>
    <w:rsid w:val="005F754F"/>
    <w:rsid w:val="006001FF"/>
    <w:rsid w:val="0060035F"/>
    <w:rsid w:val="0060055F"/>
    <w:rsid w:val="00600DF4"/>
    <w:rsid w:val="00600F36"/>
    <w:rsid w:val="00601DD2"/>
    <w:rsid w:val="00602BFD"/>
    <w:rsid w:val="0060349E"/>
    <w:rsid w:val="00603592"/>
    <w:rsid w:val="006037FF"/>
    <w:rsid w:val="00603D0E"/>
    <w:rsid w:val="00605C4A"/>
    <w:rsid w:val="00605E0E"/>
    <w:rsid w:val="00606A0B"/>
    <w:rsid w:val="00606ABA"/>
    <w:rsid w:val="00607076"/>
    <w:rsid w:val="00607205"/>
    <w:rsid w:val="006074E4"/>
    <w:rsid w:val="00607CF2"/>
    <w:rsid w:val="006104D5"/>
    <w:rsid w:val="00610D1D"/>
    <w:rsid w:val="0061112E"/>
    <w:rsid w:val="006112D1"/>
    <w:rsid w:val="006112FA"/>
    <w:rsid w:val="0061146F"/>
    <w:rsid w:val="006114E7"/>
    <w:rsid w:val="0061287F"/>
    <w:rsid w:val="00612E50"/>
    <w:rsid w:val="00613394"/>
    <w:rsid w:val="00613786"/>
    <w:rsid w:val="00613D52"/>
    <w:rsid w:val="00615D56"/>
    <w:rsid w:val="00616683"/>
    <w:rsid w:val="006170AB"/>
    <w:rsid w:val="006177F8"/>
    <w:rsid w:val="00617CE2"/>
    <w:rsid w:val="00620205"/>
    <w:rsid w:val="0062065C"/>
    <w:rsid w:val="0062160C"/>
    <w:rsid w:val="00621ACF"/>
    <w:rsid w:val="00621BD1"/>
    <w:rsid w:val="00621E69"/>
    <w:rsid w:val="0062274C"/>
    <w:rsid w:val="006229C0"/>
    <w:rsid w:val="00622D42"/>
    <w:rsid w:val="00622F63"/>
    <w:rsid w:val="00623402"/>
    <w:rsid w:val="00623D48"/>
    <w:rsid w:val="006241F2"/>
    <w:rsid w:val="00624B34"/>
    <w:rsid w:val="00624E7A"/>
    <w:rsid w:val="00624FAE"/>
    <w:rsid w:val="00625B93"/>
    <w:rsid w:val="006267C8"/>
    <w:rsid w:val="00626AD6"/>
    <w:rsid w:val="00626EA6"/>
    <w:rsid w:val="006273C8"/>
    <w:rsid w:val="00627DC7"/>
    <w:rsid w:val="00627E59"/>
    <w:rsid w:val="00627FD7"/>
    <w:rsid w:val="0063009B"/>
    <w:rsid w:val="006308E9"/>
    <w:rsid w:val="006309A0"/>
    <w:rsid w:val="00631052"/>
    <w:rsid w:val="00631510"/>
    <w:rsid w:val="0063187D"/>
    <w:rsid w:val="00631BA3"/>
    <w:rsid w:val="00631C98"/>
    <w:rsid w:val="00632E9C"/>
    <w:rsid w:val="00633563"/>
    <w:rsid w:val="00633A9A"/>
    <w:rsid w:val="00634555"/>
    <w:rsid w:val="00634808"/>
    <w:rsid w:val="00635524"/>
    <w:rsid w:val="00636271"/>
    <w:rsid w:val="006369A5"/>
    <w:rsid w:val="00636E8B"/>
    <w:rsid w:val="00637180"/>
    <w:rsid w:val="00637BF9"/>
    <w:rsid w:val="00637DA5"/>
    <w:rsid w:val="0064198F"/>
    <w:rsid w:val="0064340F"/>
    <w:rsid w:val="00643C5A"/>
    <w:rsid w:val="00644854"/>
    <w:rsid w:val="00644FA6"/>
    <w:rsid w:val="00645795"/>
    <w:rsid w:val="00647210"/>
    <w:rsid w:val="0064730C"/>
    <w:rsid w:val="00647879"/>
    <w:rsid w:val="006478F1"/>
    <w:rsid w:val="00647962"/>
    <w:rsid w:val="006502FA"/>
    <w:rsid w:val="006505F7"/>
    <w:rsid w:val="0065156F"/>
    <w:rsid w:val="006520D2"/>
    <w:rsid w:val="00652206"/>
    <w:rsid w:val="006527C4"/>
    <w:rsid w:val="00653193"/>
    <w:rsid w:val="006536D0"/>
    <w:rsid w:val="0065376E"/>
    <w:rsid w:val="00653D8D"/>
    <w:rsid w:val="006543B1"/>
    <w:rsid w:val="00655088"/>
    <w:rsid w:val="00655A79"/>
    <w:rsid w:val="00657EFE"/>
    <w:rsid w:val="00660D87"/>
    <w:rsid w:val="00661F51"/>
    <w:rsid w:val="00662BC9"/>
    <w:rsid w:val="0066377C"/>
    <w:rsid w:val="0066423F"/>
    <w:rsid w:val="00665CEA"/>
    <w:rsid w:val="00665D8E"/>
    <w:rsid w:val="00666096"/>
    <w:rsid w:val="006676CD"/>
    <w:rsid w:val="00667B22"/>
    <w:rsid w:val="00670220"/>
    <w:rsid w:val="006710C1"/>
    <w:rsid w:val="00672437"/>
    <w:rsid w:val="0067298B"/>
    <w:rsid w:val="0067304E"/>
    <w:rsid w:val="006745E5"/>
    <w:rsid w:val="00674A0D"/>
    <w:rsid w:val="00674C56"/>
    <w:rsid w:val="00674E64"/>
    <w:rsid w:val="006760B9"/>
    <w:rsid w:val="00677A0E"/>
    <w:rsid w:val="00680290"/>
    <w:rsid w:val="00680BF6"/>
    <w:rsid w:val="00680C68"/>
    <w:rsid w:val="00680F54"/>
    <w:rsid w:val="00681121"/>
    <w:rsid w:val="00681181"/>
    <w:rsid w:val="006815C9"/>
    <w:rsid w:val="00681764"/>
    <w:rsid w:val="00682099"/>
    <w:rsid w:val="0068244A"/>
    <w:rsid w:val="00682DBD"/>
    <w:rsid w:val="00682E53"/>
    <w:rsid w:val="006834AC"/>
    <w:rsid w:val="00683B72"/>
    <w:rsid w:val="006849ED"/>
    <w:rsid w:val="00684FDE"/>
    <w:rsid w:val="00685A22"/>
    <w:rsid w:val="00686346"/>
    <w:rsid w:val="00686648"/>
    <w:rsid w:val="006869B8"/>
    <w:rsid w:val="00686EB8"/>
    <w:rsid w:val="00687686"/>
    <w:rsid w:val="00687A9A"/>
    <w:rsid w:val="00687C04"/>
    <w:rsid w:val="00690D50"/>
    <w:rsid w:val="00690EFD"/>
    <w:rsid w:val="00690FC7"/>
    <w:rsid w:val="0069134E"/>
    <w:rsid w:val="006918B9"/>
    <w:rsid w:val="00691C58"/>
    <w:rsid w:val="0069271E"/>
    <w:rsid w:val="00692E50"/>
    <w:rsid w:val="0069376A"/>
    <w:rsid w:val="00693EC6"/>
    <w:rsid w:val="00694D8A"/>
    <w:rsid w:val="00694DBC"/>
    <w:rsid w:val="00694F3D"/>
    <w:rsid w:val="00695A82"/>
    <w:rsid w:val="00696C28"/>
    <w:rsid w:val="00696D39"/>
    <w:rsid w:val="00697B05"/>
    <w:rsid w:val="006A18B6"/>
    <w:rsid w:val="006A1EDC"/>
    <w:rsid w:val="006A2823"/>
    <w:rsid w:val="006A2D87"/>
    <w:rsid w:val="006A2DB7"/>
    <w:rsid w:val="006A4342"/>
    <w:rsid w:val="006A4BE2"/>
    <w:rsid w:val="006A4D8A"/>
    <w:rsid w:val="006A4F15"/>
    <w:rsid w:val="006A4F2C"/>
    <w:rsid w:val="006A51E0"/>
    <w:rsid w:val="006A53F5"/>
    <w:rsid w:val="006A54E6"/>
    <w:rsid w:val="006A581A"/>
    <w:rsid w:val="006A5B0F"/>
    <w:rsid w:val="006A5D04"/>
    <w:rsid w:val="006A5ED6"/>
    <w:rsid w:val="006A5FF3"/>
    <w:rsid w:val="006A63DC"/>
    <w:rsid w:val="006A6C57"/>
    <w:rsid w:val="006A7377"/>
    <w:rsid w:val="006A74E0"/>
    <w:rsid w:val="006A7E6B"/>
    <w:rsid w:val="006B00C4"/>
    <w:rsid w:val="006B086F"/>
    <w:rsid w:val="006B0EF6"/>
    <w:rsid w:val="006B20EE"/>
    <w:rsid w:val="006B21B5"/>
    <w:rsid w:val="006B4826"/>
    <w:rsid w:val="006B4D8F"/>
    <w:rsid w:val="006B4DA1"/>
    <w:rsid w:val="006B5B8D"/>
    <w:rsid w:val="006B6B8D"/>
    <w:rsid w:val="006B7401"/>
    <w:rsid w:val="006B7564"/>
    <w:rsid w:val="006B7AFE"/>
    <w:rsid w:val="006B7D19"/>
    <w:rsid w:val="006C0A79"/>
    <w:rsid w:val="006C146B"/>
    <w:rsid w:val="006C1614"/>
    <w:rsid w:val="006C19AD"/>
    <w:rsid w:val="006C1D8C"/>
    <w:rsid w:val="006C2972"/>
    <w:rsid w:val="006C3513"/>
    <w:rsid w:val="006C366E"/>
    <w:rsid w:val="006C3DBA"/>
    <w:rsid w:val="006C4239"/>
    <w:rsid w:val="006C51D5"/>
    <w:rsid w:val="006C52DB"/>
    <w:rsid w:val="006C6442"/>
    <w:rsid w:val="006C6889"/>
    <w:rsid w:val="006C76B7"/>
    <w:rsid w:val="006D1BF8"/>
    <w:rsid w:val="006D1E49"/>
    <w:rsid w:val="006D1FDE"/>
    <w:rsid w:val="006D2553"/>
    <w:rsid w:val="006D2A8E"/>
    <w:rsid w:val="006D2D94"/>
    <w:rsid w:val="006D2E35"/>
    <w:rsid w:val="006D3736"/>
    <w:rsid w:val="006D432E"/>
    <w:rsid w:val="006D515D"/>
    <w:rsid w:val="006D516A"/>
    <w:rsid w:val="006D545D"/>
    <w:rsid w:val="006D5B0E"/>
    <w:rsid w:val="006D6228"/>
    <w:rsid w:val="006D6468"/>
    <w:rsid w:val="006D6EDE"/>
    <w:rsid w:val="006D784E"/>
    <w:rsid w:val="006D79D5"/>
    <w:rsid w:val="006D7B7B"/>
    <w:rsid w:val="006E003F"/>
    <w:rsid w:val="006E0BD1"/>
    <w:rsid w:val="006E0D17"/>
    <w:rsid w:val="006E172A"/>
    <w:rsid w:val="006E1CF4"/>
    <w:rsid w:val="006E1DE1"/>
    <w:rsid w:val="006E243D"/>
    <w:rsid w:val="006E268E"/>
    <w:rsid w:val="006E281E"/>
    <w:rsid w:val="006E4202"/>
    <w:rsid w:val="006E4894"/>
    <w:rsid w:val="006E49CB"/>
    <w:rsid w:val="006E6044"/>
    <w:rsid w:val="006E6756"/>
    <w:rsid w:val="006E7C8B"/>
    <w:rsid w:val="006F0AFA"/>
    <w:rsid w:val="006F0C9E"/>
    <w:rsid w:val="006F1B52"/>
    <w:rsid w:val="006F27A6"/>
    <w:rsid w:val="006F2918"/>
    <w:rsid w:val="006F2B1C"/>
    <w:rsid w:val="006F33BA"/>
    <w:rsid w:val="006F36CE"/>
    <w:rsid w:val="006F3723"/>
    <w:rsid w:val="006F39A4"/>
    <w:rsid w:val="006F40AD"/>
    <w:rsid w:val="006F42DE"/>
    <w:rsid w:val="006F502D"/>
    <w:rsid w:val="006F604A"/>
    <w:rsid w:val="006F7406"/>
    <w:rsid w:val="006F7AD4"/>
    <w:rsid w:val="006F7B82"/>
    <w:rsid w:val="00700257"/>
    <w:rsid w:val="007016A4"/>
    <w:rsid w:val="00701BCA"/>
    <w:rsid w:val="007026BF"/>
    <w:rsid w:val="00705197"/>
    <w:rsid w:val="007053DA"/>
    <w:rsid w:val="00705B33"/>
    <w:rsid w:val="0070601C"/>
    <w:rsid w:val="0070615E"/>
    <w:rsid w:val="0070697D"/>
    <w:rsid w:val="00706C4B"/>
    <w:rsid w:val="00706F44"/>
    <w:rsid w:val="0070731F"/>
    <w:rsid w:val="00710A58"/>
    <w:rsid w:val="00710C10"/>
    <w:rsid w:val="007114BE"/>
    <w:rsid w:val="007116AC"/>
    <w:rsid w:val="007118D5"/>
    <w:rsid w:val="007124A2"/>
    <w:rsid w:val="00712B6C"/>
    <w:rsid w:val="007133ED"/>
    <w:rsid w:val="007142B3"/>
    <w:rsid w:val="00715AEC"/>
    <w:rsid w:val="00716451"/>
    <w:rsid w:val="0072237A"/>
    <w:rsid w:val="007230D6"/>
    <w:rsid w:val="00723E4B"/>
    <w:rsid w:val="00724553"/>
    <w:rsid w:val="00724A52"/>
    <w:rsid w:val="00724E41"/>
    <w:rsid w:val="00725178"/>
    <w:rsid w:val="007254B4"/>
    <w:rsid w:val="0072563F"/>
    <w:rsid w:val="00725A8B"/>
    <w:rsid w:val="0072687F"/>
    <w:rsid w:val="007272DC"/>
    <w:rsid w:val="00730265"/>
    <w:rsid w:val="00732A7E"/>
    <w:rsid w:val="00732CFA"/>
    <w:rsid w:val="00732E2C"/>
    <w:rsid w:val="007330C0"/>
    <w:rsid w:val="00733398"/>
    <w:rsid w:val="00734468"/>
    <w:rsid w:val="00735313"/>
    <w:rsid w:val="00735ECF"/>
    <w:rsid w:val="007365F7"/>
    <w:rsid w:val="007368A2"/>
    <w:rsid w:val="00736DE9"/>
    <w:rsid w:val="007402F0"/>
    <w:rsid w:val="00740CB9"/>
    <w:rsid w:val="00740F87"/>
    <w:rsid w:val="00741599"/>
    <w:rsid w:val="00741BB9"/>
    <w:rsid w:val="00742404"/>
    <w:rsid w:val="00742439"/>
    <w:rsid w:val="0074282A"/>
    <w:rsid w:val="00743A10"/>
    <w:rsid w:val="007451C6"/>
    <w:rsid w:val="007452C8"/>
    <w:rsid w:val="007460AD"/>
    <w:rsid w:val="007465A9"/>
    <w:rsid w:val="00746894"/>
    <w:rsid w:val="0075255E"/>
    <w:rsid w:val="0075371A"/>
    <w:rsid w:val="00753E0F"/>
    <w:rsid w:val="00754A0D"/>
    <w:rsid w:val="007552C1"/>
    <w:rsid w:val="007562E2"/>
    <w:rsid w:val="007577C2"/>
    <w:rsid w:val="007578F5"/>
    <w:rsid w:val="00757F2B"/>
    <w:rsid w:val="0076179F"/>
    <w:rsid w:val="0076189C"/>
    <w:rsid w:val="007623FE"/>
    <w:rsid w:val="0076285C"/>
    <w:rsid w:val="00762F2B"/>
    <w:rsid w:val="0076328E"/>
    <w:rsid w:val="007639A7"/>
    <w:rsid w:val="0076561E"/>
    <w:rsid w:val="00765E38"/>
    <w:rsid w:val="007661B0"/>
    <w:rsid w:val="00766E37"/>
    <w:rsid w:val="0076725F"/>
    <w:rsid w:val="0076744C"/>
    <w:rsid w:val="007701F1"/>
    <w:rsid w:val="00771C6F"/>
    <w:rsid w:val="00772187"/>
    <w:rsid w:val="00773353"/>
    <w:rsid w:val="00773531"/>
    <w:rsid w:val="00774D7D"/>
    <w:rsid w:val="00775CB9"/>
    <w:rsid w:val="00775D67"/>
    <w:rsid w:val="007764C6"/>
    <w:rsid w:val="007769F1"/>
    <w:rsid w:val="0077702B"/>
    <w:rsid w:val="007773C6"/>
    <w:rsid w:val="00777FB5"/>
    <w:rsid w:val="007805D6"/>
    <w:rsid w:val="007808AA"/>
    <w:rsid w:val="00780A45"/>
    <w:rsid w:val="00780C00"/>
    <w:rsid w:val="00780D7B"/>
    <w:rsid w:val="0078109A"/>
    <w:rsid w:val="007811E8"/>
    <w:rsid w:val="00782B98"/>
    <w:rsid w:val="00782E52"/>
    <w:rsid w:val="007831DA"/>
    <w:rsid w:val="00783842"/>
    <w:rsid w:val="00785140"/>
    <w:rsid w:val="00785A50"/>
    <w:rsid w:val="00785DE6"/>
    <w:rsid w:val="00785EB2"/>
    <w:rsid w:val="007876E3"/>
    <w:rsid w:val="007878BC"/>
    <w:rsid w:val="00790152"/>
    <w:rsid w:val="00791278"/>
    <w:rsid w:val="00791784"/>
    <w:rsid w:val="0079250B"/>
    <w:rsid w:val="007928AD"/>
    <w:rsid w:val="007938AE"/>
    <w:rsid w:val="00794724"/>
    <w:rsid w:val="00794804"/>
    <w:rsid w:val="00794C3A"/>
    <w:rsid w:val="00795405"/>
    <w:rsid w:val="00795C3E"/>
    <w:rsid w:val="00795FB5"/>
    <w:rsid w:val="0079677E"/>
    <w:rsid w:val="00796AA1"/>
    <w:rsid w:val="00797957"/>
    <w:rsid w:val="007A0174"/>
    <w:rsid w:val="007A0924"/>
    <w:rsid w:val="007A0BB2"/>
    <w:rsid w:val="007A3DF1"/>
    <w:rsid w:val="007A3E71"/>
    <w:rsid w:val="007A40D8"/>
    <w:rsid w:val="007A509E"/>
    <w:rsid w:val="007A5131"/>
    <w:rsid w:val="007A517D"/>
    <w:rsid w:val="007A599B"/>
    <w:rsid w:val="007A6634"/>
    <w:rsid w:val="007A663F"/>
    <w:rsid w:val="007B0FB8"/>
    <w:rsid w:val="007B10C1"/>
    <w:rsid w:val="007B12CC"/>
    <w:rsid w:val="007B17E2"/>
    <w:rsid w:val="007B199C"/>
    <w:rsid w:val="007B1C07"/>
    <w:rsid w:val="007B20B2"/>
    <w:rsid w:val="007B22AD"/>
    <w:rsid w:val="007B2415"/>
    <w:rsid w:val="007B2714"/>
    <w:rsid w:val="007B4019"/>
    <w:rsid w:val="007B56E6"/>
    <w:rsid w:val="007B59F8"/>
    <w:rsid w:val="007B66A0"/>
    <w:rsid w:val="007B6E4E"/>
    <w:rsid w:val="007B71E9"/>
    <w:rsid w:val="007B7E2B"/>
    <w:rsid w:val="007B7F2D"/>
    <w:rsid w:val="007B7F80"/>
    <w:rsid w:val="007B7FEA"/>
    <w:rsid w:val="007C16C5"/>
    <w:rsid w:val="007C1702"/>
    <w:rsid w:val="007C3012"/>
    <w:rsid w:val="007C3895"/>
    <w:rsid w:val="007C3966"/>
    <w:rsid w:val="007C41D1"/>
    <w:rsid w:val="007C48C7"/>
    <w:rsid w:val="007C52C6"/>
    <w:rsid w:val="007C5645"/>
    <w:rsid w:val="007C5872"/>
    <w:rsid w:val="007C69D6"/>
    <w:rsid w:val="007D0851"/>
    <w:rsid w:val="007D0C99"/>
    <w:rsid w:val="007D0E1E"/>
    <w:rsid w:val="007D1623"/>
    <w:rsid w:val="007D224C"/>
    <w:rsid w:val="007D230E"/>
    <w:rsid w:val="007D2547"/>
    <w:rsid w:val="007D29FF"/>
    <w:rsid w:val="007D2CEB"/>
    <w:rsid w:val="007D2D09"/>
    <w:rsid w:val="007D3591"/>
    <w:rsid w:val="007D5189"/>
    <w:rsid w:val="007D5612"/>
    <w:rsid w:val="007D5EDE"/>
    <w:rsid w:val="007D6683"/>
    <w:rsid w:val="007D6DE3"/>
    <w:rsid w:val="007D6FA2"/>
    <w:rsid w:val="007D79A2"/>
    <w:rsid w:val="007D7ACB"/>
    <w:rsid w:val="007E0002"/>
    <w:rsid w:val="007E05EB"/>
    <w:rsid w:val="007E490A"/>
    <w:rsid w:val="007E5022"/>
    <w:rsid w:val="007E6167"/>
    <w:rsid w:val="007E697B"/>
    <w:rsid w:val="007E6B32"/>
    <w:rsid w:val="007E6C15"/>
    <w:rsid w:val="007E74C5"/>
    <w:rsid w:val="007F0546"/>
    <w:rsid w:val="007F0E34"/>
    <w:rsid w:val="007F3166"/>
    <w:rsid w:val="007F32C6"/>
    <w:rsid w:val="007F3DF4"/>
    <w:rsid w:val="007F599B"/>
    <w:rsid w:val="007F6368"/>
    <w:rsid w:val="007F72F0"/>
    <w:rsid w:val="007F7B7F"/>
    <w:rsid w:val="007F7BA6"/>
    <w:rsid w:val="008019FA"/>
    <w:rsid w:val="00802C72"/>
    <w:rsid w:val="00802C8C"/>
    <w:rsid w:val="008033F3"/>
    <w:rsid w:val="00803746"/>
    <w:rsid w:val="008043DE"/>
    <w:rsid w:val="00804671"/>
    <w:rsid w:val="0080498D"/>
    <w:rsid w:val="0080606A"/>
    <w:rsid w:val="008065F0"/>
    <w:rsid w:val="00807C2F"/>
    <w:rsid w:val="00810B67"/>
    <w:rsid w:val="008117E4"/>
    <w:rsid w:val="008128F3"/>
    <w:rsid w:val="008129C6"/>
    <w:rsid w:val="00812D18"/>
    <w:rsid w:val="00812E0A"/>
    <w:rsid w:val="0081352B"/>
    <w:rsid w:val="008137E1"/>
    <w:rsid w:val="00813916"/>
    <w:rsid w:val="008140C1"/>
    <w:rsid w:val="008141B8"/>
    <w:rsid w:val="0081437B"/>
    <w:rsid w:val="00814514"/>
    <w:rsid w:val="00814995"/>
    <w:rsid w:val="008149BD"/>
    <w:rsid w:val="00814D4C"/>
    <w:rsid w:val="00815967"/>
    <w:rsid w:val="0081601C"/>
    <w:rsid w:val="0081608D"/>
    <w:rsid w:val="00816D29"/>
    <w:rsid w:val="00822699"/>
    <w:rsid w:val="008237E2"/>
    <w:rsid w:val="00823C6C"/>
    <w:rsid w:val="00824120"/>
    <w:rsid w:val="008245F9"/>
    <w:rsid w:val="00825330"/>
    <w:rsid w:val="0082557A"/>
    <w:rsid w:val="008255E4"/>
    <w:rsid w:val="00825605"/>
    <w:rsid w:val="0082585B"/>
    <w:rsid w:val="00826180"/>
    <w:rsid w:val="00826410"/>
    <w:rsid w:val="008264D3"/>
    <w:rsid w:val="0082654A"/>
    <w:rsid w:val="00826B34"/>
    <w:rsid w:val="00826B8B"/>
    <w:rsid w:val="00827B35"/>
    <w:rsid w:val="00827BAD"/>
    <w:rsid w:val="00830639"/>
    <w:rsid w:val="008309C9"/>
    <w:rsid w:val="00830BC7"/>
    <w:rsid w:val="00830E99"/>
    <w:rsid w:val="008314AF"/>
    <w:rsid w:val="00832CAC"/>
    <w:rsid w:val="00833266"/>
    <w:rsid w:val="008333CF"/>
    <w:rsid w:val="00833476"/>
    <w:rsid w:val="008335E3"/>
    <w:rsid w:val="00833CEC"/>
    <w:rsid w:val="00834CDB"/>
    <w:rsid w:val="00834DCB"/>
    <w:rsid w:val="00835FE4"/>
    <w:rsid w:val="0083633F"/>
    <w:rsid w:val="00836673"/>
    <w:rsid w:val="008366C3"/>
    <w:rsid w:val="00836F63"/>
    <w:rsid w:val="00840C01"/>
    <w:rsid w:val="00840C42"/>
    <w:rsid w:val="00840E93"/>
    <w:rsid w:val="0084167C"/>
    <w:rsid w:val="00841723"/>
    <w:rsid w:val="008423F8"/>
    <w:rsid w:val="0084271E"/>
    <w:rsid w:val="00844946"/>
    <w:rsid w:val="00844AEC"/>
    <w:rsid w:val="00844F10"/>
    <w:rsid w:val="00845186"/>
    <w:rsid w:val="00845BBC"/>
    <w:rsid w:val="00845DBE"/>
    <w:rsid w:val="008464E0"/>
    <w:rsid w:val="00846577"/>
    <w:rsid w:val="00847660"/>
    <w:rsid w:val="00847F2B"/>
    <w:rsid w:val="00847FAF"/>
    <w:rsid w:val="00847FD7"/>
    <w:rsid w:val="00850048"/>
    <w:rsid w:val="00850BE6"/>
    <w:rsid w:val="008513D8"/>
    <w:rsid w:val="00851CA5"/>
    <w:rsid w:val="00852C25"/>
    <w:rsid w:val="00853D0F"/>
    <w:rsid w:val="00855D43"/>
    <w:rsid w:val="008561D7"/>
    <w:rsid w:val="008561F8"/>
    <w:rsid w:val="00856F35"/>
    <w:rsid w:val="008575B1"/>
    <w:rsid w:val="008607B4"/>
    <w:rsid w:val="00860B22"/>
    <w:rsid w:val="00860F9A"/>
    <w:rsid w:val="00860FB0"/>
    <w:rsid w:val="00861074"/>
    <w:rsid w:val="00861239"/>
    <w:rsid w:val="00861386"/>
    <w:rsid w:val="008614FD"/>
    <w:rsid w:val="00861B6B"/>
    <w:rsid w:val="008636FC"/>
    <w:rsid w:val="00863BE7"/>
    <w:rsid w:val="00863DB6"/>
    <w:rsid w:val="008650AD"/>
    <w:rsid w:val="008653DE"/>
    <w:rsid w:val="00865B86"/>
    <w:rsid w:val="00865D6C"/>
    <w:rsid w:val="0086739D"/>
    <w:rsid w:val="00870232"/>
    <w:rsid w:val="0087034B"/>
    <w:rsid w:val="00870368"/>
    <w:rsid w:val="008707A8"/>
    <w:rsid w:val="00870B75"/>
    <w:rsid w:val="00871164"/>
    <w:rsid w:val="00871512"/>
    <w:rsid w:val="008717E9"/>
    <w:rsid w:val="00871B41"/>
    <w:rsid w:val="008730CF"/>
    <w:rsid w:val="00873BC6"/>
    <w:rsid w:val="00874FB1"/>
    <w:rsid w:val="008752B5"/>
    <w:rsid w:val="00875F9A"/>
    <w:rsid w:val="00876541"/>
    <w:rsid w:val="008771F4"/>
    <w:rsid w:val="008772F3"/>
    <w:rsid w:val="00880902"/>
    <w:rsid w:val="00881E3C"/>
    <w:rsid w:val="0088265E"/>
    <w:rsid w:val="00882910"/>
    <w:rsid w:val="008835ED"/>
    <w:rsid w:val="00883706"/>
    <w:rsid w:val="008843B4"/>
    <w:rsid w:val="00885AA8"/>
    <w:rsid w:val="008864CA"/>
    <w:rsid w:val="0088740E"/>
    <w:rsid w:val="008875B0"/>
    <w:rsid w:val="00890EB7"/>
    <w:rsid w:val="008913B5"/>
    <w:rsid w:val="00891FD3"/>
    <w:rsid w:val="00891FD9"/>
    <w:rsid w:val="008924ED"/>
    <w:rsid w:val="00892A4E"/>
    <w:rsid w:val="00892CA7"/>
    <w:rsid w:val="00892DE3"/>
    <w:rsid w:val="0089318E"/>
    <w:rsid w:val="00894667"/>
    <w:rsid w:val="00894A27"/>
    <w:rsid w:val="00894C79"/>
    <w:rsid w:val="008950F4"/>
    <w:rsid w:val="00896046"/>
    <w:rsid w:val="0089689F"/>
    <w:rsid w:val="00896A4C"/>
    <w:rsid w:val="00896C1F"/>
    <w:rsid w:val="00896EBA"/>
    <w:rsid w:val="00896FEF"/>
    <w:rsid w:val="0089797F"/>
    <w:rsid w:val="00897B9C"/>
    <w:rsid w:val="008A183D"/>
    <w:rsid w:val="008A23C9"/>
    <w:rsid w:val="008A23EF"/>
    <w:rsid w:val="008A398A"/>
    <w:rsid w:val="008A39F8"/>
    <w:rsid w:val="008A3E48"/>
    <w:rsid w:val="008A3FED"/>
    <w:rsid w:val="008A40E4"/>
    <w:rsid w:val="008A552A"/>
    <w:rsid w:val="008A55F4"/>
    <w:rsid w:val="008A5B35"/>
    <w:rsid w:val="008A5EF9"/>
    <w:rsid w:val="008A6345"/>
    <w:rsid w:val="008A724D"/>
    <w:rsid w:val="008A7A9F"/>
    <w:rsid w:val="008B0B3A"/>
    <w:rsid w:val="008B11C5"/>
    <w:rsid w:val="008B1F7D"/>
    <w:rsid w:val="008B306E"/>
    <w:rsid w:val="008B32A9"/>
    <w:rsid w:val="008B4F92"/>
    <w:rsid w:val="008B68E9"/>
    <w:rsid w:val="008B6F70"/>
    <w:rsid w:val="008B717C"/>
    <w:rsid w:val="008B7CD4"/>
    <w:rsid w:val="008C0083"/>
    <w:rsid w:val="008C0639"/>
    <w:rsid w:val="008C0DFF"/>
    <w:rsid w:val="008C1C7F"/>
    <w:rsid w:val="008C1CF1"/>
    <w:rsid w:val="008C2452"/>
    <w:rsid w:val="008C2AC2"/>
    <w:rsid w:val="008C2EDB"/>
    <w:rsid w:val="008C4322"/>
    <w:rsid w:val="008C4EA0"/>
    <w:rsid w:val="008C558D"/>
    <w:rsid w:val="008C5670"/>
    <w:rsid w:val="008C59F0"/>
    <w:rsid w:val="008C6C9A"/>
    <w:rsid w:val="008C701E"/>
    <w:rsid w:val="008D0036"/>
    <w:rsid w:val="008D055B"/>
    <w:rsid w:val="008D19BA"/>
    <w:rsid w:val="008D1B64"/>
    <w:rsid w:val="008D1BD1"/>
    <w:rsid w:val="008D1EB1"/>
    <w:rsid w:val="008D34DE"/>
    <w:rsid w:val="008D3634"/>
    <w:rsid w:val="008D4162"/>
    <w:rsid w:val="008D445E"/>
    <w:rsid w:val="008D448B"/>
    <w:rsid w:val="008D4E54"/>
    <w:rsid w:val="008D5092"/>
    <w:rsid w:val="008D5AAA"/>
    <w:rsid w:val="008D7300"/>
    <w:rsid w:val="008E009D"/>
    <w:rsid w:val="008E06D2"/>
    <w:rsid w:val="008E080F"/>
    <w:rsid w:val="008E0B0C"/>
    <w:rsid w:val="008E0F4C"/>
    <w:rsid w:val="008E4938"/>
    <w:rsid w:val="008E4C89"/>
    <w:rsid w:val="008E4FBB"/>
    <w:rsid w:val="008E51AF"/>
    <w:rsid w:val="008E534F"/>
    <w:rsid w:val="008E53FC"/>
    <w:rsid w:val="008E548A"/>
    <w:rsid w:val="008E60B9"/>
    <w:rsid w:val="008E74A2"/>
    <w:rsid w:val="008E76DE"/>
    <w:rsid w:val="008F0683"/>
    <w:rsid w:val="008F0798"/>
    <w:rsid w:val="008F0BD9"/>
    <w:rsid w:val="008F19C7"/>
    <w:rsid w:val="008F1AC2"/>
    <w:rsid w:val="008F1BBE"/>
    <w:rsid w:val="008F3528"/>
    <w:rsid w:val="008F35B3"/>
    <w:rsid w:val="008F45F6"/>
    <w:rsid w:val="008F4B82"/>
    <w:rsid w:val="008F4D47"/>
    <w:rsid w:val="008F54D9"/>
    <w:rsid w:val="008F5E98"/>
    <w:rsid w:val="008F633F"/>
    <w:rsid w:val="008F6ED8"/>
    <w:rsid w:val="008F6EDF"/>
    <w:rsid w:val="008F7976"/>
    <w:rsid w:val="009006A6"/>
    <w:rsid w:val="009016D7"/>
    <w:rsid w:val="009022B4"/>
    <w:rsid w:val="0090316B"/>
    <w:rsid w:val="00903270"/>
    <w:rsid w:val="009037F2"/>
    <w:rsid w:val="00903AC3"/>
    <w:rsid w:val="00903E37"/>
    <w:rsid w:val="0090412E"/>
    <w:rsid w:val="00904341"/>
    <w:rsid w:val="00904536"/>
    <w:rsid w:val="0090478A"/>
    <w:rsid w:val="009047B5"/>
    <w:rsid w:val="00905513"/>
    <w:rsid w:val="009059E2"/>
    <w:rsid w:val="00906267"/>
    <w:rsid w:val="00906BCA"/>
    <w:rsid w:val="00906DE0"/>
    <w:rsid w:val="00906EA1"/>
    <w:rsid w:val="00907026"/>
    <w:rsid w:val="0090775D"/>
    <w:rsid w:val="009079FE"/>
    <w:rsid w:val="009102A7"/>
    <w:rsid w:val="00911D86"/>
    <w:rsid w:val="00911E12"/>
    <w:rsid w:val="00912288"/>
    <w:rsid w:val="00913466"/>
    <w:rsid w:val="009135A2"/>
    <w:rsid w:val="009136AF"/>
    <w:rsid w:val="009144B5"/>
    <w:rsid w:val="009146F6"/>
    <w:rsid w:val="009150EF"/>
    <w:rsid w:val="00915863"/>
    <w:rsid w:val="009163FD"/>
    <w:rsid w:val="009169DE"/>
    <w:rsid w:val="00916ED7"/>
    <w:rsid w:val="00917AC1"/>
    <w:rsid w:val="009205E5"/>
    <w:rsid w:val="009211D5"/>
    <w:rsid w:val="00921BA4"/>
    <w:rsid w:val="00922A77"/>
    <w:rsid w:val="00922BDB"/>
    <w:rsid w:val="00922E70"/>
    <w:rsid w:val="0092401B"/>
    <w:rsid w:val="00926E69"/>
    <w:rsid w:val="009270FC"/>
    <w:rsid w:val="009308FC"/>
    <w:rsid w:val="00930EF7"/>
    <w:rsid w:val="0093125C"/>
    <w:rsid w:val="009317B8"/>
    <w:rsid w:val="00931FA8"/>
    <w:rsid w:val="00933990"/>
    <w:rsid w:val="00933F94"/>
    <w:rsid w:val="00934383"/>
    <w:rsid w:val="00934760"/>
    <w:rsid w:val="00934819"/>
    <w:rsid w:val="009359AD"/>
    <w:rsid w:val="00935B93"/>
    <w:rsid w:val="009360D6"/>
    <w:rsid w:val="00936282"/>
    <w:rsid w:val="00936510"/>
    <w:rsid w:val="00936A6E"/>
    <w:rsid w:val="00936E5A"/>
    <w:rsid w:val="00937914"/>
    <w:rsid w:val="00937A71"/>
    <w:rsid w:val="00940663"/>
    <w:rsid w:val="00941336"/>
    <w:rsid w:val="0094188F"/>
    <w:rsid w:val="0094224A"/>
    <w:rsid w:val="0094264C"/>
    <w:rsid w:val="009437B3"/>
    <w:rsid w:val="00943920"/>
    <w:rsid w:val="009447C8"/>
    <w:rsid w:val="00944B00"/>
    <w:rsid w:val="00944CDF"/>
    <w:rsid w:val="00945476"/>
    <w:rsid w:val="00945DEB"/>
    <w:rsid w:val="00945E92"/>
    <w:rsid w:val="00946330"/>
    <w:rsid w:val="009466EE"/>
    <w:rsid w:val="00946757"/>
    <w:rsid w:val="0094698E"/>
    <w:rsid w:val="00947514"/>
    <w:rsid w:val="00950783"/>
    <w:rsid w:val="0095095F"/>
    <w:rsid w:val="009511A3"/>
    <w:rsid w:val="009524DC"/>
    <w:rsid w:val="00953172"/>
    <w:rsid w:val="00953B03"/>
    <w:rsid w:val="00953E6A"/>
    <w:rsid w:val="00955814"/>
    <w:rsid w:val="00955BB9"/>
    <w:rsid w:val="009562EB"/>
    <w:rsid w:val="009575E1"/>
    <w:rsid w:val="00957D8B"/>
    <w:rsid w:val="00960106"/>
    <w:rsid w:val="00960BC7"/>
    <w:rsid w:val="00961668"/>
    <w:rsid w:val="00961C31"/>
    <w:rsid w:val="00961F6F"/>
    <w:rsid w:val="00961FF3"/>
    <w:rsid w:val="00962129"/>
    <w:rsid w:val="009632C9"/>
    <w:rsid w:val="00963717"/>
    <w:rsid w:val="00963774"/>
    <w:rsid w:val="00963ED1"/>
    <w:rsid w:val="00964625"/>
    <w:rsid w:val="009649F1"/>
    <w:rsid w:val="00966591"/>
    <w:rsid w:val="009667EE"/>
    <w:rsid w:val="0096773D"/>
    <w:rsid w:val="009703D6"/>
    <w:rsid w:val="00971393"/>
    <w:rsid w:val="009720B6"/>
    <w:rsid w:val="00973008"/>
    <w:rsid w:val="0097316B"/>
    <w:rsid w:val="0097354A"/>
    <w:rsid w:val="00974964"/>
    <w:rsid w:val="00974B6B"/>
    <w:rsid w:val="00974FAA"/>
    <w:rsid w:val="0097507E"/>
    <w:rsid w:val="009750E8"/>
    <w:rsid w:val="00976D3E"/>
    <w:rsid w:val="00977184"/>
    <w:rsid w:val="0097718F"/>
    <w:rsid w:val="009802C9"/>
    <w:rsid w:val="00980983"/>
    <w:rsid w:val="00980DC1"/>
    <w:rsid w:val="00980E37"/>
    <w:rsid w:val="009812E9"/>
    <w:rsid w:val="0098161B"/>
    <w:rsid w:val="00982725"/>
    <w:rsid w:val="00982C38"/>
    <w:rsid w:val="00982F00"/>
    <w:rsid w:val="00983D32"/>
    <w:rsid w:val="00985A0A"/>
    <w:rsid w:val="00985ABF"/>
    <w:rsid w:val="00986BEB"/>
    <w:rsid w:val="009872B2"/>
    <w:rsid w:val="00990D95"/>
    <w:rsid w:val="00991685"/>
    <w:rsid w:val="00992153"/>
    <w:rsid w:val="009927FA"/>
    <w:rsid w:val="00994E9D"/>
    <w:rsid w:val="00994EFE"/>
    <w:rsid w:val="009956FF"/>
    <w:rsid w:val="0099634B"/>
    <w:rsid w:val="009967F2"/>
    <w:rsid w:val="00996DCC"/>
    <w:rsid w:val="009972AB"/>
    <w:rsid w:val="00997790"/>
    <w:rsid w:val="009A07DB"/>
    <w:rsid w:val="009A0A41"/>
    <w:rsid w:val="009A0BD7"/>
    <w:rsid w:val="009A10C1"/>
    <w:rsid w:val="009A15BA"/>
    <w:rsid w:val="009A2169"/>
    <w:rsid w:val="009A21F5"/>
    <w:rsid w:val="009A2FFD"/>
    <w:rsid w:val="009A3C9A"/>
    <w:rsid w:val="009A58AA"/>
    <w:rsid w:val="009A5CCB"/>
    <w:rsid w:val="009A5EDF"/>
    <w:rsid w:val="009A5FEB"/>
    <w:rsid w:val="009A6058"/>
    <w:rsid w:val="009A66D0"/>
    <w:rsid w:val="009A68EB"/>
    <w:rsid w:val="009A6CC0"/>
    <w:rsid w:val="009B01FC"/>
    <w:rsid w:val="009B06B6"/>
    <w:rsid w:val="009B104A"/>
    <w:rsid w:val="009B1BFE"/>
    <w:rsid w:val="009B2595"/>
    <w:rsid w:val="009B2B63"/>
    <w:rsid w:val="009B3A37"/>
    <w:rsid w:val="009B42E8"/>
    <w:rsid w:val="009B43A1"/>
    <w:rsid w:val="009B482C"/>
    <w:rsid w:val="009B4E12"/>
    <w:rsid w:val="009B5330"/>
    <w:rsid w:val="009B694B"/>
    <w:rsid w:val="009B6994"/>
    <w:rsid w:val="009B6F5E"/>
    <w:rsid w:val="009B7367"/>
    <w:rsid w:val="009B74D8"/>
    <w:rsid w:val="009C0468"/>
    <w:rsid w:val="009C0589"/>
    <w:rsid w:val="009C0B6C"/>
    <w:rsid w:val="009C1EA4"/>
    <w:rsid w:val="009C2DE9"/>
    <w:rsid w:val="009C2F78"/>
    <w:rsid w:val="009C33D1"/>
    <w:rsid w:val="009C3705"/>
    <w:rsid w:val="009C4CDC"/>
    <w:rsid w:val="009C619A"/>
    <w:rsid w:val="009C6313"/>
    <w:rsid w:val="009C747C"/>
    <w:rsid w:val="009C7BDB"/>
    <w:rsid w:val="009D05D2"/>
    <w:rsid w:val="009D0D70"/>
    <w:rsid w:val="009D1296"/>
    <w:rsid w:val="009D1611"/>
    <w:rsid w:val="009D2284"/>
    <w:rsid w:val="009D2EBD"/>
    <w:rsid w:val="009D3671"/>
    <w:rsid w:val="009D3E4D"/>
    <w:rsid w:val="009D3F76"/>
    <w:rsid w:val="009D5082"/>
    <w:rsid w:val="009D7CF4"/>
    <w:rsid w:val="009E0540"/>
    <w:rsid w:val="009E0EA2"/>
    <w:rsid w:val="009E10F6"/>
    <w:rsid w:val="009E16AF"/>
    <w:rsid w:val="009E214D"/>
    <w:rsid w:val="009E28EC"/>
    <w:rsid w:val="009E2D1F"/>
    <w:rsid w:val="009E315A"/>
    <w:rsid w:val="009E3AD5"/>
    <w:rsid w:val="009E4635"/>
    <w:rsid w:val="009E4841"/>
    <w:rsid w:val="009E5D2E"/>
    <w:rsid w:val="009E78E7"/>
    <w:rsid w:val="009E7983"/>
    <w:rsid w:val="009E7C4D"/>
    <w:rsid w:val="009F04DE"/>
    <w:rsid w:val="009F1BD2"/>
    <w:rsid w:val="009F2082"/>
    <w:rsid w:val="009F264F"/>
    <w:rsid w:val="009F2E31"/>
    <w:rsid w:val="009F3F1F"/>
    <w:rsid w:val="009F4FB3"/>
    <w:rsid w:val="009F538C"/>
    <w:rsid w:val="009F5E6A"/>
    <w:rsid w:val="009F71D1"/>
    <w:rsid w:val="009F7C0D"/>
    <w:rsid w:val="00A00221"/>
    <w:rsid w:val="00A00DD6"/>
    <w:rsid w:val="00A017BA"/>
    <w:rsid w:val="00A01EFD"/>
    <w:rsid w:val="00A026DF"/>
    <w:rsid w:val="00A03A5F"/>
    <w:rsid w:val="00A04100"/>
    <w:rsid w:val="00A04E10"/>
    <w:rsid w:val="00A05168"/>
    <w:rsid w:val="00A05917"/>
    <w:rsid w:val="00A05AC8"/>
    <w:rsid w:val="00A066DE"/>
    <w:rsid w:val="00A067A2"/>
    <w:rsid w:val="00A075C8"/>
    <w:rsid w:val="00A0774B"/>
    <w:rsid w:val="00A07CE7"/>
    <w:rsid w:val="00A10B65"/>
    <w:rsid w:val="00A10E38"/>
    <w:rsid w:val="00A10ECF"/>
    <w:rsid w:val="00A11337"/>
    <w:rsid w:val="00A1166A"/>
    <w:rsid w:val="00A11DB8"/>
    <w:rsid w:val="00A122F2"/>
    <w:rsid w:val="00A1372E"/>
    <w:rsid w:val="00A13822"/>
    <w:rsid w:val="00A13942"/>
    <w:rsid w:val="00A13BB7"/>
    <w:rsid w:val="00A13D1C"/>
    <w:rsid w:val="00A13D3F"/>
    <w:rsid w:val="00A141E5"/>
    <w:rsid w:val="00A14680"/>
    <w:rsid w:val="00A14734"/>
    <w:rsid w:val="00A15581"/>
    <w:rsid w:val="00A1593F"/>
    <w:rsid w:val="00A15B57"/>
    <w:rsid w:val="00A16764"/>
    <w:rsid w:val="00A16805"/>
    <w:rsid w:val="00A17C73"/>
    <w:rsid w:val="00A2017E"/>
    <w:rsid w:val="00A203E1"/>
    <w:rsid w:val="00A20684"/>
    <w:rsid w:val="00A20E31"/>
    <w:rsid w:val="00A21F92"/>
    <w:rsid w:val="00A22602"/>
    <w:rsid w:val="00A234B9"/>
    <w:rsid w:val="00A23DCC"/>
    <w:rsid w:val="00A2479E"/>
    <w:rsid w:val="00A24805"/>
    <w:rsid w:val="00A2536F"/>
    <w:rsid w:val="00A25A5D"/>
    <w:rsid w:val="00A263F4"/>
    <w:rsid w:val="00A26AF6"/>
    <w:rsid w:val="00A27CB1"/>
    <w:rsid w:val="00A30146"/>
    <w:rsid w:val="00A30294"/>
    <w:rsid w:val="00A30AF9"/>
    <w:rsid w:val="00A30DB3"/>
    <w:rsid w:val="00A3130D"/>
    <w:rsid w:val="00A32588"/>
    <w:rsid w:val="00A32CED"/>
    <w:rsid w:val="00A32D1D"/>
    <w:rsid w:val="00A335F9"/>
    <w:rsid w:val="00A34345"/>
    <w:rsid w:val="00A343EF"/>
    <w:rsid w:val="00A344A6"/>
    <w:rsid w:val="00A351FE"/>
    <w:rsid w:val="00A36FB3"/>
    <w:rsid w:val="00A373F9"/>
    <w:rsid w:val="00A379C3"/>
    <w:rsid w:val="00A37DC1"/>
    <w:rsid w:val="00A37FBE"/>
    <w:rsid w:val="00A403D7"/>
    <w:rsid w:val="00A403E9"/>
    <w:rsid w:val="00A406DC"/>
    <w:rsid w:val="00A40BCA"/>
    <w:rsid w:val="00A40F38"/>
    <w:rsid w:val="00A41119"/>
    <w:rsid w:val="00A41910"/>
    <w:rsid w:val="00A41B07"/>
    <w:rsid w:val="00A430FE"/>
    <w:rsid w:val="00A4347E"/>
    <w:rsid w:val="00A4381E"/>
    <w:rsid w:val="00A450DB"/>
    <w:rsid w:val="00A4557F"/>
    <w:rsid w:val="00A45AE8"/>
    <w:rsid w:val="00A4630E"/>
    <w:rsid w:val="00A4669A"/>
    <w:rsid w:val="00A46926"/>
    <w:rsid w:val="00A47470"/>
    <w:rsid w:val="00A47DE3"/>
    <w:rsid w:val="00A501F3"/>
    <w:rsid w:val="00A50F30"/>
    <w:rsid w:val="00A5227A"/>
    <w:rsid w:val="00A53F44"/>
    <w:rsid w:val="00A55A25"/>
    <w:rsid w:val="00A55A52"/>
    <w:rsid w:val="00A55AEC"/>
    <w:rsid w:val="00A55DE0"/>
    <w:rsid w:val="00A564C3"/>
    <w:rsid w:val="00A568C2"/>
    <w:rsid w:val="00A57804"/>
    <w:rsid w:val="00A57D42"/>
    <w:rsid w:val="00A6034C"/>
    <w:rsid w:val="00A606A4"/>
    <w:rsid w:val="00A60BBB"/>
    <w:rsid w:val="00A60C83"/>
    <w:rsid w:val="00A60DC8"/>
    <w:rsid w:val="00A60ED1"/>
    <w:rsid w:val="00A61213"/>
    <w:rsid w:val="00A617FD"/>
    <w:rsid w:val="00A6211B"/>
    <w:rsid w:val="00A62C53"/>
    <w:rsid w:val="00A62CF7"/>
    <w:rsid w:val="00A62F83"/>
    <w:rsid w:val="00A63A99"/>
    <w:rsid w:val="00A646E0"/>
    <w:rsid w:val="00A64CA7"/>
    <w:rsid w:val="00A65F1E"/>
    <w:rsid w:val="00A667C8"/>
    <w:rsid w:val="00A66B3C"/>
    <w:rsid w:val="00A674B8"/>
    <w:rsid w:val="00A70B4D"/>
    <w:rsid w:val="00A71A24"/>
    <w:rsid w:val="00A739AD"/>
    <w:rsid w:val="00A75817"/>
    <w:rsid w:val="00A75D65"/>
    <w:rsid w:val="00A77654"/>
    <w:rsid w:val="00A7785C"/>
    <w:rsid w:val="00A77D83"/>
    <w:rsid w:val="00A80964"/>
    <w:rsid w:val="00A8192C"/>
    <w:rsid w:val="00A822F2"/>
    <w:rsid w:val="00A824EF"/>
    <w:rsid w:val="00A83111"/>
    <w:rsid w:val="00A835B9"/>
    <w:rsid w:val="00A84047"/>
    <w:rsid w:val="00A849FC"/>
    <w:rsid w:val="00A84CEF"/>
    <w:rsid w:val="00A855AA"/>
    <w:rsid w:val="00A85982"/>
    <w:rsid w:val="00A8603A"/>
    <w:rsid w:val="00A866F8"/>
    <w:rsid w:val="00A86AC0"/>
    <w:rsid w:val="00A8786F"/>
    <w:rsid w:val="00A90123"/>
    <w:rsid w:val="00A9059C"/>
    <w:rsid w:val="00A9095D"/>
    <w:rsid w:val="00A919F3"/>
    <w:rsid w:val="00A934C1"/>
    <w:rsid w:val="00A9356F"/>
    <w:rsid w:val="00A94597"/>
    <w:rsid w:val="00A9483F"/>
    <w:rsid w:val="00A9586B"/>
    <w:rsid w:val="00A95941"/>
    <w:rsid w:val="00A962BB"/>
    <w:rsid w:val="00A96B69"/>
    <w:rsid w:val="00A97089"/>
    <w:rsid w:val="00A972FF"/>
    <w:rsid w:val="00A97735"/>
    <w:rsid w:val="00AA13AF"/>
    <w:rsid w:val="00AA1B59"/>
    <w:rsid w:val="00AA22FC"/>
    <w:rsid w:val="00AA242C"/>
    <w:rsid w:val="00AA2506"/>
    <w:rsid w:val="00AA3D8E"/>
    <w:rsid w:val="00AA3DE1"/>
    <w:rsid w:val="00AA4B08"/>
    <w:rsid w:val="00AA4C8E"/>
    <w:rsid w:val="00AA535D"/>
    <w:rsid w:val="00AA5652"/>
    <w:rsid w:val="00AA5D8E"/>
    <w:rsid w:val="00AA5F9F"/>
    <w:rsid w:val="00AA6914"/>
    <w:rsid w:val="00AA7217"/>
    <w:rsid w:val="00AB0683"/>
    <w:rsid w:val="00AB179B"/>
    <w:rsid w:val="00AB197C"/>
    <w:rsid w:val="00AB199E"/>
    <w:rsid w:val="00AB1DD9"/>
    <w:rsid w:val="00AB2A2C"/>
    <w:rsid w:val="00AB2DA9"/>
    <w:rsid w:val="00AB3262"/>
    <w:rsid w:val="00AB358C"/>
    <w:rsid w:val="00AB434B"/>
    <w:rsid w:val="00AB5052"/>
    <w:rsid w:val="00AB5560"/>
    <w:rsid w:val="00AB6998"/>
    <w:rsid w:val="00AB7D73"/>
    <w:rsid w:val="00AB7E8E"/>
    <w:rsid w:val="00AC1B42"/>
    <w:rsid w:val="00AC2B64"/>
    <w:rsid w:val="00AC2F1A"/>
    <w:rsid w:val="00AC38F1"/>
    <w:rsid w:val="00AC3A00"/>
    <w:rsid w:val="00AC49F6"/>
    <w:rsid w:val="00AC4F96"/>
    <w:rsid w:val="00AC58FC"/>
    <w:rsid w:val="00AC748A"/>
    <w:rsid w:val="00AC785A"/>
    <w:rsid w:val="00AC7D66"/>
    <w:rsid w:val="00AC7D76"/>
    <w:rsid w:val="00AC7DF4"/>
    <w:rsid w:val="00AD097E"/>
    <w:rsid w:val="00AD0B10"/>
    <w:rsid w:val="00AD0EA2"/>
    <w:rsid w:val="00AD352D"/>
    <w:rsid w:val="00AD3800"/>
    <w:rsid w:val="00AD39C0"/>
    <w:rsid w:val="00AD3D50"/>
    <w:rsid w:val="00AD3DD1"/>
    <w:rsid w:val="00AD4039"/>
    <w:rsid w:val="00AD4302"/>
    <w:rsid w:val="00AD48BE"/>
    <w:rsid w:val="00AD4A6E"/>
    <w:rsid w:val="00AD51BE"/>
    <w:rsid w:val="00AD5E69"/>
    <w:rsid w:val="00AD61ED"/>
    <w:rsid w:val="00AD6F0D"/>
    <w:rsid w:val="00AD71B5"/>
    <w:rsid w:val="00AD7583"/>
    <w:rsid w:val="00AD7602"/>
    <w:rsid w:val="00AD7AA1"/>
    <w:rsid w:val="00AE01D2"/>
    <w:rsid w:val="00AE0FEE"/>
    <w:rsid w:val="00AE16EC"/>
    <w:rsid w:val="00AE172C"/>
    <w:rsid w:val="00AE2EFA"/>
    <w:rsid w:val="00AE3298"/>
    <w:rsid w:val="00AE34E9"/>
    <w:rsid w:val="00AE4596"/>
    <w:rsid w:val="00AE4C8F"/>
    <w:rsid w:val="00AE5C52"/>
    <w:rsid w:val="00AE7686"/>
    <w:rsid w:val="00AE7ABF"/>
    <w:rsid w:val="00AE7B86"/>
    <w:rsid w:val="00AE7D0A"/>
    <w:rsid w:val="00AE7D7A"/>
    <w:rsid w:val="00AF0EC6"/>
    <w:rsid w:val="00AF1F1A"/>
    <w:rsid w:val="00AF1F32"/>
    <w:rsid w:val="00AF2305"/>
    <w:rsid w:val="00AF2A93"/>
    <w:rsid w:val="00AF311F"/>
    <w:rsid w:val="00AF39A6"/>
    <w:rsid w:val="00AF46AA"/>
    <w:rsid w:val="00AF4C0F"/>
    <w:rsid w:val="00AF5D98"/>
    <w:rsid w:val="00AF601E"/>
    <w:rsid w:val="00AF6166"/>
    <w:rsid w:val="00AF688D"/>
    <w:rsid w:val="00AF69A1"/>
    <w:rsid w:val="00AF70E5"/>
    <w:rsid w:val="00AF7307"/>
    <w:rsid w:val="00AF73A6"/>
    <w:rsid w:val="00AF7770"/>
    <w:rsid w:val="00B008ED"/>
    <w:rsid w:val="00B00AE6"/>
    <w:rsid w:val="00B00FB5"/>
    <w:rsid w:val="00B03A57"/>
    <w:rsid w:val="00B044C6"/>
    <w:rsid w:val="00B04E50"/>
    <w:rsid w:val="00B05144"/>
    <w:rsid w:val="00B053BE"/>
    <w:rsid w:val="00B05898"/>
    <w:rsid w:val="00B072D7"/>
    <w:rsid w:val="00B11FF2"/>
    <w:rsid w:val="00B1294D"/>
    <w:rsid w:val="00B12D78"/>
    <w:rsid w:val="00B13500"/>
    <w:rsid w:val="00B13546"/>
    <w:rsid w:val="00B146EF"/>
    <w:rsid w:val="00B15276"/>
    <w:rsid w:val="00B15865"/>
    <w:rsid w:val="00B15BE4"/>
    <w:rsid w:val="00B163EC"/>
    <w:rsid w:val="00B16484"/>
    <w:rsid w:val="00B17076"/>
    <w:rsid w:val="00B17D50"/>
    <w:rsid w:val="00B213B1"/>
    <w:rsid w:val="00B216A4"/>
    <w:rsid w:val="00B2222C"/>
    <w:rsid w:val="00B22779"/>
    <w:rsid w:val="00B228E1"/>
    <w:rsid w:val="00B2303C"/>
    <w:rsid w:val="00B239AC"/>
    <w:rsid w:val="00B24516"/>
    <w:rsid w:val="00B2492A"/>
    <w:rsid w:val="00B24F9D"/>
    <w:rsid w:val="00B25C92"/>
    <w:rsid w:val="00B26221"/>
    <w:rsid w:val="00B2699D"/>
    <w:rsid w:val="00B27A34"/>
    <w:rsid w:val="00B27DF7"/>
    <w:rsid w:val="00B30F07"/>
    <w:rsid w:val="00B3390F"/>
    <w:rsid w:val="00B339E6"/>
    <w:rsid w:val="00B3412C"/>
    <w:rsid w:val="00B34324"/>
    <w:rsid w:val="00B34F63"/>
    <w:rsid w:val="00B35670"/>
    <w:rsid w:val="00B36859"/>
    <w:rsid w:val="00B369C2"/>
    <w:rsid w:val="00B36CD9"/>
    <w:rsid w:val="00B36EF5"/>
    <w:rsid w:val="00B36F20"/>
    <w:rsid w:val="00B37C08"/>
    <w:rsid w:val="00B4012B"/>
    <w:rsid w:val="00B407B6"/>
    <w:rsid w:val="00B40EDB"/>
    <w:rsid w:val="00B41016"/>
    <w:rsid w:val="00B41339"/>
    <w:rsid w:val="00B4256B"/>
    <w:rsid w:val="00B427C4"/>
    <w:rsid w:val="00B43126"/>
    <w:rsid w:val="00B4328F"/>
    <w:rsid w:val="00B4413D"/>
    <w:rsid w:val="00B446D5"/>
    <w:rsid w:val="00B447CB"/>
    <w:rsid w:val="00B44FFC"/>
    <w:rsid w:val="00B453FC"/>
    <w:rsid w:val="00B46A95"/>
    <w:rsid w:val="00B507FD"/>
    <w:rsid w:val="00B51369"/>
    <w:rsid w:val="00B5210F"/>
    <w:rsid w:val="00B526CB"/>
    <w:rsid w:val="00B5275C"/>
    <w:rsid w:val="00B52C6E"/>
    <w:rsid w:val="00B52C9E"/>
    <w:rsid w:val="00B53A21"/>
    <w:rsid w:val="00B53B49"/>
    <w:rsid w:val="00B53D45"/>
    <w:rsid w:val="00B548FA"/>
    <w:rsid w:val="00B54A0A"/>
    <w:rsid w:val="00B563AB"/>
    <w:rsid w:val="00B56FF3"/>
    <w:rsid w:val="00B57AFD"/>
    <w:rsid w:val="00B57EA9"/>
    <w:rsid w:val="00B61662"/>
    <w:rsid w:val="00B61D39"/>
    <w:rsid w:val="00B61EB5"/>
    <w:rsid w:val="00B630C7"/>
    <w:rsid w:val="00B632B3"/>
    <w:rsid w:val="00B641F8"/>
    <w:rsid w:val="00B64399"/>
    <w:rsid w:val="00B643C3"/>
    <w:rsid w:val="00B64915"/>
    <w:rsid w:val="00B668F8"/>
    <w:rsid w:val="00B67281"/>
    <w:rsid w:val="00B67B2F"/>
    <w:rsid w:val="00B70355"/>
    <w:rsid w:val="00B704E1"/>
    <w:rsid w:val="00B705FB"/>
    <w:rsid w:val="00B71C16"/>
    <w:rsid w:val="00B7228A"/>
    <w:rsid w:val="00B72482"/>
    <w:rsid w:val="00B72552"/>
    <w:rsid w:val="00B728E0"/>
    <w:rsid w:val="00B72BCC"/>
    <w:rsid w:val="00B734D9"/>
    <w:rsid w:val="00B73AB8"/>
    <w:rsid w:val="00B74038"/>
    <w:rsid w:val="00B74AAF"/>
    <w:rsid w:val="00B753D2"/>
    <w:rsid w:val="00B75CDF"/>
    <w:rsid w:val="00B7662E"/>
    <w:rsid w:val="00B77B15"/>
    <w:rsid w:val="00B80C5C"/>
    <w:rsid w:val="00B814D1"/>
    <w:rsid w:val="00B82086"/>
    <w:rsid w:val="00B82198"/>
    <w:rsid w:val="00B83CB5"/>
    <w:rsid w:val="00B84D4B"/>
    <w:rsid w:val="00B84ECC"/>
    <w:rsid w:val="00B85EA8"/>
    <w:rsid w:val="00B85F06"/>
    <w:rsid w:val="00B86200"/>
    <w:rsid w:val="00B86E6D"/>
    <w:rsid w:val="00B90C80"/>
    <w:rsid w:val="00B90EFF"/>
    <w:rsid w:val="00B91263"/>
    <w:rsid w:val="00B917E3"/>
    <w:rsid w:val="00B92087"/>
    <w:rsid w:val="00B926C1"/>
    <w:rsid w:val="00B927B4"/>
    <w:rsid w:val="00B927E5"/>
    <w:rsid w:val="00B95331"/>
    <w:rsid w:val="00B95D13"/>
    <w:rsid w:val="00B96D67"/>
    <w:rsid w:val="00B974B9"/>
    <w:rsid w:val="00B975F3"/>
    <w:rsid w:val="00B9777C"/>
    <w:rsid w:val="00BA010C"/>
    <w:rsid w:val="00BA1852"/>
    <w:rsid w:val="00BA18DC"/>
    <w:rsid w:val="00BA1E11"/>
    <w:rsid w:val="00BA3414"/>
    <w:rsid w:val="00BA3E38"/>
    <w:rsid w:val="00BA3F08"/>
    <w:rsid w:val="00BA3F46"/>
    <w:rsid w:val="00BA42A9"/>
    <w:rsid w:val="00BA68F2"/>
    <w:rsid w:val="00BA7BA3"/>
    <w:rsid w:val="00BB003D"/>
    <w:rsid w:val="00BB0345"/>
    <w:rsid w:val="00BB09C1"/>
    <w:rsid w:val="00BB2E26"/>
    <w:rsid w:val="00BB3B42"/>
    <w:rsid w:val="00BB413B"/>
    <w:rsid w:val="00BB4737"/>
    <w:rsid w:val="00BB50E9"/>
    <w:rsid w:val="00BB69A5"/>
    <w:rsid w:val="00BB6E96"/>
    <w:rsid w:val="00BB72BF"/>
    <w:rsid w:val="00BB755B"/>
    <w:rsid w:val="00BB785C"/>
    <w:rsid w:val="00BB7F72"/>
    <w:rsid w:val="00BC088D"/>
    <w:rsid w:val="00BC0926"/>
    <w:rsid w:val="00BC0EFB"/>
    <w:rsid w:val="00BC148D"/>
    <w:rsid w:val="00BC1C54"/>
    <w:rsid w:val="00BC21EE"/>
    <w:rsid w:val="00BC25EF"/>
    <w:rsid w:val="00BC2D00"/>
    <w:rsid w:val="00BC2F4E"/>
    <w:rsid w:val="00BC32C3"/>
    <w:rsid w:val="00BC32FD"/>
    <w:rsid w:val="00BC34C8"/>
    <w:rsid w:val="00BC36CB"/>
    <w:rsid w:val="00BC4B56"/>
    <w:rsid w:val="00BC6346"/>
    <w:rsid w:val="00BC6360"/>
    <w:rsid w:val="00BC65D8"/>
    <w:rsid w:val="00BD1415"/>
    <w:rsid w:val="00BD14F6"/>
    <w:rsid w:val="00BD215E"/>
    <w:rsid w:val="00BD29F7"/>
    <w:rsid w:val="00BD316B"/>
    <w:rsid w:val="00BD34D0"/>
    <w:rsid w:val="00BD366D"/>
    <w:rsid w:val="00BD4653"/>
    <w:rsid w:val="00BD5227"/>
    <w:rsid w:val="00BD560B"/>
    <w:rsid w:val="00BD636B"/>
    <w:rsid w:val="00BD637C"/>
    <w:rsid w:val="00BD6475"/>
    <w:rsid w:val="00BD7086"/>
    <w:rsid w:val="00BE2499"/>
    <w:rsid w:val="00BE26EE"/>
    <w:rsid w:val="00BE3201"/>
    <w:rsid w:val="00BE3A5D"/>
    <w:rsid w:val="00BE3BEB"/>
    <w:rsid w:val="00BE4273"/>
    <w:rsid w:val="00BE53DA"/>
    <w:rsid w:val="00BE5C95"/>
    <w:rsid w:val="00BE5EA3"/>
    <w:rsid w:val="00BE65B0"/>
    <w:rsid w:val="00BE6721"/>
    <w:rsid w:val="00BE6B63"/>
    <w:rsid w:val="00BE7159"/>
    <w:rsid w:val="00BE79BD"/>
    <w:rsid w:val="00BF0271"/>
    <w:rsid w:val="00BF06DD"/>
    <w:rsid w:val="00BF0E9C"/>
    <w:rsid w:val="00BF12C4"/>
    <w:rsid w:val="00BF2C0E"/>
    <w:rsid w:val="00BF2DEB"/>
    <w:rsid w:val="00BF304D"/>
    <w:rsid w:val="00BF40FD"/>
    <w:rsid w:val="00BF4A21"/>
    <w:rsid w:val="00BF5483"/>
    <w:rsid w:val="00BF5E81"/>
    <w:rsid w:val="00BF65CA"/>
    <w:rsid w:val="00BF6ED2"/>
    <w:rsid w:val="00C008C0"/>
    <w:rsid w:val="00C00949"/>
    <w:rsid w:val="00C00A12"/>
    <w:rsid w:val="00C01123"/>
    <w:rsid w:val="00C01623"/>
    <w:rsid w:val="00C01744"/>
    <w:rsid w:val="00C023C3"/>
    <w:rsid w:val="00C03A44"/>
    <w:rsid w:val="00C0626D"/>
    <w:rsid w:val="00C06ABC"/>
    <w:rsid w:val="00C06F95"/>
    <w:rsid w:val="00C07D15"/>
    <w:rsid w:val="00C07F29"/>
    <w:rsid w:val="00C10B30"/>
    <w:rsid w:val="00C1110D"/>
    <w:rsid w:val="00C11A50"/>
    <w:rsid w:val="00C127B1"/>
    <w:rsid w:val="00C134B7"/>
    <w:rsid w:val="00C14942"/>
    <w:rsid w:val="00C15E87"/>
    <w:rsid w:val="00C168F3"/>
    <w:rsid w:val="00C1697E"/>
    <w:rsid w:val="00C16A1B"/>
    <w:rsid w:val="00C17277"/>
    <w:rsid w:val="00C175D0"/>
    <w:rsid w:val="00C20534"/>
    <w:rsid w:val="00C2096B"/>
    <w:rsid w:val="00C20F41"/>
    <w:rsid w:val="00C21A8D"/>
    <w:rsid w:val="00C21E2C"/>
    <w:rsid w:val="00C22106"/>
    <w:rsid w:val="00C224E5"/>
    <w:rsid w:val="00C22654"/>
    <w:rsid w:val="00C22B3C"/>
    <w:rsid w:val="00C22CED"/>
    <w:rsid w:val="00C22D8B"/>
    <w:rsid w:val="00C24DB0"/>
    <w:rsid w:val="00C2504D"/>
    <w:rsid w:val="00C253CF"/>
    <w:rsid w:val="00C25DAB"/>
    <w:rsid w:val="00C269AB"/>
    <w:rsid w:val="00C26B1C"/>
    <w:rsid w:val="00C26FE8"/>
    <w:rsid w:val="00C27477"/>
    <w:rsid w:val="00C274AA"/>
    <w:rsid w:val="00C31CE3"/>
    <w:rsid w:val="00C31F1C"/>
    <w:rsid w:val="00C324C5"/>
    <w:rsid w:val="00C325AC"/>
    <w:rsid w:val="00C3269B"/>
    <w:rsid w:val="00C32965"/>
    <w:rsid w:val="00C33126"/>
    <w:rsid w:val="00C3426D"/>
    <w:rsid w:val="00C342EB"/>
    <w:rsid w:val="00C34839"/>
    <w:rsid w:val="00C34B7A"/>
    <w:rsid w:val="00C35477"/>
    <w:rsid w:val="00C37C80"/>
    <w:rsid w:val="00C40EB6"/>
    <w:rsid w:val="00C41401"/>
    <w:rsid w:val="00C41606"/>
    <w:rsid w:val="00C41B30"/>
    <w:rsid w:val="00C41CC0"/>
    <w:rsid w:val="00C420EA"/>
    <w:rsid w:val="00C4297E"/>
    <w:rsid w:val="00C42BBD"/>
    <w:rsid w:val="00C43437"/>
    <w:rsid w:val="00C4347D"/>
    <w:rsid w:val="00C43D49"/>
    <w:rsid w:val="00C44ADA"/>
    <w:rsid w:val="00C453DA"/>
    <w:rsid w:val="00C45429"/>
    <w:rsid w:val="00C46060"/>
    <w:rsid w:val="00C46253"/>
    <w:rsid w:val="00C46FE9"/>
    <w:rsid w:val="00C47A17"/>
    <w:rsid w:val="00C47E9A"/>
    <w:rsid w:val="00C505FE"/>
    <w:rsid w:val="00C50711"/>
    <w:rsid w:val="00C517A6"/>
    <w:rsid w:val="00C523C6"/>
    <w:rsid w:val="00C525BA"/>
    <w:rsid w:val="00C53065"/>
    <w:rsid w:val="00C54204"/>
    <w:rsid w:val="00C54766"/>
    <w:rsid w:val="00C55300"/>
    <w:rsid w:val="00C553EC"/>
    <w:rsid w:val="00C555F7"/>
    <w:rsid w:val="00C558D6"/>
    <w:rsid w:val="00C55CA5"/>
    <w:rsid w:val="00C55EF8"/>
    <w:rsid w:val="00C561AF"/>
    <w:rsid w:val="00C563A2"/>
    <w:rsid w:val="00C56446"/>
    <w:rsid w:val="00C56510"/>
    <w:rsid w:val="00C57965"/>
    <w:rsid w:val="00C57B7F"/>
    <w:rsid w:val="00C57CCA"/>
    <w:rsid w:val="00C60863"/>
    <w:rsid w:val="00C61281"/>
    <w:rsid w:val="00C6285D"/>
    <w:rsid w:val="00C63217"/>
    <w:rsid w:val="00C639E3"/>
    <w:rsid w:val="00C640E3"/>
    <w:rsid w:val="00C664BE"/>
    <w:rsid w:val="00C67830"/>
    <w:rsid w:val="00C701E6"/>
    <w:rsid w:val="00C70563"/>
    <w:rsid w:val="00C7076F"/>
    <w:rsid w:val="00C71105"/>
    <w:rsid w:val="00C71292"/>
    <w:rsid w:val="00C71484"/>
    <w:rsid w:val="00C716CA"/>
    <w:rsid w:val="00C72305"/>
    <w:rsid w:val="00C72FCA"/>
    <w:rsid w:val="00C735A7"/>
    <w:rsid w:val="00C73820"/>
    <w:rsid w:val="00C74F03"/>
    <w:rsid w:val="00C7513C"/>
    <w:rsid w:val="00C7518A"/>
    <w:rsid w:val="00C7559B"/>
    <w:rsid w:val="00C7608B"/>
    <w:rsid w:val="00C76B56"/>
    <w:rsid w:val="00C76FAC"/>
    <w:rsid w:val="00C7731B"/>
    <w:rsid w:val="00C7761A"/>
    <w:rsid w:val="00C7788A"/>
    <w:rsid w:val="00C778A7"/>
    <w:rsid w:val="00C77D05"/>
    <w:rsid w:val="00C80B3C"/>
    <w:rsid w:val="00C80E28"/>
    <w:rsid w:val="00C81F54"/>
    <w:rsid w:val="00C82C2C"/>
    <w:rsid w:val="00C8372B"/>
    <w:rsid w:val="00C83B87"/>
    <w:rsid w:val="00C8455A"/>
    <w:rsid w:val="00C8566F"/>
    <w:rsid w:val="00C859AE"/>
    <w:rsid w:val="00C85B01"/>
    <w:rsid w:val="00C87C43"/>
    <w:rsid w:val="00C90253"/>
    <w:rsid w:val="00C914E5"/>
    <w:rsid w:val="00C9188A"/>
    <w:rsid w:val="00C9320A"/>
    <w:rsid w:val="00C93B0E"/>
    <w:rsid w:val="00C940CE"/>
    <w:rsid w:val="00C94292"/>
    <w:rsid w:val="00C943D7"/>
    <w:rsid w:val="00C946A4"/>
    <w:rsid w:val="00C95453"/>
    <w:rsid w:val="00C959A0"/>
    <w:rsid w:val="00C964F4"/>
    <w:rsid w:val="00C96666"/>
    <w:rsid w:val="00C978E6"/>
    <w:rsid w:val="00C979D0"/>
    <w:rsid w:val="00CA0687"/>
    <w:rsid w:val="00CA1E84"/>
    <w:rsid w:val="00CA2ADE"/>
    <w:rsid w:val="00CA2B7D"/>
    <w:rsid w:val="00CA410E"/>
    <w:rsid w:val="00CA447E"/>
    <w:rsid w:val="00CA47E3"/>
    <w:rsid w:val="00CA48CB"/>
    <w:rsid w:val="00CA4D6B"/>
    <w:rsid w:val="00CA670F"/>
    <w:rsid w:val="00CA730A"/>
    <w:rsid w:val="00CB0CDF"/>
    <w:rsid w:val="00CB0E40"/>
    <w:rsid w:val="00CB0FE7"/>
    <w:rsid w:val="00CB1DDE"/>
    <w:rsid w:val="00CB2615"/>
    <w:rsid w:val="00CB27FD"/>
    <w:rsid w:val="00CB3FF0"/>
    <w:rsid w:val="00CB4EBC"/>
    <w:rsid w:val="00CB528D"/>
    <w:rsid w:val="00CB5690"/>
    <w:rsid w:val="00CB635C"/>
    <w:rsid w:val="00CB717D"/>
    <w:rsid w:val="00CB71D9"/>
    <w:rsid w:val="00CB7321"/>
    <w:rsid w:val="00CB7C25"/>
    <w:rsid w:val="00CB7E0A"/>
    <w:rsid w:val="00CC1773"/>
    <w:rsid w:val="00CC184B"/>
    <w:rsid w:val="00CC1A0C"/>
    <w:rsid w:val="00CC23A3"/>
    <w:rsid w:val="00CC2836"/>
    <w:rsid w:val="00CC3027"/>
    <w:rsid w:val="00CC390D"/>
    <w:rsid w:val="00CC421B"/>
    <w:rsid w:val="00CC43AC"/>
    <w:rsid w:val="00CC4507"/>
    <w:rsid w:val="00CC4F9B"/>
    <w:rsid w:val="00CC6CEE"/>
    <w:rsid w:val="00CC71D5"/>
    <w:rsid w:val="00CD1BC6"/>
    <w:rsid w:val="00CD222E"/>
    <w:rsid w:val="00CD27EE"/>
    <w:rsid w:val="00CD3E58"/>
    <w:rsid w:val="00CD47C2"/>
    <w:rsid w:val="00CD55CA"/>
    <w:rsid w:val="00CD5EE9"/>
    <w:rsid w:val="00CE03A0"/>
    <w:rsid w:val="00CE0585"/>
    <w:rsid w:val="00CE0A4F"/>
    <w:rsid w:val="00CE10BD"/>
    <w:rsid w:val="00CE1212"/>
    <w:rsid w:val="00CE1F17"/>
    <w:rsid w:val="00CE3C6A"/>
    <w:rsid w:val="00CE40EF"/>
    <w:rsid w:val="00CE567F"/>
    <w:rsid w:val="00CE649C"/>
    <w:rsid w:val="00CE65A1"/>
    <w:rsid w:val="00CE7451"/>
    <w:rsid w:val="00CE7F13"/>
    <w:rsid w:val="00CF0822"/>
    <w:rsid w:val="00CF08B4"/>
    <w:rsid w:val="00CF13BF"/>
    <w:rsid w:val="00CF16DE"/>
    <w:rsid w:val="00CF19E3"/>
    <w:rsid w:val="00CF21A1"/>
    <w:rsid w:val="00CF21A6"/>
    <w:rsid w:val="00CF26BF"/>
    <w:rsid w:val="00CF2DA3"/>
    <w:rsid w:val="00CF3A30"/>
    <w:rsid w:val="00CF3C7E"/>
    <w:rsid w:val="00CF3E6D"/>
    <w:rsid w:val="00CF3FB2"/>
    <w:rsid w:val="00CF55A3"/>
    <w:rsid w:val="00CF65D6"/>
    <w:rsid w:val="00CF66A7"/>
    <w:rsid w:val="00CF6C39"/>
    <w:rsid w:val="00CF73CE"/>
    <w:rsid w:val="00CF762F"/>
    <w:rsid w:val="00D004BE"/>
    <w:rsid w:val="00D0070A"/>
    <w:rsid w:val="00D00852"/>
    <w:rsid w:val="00D00878"/>
    <w:rsid w:val="00D00DBC"/>
    <w:rsid w:val="00D014FF"/>
    <w:rsid w:val="00D01FC9"/>
    <w:rsid w:val="00D024E8"/>
    <w:rsid w:val="00D02593"/>
    <w:rsid w:val="00D027D4"/>
    <w:rsid w:val="00D03586"/>
    <w:rsid w:val="00D03914"/>
    <w:rsid w:val="00D03B28"/>
    <w:rsid w:val="00D056E7"/>
    <w:rsid w:val="00D05726"/>
    <w:rsid w:val="00D064E9"/>
    <w:rsid w:val="00D07018"/>
    <w:rsid w:val="00D07479"/>
    <w:rsid w:val="00D075C6"/>
    <w:rsid w:val="00D10A3A"/>
    <w:rsid w:val="00D10EF7"/>
    <w:rsid w:val="00D11C3A"/>
    <w:rsid w:val="00D1427C"/>
    <w:rsid w:val="00D1443C"/>
    <w:rsid w:val="00D14959"/>
    <w:rsid w:val="00D14FB9"/>
    <w:rsid w:val="00D1561D"/>
    <w:rsid w:val="00D1564F"/>
    <w:rsid w:val="00D1659E"/>
    <w:rsid w:val="00D1668C"/>
    <w:rsid w:val="00D16E81"/>
    <w:rsid w:val="00D178C8"/>
    <w:rsid w:val="00D21239"/>
    <w:rsid w:val="00D213E9"/>
    <w:rsid w:val="00D2202A"/>
    <w:rsid w:val="00D2518F"/>
    <w:rsid w:val="00D25465"/>
    <w:rsid w:val="00D25D37"/>
    <w:rsid w:val="00D26FE7"/>
    <w:rsid w:val="00D272C2"/>
    <w:rsid w:val="00D308CA"/>
    <w:rsid w:val="00D30E72"/>
    <w:rsid w:val="00D3111D"/>
    <w:rsid w:val="00D33B6C"/>
    <w:rsid w:val="00D33E2D"/>
    <w:rsid w:val="00D3454C"/>
    <w:rsid w:val="00D35338"/>
    <w:rsid w:val="00D35E45"/>
    <w:rsid w:val="00D368E2"/>
    <w:rsid w:val="00D37615"/>
    <w:rsid w:val="00D37F45"/>
    <w:rsid w:val="00D40573"/>
    <w:rsid w:val="00D40D75"/>
    <w:rsid w:val="00D40E06"/>
    <w:rsid w:val="00D4105E"/>
    <w:rsid w:val="00D41566"/>
    <w:rsid w:val="00D41DED"/>
    <w:rsid w:val="00D424B2"/>
    <w:rsid w:val="00D42BBA"/>
    <w:rsid w:val="00D42E24"/>
    <w:rsid w:val="00D43A03"/>
    <w:rsid w:val="00D44060"/>
    <w:rsid w:val="00D44A44"/>
    <w:rsid w:val="00D45099"/>
    <w:rsid w:val="00D453C4"/>
    <w:rsid w:val="00D45DD3"/>
    <w:rsid w:val="00D46107"/>
    <w:rsid w:val="00D46939"/>
    <w:rsid w:val="00D47427"/>
    <w:rsid w:val="00D4743A"/>
    <w:rsid w:val="00D50854"/>
    <w:rsid w:val="00D50899"/>
    <w:rsid w:val="00D50F86"/>
    <w:rsid w:val="00D5107C"/>
    <w:rsid w:val="00D5127F"/>
    <w:rsid w:val="00D51A69"/>
    <w:rsid w:val="00D52C57"/>
    <w:rsid w:val="00D52E04"/>
    <w:rsid w:val="00D54158"/>
    <w:rsid w:val="00D54D9A"/>
    <w:rsid w:val="00D561E1"/>
    <w:rsid w:val="00D5688B"/>
    <w:rsid w:val="00D56D77"/>
    <w:rsid w:val="00D57A80"/>
    <w:rsid w:val="00D60DAA"/>
    <w:rsid w:val="00D61669"/>
    <w:rsid w:val="00D61E67"/>
    <w:rsid w:val="00D62251"/>
    <w:rsid w:val="00D62AA8"/>
    <w:rsid w:val="00D63D53"/>
    <w:rsid w:val="00D647DC"/>
    <w:rsid w:val="00D64AA6"/>
    <w:rsid w:val="00D6519E"/>
    <w:rsid w:val="00D665BF"/>
    <w:rsid w:val="00D665DC"/>
    <w:rsid w:val="00D66FDA"/>
    <w:rsid w:val="00D70867"/>
    <w:rsid w:val="00D710D0"/>
    <w:rsid w:val="00D72181"/>
    <w:rsid w:val="00D72A64"/>
    <w:rsid w:val="00D72BF2"/>
    <w:rsid w:val="00D7306C"/>
    <w:rsid w:val="00D7396F"/>
    <w:rsid w:val="00D7419C"/>
    <w:rsid w:val="00D7507E"/>
    <w:rsid w:val="00D7523E"/>
    <w:rsid w:val="00D75D6B"/>
    <w:rsid w:val="00D76A33"/>
    <w:rsid w:val="00D76CFB"/>
    <w:rsid w:val="00D76D9F"/>
    <w:rsid w:val="00D7704B"/>
    <w:rsid w:val="00D80F1E"/>
    <w:rsid w:val="00D81AF1"/>
    <w:rsid w:val="00D81E2D"/>
    <w:rsid w:val="00D81ED5"/>
    <w:rsid w:val="00D82A86"/>
    <w:rsid w:val="00D83856"/>
    <w:rsid w:val="00D83C59"/>
    <w:rsid w:val="00D843D7"/>
    <w:rsid w:val="00D84609"/>
    <w:rsid w:val="00D84E4B"/>
    <w:rsid w:val="00D863C1"/>
    <w:rsid w:val="00D86650"/>
    <w:rsid w:val="00D86679"/>
    <w:rsid w:val="00D8728A"/>
    <w:rsid w:val="00D872D3"/>
    <w:rsid w:val="00D87408"/>
    <w:rsid w:val="00D87AA5"/>
    <w:rsid w:val="00D90345"/>
    <w:rsid w:val="00D9065D"/>
    <w:rsid w:val="00D906AD"/>
    <w:rsid w:val="00D91220"/>
    <w:rsid w:val="00D91525"/>
    <w:rsid w:val="00D921C6"/>
    <w:rsid w:val="00D922FB"/>
    <w:rsid w:val="00D92307"/>
    <w:rsid w:val="00D92A4E"/>
    <w:rsid w:val="00D9374C"/>
    <w:rsid w:val="00D93810"/>
    <w:rsid w:val="00D95832"/>
    <w:rsid w:val="00D95B7C"/>
    <w:rsid w:val="00D95BB2"/>
    <w:rsid w:val="00D97D5E"/>
    <w:rsid w:val="00DA0426"/>
    <w:rsid w:val="00DA0590"/>
    <w:rsid w:val="00DA1733"/>
    <w:rsid w:val="00DA4017"/>
    <w:rsid w:val="00DA4091"/>
    <w:rsid w:val="00DA4D7E"/>
    <w:rsid w:val="00DA5909"/>
    <w:rsid w:val="00DA5ADF"/>
    <w:rsid w:val="00DA5B94"/>
    <w:rsid w:val="00DA5D1D"/>
    <w:rsid w:val="00DA65CD"/>
    <w:rsid w:val="00DA72DC"/>
    <w:rsid w:val="00DA7701"/>
    <w:rsid w:val="00DA77ED"/>
    <w:rsid w:val="00DB028F"/>
    <w:rsid w:val="00DB10F3"/>
    <w:rsid w:val="00DB16ED"/>
    <w:rsid w:val="00DB1B4E"/>
    <w:rsid w:val="00DB4C94"/>
    <w:rsid w:val="00DB5069"/>
    <w:rsid w:val="00DB5C76"/>
    <w:rsid w:val="00DB6E02"/>
    <w:rsid w:val="00DB6EF8"/>
    <w:rsid w:val="00DB72DC"/>
    <w:rsid w:val="00DB7ED9"/>
    <w:rsid w:val="00DC0159"/>
    <w:rsid w:val="00DC0500"/>
    <w:rsid w:val="00DC0B62"/>
    <w:rsid w:val="00DC2796"/>
    <w:rsid w:val="00DC3054"/>
    <w:rsid w:val="00DC3077"/>
    <w:rsid w:val="00DC35D0"/>
    <w:rsid w:val="00DC3FF8"/>
    <w:rsid w:val="00DC46F3"/>
    <w:rsid w:val="00DC4908"/>
    <w:rsid w:val="00DC4CC0"/>
    <w:rsid w:val="00DC5090"/>
    <w:rsid w:val="00DC546E"/>
    <w:rsid w:val="00DC6052"/>
    <w:rsid w:val="00DC7074"/>
    <w:rsid w:val="00DD028B"/>
    <w:rsid w:val="00DD0572"/>
    <w:rsid w:val="00DD14D1"/>
    <w:rsid w:val="00DD1675"/>
    <w:rsid w:val="00DD1854"/>
    <w:rsid w:val="00DD1FE4"/>
    <w:rsid w:val="00DD273C"/>
    <w:rsid w:val="00DD2B27"/>
    <w:rsid w:val="00DD2F32"/>
    <w:rsid w:val="00DD3834"/>
    <w:rsid w:val="00DD3C0E"/>
    <w:rsid w:val="00DD44C9"/>
    <w:rsid w:val="00DD46EB"/>
    <w:rsid w:val="00DD4DFE"/>
    <w:rsid w:val="00DD51D2"/>
    <w:rsid w:val="00DD59FB"/>
    <w:rsid w:val="00DD6559"/>
    <w:rsid w:val="00DD69DD"/>
    <w:rsid w:val="00DD6B49"/>
    <w:rsid w:val="00DD6D90"/>
    <w:rsid w:val="00DD6F8D"/>
    <w:rsid w:val="00DD7076"/>
    <w:rsid w:val="00DD7210"/>
    <w:rsid w:val="00DD776A"/>
    <w:rsid w:val="00DD79AE"/>
    <w:rsid w:val="00DD7E17"/>
    <w:rsid w:val="00DE081E"/>
    <w:rsid w:val="00DE257B"/>
    <w:rsid w:val="00DE261E"/>
    <w:rsid w:val="00DE35DB"/>
    <w:rsid w:val="00DE3B69"/>
    <w:rsid w:val="00DE4E8D"/>
    <w:rsid w:val="00DE603E"/>
    <w:rsid w:val="00DE6422"/>
    <w:rsid w:val="00DE710F"/>
    <w:rsid w:val="00DE7144"/>
    <w:rsid w:val="00DE7DBA"/>
    <w:rsid w:val="00DF01B9"/>
    <w:rsid w:val="00DF04EE"/>
    <w:rsid w:val="00DF29C7"/>
    <w:rsid w:val="00DF2FE5"/>
    <w:rsid w:val="00DF31DC"/>
    <w:rsid w:val="00DF3569"/>
    <w:rsid w:val="00DF5F67"/>
    <w:rsid w:val="00DF67AC"/>
    <w:rsid w:val="00DF6CF9"/>
    <w:rsid w:val="00E001C3"/>
    <w:rsid w:val="00E0054D"/>
    <w:rsid w:val="00E01EBC"/>
    <w:rsid w:val="00E03B9D"/>
    <w:rsid w:val="00E03EA4"/>
    <w:rsid w:val="00E040EB"/>
    <w:rsid w:val="00E0413E"/>
    <w:rsid w:val="00E04A14"/>
    <w:rsid w:val="00E04F58"/>
    <w:rsid w:val="00E05157"/>
    <w:rsid w:val="00E05185"/>
    <w:rsid w:val="00E05524"/>
    <w:rsid w:val="00E0564D"/>
    <w:rsid w:val="00E05C49"/>
    <w:rsid w:val="00E05DAB"/>
    <w:rsid w:val="00E07A46"/>
    <w:rsid w:val="00E10740"/>
    <w:rsid w:val="00E10746"/>
    <w:rsid w:val="00E114C1"/>
    <w:rsid w:val="00E11DF3"/>
    <w:rsid w:val="00E12377"/>
    <w:rsid w:val="00E130C2"/>
    <w:rsid w:val="00E13193"/>
    <w:rsid w:val="00E1322D"/>
    <w:rsid w:val="00E13CCF"/>
    <w:rsid w:val="00E141AE"/>
    <w:rsid w:val="00E1424E"/>
    <w:rsid w:val="00E1488E"/>
    <w:rsid w:val="00E15123"/>
    <w:rsid w:val="00E151C6"/>
    <w:rsid w:val="00E153A7"/>
    <w:rsid w:val="00E164A3"/>
    <w:rsid w:val="00E1655A"/>
    <w:rsid w:val="00E16895"/>
    <w:rsid w:val="00E1778A"/>
    <w:rsid w:val="00E20FB4"/>
    <w:rsid w:val="00E216A6"/>
    <w:rsid w:val="00E22BEB"/>
    <w:rsid w:val="00E23088"/>
    <w:rsid w:val="00E24073"/>
    <w:rsid w:val="00E24C63"/>
    <w:rsid w:val="00E2569F"/>
    <w:rsid w:val="00E25967"/>
    <w:rsid w:val="00E2624F"/>
    <w:rsid w:val="00E2749E"/>
    <w:rsid w:val="00E318AF"/>
    <w:rsid w:val="00E3273D"/>
    <w:rsid w:val="00E329A8"/>
    <w:rsid w:val="00E332F7"/>
    <w:rsid w:val="00E33A9D"/>
    <w:rsid w:val="00E34242"/>
    <w:rsid w:val="00E343F5"/>
    <w:rsid w:val="00E35A02"/>
    <w:rsid w:val="00E35B18"/>
    <w:rsid w:val="00E36235"/>
    <w:rsid w:val="00E36664"/>
    <w:rsid w:val="00E3699A"/>
    <w:rsid w:val="00E36F79"/>
    <w:rsid w:val="00E374E0"/>
    <w:rsid w:val="00E40856"/>
    <w:rsid w:val="00E42420"/>
    <w:rsid w:val="00E43D33"/>
    <w:rsid w:val="00E43E85"/>
    <w:rsid w:val="00E450FA"/>
    <w:rsid w:val="00E47430"/>
    <w:rsid w:val="00E4775F"/>
    <w:rsid w:val="00E47BD2"/>
    <w:rsid w:val="00E502C5"/>
    <w:rsid w:val="00E50484"/>
    <w:rsid w:val="00E510C6"/>
    <w:rsid w:val="00E516F4"/>
    <w:rsid w:val="00E519B5"/>
    <w:rsid w:val="00E51BC4"/>
    <w:rsid w:val="00E523F8"/>
    <w:rsid w:val="00E52589"/>
    <w:rsid w:val="00E526D5"/>
    <w:rsid w:val="00E53F8E"/>
    <w:rsid w:val="00E5430E"/>
    <w:rsid w:val="00E54C37"/>
    <w:rsid w:val="00E5532E"/>
    <w:rsid w:val="00E5629A"/>
    <w:rsid w:val="00E562F1"/>
    <w:rsid w:val="00E5660D"/>
    <w:rsid w:val="00E56BCB"/>
    <w:rsid w:val="00E57F2B"/>
    <w:rsid w:val="00E60D6E"/>
    <w:rsid w:val="00E60ECF"/>
    <w:rsid w:val="00E60F51"/>
    <w:rsid w:val="00E6233B"/>
    <w:rsid w:val="00E6366A"/>
    <w:rsid w:val="00E63CC4"/>
    <w:rsid w:val="00E661A3"/>
    <w:rsid w:val="00E67DDB"/>
    <w:rsid w:val="00E70F3C"/>
    <w:rsid w:val="00E7175F"/>
    <w:rsid w:val="00E72C9E"/>
    <w:rsid w:val="00E73E1D"/>
    <w:rsid w:val="00E73E82"/>
    <w:rsid w:val="00E74F21"/>
    <w:rsid w:val="00E74F32"/>
    <w:rsid w:val="00E76936"/>
    <w:rsid w:val="00E76AD1"/>
    <w:rsid w:val="00E77410"/>
    <w:rsid w:val="00E77D8F"/>
    <w:rsid w:val="00E80767"/>
    <w:rsid w:val="00E814AC"/>
    <w:rsid w:val="00E81683"/>
    <w:rsid w:val="00E81843"/>
    <w:rsid w:val="00E81C52"/>
    <w:rsid w:val="00E82A7A"/>
    <w:rsid w:val="00E841C0"/>
    <w:rsid w:val="00E84D8D"/>
    <w:rsid w:val="00E867B4"/>
    <w:rsid w:val="00E86859"/>
    <w:rsid w:val="00E86DAD"/>
    <w:rsid w:val="00E8705C"/>
    <w:rsid w:val="00E8777C"/>
    <w:rsid w:val="00E87947"/>
    <w:rsid w:val="00E87F29"/>
    <w:rsid w:val="00E917E1"/>
    <w:rsid w:val="00E92064"/>
    <w:rsid w:val="00E9253B"/>
    <w:rsid w:val="00E92C22"/>
    <w:rsid w:val="00E92F00"/>
    <w:rsid w:val="00E9306E"/>
    <w:rsid w:val="00E94223"/>
    <w:rsid w:val="00E94AF0"/>
    <w:rsid w:val="00E94D22"/>
    <w:rsid w:val="00E94F2A"/>
    <w:rsid w:val="00E950E7"/>
    <w:rsid w:val="00E96DBB"/>
    <w:rsid w:val="00E96E16"/>
    <w:rsid w:val="00E9758C"/>
    <w:rsid w:val="00E97592"/>
    <w:rsid w:val="00E9761C"/>
    <w:rsid w:val="00E97A6D"/>
    <w:rsid w:val="00E97F4A"/>
    <w:rsid w:val="00EA0D89"/>
    <w:rsid w:val="00EA1169"/>
    <w:rsid w:val="00EA2A81"/>
    <w:rsid w:val="00EA3075"/>
    <w:rsid w:val="00EA35D6"/>
    <w:rsid w:val="00EA4014"/>
    <w:rsid w:val="00EA402C"/>
    <w:rsid w:val="00EA4173"/>
    <w:rsid w:val="00EA4301"/>
    <w:rsid w:val="00EA7477"/>
    <w:rsid w:val="00EA77F3"/>
    <w:rsid w:val="00EA7AAE"/>
    <w:rsid w:val="00EB0D8B"/>
    <w:rsid w:val="00EB0DA6"/>
    <w:rsid w:val="00EB0FBD"/>
    <w:rsid w:val="00EB1743"/>
    <w:rsid w:val="00EB2AA1"/>
    <w:rsid w:val="00EB2B7A"/>
    <w:rsid w:val="00EB34DC"/>
    <w:rsid w:val="00EB353A"/>
    <w:rsid w:val="00EB35D0"/>
    <w:rsid w:val="00EB3F65"/>
    <w:rsid w:val="00EB4C75"/>
    <w:rsid w:val="00EB4F4B"/>
    <w:rsid w:val="00EB53B0"/>
    <w:rsid w:val="00EB5439"/>
    <w:rsid w:val="00EB5D6A"/>
    <w:rsid w:val="00EB5ECE"/>
    <w:rsid w:val="00EB69D2"/>
    <w:rsid w:val="00EB7A7F"/>
    <w:rsid w:val="00EC076A"/>
    <w:rsid w:val="00EC1BA6"/>
    <w:rsid w:val="00EC2A02"/>
    <w:rsid w:val="00EC2D24"/>
    <w:rsid w:val="00EC3327"/>
    <w:rsid w:val="00EC3F55"/>
    <w:rsid w:val="00EC40B5"/>
    <w:rsid w:val="00EC4FC5"/>
    <w:rsid w:val="00EC53C5"/>
    <w:rsid w:val="00EC5D8C"/>
    <w:rsid w:val="00EC7981"/>
    <w:rsid w:val="00EC7E61"/>
    <w:rsid w:val="00ED0125"/>
    <w:rsid w:val="00ED03CB"/>
    <w:rsid w:val="00ED0D71"/>
    <w:rsid w:val="00ED22F0"/>
    <w:rsid w:val="00ED3059"/>
    <w:rsid w:val="00ED3418"/>
    <w:rsid w:val="00ED3CB7"/>
    <w:rsid w:val="00ED4223"/>
    <w:rsid w:val="00ED488F"/>
    <w:rsid w:val="00ED4991"/>
    <w:rsid w:val="00ED4F12"/>
    <w:rsid w:val="00ED52F6"/>
    <w:rsid w:val="00ED641B"/>
    <w:rsid w:val="00ED6579"/>
    <w:rsid w:val="00ED6591"/>
    <w:rsid w:val="00ED6705"/>
    <w:rsid w:val="00EE00AB"/>
    <w:rsid w:val="00EE06B4"/>
    <w:rsid w:val="00EE16AE"/>
    <w:rsid w:val="00EE1C58"/>
    <w:rsid w:val="00EE2251"/>
    <w:rsid w:val="00EE2304"/>
    <w:rsid w:val="00EE24E2"/>
    <w:rsid w:val="00EE2EF4"/>
    <w:rsid w:val="00EE375B"/>
    <w:rsid w:val="00EE5A30"/>
    <w:rsid w:val="00EE5B74"/>
    <w:rsid w:val="00EE5F16"/>
    <w:rsid w:val="00EE5F1C"/>
    <w:rsid w:val="00EE79C9"/>
    <w:rsid w:val="00EF0600"/>
    <w:rsid w:val="00EF071D"/>
    <w:rsid w:val="00EF085B"/>
    <w:rsid w:val="00EF1248"/>
    <w:rsid w:val="00EF1667"/>
    <w:rsid w:val="00EF24BC"/>
    <w:rsid w:val="00EF26B1"/>
    <w:rsid w:val="00EF5AAA"/>
    <w:rsid w:val="00EF6340"/>
    <w:rsid w:val="00EF6E86"/>
    <w:rsid w:val="00F0000F"/>
    <w:rsid w:val="00F00AF7"/>
    <w:rsid w:val="00F00E81"/>
    <w:rsid w:val="00F01066"/>
    <w:rsid w:val="00F01087"/>
    <w:rsid w:val="00F011D7"/>
    <w:rsid w:val="00F0132A"/>
    <w:rsid w:val="00F01EF5"/>
    <w:rsid w:val="00F033E6"/>
    <w:rsid w:val="00F05F9A"/>
    <w:rsid w:val="00F06B54"/>
    <w:rsid w:val="00F07534"/>
    <w:rsid w:val="00F07694"/>
    <w:rsid w:val="00F07BDD"/>
    <w:rsid w:val="00F10F28"/>
    <w:rsid w:val="00F129A2"/>
    <w:rsid w:val="00F12D19"/>
    <w:rsid w:val="00F12E84"/>
    <w:rsid w:val="00F12F8D"/>
    <w:rsid w:val="00F1412A"/>
    <w:rsid w:val="00F15147"/>
    <w:rsid w:val="00F1588F"/>
    <w:rsid w:val="00F15D23"/>
    <w:rsid w:val="00F16852"/>
    <w:rsid w:val="00F16D41"/>
    <w:rsid w:val="00F171EE"/>
    <w:rsid w:val="00F2118D"/>
    <w:rsid w:val="00F21276"/>
    <w:rsid w:val="00F22834"/>
    <w:rsid w:val="00F22E2E"/>
    <w:rsid w:val="00F239BC"/>
    <w:rsid w:val="00F23F1C"/>
    <w:rsid w:val="00F2485D"/>
    <w:rsid w:val="00F24D26"/>
    <w:rsid w:val="00F25402"/>
    <w:rsid w:val="00F25A98"/>
    <w:rsid w:val="00F25C4E"/>
    <w:rsid w:val="00F25CF3"/>
    <w:rsid w:val="00F26B2C"/>
    <w:rsid w:val="00F272D0"/>
    <w:rsid w:val="00F27F31"/>
    <w:rsid w:val="00F3062B"/>
    <w:rsid w:val="00F3132A"/>
    <w:rsid w:val="00F3206D"/>
    <w:rsid w:val="00F3385A"/>
    <w:rsid w:val="00F33C15"/>
    <w:rsid w:val="00F3603C"/>
    <w:rsid w:val="00F3684A"/>
    <w:rsid w:val="00F36E4A"/>
    <w:rsid w:val="00F37781"/>
    <w:rsid w:val="00F40EC9"/>
    <w:rsid w:val="00F4124D"/>
    <w:rsid w:val="00F42328"/>
    <w:rsid w:val="00F42671"/>
    <w:rsid w:val="00F439F9"/>
    <w:rsid w:val="00F43FB6"/>
    <w:rsid w:val="00F44B32"/>
    <w:rsid w:val="00F44CBD"/>
    <w:rsid w:val="00F500A7"/>
    <w:rsid w:val="00F507E4"/>
    <w:rsid w:val="00F50CB0"/>
    <w:rsid w:val="00F513CF"/>
    <w:rsid w:val="00F51845"/>
    <w:rsid w:val="00F519F2"/>
    <w:rsid w:val="00F52085"/>
    <w:rsid w:val="00F52F3B"/>
    <w:rsid w:val="00F532DD"/>
    <w:rsid w:val="00F53E57"/>
    <w:rsid w:val="00F54012"/>
    <w:rsid w:val="00F54451"/>
    <w:rsid w:val="00F54657"/>
    <w:rsid w:val="00F54BB7"/>
    <w:rsid w:val="00F54CB6"/>
    <w:rsid w:val="00F56DC0"/>
    <w:rsid w:val="00F57032"/>
    <w:rsid w:val="00F57925"/>
    <w:rsid w:val="00F60452"/>
    <w:rsid w:val="00F60738"/>
    <w:rsid w:val="00F60AE3"/>
    <w:rsid w:val="00F60CEE"/>
    <w:rsid w:val="00F60F35"/>
    <w:rsid w:val="00F612C8"/>
    <w:rsid w:val="00F61721"/>
    <w:rsid w:val="00F61DE6"/>
    <w:rsid w:val="00F62517"/>
    <w:rsid w:val="00F625E1"/>
    <w:rsid w:val="00F65695"/>
    <w:rsid w:val="00F666C3"/>
    <w:rsid w:val="00F66802"/>
    <w:rsid w:val="00F66A3B"/>
    <w:rsid w:val="00F66FE7"/>
    <w:rsid w:val="00F67A42"/>
    <w:rsid w:val="00F7000C"/>
    <w:rsid w:val="00F71008"/>
    <w:rsid w:val="00F71582"/>
    <w:rsid w:val="00F71C4C"/>
    <w:rsid w:val="00F72282"/>
    <w:rsid w:val="00F73135"/>
    <w:rsid w:val="00F7413C"/>
    <w:rsid w:val="00F754C1"/>
    <w:rsid w:val="00F7560C"/>
    <w:rsid w:val="00F75700"/>
    <w:rsid w:val="00F75823"/>
    <w:rsid w:val="00F771FA"/>
    <w:rsid w:val="00F7787C"/>
    <w:rsid w:val="00F77881"/>
    <w:rsid w:val="00F77DC4"/>
    <w:rsid w:val="00F80D80"/>
    <w:rsid w:val="00F80E59"/>
    <w:rsid w:val="00F81393"/>
    <w:rsid w:val="00F81978"/>
    <w:rsid w:val="00F81AB7"/>
    <w:rsid w:val="00F828B0"/>
    <w:rsid w:val="00F82D5A"/>
    <w:rsid w:val="00F84A29"/>
    <w:rsid w:val="00F8614D"/>
    <w:rsid w:val="00F8665D"/>
    <w:rsid w:val="00F868C6"/>
    <w:rsid w:val="00F8747A"/>
    <w:rsid w:val="00F87B2B"/>
    <w:rsid w:val="00F904B8"/>
    <w:rsid w:val="00F90793"/>
    <w:rsid w:val="00F913C1"/>
    <w:rsid w:val="00F91475"/>
    <w:rsid w:val="00F91932"/>
    <w:rsid w:val="00F91ABB"/>
    <w:rsid w:val="00F92033"/>
    <w:rsid w:val="00F920DD"/>
    <w:rsid w:val="00F9372C"/>
    <w:rsid w:val="00F940E6"/>
    <w:rsid w:val="00F9430C"/>
    <w:rsid w:val="00F94A04"/>
    <w:rsid w:val="00F94E03"/>
    <w:rsid w:val="00F95642"/>
    <w:rsid w:val="00F95725"/>
    <w:rsid w:val="00F9676F"/>
    <w:rsid w:val="00F9706B"/>
    <w:rsid w:val="00FA0823"/>
    <w:rsid w:val="00FA0FC5"/>
    <w:rsid w:val="00FA1FC8"/>
    <w:rsid w:val="00FA2391"/>
    <w:rsid w:val="00FA2EB3"/>
    <w:rsid w:val="00FA3358"/>
    <w:rsid w:val="00FA4201"/>
    <w:rsid w:val="00FA4BE6"/>
    <w:rsid w:val="00FA5090"/>
    <w:rsid w:val="00FA58F0"/>
    <w:rsid w:val="00FA5A84"/>
    <w:rsid w:val="00FA72A2"/>
    <w:rsid w:val="00FA756E"/>
    <w:rsid w:val="00FA7CA9"/>
    <w:rsid w:val="00FA7D19"/>
    <w:rsid w:val="00FA7ECE"/>
    <w:rsid w:val="00FB211B"/>
    <w:rsid w:val="00FB30D8"/>
    <w:rsid w:val="00FB35E0"/>
    <w:rsid w:val="00FB3EE1"/>
    <w:rsid w:val="00FB42AB"/>
    <w:rsid w:val="00FB46FC"/>
    <w:rsid w:val="00FB48D4"/>
    <w:rsid w:val="00FB5005"/>
    <w:rsid w:val="00FB65C9"/>
    <w:rsid w:val="00FB7259"/>
    <w:rsid w:val="00FB7599"/>
    <w:rsid w:val="00FC0654"/>
    <w:rsid w:val="00FC0871"/>
    <w:rsid w:val="00FC0893"/>
    <w:rsid w:val="00FC0E63"/>
    <w:rsid w:val="00FC0EAE"/>
    <w:rsid w:val="00FC13CF"/>
    <w:rsid w:val="00FC16E3"/>
    <w:rsid w:val="00FC2012"/>
    <w:rsid w:val="00FC27B2"/>
    <w:rsid w:val="00FC2856"/>
    <w:rsid w:val="00FC301D"/>
    <w:rsid w:val="00FC351C"/>
    <w:rsid w:val="00FC3F1C"/>
    <w:rsid w:val="00FC405D"/>
    <w:rsid w:val="00FC4393"/>
    <w:rsid w:val="00FC5373"/>
    <w:rsid w:val="00FC5F23"/>
    <w:rsid w:val="00FC61B3"/>
    <w:rsid w:val="00FC6B21"/>
    <w:rsid w:val="00FC6F52"/>
    <w:rsid w:val="00FD02AF"/>
    <w:rsid w:val="00FD061F"/>
    <w:rsid w:val="00FD0D2F"/>
    <w:rsid w:val="00FD151B"/>
    <w:rsid w:val="00FD1BD5"/>
    <w:rsid w:val="00FD25E6"/>
    <w:rsid w:val="00FD30B1"/>
    <w:rsid w:val="00FD3AA9"/>
    <w:rsid w:val="00FD3B41"/>
    <w:rsid w:val="00FD3D3B"/>
    <w:rsid w:val="00FD4046"/>
    <w:rsid w:val="00FD62B4"/>
    <w:rsid w:val="00FD659E"/>
    <w:rsid w:val="00FD6893"/>
    <w:rsid w:val="00FD6903"/>
    <w:rsid w:val="00FD6C86"/>
    <w:rsid w:val="00FD7036"/>
    <w:rsid w:val="00FD71B8"/>
    <w:rsid w:val="00FD79B0"/>
    <w:rsid w:val="00FE04C3"/>
    <w:rsid w:val="00FE04F9"/>
    <w:rsid w:val="00FE20F6"/>
    <w:rsid w:val="00FE519C"/>
    <w:rsid w:val="00FE52B2"/>
    <w:rsid w:val="00FE57C2"/>
    <w:rsid w:val="00FE5C38"/>
    <w:rsid w:val="00FE7201"/>
    <w:rsid w:val="00FF00BE"/>
    <w:rsid w:val="00FF0ACE"/>
    <w:rsid w:val="00FF152E"/>
    <w:rsid w:val="00FF15C9"/>
    <w:rsid w:val="00FF32A1"/>
    <w:rsid w:val="00FF41BA"/>
    <w:rsid w:val="00FF423A"/>
    <w:rsid w:val="00FF4E89"/>
    <w:rsid w:val="00FF5E19"/>
    <w:rsid w:val="00FF605E"/>
    <w:rsid w:val="00FF60E9"/>
    <w:rsid w:val="00FF636E"/>
    <w:rsid w:val="00FF65C7"/>
    <w:rsid w:val="00FF6F70"/>
  </w:rsids>
  <m:mathPr>
    <m:mathFont m:val="Cambria Math"/>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6EB"/>
    <w:pPr>
      <w:widowControl w:val="0"/>
      <w:spacing w:after="0" w:line="240" w:lineRule="auto"/>
    </w:pPr>
    <w:rPr>
      <w:rFonts w:ascii="Times New Roman" w:hAnsi="Times New Roman" w:cs="Times New Roman"/>
      <w:sz w:val="26"/>
      <w:szCs w:val="22"/>
    </w:rPr>
  </w:style>
  <w:style w:type="paragraph" w:styleId="Heading1">
    <w:name w:val="heading 1"/>
    <w:basedOn w:val="Normal"/>
    <w:next w:val="FERCparanumber"/>
    <w:link w:val="Heading1Char"/>
    <w:uiPriority w:val="9"/>
    <w:qFormat/>
    <w:rsid w:val="00A5227A"/>
    <w:pPr>
      <w:keepNext/>
      <w:keepLines/>
      <w:widowControl/>
      <w:numPr>
        <w:numId w:val="15"/>
      </w:numPr>
      <w:spacing w:after="260"/>
      <w:outlineLvl w:val="0"/>
    </w:pPr>
    <w:rPr>
      <w:rFonts w:eastAsia="ＭＳ ゴシック"/>
      <w:b/>
      <w:kern w:val="32"/>
      <w:szCs w:val="32"/>
      <w:u w:val="single"/>
    </w:rPr>
  </w:style>
  <w:style w:type="paragraph" w:styleId="Heading2">
    <w:name w:val="heading 2"/>
    <w:basedOn w:val="Normal"/>
    <w:next w:val="FERCparanumber"/>
    <w:link w:val="Heading2Char"/>
    <w:uiPriority w:val="9"/>
    <w:unhideWhenUsed/>
    <w:qFormat/>
    <w:rsid w:val="00A5227A"/>
    <w:pPr>
      <w:keepNext/>
      <w:keepLines/>
      <w:widowControl/>
      <w:numPr>
        <w:ilvl w:val="1"/>
        <w:numId w:val="15"/>
      </w:numPr>
      <w:spacing w:after="260"/>
      <w:outlineLvl w:val="1"/>
    </w:pPr>
    <w:rPr>
      <w:rFonts w:eastAsia="ＭＳ ゴシック"/>
      <w:b/>
      <w:kern w:val="32"/>
      <w:szCs w:val="26"/>
      <w:u w:val="single"/>
    </w:rPr>
  </w:style>
  <w:style w:type="paragraph" w:styleId="Heading3">
    <w:name w:val="heading 3"/>
    <w:basedOn w:val="Normal"/>
    <w:next w:val="FERCparanumber"/>
    <w:uiPriority w:val="9"/>
    <w:unhideWhenUsed/>
    <w:qFormat/>
    <w:rsid w:val="00A5227A"/>
    <w:pPr>
      <w:keepNext/>
      <w:keepLines/>
      <w:widowControl/>
      <w:numPr>
        <w:ilvl w:val="2"/>
        <w:numId w:val="15"/>
      </w:numPr>
      <w:spacing w:after="260"/>
      <w:outlineLvl w:val="2"/>
    </w:pPr>
    <w:rPr>
      <w:rFonts w:eastAsia="ＭＳ ゴシック"/>
      <w:b/>
      <w:kern w:val="32"/>
      <w:szCs w:val="24"/>
      <w:u w:val="single"/>
    </w:rPr>
  </w:style>
  <w:style w:type="paragraph" w:styleId="Heading4">
    <w:name w:val="heading 4"/>
    <w:basedOn w:val="Normal"/>
    <w:next w:val="FERCparanumber"/>
    <w:uiPriority w:val="9"/>
    <w:unhideWhenUsed/>
    <w:qFormat/>
    <w:rsid w:val="002261B3"/>
    <w:pPr>
      <w:keepNext/>
      <w:keepLines/>
      <w:widowControl/>
      <w:numPr>
        <w:ilvl w:val="3"/>
        <w:numId w:val="15"/>
      </w:numPr>
      <w:spacing w:after="260"/>
      <w:outlineLvl w:val="3"/>
    </w:pPr>
    <w:rPr>
      <w:rFonts w:eastAsia="ＭＳ ゴシック"/>
      <w:b/>
      <w:iCs/>
      <w:kern w:val="32"/>
      <w:u w:val="single"/>
    </w:rPr>
  </w:style>
  <w:style w:type="paragraph" w:styleId="Heading5">
    <w:name w:val="heading 5"/>
    <w:basedOn w:val="Normal"/>
    <w:next w:val="FERCparanumber"/>
    <w:uiPriority w:val="9"/>
    <w:semiHidden/>
    <w:unhideWhenUsed/>
    <w:qFormat/>
    <w:rsid w:val="002261B3"/>
    <w:pPr>
      <w:keepNext/>
      <w:keepLines/>
      <w:widowControl/>
      <w:numPr>
        <w:ilvl w:val="4"/>
        <w:numId w:val="15"/>
      </w:numPr>
      <w:spacing w:after="260"/>
      <w:outlineLvl w:val="4"/>
    </w:pPr>
    <w:rPr>
      <w:rFonts w:eastAsia="ＭＳ ゴシック"/>
      <w:b/>
      <w:kern w:val="32"/>
      <w:u w:val="single"/>
    </w:rPr>
  </w:style>
  <w:style w:type="paragraph" w:styleId="Heading6">
    <w:name w:val="heading 6"/>
    <w:basedOn w:val="Normal"/>
    <w:next w:val="FERCparanumber"/>
    <w:uiPriority w:val="9"/>
    <w:semiHidden/>
    <w:unhideWhenUsed/>
    <w:qFormat/>
    <w:rsid w:val="00A5227A"/>
    <w:pPr>
      <w:keepNext/>
      <w:keepLines/>
      <w:widowControl/>
      <w:numPr>
        <w:ilvl w:val="5"/>
        <w:numId w:val="15"/>
      </w:numPr>
      <w:spacing w:after="260"/>
      <w:outlineLvl w:val="5"/>
    </w:pPr>
    <w:rPr>
      <w:rFonts w:eastAsia="ＭＳ ゴシック"/>
      <w:b/>
      <w:kern w:val="32"/>
      <w:u w:val="single"/>
    </w:rPr>
  </w:style>
  <w:style w:type="paragraph" w:styleId="Heading7">
    <w:name w:val="heading 7"/>
    <w:basedOn w:val="Normal"/>
    <w:next w:val="FERCparanumber"/>
    <w:uiPriority w:val="9"/>
    <w:semiHidden/>
    <w:unhideWhenUsed/>
    <w:qFormat/>
    <w:rsid w:val="00A5227A"/>
    <w:pPr>
      <w:keepNext/>
      <w:keepLines/>
      <w:widowControl/>
      <w:numPr>
        <w:ilvl w:val="6"/>
        <w:numId w:val="15"/>
      </w:numPr>
      <w:spacing w:after="260"/>
      <w:outlineLvl w:val="6"/>
    </w:pPr>
    <w:rPr>
      <w:rFonts w:eastAsia="ＭＳ ゴシック"/>
      <w:b/>
      <w:iCs/>
      <w:kern w:val="32"/>
      <w:u w:val="single"/>
    </w:rPr>
  </w:style>
  <w:style w:type="paragraph" w:styleId="Heading8">
    <w:name w:val="heading 8"/>
    <w:basedOn w:val="Normal"/>
    <w:next w:val="FERCparanumber"/>
    <w:uiPriority w:val="9"/>
    <w:semiHidden/>
    <w:unhideWhenUsed/>
    <w:qFormat/>
    <w:rsid w:val="00A5227A"/>
    <w:pPr>
      <w:keepNext/>
      <w:keepLines/>
      <w:widowControl/>
      <w:numPr>
        <w:ilvl w:val="7"/>
        <w:numId w:val="15"/>
      </w:numPr>
      <w:spacing w:after="260"/>
      <w:outlineLvl w:val="7"/>
    </w:pPr>
    <w:rPr>
      <w:rFonts w:eastAsia="ＭＳ ゴシック"/>
      <w:b/>
      <w:kern w:val="32"/>
      <w:szCs w:val="21"/>
      <w:u w:val="single"/>
    </w:rPr>
  </w:style>
  <w:style w:type="paragraph" w:styleId="Heading9">
    <w:name w:val="heading 9"/>
    <w:basedOn w:val="Normal"/>
    <w:next w:val="FERCparanumber"/>
    <w:uiPriority w:val="9"/>
    <w:semiHidden/>
    <w:unhideWhenUsed/>
    <w:qFormat/>
    <w:rsid w:val="00A5227A"/>
    <w:pPr>
      <w:keepNext/>
      <w:keepLines/>
      <w:widowControl/>
      <w:numPr>
        <w:ilvl w:val="8"/>
        <w:numId w:val="15"/>
      </w:numPr>
      <w:spacing w:after="260"/>
      <w:outlineLvl w:val="8"/>
    </w:pPr>
    <w:rPr>
      <w:rFonts w:eastAsia="ＭＳ ゴシック"/>
      <w:b/>
      <w:iCs/>
      <w:kern w:val="32"/>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TOC1">
    <w:name w:val="myTOC 1"/>
    <w:basedOn w:val="Normal"/>
    <w:next w:val="Normal"/>
    <w:rsid w:val="004C456B"/>
    <w:pPr>
      <w:tabs>
        <w:tab w:val="right" w:leader="dot" w:pos="9360"/>
      </w:tabs>
      <w:autoSpaceDE w:val="0"/>
      <w:autoSpaceDN w:val="0"/>
      <w:adjustRightInd w:val="0"/>
      <w:spacing w:before="120"/>
    </w:pPr>
    <w:rPr>
      <w:rFonts w:eastAsia="Times New Roman"/>
      <w:szCs w:val="26"/>
    </w:rPr>
  </w:style>
  <w:style w:type="paragraph" w:customStyle="1" w:styleId="myTOC2">
    <w:name w:val="myTOC 2"/>
    <w:basedOn w:val="Normal"/>
    <w:next w:val="Normal"/>
    <w:rsid w:val="004C456B"/>
    <w:pPr>
      <w:tabs>
        <w:tab w:val="right" w:leader="dot" w:pos="9360"/>
      </w:tabs>
      <w:autoSpaceDE w:val="0"/>
      <w:autoSpaceDN w:val="0"/>
      <w:adjustRightInd w:val="0"/>
      <w:ind w:left="288"/>
    </w:pPr>
    <w:rPr>
      <w:rFonts w:eastAsia="Times New Roman"/>
      <w:szCs w:val="26"/>
    </w:rPr>
  </w:style>
  <w:style w:type="paragraph" w:customStyle="1" w:styleId="myTOC3">
    <w:name w:val="myTOC 3"/>
    <w:basedOn w:val="Normal"/>
    <w:next w:val="Normal"/>
    <w:rsid w:val="004C456B"/>
    <w:pPr>
      <w:tabs>
        <w:tab w:val="right" w:leader="dot" w:pos="9360"/>
      </w:tabs>
      <w:autoSpaceDE w:val="0"/>
      <w:autoSpaceDN w:val="0"/>
      <w:adjustRightInd w:val="0"/>
      <w:ind w:left="576"/>
    </w:pPr>
    <w:rPr>
      <w:rFonts w:eastAsia="Times New Roman"/>
      <w:szCs w:val="26"/>
    </w:rPr>
  </w:style>
  <w:style w:type="paragraph" w:customStyle="1" w:styleId="myTOC4">
    <w:name w:val="myTOC 4"/>
    <w:basedOn w:val="Normal"/>
    <w:next w:val="Normal"/>
    <w:rsid w:val="004C456B"/>
    <w:pPr>
      <w:tabs>
        <w:tab w:val="right" w:leader="dot" w:pos="9360"/>
      </w:tabs>
      <w:autoSpaceDE w:val="0"/>
      <w:autoSpaceDN w:val="0"/>
      <w:adjustRightInd w:val="0"/>
      <w:ind w:left="864"/>
    </w:pPr>
    <w:rPr>
      <w:rFonts w:eastAsia="Times New Roman"/>
      <w:szCs w:val="26"/>
    </w:rPr>
  </w:style>
  <w:style w:type="paragraph" w:customStyle="1" w:styleId="myTOC5">
    <w:name w:val="myTOC 5"/>
    <w:basedOn w:val="Normal"/>
    <w:next w:val="Normal"/>
    <w:rsid w:val="004C456B"/>
    <w:pPr>
      <w:tabs>
        <w:tab w:val="right" w:leader="dot" w:pos="9360"/>
      </w:tabs>
      <w:autoSpaceDE w:val="0"/>
      <w:autoSpaceDN w:val="0"/>
      <w:adjustRightInd w:val="0"/>
      <w:ind w:left="1152"/>
    </w:pPr>
    <w:rPr>
      <w:rFonts w:eastAsia="Times New Roman"/>
      <w:szCs w:val="26"/>
    </w:rPr>
  </w:style>
  <w:style w:type="paragraph" w:customStyle="1" w:styleId="myTOC6">
    <w:name w:val="myTOC 6"/>
    <w:basedOn w:val="Normal"/>
    <w:next w:val="Normal"/>
    <w:rsid w:val="004C456B"/>
    <w:pPr>
      <w:tabs>
        <w:tab w:val="right" w:leader="dot" w:pos="9360"/>
      </w:tabs>
      <w:ind w:left="1440"/>
    </w:pPr>
    <w:rPr>
      <w:rFonts w:eastAsia="Times New Roman"/>
      <w:szCs w:val="26"/>
    </w:rPr>
  </w:style>
  <w:style w:type="paragraph" w:customStyle="1" w:styleId="myTOC7">
    <w:name w:val="myTOC 7"/>
    <w:basedOn w:val="Normal"/>
    <w:next w:val="Normal"/>
    <w:rsid w:val="004C456B"/>
    <w:pPr>
      <w:tabs>
        <w:tab w:val="right" w:leader="dot" w:pos="9360"/>
      </w:tabs>
      <w:ind w:left="1728"/>
    </w:pPr>
    <w:rPr>
      <w:rFonts w:eastAsia="Times New Roman"/>
      <w:szCs w:val="26"/>
    </w:rPr>
  </w:style>
  <w:style w:type="paragraph" w:customStyle="1" w:styleId="myTOC8">
    <w:name w:val="myTOC 8"/>
    <w:basedOn w:val="Normal"/>
    <w:next w:val="Normal"/>
    <w:rsid w:val="004C456B"/>
    <w:pPr>
      <w:tabs>
        <w:tab w:val="right" w:leader="dot" w:pos="9360"/>
      </w:tabs>
      <w:ind w:left="2016"/>
    </w:pPr>
    <w:rPr>
      <w:rFonts w:eastAsia="Times New Roman"/>
      <w:szCs w:val="26"/>
    </w:rPr>
  </w:style>
  <w:style w:type="paragraph" w:customStyle="1" w:styleId="myTOC9">
    <w:name w:val="myTOC 9"/>
    <w:basedOn w:val="Normal"/>
    <w:next w:val="Normal"/>
    <w:rsid w:val="004C456B"/>
    <w:pPr>
      <w:tabs>
        <w:tab w:val="right" w:leader="dot" w:pos="9360"/>
      </w:tabs>
      <w:ind w:left="2304"/>
    </w:pPr>
    <w:rPr>
      <w:rFonts w:eastAsia="Times New Roman"/>
      <w:szCs w:val="26"/>
    </w:rPr>
  </w:style>
  <w:style w:type="paragraph" w:customStyle="1" w:styleId="Non-TOCStyle">
    <w:name w:val="Non-TOC Style"/>
    <w:basedOn w:val="Normal"/>
    <w:next w:val="FERCparanumber"/>
    <w:rsid w:val="004C456B"/>
    <w:pPr>
      <w:keepNext/>
      <w:keepLines/>
      <w:numPr>
        <w:numId w:val="21"/>
      </w:numPr>
      <w:autoSpaceDE w:val="0"/>
      <w:autoSpaceDN w:val="0"/>
      <w:adjustRightInd w:val="0"/>
      <w:jc w:val="center"/>
      <w:outlineLvl w:val="4"/>
    </w:pPr>
    <w:rPr>
      <w:rFonts w:eastAsia="Times New Roman"/>
      <w:b/>
      <w:szCs w:val="26"/>
      <w:u w:val="single"/>
    </w:rPr>
  </w:style>
  <w:style w:type="paragraph" w:styleId="BalloonText">
    <w:name w:val="Balloon Text"/>
    <w:basedOn w:val="Normal"/>
    <w:link w:val="BalloonTextChar"/>
    <w:uiPriority w:val="99"/>
    <w:semiHidden/>
    <w:unhideWhenUsed/>
    <w:rsid w:val="00CE7F13"/>
    <w:rPr>
      <w:rFonts w:ascii="Arial" w:hAnsi="Arial" w:cs="Arial"/>
      <w:sz w:val="20"/>
      <w:szCs w:val="18"/>
    </w:rPr>
  </w:style>
  <w:style w:type="character" w:customStyle="1" w:styleId="BalloonTextChar">
    <w:name w:val="Balloon Text Char"/>
    <w:basedOn w:val="DefaultParagraphFont"/>
    <w:link w:val="BalloonText"/>
    <w:uiPriority w:val="99"/>
    <w:semiHidden/>
    <w:rsid w:val="00CE7F13"/>
    <w:rPr>
      <w:rFonts w:ascii="Arial" w:hAnsi="Arial" w:cs="Arial"/>
      <w:sz w:val="20"/>
      <w:szCs w:val="18"/>
    </w:rPr>
  </w:style>
  <w:style w:type="paragraph" w:styleId="Bibliography">
    <w:name w:val="Bibliography"/>
    <w:basedOn w:val="Normal"/>
    <w:next w:val="Normal"/>
    <w:uiPriority w:val="37"/>
    <w:semiHidden/>
    <w:unhideWhenUsed/>
    <w:rsid w:val="00CE7F13"/>
  </w:style>
  <w:style w:type="paragraph" w:styleId="BlockText">
    <w:name w:val="Block Text"/>
    <w:basedOn w:val="Normal"/>
    <w:uiPriority w:val="99"/>
    <w:semiHidden/>
    <w:unhideWhenUsed/>
    <w:rsid w:val="00CE7F13"/>
    <w:pPr>
      <w:pBdr>
        <w:top w:val="single" w:sz="2" w:space="10" w:color="5B9BD5"/>
        <w:left w:val="single" w:sz="2" w:space="10" w:color="5B9BD5"/>
        <w:bottom w:val="single" w:sz="2" w:space="10" w:color="5B9BD5"/>
        <w:right w:val="single" w:sz="2" w:space="10" w:color="5B9BD5"/>
      </w:pBdr>
      <w:ind w:left="1152" w:right="1152"/>
    </w:pPr>
    <w:rPr>
      <w:rFonts w:eastAsia="ＭＳ 明朝"/>
      <w:i/>
      <w:iCs/>
      <w:color w:val="5B9BD5"/>
    </w:rPr>
  </w:style>
  <w:style w:type="paragraph" w:styleId="BodyText">
    <w:name w:val="Body Text"/>
    <w:basedOn w:val="Normal"/>
    <w:link w:val="BodyTextChar"/>
    <w:uiPriority w:val="99"/>
    <w:unhideWhenUsed/>
    <w:rsid w:val="009E214D"/>
    <w:pPr>
      <w:spacing w:after="240"/>
      <w:ind w:firstLine="720"/>
    </w:pPr>
  </w:style>
  <w:style w:type="character" w:customStyle="1" w:styleId="BodyTextChar">
    <w:name w:val="Body Text Char"/>
    <w:basedOn w:val="DefaultParagraphFont"/>
    <w:link w:val="BodyText"/>
    <w:uiPriority w:val="99"/>
    <w:rsid w:val="009E214D"/>
    <w:rPr>
      <w:rFonts w:ascii="Times New Roman" w:hAnsi="Times New Roman"/>
      <w:sz w:val="26"/>
    </w:rPr>
  </w:style>
  <w:style w:type="paragraph" w:styleId="BodyText2">
    <w:name w:val="Body Text 2"/>
    <w:basedOn w:val="Normal"/>
    <w:link w:val="BodyText2Char"/>
    <w:uiPriority w:val="99"/>
    <w:semiHidden/>
    <w:unhideWhenUsed/>
    <w:rsid w:val="00CE7F13"/>
    <w:pPr>
      <w:spacing w:after="120" w:line="480" w:lineRule="auto"/>
    </w:pPr>
  </w:style>
  <w:style w:type="character" w:customStyle="1" w:styleId="BodyText2Char">
    <w:name w:val="Body Text 2 Char"/>
    <w:basedOn w:val="DefaultParagraphFont"/>
    <w:link w:val="BodyText2"/>
    <w:uiPriority w:val="99"/>
    <w:semiHidden/>
    <w:rsid w:val="00CE7F13"/>
  </w:style>
  <w:style w:type="paragraph" w:styleId="BodyText3">
    <w:name w:val="Body Text 3"/>
    <w:basedOn w:val="Normal"/>
    <w:link w:val="BodyText3Char"/>
    <w:uiPriority w:val="99"/>
    <w:semiHidden/>
    <w:unhideWhenUsed/>
    <w:rsid w:val="00CE7F13"/>
    <w:pPr>
      <w:spacing w:after="120"/>
    </w:pPr>
    <w:rPr>
      <w:sz w:val="16"/>
      <w:szCs w:val="16"/>
    </w:rPr>
  </w:style>
  <w:style w:type="character" w:customStyle="1" w:styleId="BodyText3Char">
    <w:name w:val="Body Text 3 Char"/>
    <w:basedOn w:val="DefaultParagraphFont"/>
    <w:link w:val="BodyText3"/>
    <w:uiPriority w:val="99"/>
    <w:semiHidden/>
    <w:rsid w:val="00CE7F13"/>
    <w:rPr>
      <w:sz w:val="16"/>
      <w:szCs w:val="16"/>
    </w:rPr>
  </w:style>
  <w:style w:type="paragraph" w:styleId="BodyTextFirstIndent">
    <w:name w:val="Body Text First Indent"/>
    <w:basedOn w:val="BodyText"/>
    <w:link w:val="BodyTextFirstIndentChar"/>
    <w:uiPriority w:val="99"/>
    <w:semiHidden/>
    <w:unhideWhenUsed/>
    <w:rsid w:val="00CE7F13"/>
    <w:pPr>
      <w:spacing w:after="160"/>
      <w:ind w:firstLine="360"/>
    </w:pPr>
  </w:style>
  <w:style w:type="character" w:customStyle="1" w:styleId="BodyTextFirstIndentChar">
    <w:name w:val="Body Text First Indent Char"/>
    <w:basedOn w:val="BodyTextChar"/>
    <w:link w:val="BodyTextFirstIndent"/>
    <w:uiPriority w:val="99"/>
    <w:semiHidden/>
    <w:rsid w:val="00CE7F13"/>
    <w:rPr>
      <w:rFonts w:ascii="Times New Roman" w:hAnsi="Times New Roman"/>
      <w:sz w:val="26"/>
    </w:rPr>
  </w:style>
  <w:style w:type="paragraph" w:styleId="BodyTextIndent">
    <w:name w:val="Body Text Indent"/>
    <w:basedOn w:val="Normal"/>
    <w:link w:val="BodyTextIndentChar"/>
    <w:uiPriority w:val="99"/>
    <w:semiHidden/>
    <w:unhideWhenUsed/>
    <w:rsid w:val="00CE7F13"/>
    <w:pPr>
      <w:spacing w:after="120"/>
      <w:ind w:left="360"/>
    </w:pPr>
  </w:style>
  <w:style w:type="character" w:customStyle="1" w:styleId="BodyTextIndentChar">
    <w:name w:val="Body Text Indent Char"/>
    <w:basedOn w:val="DefaultParagraphFont"/>
    <w:link w:val="BodyTextIndent"/>
    <w:uiPriority w:val="99"/>
    <w:semiHidden/>
    <w:rsid w:val="00CE7F13"/>
  </w:style>
  <w:style w:type="paragraph" w:styleId="BodyTextFirstIndent2">
    <w:name w:val="Body Text First Indent 2"/>
    <w:basedOn w:val="BodyTextIndent"/>
    <w:link w:val="BodyTextFirstIndent2Char"/>
    <w:uiPriority w:val="99"/>
    <w:semiHidden/>
    <w:unhideWhenUsed/>
    <w:rsid w:val="00CE7F13"/>
    <w:pPr>
      <w:spacing w:after="160"/>
      <w:ind w:firstLine="360"/>
    </w:pPr>
  </w:style>
  <w:style w:type="character" w:customStyle="1" w:styleId="BodyTextFirstIndent2Char">
    <w:name w:val="Body Text First Indent 2 Char"/>
    <w:basedOn w:val="BodyTextIndentChar"/>
    <w:link w:val="BodyTextFirstIndent2"/>
    <w:uiPriority w:val="99"/>
    <w:semiHidden/>
    <w:rsid w:val="00CE7F13"/>
  </w:style>
  <w:style w:type="paragraph" w:styleId="BodyTextIndent2">
    <w:name w:val="Body Text Indent 2"/>
    <w:basedOn w:val="Normal"/>
    <w:link w:val="BodyTextIndent2Char"/>
    <w:uiPriority w:val="99"/>
    <w:semiHidden/>
    <w:unhideWhenUsed/>
    <w:rsid w:val="00CE7F13"/>
    <w:pPr>
      <w:spacing w:after="120" w:line="480" w:lineRule="auto"/>
      <w:ind w:left="360"/>
    </w:pPr>
  </w:style>
  <w:style w:type="character" w:customStyle="1" w:styleId="BodyTextIndent2Char">
    <w:name w:val="Body Text Indent 2 Char"/>
    <w:basedOn w:val="DefaultParagraphFont"/>
    <w:link w:val="BodyTextIndent2"/>
    <w:uiPriority w:val="99"/>
    <w:semiHidden/>
    <w:rsid w:val="00CE7F13"/>
  </w:style>
  <w:style w:type="paragraph" w:styleId="BodyTextIndent3">
    <w:name w:val="Body Text Indent 3"/>
    <w:basedOn w:val="Normal"/>
    <w:link w:val="BodyTextIndent3Char"/>
    <w:uiPriority w:val="99"/>
    <w:semiHidden/>
    <w:unhideWhenUsed/>
    <w:rsid w:val="00CE7F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7F13"/>
    <w:rPr>
      <w:sz w:val="16"/>
      <w:szCs w:val="16"/>
    </w:rPr>
  </w:style>
  <w:style w:type="paragraph" w:styleId="Caption">
    <w:name w:val="caption"/>
    <w:basedOn w:val="Normal"/>
    <w:next w:val="Normal"/>
    <w:uiPriority w:val="35"/>
    <w:semiHidden/>
    <w:unhideWhenUsed/>
    <w:qFormat/>
    <w:rsid w:val="009E0EA2"/>
    <w:pPr>
      <w:spacing w:after="200"/>
    </w:pPr>
    <w:rPr>
      <w:iCs/>
      <w:szCs w:val="18"/>
    </w:rPr>
  </w:style>
  <w:style w:type="paragraph" w:styleId="Closing">
    <w:name w:val="Closing"/>
    <w:basedOn w:val="Normal"/>
    <w:link w:val="ClosingChar"/>
    <w:uiPriority w:val="99"/>
    <w:semiHidden/>
    <w:unhideWhenUsed/>
    <w:rsid w:val="00CE7F13"/>
    <w:pPr>
      <w:ind w:left="4320"/>
    </w:pPr>
  </w:style>
  <w:style w:type="character" w:customStyle="1" w:styleId="ClosingChar">
    <w:name w:val="Closing Char"/>
    <w:basedOn w:val="DefaultParagraphFont"/>
    <w:link w:val="Closing"/>
    <w:uiPriority w:val="99"/>
    <w:semiHidden/>
    <w:rsid w:val="00CE7F13"/>
  </w:style>
  <w:style w:type="paragraph" w:styleId="CommentText">
    <w:name w:val="annotation text"/>
    <w:basedOn w:val="Normal"/>
    <w:link w:val="CommentTextChar"/>
    <w:uiPriority w:val="99"/>
    <w:unhideWhenUsed/>
    <w:rsid w:val="00AF2305"/>
    <w:rPr>
      <w:rFonts w:ascii="Arial" w:hAnsi="Arial" w:cs="Arial"/>
      <w:sz w:val="20"/>
      <w:szCs w:val="20"/>
    </w:rPr>
  </w:style>
  <w:style w:type="character" w:customStyle="1" w:styleId="CommentTextChar">
    <w:name w:val="Comment Text Char"/>
    <w:basedOn w:val="DefaultParagraphFont"/>
    <w:link w:val="CommentText"/>
    <w:uiPriority w:val="99"/>
    <w:rsid w:val="00AF230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E7F13"/>
    <w:rPr>
      <w:b/>
      <w:bCs/>
    </w:rPr>
  </w:style>
  <w:style w:type="character" w:customStyle="1" w:styleId="CommentSubjectChar">
    <w:name w:val="Comment Subject Char"/>
    <w:basedOn w:val="CommentTextChar"/>
    <w:link w:val="CommentSubject"/>
    <w:uiPriority w:val="99"/>
    <w:semiHidden/>
    <w:rsid w:val="00CE7F13"/>
    <w:rPr>
      <w:rFonts w:ascii="Times New Roman" w:hAnsi="Times New Roman" w:cs="Arial"/>
      <w:b/>
      <w:bCs/>
      <w:sz w:val="20"/>
      <w:szCs w:val="20"/>
    </w:rPr>
  </w:style>
  <w:style w:type="paragraph" w:styleId="Date">
    <w:name w:val="Date"/>
    <w:basedOn w:val="Normal"/>
    <w:next w:val="Normal"/>
    <w:link w:val="DateChar"/>
    <w:uiPriority w:val="99"/>
    <w:semiHidden/>
    <w:unhideWhenUsed/>
    <w:rsid w:val="00CE7F13"/>
  </w:style>
  <w:style w:type="character" w:customStyle="1" w:styleId="DateChar">
    <w:name w:val="Date Char"/>
    <w:basedOn w:val="DefaultParagraphFont"/>
    <w:link w:val="Date"/>
    <w:uiPriority w:val="99"/>
    <w:semiHidden/>
    <w:rsid w:val="00CE7F13"/>
  </w:style>
  <w:style w:type="paragraph" w:styleId="DocumentMap">
    <w:name w:val="Document Map"/>
    <w:basedOn w:val="Normal"/>
    <w:link w:val="DocumentMapChar"/>
    <w:uiPriority w:val="99"/>
    <w:semiHidden/>
    <w:unhideWhenUsed/>
    <w:rsid w:val="00CE7F1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E7F13"/>
    <w:rPr>
      <w:rFonts w:ascii="Segoe UI" w:hAnsi="Segoe UI" w:cs="Segoe UI"/>
      <w:sz w:val="16"/>
      <w:szCs w:val="16"/>
    </w:rPr>
  </w:style>
  <w:style w:type="paragraph" w:styleId="E-mailSignature">
    <w:name w:val="E-mail Signature"/>
    <w:basedOn w:val="Normal"/>
    <w:link w:val="E-mailSignatureChar"/>
    <w:uiPriority w:val="99"/>
    <w:semiHidden/>
    <w:unhideWhenUsed/>
    <w:rsid w:val="00CE7F13"/>
  </w:style>
  <w:style w:type="character" w:customStyle="1" w:styleId="E-mailSignatureChar">
    <w:name w:val="E-mail Signature Char"/>
    <w:basedOn w:val="DefaultParagraphFont"/>
    <w:link w:val="E-mailSignature"/>
    <w:uiPriority w:val="99"/>
    <w:semiHidden/>
    <w:rsid w:val="00CE7F13"/>
  </w:style>
  <w:style w:type="paragraph" w:styleId="EndnoteText">
    <w:name w:val="endnote text"/>
    <w:basedOn w:val="Normal"/>
    <w:link w:val="EndnoteTextChar"/>
    <w:uiPriority w:val="99"/>
    <w:semiHidden/>
    <w:unhideWhenUsed/>
    <w:rsid w:val="00CE7F13"/>
    <w:rPr>
      <w:sz w:val="20"/>
      <w:szCs w:val="20"/>
    </w:rPr>
  </w:style>
  <w:style w:type="character" w:customStyle="1" w:styleId="EndnoteTextChar">
    <w:name w:val="Endnote Text Char"/>
    <w:basedOn w:val="DefaultParagraphFont"/>
    <w:link w:val="EndnoteText"/>
    <w:uiPriority w:val="99"/>
    <w:semiHidden/>
    <w:rsid w:val="00CE7F13"/>
    <w:rPr>
      <w:sz w:val="20"/>
      <w:szCs w:val="20"/>
    </w:rPr>
  </w:style>
  <w:style w:type="paragraph" w:styleId="EnvelopeAddress">
    <w:name w:val="envelope address"/>
    <w:basedOn w:val="Normal"/>
    <w:uiPriority w:val="99"/>
    <w:semiHidden/>
    <w:unhideWhenUsed/>
    <w:rsid w:val="00CE7F13"/>
    <w:pPr>
      <w:framePr w:w="7920" w:h="1980" w:hRule="exact" w:hSpace="180" w:wrap="auto" w:vAnchor="margin" w:hAnchor="page" w:xAlign="center" w:yAlign="bottom"/>
      <w:ind w:left="2880"/>
    </w:pPr>
    <w:rPr>
      <w:rFonts w:ascii="Calibri Light" w:eastAsia="ＭＳ ゴシック" w:hAnsi="Calibri Light" w:cs="Times New Roman"/>
      <w:sz w:val="24"/>
      <w:szCs w:val="24"/>
    </w:rPr>
  </w:style>
  <w:style w:type="paragraph" w:styleId="EnvelopeReturn">
    <w:name w:val="envelope return"/>
    <w:basedOn w:val="Normal"/>
    <w:uiPriority w:val="99"/>
    <w:semiHidden/>
    <w:unhideWhenUsed/>
    <w:rsid w:val="00CE7F13"/>
    <w:rPr>
      <w:rFonts w:ascii="Calibri Light" w:eastAsia="ＭＳ ゴシック" w:hAnsi="Calibri Light" w:cs="Times New Roman"/>
      <w:sz w:val="20"/>
      <w:szCs w:val="20"/>
    </w:rPr>
  </w:style>
  <w:style w:type="paragraph" w:styleId="Footer">
    <w:name w:val="footer"/>
    <w:basedOn w:val="Normal"/>
    <w:link w:val="FooterChar"/>
    <w:uiPriority w:val="99"/>
    <w:unhideWhenUsed/>
    <w:rsid w:val="00CE7F13"/>
    <w:pPr>
      <w:tabs>
        <w:tab w:val="center" w:pos="4680"/>
        <w:tab w:val="right" w:pos="9360"/>
      </w:tabs>
    </w:pPr>
  </w:style>
  <w:style w:type="character" w:customStyle="1" w:styleId="FooterChar">
    <w:name w:val="Footer Char"/>
    <w:basedOn w:val="DefaultParagraphFont"/>
    <w:link w:val="Footer"/>
    <w:uiPriority w:val="99"/>
    <w:rsid w:val="00CE7F13"/>
  </w:style>
  <w:style w:type="paragraph" w:styleId="Header">
    <w:name w:val="header"/>
    <w:basedOn w:val="Normal"/>
    <w:link w:val="HeaderChar"/>
    <w:uiPriority w:val="99"/>
    <w:unhideWhenUsed/>
    <w:rsid w:val="00CE7F13"/>
    <w:pPr>
      <w:tabs>
        <w:tab w:val="center" w:pos="4680"/>
        <w:tab w:val="right" w:pos="9360"/>
      </w:tabs>
    </w:pPr>
  </w:style>
  <w:style w:type="character" w:customStyle="1" w:styleId="HeaderChar">
    <w:name w:val="Header Char"/>
    <w:basedOn w:val="DefaultParagraphFont"/>
    <w:link w:val="Header"/>
    <w:uiPriority w:val="99"/>
    <w:rsid w:val="00CE7F13"/>
  </w:style>
  <w:style w:type="paragraph" w:styleId="HTMLAddress">
    <w:name w:val="HTML Address"/>
    <w:basedOn w:val="Normal"/>
    <w:link w:val="HTMLAddressChar"/>
    <w:uiPriority w:val="99"/>
    <w:semiHidden/>
    <w:unhideWhenUsed/>
    <w:rsid w:val="00CE7F13"/>
    <w:rPr>
      <w:i/>
      <w:iCs/>
    </w:rPr>
  </w:style>
  <w:style w:type="character" w:customStyle="1" w:styleId="HTMLAddressChar">
    <w:name w:val="HTML Address Char"/>
    <w:basedOn w:val="DefaultParagraphFont"/>
    <w:link w:val="HTMLAddress"/>
    <w:uiPriority w:val="99"/>
    <w:semiHidden/>
    <w:rsid w:val="00CE7F13"/>
    <w:rPr>
      <w:i/>
      <w:iCs/>
    </w:rPr>
  </w:style>
  <w:style w:type="paragraph" w:styleId="HTMLPreformatted">
    <w:name w:val="HTML Preformatted"/>
    <w:basedOn w:val="Normal"/>
    <w:link w:val="HTMLPreformattedChar"/>
    <w:uiPriority w:val="99"/>
    <w:semiHidden/>
    <w:unhideWhenUsed/>
    <w:rsid w:val="00CE7F1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E7F13"/>
    <w:rPr>
      <w:rFonts w:ascii="Consolas" w:hAnsi="Consolas" w:cs="Consolas"/>
      <w:sz w:val="20"/>
      <w:szCs w:val="20"/>
    </w:rPr>
  </w:style>
  <w:style w:type="paragraph" w:styleId="Index1">
    <w:name w:val="index 1"/>
    <w:basedOn w:val="Normal"/>
    <w:next w:val="Normal"/>
    <w:uiPriority w:val="99"/>
    <w:semiHidden/>
    <w:unhideWhenUsed/>
    <w:rsid w:val="00CE7F13"/>
    <w:pPr>
      <w:ind w:left="220" w:hanging="220"/>
    </w:pPr>
  </w:style>
  <w:style w:type="paragraph" w:styleId="Index2">
    <w:name w:val="index 2"/>
    <w:basedOn w:val="Normal"/>
    <w:next w:val="Normal"/>
    <w:uiPriority w:val="99"/>
    <w:semiHidden/>
    <w:unhideWhenUsed/>
    <w:rsid w:val="00CE7F13"/>
    <w:pPr>
      <w:ind w:left="440" w:hanging="220"/>
    </w:pPr>
  </w:style>
  <w:style w:type="paragraph" w:styleId="Index3">
    <w:name w:val="index 3"/>
    <w:basedOn w:val="Normal"/>
    <w:next w:val="Normal"/>
    <w:uiPriority w:val="99"/>
    <w:semiHidden/>
    <w:unhideWhenUsed/>
    <w:rsid w:val="00CE7F13"/>
    <w:pPr>
      <w:ind w:left="660" w:hanging="220"/>
    </w:pPr>
  </w:style>
  <w:style w:type="paragraph" w:styleId="Index4">
    <w:name w:val="index 4"/>
    <w:basedOn w:val="Normal"/>
    <w:next w:val="Normal"/>
    <w:uiPriority w:val="99"/>
    <w:semiHidden/>
    <w:unhideWhenUsed/>
    <w:rsid w:val="00CE7F13"/>
    <w:pPr>
      <w:ind w:left="880" w:hanging="220"/>
    </w:pPr>
  </w:style>
  <w:style w:type="paragraph" w:styleId="Index5">
    <w:name w:val="index 5"/>
    <w:basedOn w:val="Normal"/>
    <w:next w:val="Normal"/>
    <w:uiPriority w:val="99"/>
    <w:semiHidden/>
    <w:unhideWhenUsed/>
    <w:rsid w:val="00CE7F13"/>
    <w:pPr>
      <w:ind w:left="1100" w:hanging="220"/>
    </w:pPr>
  </w:style>
  <w:style w:type="paragraph" w:styleId="Index6">
    <w:name w:val="index 6"/>
    <w:basedOn w:val="Normal"/>
    <w:next w:val="Normal"/>
    <w:uiPriority w:val="99"/>
    <w:semiHidden/>
    <w:unhideWhenUsed/>
    <w:rsid w:val="00CE7F13"/>
    <w:pPr>
      <w:ind w:left="1320" w:hanging="220"/>
    </w:pPr>
  </w:style>
  <w:style w:type="paragraph" w:styleId="Index7">
    <w:name w:val="index 7"/>
    <w:basedOn w:val="Normal"/>
    <w:next w:val="Normal"/>
    <w:uiPriority w:val="99"/>
    <w:semiHidden/>
    <w:unhideWhenUsed/>
    <w:rsid w:val="00CE7F13"/>
    <w:pPr>
      <w:ind w:left="1540" w:hanging="220"/>
    </w:pPr>
  </w:style>
  <w:style w:type="paragraph" w:styleId="Index8">
    <w:name w:val="index 8"/>
    <w:basedOn w:val="Normal"/>
    <w:next w:val="Normal"/>
    <w:uiPriority w:val="99"/>
    <w:semiHidden/>
    <w:unhideWhenUsed/>
    <w:rsid w:val="00CE7F13"/>
    <w:pPr>
      <w:ind w:left="1760" w:hanging="220"/>
    </w:pPr>
  </w:style>
  <w:style w:type="paragraph" w:styleId="Index9">
    <w:name w:val="index 9"/>
    <w:basedOn w:val="Normal"/>
    <w:next w:val="Normal"/>
    <w:uiPriority w:val="99"/>
    <w:semiHidden/>
    <w:unhideWhenUsed/>
    <w:rsid w:val="00CE7F13"/>
    <w:pPr>
      <w:ind w:left="1980" w:hanging="220"/>
    </w:pPr>
  </w:style>
  <w:style w:type="paragraph" w:styleId="IndexHeading">
    <w:name w:val="index heading"/>
    <w:basedOn w:val="Normal"/>
    <w:next w:val="Index1"/>
    <w:uiPriority w:val="99"/>
    <w:semiHidden/>
    <w:unhideWhenUsed/>
    <w:rsid w:val="00CE7F13"/>
    <w:rPr>
      <w:rFonts w:ascii="Calibri Light" w:eastAsia="ＭＳ ゴシック" w:hAnsi="Calibri Light" w:cs="Times New Roman"/>
      <w:b/>
      <w:bCs/>
    </w:rPr>
  </w:style>
  <w:style w:type="paragraph" w:styleId="IntenseQuote">
    <w:name w:val="Intense Quote"/>
    <w:basedOn w:val="Normal"/>
    <w:next w:val="Normal"/>
    <w:link w:val="IntenseQuoteChar"/>
    <w:uiPriority w:val="30"/>
    <w:qFormat/>
    <w:rsid w:val="00CE7F13"/>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basedOn w:val="DefaultParagraphFont"/>
    <w:link w:val="IntenseQuote"/>
    <w:uiPriority w:val="30"/>
    <w:rsid w:val="00CE7F13"/>
    <w:rPr>
      <w:i/>
      <w:iCs/>
      <w:color w:val="5B9BD5"/>
    </w:rPr>
  </w:style>
  <w:style w:type="paragraph" w:styleId="List">
    <w:name w:val="List"/>
    <w:basedOn w:val="Normal"/>
    <w:uiPriority w:val="99"/>
    <w:semiHidden/>
    <w:unhideWhenUsed/>
    <w:rsid w:val="00CE7F13"/>
    <w:pPr>
      <w:ind w:left="360" w:hanging="360"/>
      <w:contextualSpacing/>
    </w:pPr>
  </w:style>
  <w:style w:type="paragraph" w:styleId="List2">
    <w:name w:val="List 2"/>
    <w:basedOn w:val="Normal"/>
    <w:uiPriority w:val="99"/>
    <w:semiHidden/>
    <w:unhideWhenUsed/>
    <w:rsid w:val="00CE7F13"/>
    <w:pPr>
      <w:ind w:left="720" w:hanging="360"/>
      <w:contextualSpacing/>
    </w:pPr>
  </w:style>
  <w:style w:type="paragraph" w:styleId="List3">
    <w:name w:val="List 3"/>
    <w:basedOn w:val="Normal"/>
    <w:uiPriority w:val="99"/>
    <w:semiHidden/>
    <w:unhideWhenUsed/>
    <w:rsid w:val="00CE7F13"/>
    <w:pPr>
      <w:ind w:left="1080" w:hanging="360"/>
      <w:contextualSpacing/>
    </w:pPr>
  </w:style>
  <w:style w:type="paragraph" w:styleId="List4">
    <w:name w:val="List 4"/>
    <w:basedOn w:val="Normal"/>
    <w:uiPriority w:val="99"/>
    <w:semiHidden/>
    <w:unhideWhenUsed/>
    <w:rsid w:val="00CE7F13"/>
    <w:pPr>
      <w:ind w:left="1440" w:hanging="360"/>
      <w:contextualSpacing/>
    </w:pPr>
  </w:style>
  <w:style w:type="paragraph" w:styleId="List5">
    <w:name w:val="List 5"/>
    <w:basedOn w:val="Normal"/>
    <w:uiPriority w:val="99"/>
    <w:semiHidden/>
    <w:unhideWhenUsed/>
    <w:rsid w:val="00CE7F13"/>
    <w:pPr>
      <w:ind w:left="1800" w:hanging="360"/>
      <w:contextualSpacing/>
    </w:pPr>
  </w:style>
  <w:style w:type="paragraph" w:styleId="ListBullet">
    <w:name w:val="List Bullet"/>
    <w:basedOn w:val="Normal"/>
    <w:uiPriority w:val="99"/>
    <w:semiHidden/>
    <w:unhideWhenUsed/>
    <w:rsid w:val="00CE7F13"/>
    <w:pPr>
      <w:numPr>
        <w:numId w:val="1"/>
      </w:numPr>
      <w:contextualSpacing/>
    </w:pPr>
  </w:style>
  <w:style w:type="paragraph" w:styleId="ListBullet2">
    <w:name w:val="List Bullet 2"/>
    <w:basedOn w:val="Normal"/>
    <w:uiPriority w:val="99"/>
    <w:semiHidden/>
    <w:unhideWhenUsed/>
    <w:rsid w:val="00CE7F13"/>
    <w:pPr>
      <w:numPr>
        <w:numId w:val="2"/>
      </w:numPr>
      <w:contextualSpacing/>
    </w:pPr>
  </w:style>
  <w:style w:type="paragraph" w:styleId="ListBullet3">
    <w:name w:val="List Bullet 3"/>
    <w:basedOn w:val="Normal"/>
    <w:uiPriority w:val="99"/>
    <w:semiHidden/>
    <w:unhideWhenUsed/>
    <w:rsid w:val="00CE7F13"/>
    <w:pPr>
      <w:numPr>
        <w:numId w:val="3"/>
      </w:numPr>
      <w:contextualSpacing/>
    </w:pPr>
  </w:style>
  <w:style w:type="paragraph" w:styleId="ListBullet4">
    <w:name w:val="List Bullet 4"/>
    <w:basedOn w:val="Normal"/>
    <w:uiPriority w:val="99"/>
    <w:semiHidden/>
    <w:unhideWhenUsed/>
    <w:rsid w:val="00CE7F13"/>
    <w:pPr>
      <w:numPr>
        <w:numId w:val="4"/>
      </w:numPr>
      <w:contextualSpacing/>
    </w:pPr>
  </w:style>
  <w:style w:type="paragraph" w:styleId="ListBullet5">
    <w:name w:val="List Bullet 5"/>
    <w:basedOn w:val="Normal"/>
    <w:uiPriority w:val="99"/>
    <w:semiHidden/>
    <w:unhideWhenUsed/>
    <w:rsid w:val="00CE7F13"/>
    <w:pPr>
      <w:numPr>
        <w:numId w:val="5"/>
      </w:numPr>
      <w:contextualSpacing/>
    </w:pPr>
  </w:style>
  <w:style w:type="paragraph" w:styleId="ListContinue">
    <w:name w:val="List Continue"/>
    <w:basedOn w:val="Normal"/>
    <w:uiPriority w:val="99"/>
    <w:semiHidden/>
    <w:unhideWhenUsed/>
    <w:rsid w:val="00CE7F13"/>
    <w:pPr>
      <w:spacing w:after="120"/>
      <w:ind w:left="360"/>
      <w:contextualSpacing/>
    </w:pPr>
  </w:style>
  <w:style w:type="paragraph" w:styleId="ListContinue2">
    <w:name w:val="List Continue 2"/>
    <w:basedOn w:val="Normal"/>
    <w:uiPriority w:val="99"/>
    <w:semiHidden/>
    <w:unhideWhenUsed/>
    <w:rsid w:val="00CE7F13"/>
    <w:pPr>
      <w:spacing w:after="120"/>
      <w:ind w:left="720"/>
      <w:contextualSpacing/>
    </w:pPr>
  </w:style>
  <w:style w:type="paragraph" w:styleId="ListContinue3">
    <w:name w:val="List Continue 3"/>
    <w:basedOn w:val="Normal"/>
    <w:uiPriority w:val="99"/>
    <w:semiHidden/>
    <w:unhideWhenUsed/>
    <w:rsid w:val="00CE7F13"/>
    <w:pPr>
      <w:spacing w:after="120"/>
      <w:ind w:left="1080"/>
      <w:contextualSpacing/>
    </w:pPr>
  </w:style>
  <w:style w:type="paragraph" w:styleId="ListContinue4">
    <w:name w:val="List Continue 4"/>
    <w:basedOn w:val="Normal"/>
    <w:uiPriority w:val="99"/>
    <w:semiHidden/>
    <w:unhideWhenUsed/>
    <w:rsid w:val="00CE7F13"/>
    <w:pPr>
      <w:spacing w:after="120"/>
      <w:ind w:left="1440"/>
      <w:contextualSpacing/>
    </w:pPr>
  </w:style>
  <w:style w:type="paragraph" w:styleId="ListContinue5">
    <w:name w:val="List Continue 5"/>
    <w:basedOn w:val="Normal"/>
    <w:uiPriority w:val="99"/>
    <w:semiHidden/>
    <w:unhideWhenUsed/>
    <w:rsid w:val="00CE7F13"/>
    <w:pPr>
      <w:spacing w:after="120"/>
      <w:ind w:left="1800"/>
      <w:contextualSpacing/>
    </w:pPr>
  </w:style>
  <w:style w:type="paragraph" w:styleId="ListNumber">
    <w:name w:val="List Number"/>
    <w:basedOn w:val="Normal"/>
    <w:uiPriority w:val="99"/>
    <w:semiHidden/>
    <w:unhideWhenUsed/>
    <w:rsid w:val="00CE7F13"/>
    <w:pPr>
      <w:numPr>
        <w:numId w:val="6"/>
      </w:numPr>
      <w:contextualSpacing/>
    </w:pPr>
  </w:style>
  <w:style w:type="paragraph" w:styleId="ListNumber2">
    <w:name w:val="List Number 2"/>
    <w:basedOn w:val="Normal"/>
    <w:uiPriority w:val="99"/>
    <w:semiHidden/>
    <w:unhideWhenUsed/>
    <w:rsid w:val="00CE7F13"/>
    <w:pPr>
      <w:numPr>
        <w:numId w:val="7"/>
      </w:numPr>
      <w:contextualSpacing/>
    </w:pPr>
  </w:style>
  <w:style w:type="paragraph" w:styleId="ListNumber3">
    <w:name w:val="List Number 3"/>
    <w:basedOn w:val="Normal"/>
    <w:uiPriority w:val="99"/>
    <w:semiHidden/>
    <w:unhideWhenUsed/>
    <w:rsid w:val="00CE7F13"/>
    <w:pPr>
      <w:numPr>
        <w:numId w:val="8"/>
      </w:numPr>
      <w:contextualSpacing/>
    </w:pPr>
  </w:style>
  <w:style w:type="paragraph" w:styleId="ListNumber4">
    <w:name w:val="List Number 4"/>
    <w:basedOn w:val="Normal"/>
    <w:uiPriority w:val="99"/>
    <w:semiHidden/>
    <w:unhideWhenUsed/>
    <w:rsid w:val="00CE7F13"/>
    <w:pPr>
      <w:numPr>
        <w:numId w:val="9"/>
      </w:numPr>
      <w:contextualSpacing/>
    </w:pPr>
  </w:style>
  <w:style w:type="paragraph" w:styleId="ListNumber5">
    <w:name w:val="List Number 5"/>
    <w:basedOn w:val="Normal"/>
    <w:uiPriority w:val="99"/>
    <w:semiHidden/>
    <w:unhideWhenUsed/>
    <w:rsid w:val="00CE7F13"/>
    <w:pPr>
      <w:numPr>
        <w:numId w:val="10"/>
      </w:numPr>
      <w:contextualSpacing/>
    </w:pPr>
  </w:style>
  <w:style w:type="paragraph" w:styleId="ListParagraph">
    <w:name w:val="List Paragraph"/>
    <w:basedOn w:val="Normal"/>
    <w:uiPriority w:val="34"/>
    <w:qFormat/>
    <w:rsid w:val="00CE7F13"/>
    <w:pPr>
      <w:ind w:left="720"/>
      <w:contextualSpacing/>
    </w:pPr>
  </w:style>
  <w:style w:type="paragraph" w:styleId="Macro">
    <w:name w:val="macro"/>
    <w:link w:val="MacroTextChar"/>
    <w:uiPriority w:val="99"/>
    <w:semiHidden/>
    <w:unhideWhenUsed/>
    <w:rsid w:val="00CE7F13"/>
    <w:pPr>
      <w:tabs>
        <w:tab w:val="left" w:pos="480"/>
        <w:tab w:val="left" w:pos="960"/>
        <w:tab w:val="left" w:pos="1440"/>
        <w:tab w:val="left" w:pos="1920"/>
        <w:tab w:val="left" w:pos="2400"/>
        <w:tab w:val="left" w:pos="2880"/>
        <w:tab w:val="left" w:pos="3360"/>
        <w:tab w:val="left" w:pos="3840"/>
        <w:tab w:val="left" w:pos="4320"/>
      </w:tabs>
      <w:spacing w:after="0" w:line="259" w:lineRule="auto"/>
    </w:pPr>
    <w:rPr>
      <w:rFonts w:ascii="Consolas" w:hAnsi="Consolas" w:cs="Consolas"/>
      <w:sz w:val="20"/>
      <w:szCs w:val="20"/>
    </w:rPr>
  </w:style>
  <w:style w:type="character" w:customStyle="1" w:styleId="MacroTextChar">
    <w:name w:val="Macro Text Char"/>
    <w:basedOn w:val="DefaultParagraphFont"/>
    <w:link w:val="Macro"/>
    <w:uiPriority w:val="99"/>
    <w:semiHidden/>
    <w:rsid w:val="00CE7F13"/>
    <w:rPr>
      <w:rFonts w:ascii="Consolas" w:hAnsi="Consolas" w:cs="Consolas"/>
      <w:sz w:val="20"/>
      <w:szCs w:val="20"/>
    </w:rPr>
  </w:style>
  <w:style w:type="paragraph" w:styleId="MessageHeader">
    <w:name w:val="Message Header"/>
    <w:basedOn w:val="Normal"/>
    <w:link w:val="MessageHeaderChar"/>
    <w:uiPriority w:val="99"/>
    <w:semiHidden/>
    <w:unhideWhenUsed/>
    <w:rsid w:val="00CE7F13"/>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ＭＳ ゴシック" w:hAnsi="Calibri Light" w:cs="Times New Roman"/>
      <w:sz w:val="24"/>
      <w:szCs w:val="24"/>
    </w:rPr>
  </w:style>
  <w:style w:type="character" w:customStyle="1" w:styleId="MessageHeaderChar">
    <w:name w:val="Message Header Char"/>
    <w:basedOn w:val="DefaultParagraphFont"/>
    <w:link w:val="MessageHeader"/>
    <w:uiPriority w:val="99"/>
    <w:semiHidden/>
    <w:rsid w:val="00CE7F13"/>
    <w:rPr>
      <w:rFonts w:ascii="Calibri Light" w:eastAsia="ＭＳ ゴシック" w:hAnsi="Calibri Light" w:cs="Times New Roman"/>
      <w:sz w:val="24"/>
      <w:szCs w:val="24"/>
      <w:shd w:val="pct20" w:color="auto" w:fill="auto"/>
    </w:rPr>
  </w:style>
  <w:style w:type="paragraph" w:styleId="NoSpacing">
    <w:name w:val="No Spacing"/>
    <w:uiPriority w:val="3"/>
    <w:qFormat/>
    <w:rsid w:val="00CE7F13"/>
    <w:pPr>
      <w:spacing w:after="0" w:line="240" w:lineRule="auto"/>
    </w:pPr>
    <w:rPr>
      <w:sz w:val="22"/>
      <w:szCs w:val="22"/>
    </w:rPr>
  </w:style>
  <w:style w:type="paragraph" w:styleId="NormalWeb">
    <w:name w:val="Normal (Web)"/>
    <w:basedOn w:val="Normal"/>
    <w:uiPriority w:val="99"/>
    <w:semiHidden/>
    <w:unhideWhenUsed/>
    <w:rsid w:val="00CE7F13"/>
    <w:rPr>
      <w:sz w:val="24"/>
      <w:szCs w:val="24"/>
    </w:rPr>
  </w:style>
  <w:style w:type="paragraph" w:styleId="NormalIndent">
    <w:name w:val="Normal Indent"/>
    <w:basedOn w:val="Normal"/>
    <w:uiPriority w:val="99"/>
    <w:semiHidden/>
    <w:unhideWhenUsed/>
    <w:rsid w:val="00CE7F13"/>
    <w:pPr>
      <w:ind w:left="720"/>
    </w:pPr>
  </w:style>
  <w:style w:type="paragraph" w:styleId="NoteHeading">
    <w:name w:val="Note Heading"/>
    <w:basedOn w:val="Normal"/>
    <w:next w:val="Normal"/>
    <w:link w:val="NoteHeadingChar"/>
    <w:uiPriority w:val="99"/>
    <w:semiHidden/>
    <w:unhideWhenUsed/>
    <w:rsid w:val="00CE7F13"/>
  </w:style>
  <w:style w:type="character" w:customStyle="1" w:styleId="NoteHeadingChar">
    <w:name w:val="Note Heading Char"/>
    <w:basedOn w:val="DefaultParagraphFont"/>
    <w:link w:val="NoteHeading"/>
    <w:uiPriority w:val="99"/>
    <w:semiHidden/>
    <w:rsid w:val="00CE7F13"/>
  </w:style>
  <w:style w:type="paragraph" w:styleId="PlainText">
    <w:name w:val="Plain Text"/>
    <w:basedOn w:val="Normal"/>
    <w:link w:val="PlainTextChar"/>
    <w:uiPriority w:val="99"/>
    <w:semiHidden/>
    <w:unhideWhenUsed/>
    <w:rsid w:val="00CE7F13"/>
    <w:rPr>
      <w:rFonts w:ascii="Consolas" w:hAnsi="Consolas" w:cs="Consolas"/>
      <w:sz w:val="21"/>
      <w:szCs w:val="21"/>
    </w:rPr>
  </w:style>
  <w:style w:type="character" w:customStyle="1" w:styleId="PlainTextChar">
    <w:name w:val="Plain Text Char"/>
    <w:basedOn w:val="DefaultParagraphFont"/>
    <w:link w:val="PlainText"/>
    <w:uiPriority w:val="99"/>
    <w:semiHidden/>
    <w:rsid w:val="00CE7F13"/>
    <w:rPr>
      <w:rFonts w:ascii="Consolas" w:hAnsi="Consolas" w:cs="Consolas"/>
      <w:sz w:val="21"/>
      <w:szCs w:val="21"/>
    </w:rPr>
  </w:style>
  <w:style w:type="paragraph" w:styleId="Quote">
    <w:name w:val="Quote"/>
    <w:basedOn w:val="Normal"/>
    <w:next w:val="Normal"/>
    <w:link w:val="QuoteChar"/>
    <w:uiPriority w:val="29"/>
    <w:qFormat/>
    <w:rsid w:val="00CE7F13"/>
    <w:pPr>
      <w:spacing w:before="200"/>
      <w:ind w:left="864" w:right="864"/>
      <w:jc w:val="center"/>
    </w:pPr>
    <w:rPr>
      <w:i/>
      <w:iCs/>
      <w:color w:val="404040"/>
    </w:rPr>
  </w:style>
  <w:style w:type="character" w:customStyle="1" w:styleId="QuoteChar">
    <w:name w:val="Quote Char"/>
    <w:basedOn w:val="DefaultParagraphFont"/>
    <w:link w:val="Quote"/>
    <w:uiPriority w:val="29"/>
    <w:rsid w:val="00CE7F13"/>
    <w:rPr>
      <w:i/>
      <w:iCs/>
      <w:color w:val="404040"/>
    </w:rPr>
  </w:style>
  <w:style w:type="paragraph" w:styleId="Salutation">
    <w:name w:val="Salutation"/>
    <w:basedOn w:val="Normal"/>
    <w:next w:val="Normal"/>
    <w:link w:val="SalutationChar"/>
    <w:uiPriority w:val="99"/>
    <w:semiHidden/>
    <w:unhideWhenUsed/>
    <w:rsid w:val="00CE7F13"/>
  </w:style>
  <w:style w:type="character" w:customStyle="1" w:styleId="SalutationChar">
    <w:name w:val="Salutation Char"/>
    <w:basedOn w:val="DefaultParagraphFont"/>
    <w:link w:val="Salutation"/>
    <w:uiPriority w:val="99"/>
    <w:semiHidden/>
    <w:rsid w:val="00CE7F13"/>
  </w:style>
  <w:style w:type="paragraph" w:styleId="Signature">
    <w:name w:val="Signature"/>
    <w:basedOn w:val="Normal"/>
    <w:link w:val="SignatureChar"/>
    <w:uiPriority w:val="99"/>
    <w:semiHidden/>
    <w:unhideWhenUsed/>
    <w:rsid w:val="00CE7F13"/>
    <w:pPr>
      <w:ind w:left="4320"/>
    </w:pPr>
  </w:style>
  <w:style w:type="character" w:customStyle="1" w:styleId="SignatureChar">
    <w:name w:val="Signature Char"/>
    <w:basedOn w:val="DefaultParagraphFont"/>
    <w:link w:val="Signature"/>
    <w:uiPriority w:val="99"/>
    <w:semiHidden/>
    <w:rsid w:val="00CE7F13"/>
  </w:style>
  <w:style w:type="paragraph" w:styleId="Subtitle">
    <w:name w:val="Subtitle"/>
    <w:basedOn w:val="Normal"/>
    <w:next w:val="Normal"/>
    <w:link w:val="SubtitleChar"/>
    <w:uiPriority w:val="11"/>
    <w:qFormat/>
    <w:rsid w:val="00CE7F13"/>
    <w:pPr>
      <w:numPr>
        <w:ilvl w:val="1"/>
      </w:numPr>
    </w:pPr>
    <w:rPr>
      <w:rFonts w:eastAsia="ＭＳ 明朝"/>
      <w:color w:val="5A5A5A"/>
      <w:spacing w:val="15"/>
    </w:rPr>
  </w:style>
  <w:style w:type="character" w:customStyle="1" w:styleId="SubtitleChar">
    <w:name w:val="Subtitle Char"/>
    <w:basedOn w:val="DefaultParagraphFont"/>
    <w:link w:val="Subtitle"/>
    <w:uiPriority w:val="11"/>
    <w:rsid w:val="00CE7F13"/>
    <w:rPr>
      <w:rFonts w:eastAsia="ＭＳ 明朝"/>
      <w:color w:val="5A5A5A"/>
      <w:spacing w:val="15"/>
    </w:rPr>
  </w:style>
  <w:style w:type="paragraph" w:styleId="TableofAuthorities">
    <w:name w:val="table of authorities"/>
    <w:basedOn w:val="Normal"/>
    <w:next w:val="Normal"/>
    <w:uiPriority w:val="99"/>
    <w:semiHidden/>
    <w:unhideWhenUsed/>
    <w:rsid w:val="00CE7F13"/>
    <w:pPr>
      <w:ind w:left="220" w:hanging="220"/>
    </w:pPr>
  </w:style>
  <w:style w:type="paragraph" w:styleId="TableofFigures">
    <w:name w:val="table of figures"/>
    <w:basedOn w:val="Normal"/>
    <w:next w:val="Normal"/>
    <w:uiPriority w:val="99"/>
    <w:semiHidden/>
    <w:unhideWhenUsed/>
    <w:rsid w:val="00CE7F13"/>
  </w:style>
  <w:style w:type="paragraph" w:styleId="Title">
    <w:name w:val="Title"/>
    <w:basedOn w:val="Normal"/>
    <w:next w:val="Normal"/>
    <w:link w:val="TitleChar"/>
    <w:uiPriority w:val="10"/>
    <w:qFormat/>
    <w:rsid w:val="00CE7F13"/>
    <w:pPr>
      <w:contextualSpacing/>
    </w:pPr>
    <w:rPr>
      <w:rFonts w:ascii="Calibri Light" w:eastAsia="ＭＳ ゴシック" w:hAnsi="Calibri Light" w:cs="Times New Roman"/>
      <w:spacing w:val="-10"/>
      <w:kern w:val="28"/>
      <w:sz w:val="56"/>
      <w:szCs w:val="56"/>
    </w:rPr>
  </w:style>
  <w:style w:type="character" w:customStyle="1" w:styleId="TitleChar">
    <w:name w:val="Title Char"/>
    <w:basedOn w:val="DefaultParagraphFont"/>
    <w:link w:val="Title"/>
    <w:uiPriority w:val="10"/>
    <w:rsid w:val="00CE7F13"/>
    <w:rPr>
      <w:rFonts w:ascii="Calibri Light" w:eastAsia="ＭＳ ゴシック" w:hAnsi="Calibri Light" w:cs="Times New Roman"/>
      <w:spacing w:val="-10"/>
      <w:kern w:val="28"/>
      <w:sz w:val="56"/>
      <w:szCs w:val="56"/>
    </w:rPr>
  </w:style>
  <w:style w:type="paragraph" w:styleId="TOAHeading">
    <w:name w:val="toa heading"/>
    <w:basedOn w:val="Normal"/>
    <w:next w:val="Normal"/>
    <w:uiPriority w:val="99"/>
    <w:semiHidden/>
    <w:unhideWhenUsed/>
    <w:rsid w:val="00CE7F13"/>
    <w:pPr>
      <w:spacing w:before="120"/>
    </w:pPr>
    <w:rPr>
      <w:rFonts w:ascii="Calibri Light" w:eastAsia="ＭＳ ゴシック" w:hAnsi="Calibri Light" w:cs="Times New Roman"/>
      <w:b/>
      <w:bCs/>
      <w:sz w:val="24"/>
      <w:szCs w:val="24"/>
    </w:rPr>
  </w:style>
  <w:style w:type="paragraph" w:styleId="TOC1">
    <w:name w:val="toc 1"/>
    <w:basedOn w:val="Normal"/>
    <w:next w:val="Normal"/>
    <w:uiPriority w:val="39"/>
    <w:semiHidden/>
    <w:unhideWhenUsed/>
    <w:rsid w:val="00CE7F13"/>
    <w:pPr>
      <w:spacing w:after="100"/>
    </w:pPr>
  </w:style>
  <w:style w:type="paragraph" w:styleId="TOC2">
    <w:name w:val="toc 2"/>
    <w:basedOn w:val="Normal"/>
    <w:next w:val="Normal"/>
    <w:uiPriority w:val="39"/>
    <w:semiHidden/>
    <w:unhideWhenUsed/>
    <w:rsid w:val="00CE7F13"/>
    <w:pPr>
      <w:spacing w:after="100"/>
      <w:ind w:left="220"/>
    </w:pPr>
  </w:style>
  <w:style w:type="paragraph" w:styleId="TOC3">
    <w:name w:val="toc 3"/>
    <w:basedOn w:val="Normal"/>
    <w:next w:val="Normal"/>
    <w:uiPriority w:val="39"/>
    <w:semiHidden/>
    <w:unhideWhenUsed/>
    <w:rsid w:val="00CE7F13"/>
    <w:pPr>
      <w:spacing w:after="100"/>
      <w:ind w:left="440"/>
    </w:pPr>
  </w:style>
  <w:style w:type="paragraph" w:styleId="TOC4">
    <w:name w:val="toc 4"/>
    <w:basedOn w:val="Normal"/>
    <w:next w:val="Normal"/>
    <w:uiPriority w:val="39"/>
    <w:semiHidden/>
    <w:unhideWhenUsed/>
    <w:rsid w:val="00CE7F13"/>
    <w:pPr>
      <w:spacing w:after="100"/>
      <w:ind w:left="660"/>
    </w:pPr>
  </w:style>
  <w:style w:type="paragraph" w:styleId="TOC5">
    <w:name w:val="toc 5"/>
    <w:basedOn w:val="Normal"/>
    <w:next w:val="Normal"/>
    <w:uiPriority w:val="39"/>
    <w:semiHidden/>
    <w:unhideWhenUsed/>
    <w:rsid w:val="00CE7F13"/>
    <w:pPr>
      <w:spacing w:after="100"/>
      <w:ind w:left="880"/>
    </w:pPr>
  </w:style>
  <w:style w:type="paragraph" w:styleId="TOC6">
    <w:name w:val="toc 6"/>
    <w:basedOn w:val="Normal"/>
    <w:next w:val="Normal"/>
    <w:uiPriority w:val="39"/>
    <w:semiHidden/>
    <w:unhideWhenUsed/>
    <w:rsid w:val="00CE7F13"/>
    <w:pPr>
      <w:spacing w:after="100"/>
      <w:ind w:left="1100"/>
    </w:pPr>
  </w:style>
  <w:style w:type="paragraph" w:styleId="TOC7">
    <w:name w:val="toc 7"/>
    <w:basedOn w:val="Normal"/>
    <w:next w:val="Normal"/>
    <w:uiPriority w:val="39"/>
    <w:semiHidden/>
    <w:unhideWhenUsed/>
    <w:rsid w:val="00CE7F13"/>
    <w:pPr>
      <w:spacing w:after="100"/>
      <w:ind w:left="1320"/>
    </w:pPr>
  </w:style>
  <w:style w:type="paragraph" w:styleId="TOC8">
    <w:name w:val="toc 8"/>
    <w:basedOn w:val="Normal"/>
    <w:next w:val="Normal"/>
    <w:uiPriority w:val="39"/>
    <w:semiHidden/>
    <w:unhideWhenUsed/>
    <w:rsid w:val="00CE7F13"/>
    <w:pPr>
      <w:spacing w:after="100"/>
      <w:ind w:left="1540"/>
    </w:pPr>
  </w:style>
  <w:style w:type="paragraph" w:styleId="TOC9">
    <w:name w:val="toc 9"/>
    <w:basedOn w:val="Normal"/>
    <w:next w:val="Normal"/>
    <w:uiPriority w:val="39"/>
    <w:semiHidden/>
    <w:unhideWhenUsed/>
    <w:rsid w:val="00CE7F13"/>
    <w:pPr>
      <w:spacing w:after="100"/>
      <w:ind w:left="1760"/>
    </w:pPr>
  </w:style>
  <w:style w:type="paragraph" w:styleId="TOCHeading">
    <w:name w:val="TOC Heading"/>
    <w:basedOn w:val="Heading1"/>
    <w:next w:val="Normal"/>
    <w:uiPriority w:val="39"/>
    <w:semiHidden/>
    <w:unhideWhenUsed/>
    <w:qFormat/>
    <w:rsid w:val="00CE7F13"/>
    <w:pPr>
      <w:numPr>
        <w:numId w:val="0"/>
      </w:numPr>
      <w:outlineLvl w:val="9"/>
    </w:pPr>
  </w:style>
  <w:style w:type="paragraph" w:customStyle="1" w:styleId="FERCparanumber">
    <w:name w:val="FERC paranumber"/>
    <w:basedOn w:val="Normal"/>
    <w:link w:val="FERCparanumberChar"/>
    <w:qFormat/>
    <w:rsid w:val="00B86E6D"/>
    <w:pPr>
      <w:widowControl/>
      <w:numPr>
        <w:numId w:val="11"/>
      </w:numPr>
      <w:spacing w:after="260"/>
    </w:pPr>
  </w:style>
  <w:style w:type="character" w:customStyle="1" w:styleId="FERCparanumberChar">
    <w:name w:val="FERC paranumber Char"/>
    <w:basedOn w:val="DefaultParagraphFont"/>
    <w:link w:val="FERCparanumber"/>
    <w:rsid w:val="00C274AA"/>
    <w:rPr>
      <w:rFonts w:ascii="Times New Roman" w:hAnsi="Times New Roman" w:cs="Times New Roman"/>
      <w:sz w:val="26"/>
    </w:rPr>
  </w:style>
  <w:style w:type="character" w:styleId="PageNumber">
    <w:name w:val="page number"/>
    <w:basedOn w:val="DefaultParagraphFont"/>
    <w:rsid w:val="0048020B"/>
  </w:style>
  <w:style w:type="table" w:styleId="TableGrid">
    <w:name w:val="Table Grid"/>
    <w:basedOn w:val="TableNormal"/>
    <w:rsid w:val="0048020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020B"/>
    <w:rPr>
      <w:color w:val="0563C1"/>
      <w:u w:val="single"/>
    </w:rPr>
  </w:style>
  <w:style w:type="character" w:customStyle="1" w:styleId="Heading1Char">
    <w:name w:val="Heading 1 Char"/>
    <w:basedOn w:val="DefaultParagraphFont"/>
    <w:link w:val="Heading1"/>
    <w:uiPriority w:val="9"/>
    <w:rsid w:val="00EB5D6A"/>
    <w:rPr>
      <w:rFonts w:ascii="Times New Roman" w:eastAsia="ＭＳ ゴシック" w:hAnsi="Times New Roman" w:cs="Times New Roman"/>
      <w:b/>
      <w:kern w:val="32"/>
      <w:sz w:val="26"/>
      <w:szCs w:val="32"/>
      <w:u w:val="single"/>
    </w:rPr>
  </w:style>
  <w:style w:type="character" w:customStyle="1" w:styleId="Heading2Char">
    <w:name w:val="Heading 2 Char"/>
    <w:basedOn w:val="DefaultParagraphFont"/>
    <w:link w:val="Heading2"/>
    <w:rsid w:val="00EB5D6A"/>
    <w:rPr>
      <w:rFonts w:ascii="Times New Roman" w:eastAsia="ＭＳ ゴシック" w:hAnsi="Times New Roman" w:cs="Times New Roman"/>
      <w:b/>
      <w:kern w:val="32"/>
      <w:sz w:val="26"/>
      <w:szCs w:val="26"/>
      <w:u w:val="single"/>
    </w:rPr>
  </w:style>
  <w:style w:type="paragraph" w:styleId="FootnoteText">
    <w:name w:val="footnote text"/>
    <w:aliases w:val="Footnote Text Char1 Char,Footnote Text Char Char Char,Footnote Text Char1,Footnote Text Char Char,Footnote Text Char Char1,fn,Footnote Text MRP,Footnote Text Char3,Footnote Text Char2 Char,ft Char,Footnote Text Char1 Char Char Char1,ft,f,c"/>
    <w:basedOn w:val="Normal"/>
    <w:link w:val="FootnoteTextChar"/>
    <w:uiPriority w:val="99"/>
    <w:unhideWhenUsed/>
    <w:qFormat/>
    <w:rsid w:val="00DD46EB"/>
    <w:pPr>
      <w:spacing w:after="260"/>
      <w:ind w:firstLine="720"/>
    </w:pPr>
    <w:rPr>
      <w:szCs w:val="20"/>
    </w:rPr>
  </w:style>
  <w:style w:type="character" w:styleId="FootnoteReference">
    <w:name w:val="footnote reference"/>
    <w:aliases w:val="o,fr,Style 13,Style 12,Style 15,Style 17,Style 9,o1,fr1,o2,fr2,o3,fr3,Style 18,(NECG) Footnote Reference,Style 20,Style 7,Style 8,Style 19,Style 28,Style 11,Style 16,Styl,Footnote Reference (EIS),fnr,Footnote reference (EA),Style 30,."/>
    <w:basedOn w:val="DefaultParagraphFont"/>
    <w:uiPriority w:val="99"/>
    <w:unhideWhenUsed/>
    <w:qFormat/>
    <w:rsid w:val="00DD46EB"/>
    <w:rPr>
      <w:rFonts w:ascii="Times New Roman" w:hAnsi="Times New Roman" w:cs="Times New Roman"/>
      <w:b/>
      <w:sz w:val="26"/>
      <w:vertAlign w:val="superscript"/>
    </w:rPr>
  </w:style>
  <w:style w:type="paragraph" w:customStyle="1" w:styleId="FERCNopara">
    <w:name w:val="FERC Nopara"/>
    <w:basedOn w:val="Normal"/>
    <w:uiPriority w:val="1"/>
    <w:qFormat/>
    <w:rsid w:val="00FE519C"/>
    <w:pPr>
      <w:spacing w:after="260"/>
      <w:ind w:firstLine="720"/>
    </w:pPr>
  </w:style>
  <w:style w:type="character" w:styleId="CommentReference">
    <w:name w:val="annotation reference"/>
    <w:basedOn w:val="DefaultParagraphFont"/>
    <w:uiPriority w:val="99"/>
    <w:semiHidden/>
    <w:unhideWhenUsed/>
    <w:rsid w:val="00407EE0"/>
    <w:rPr>
      <w:sz w:val="16"/>
      <w:szCs w:val="16"/>
    </w:rPr>
  </w:style>
  <w:style w:type="character" w:styleId="UnresolvedMention">
    <w:name w:val="Unresolved Mention"/>
    <w:basedOn w:val="DefaultParagraphFont"/>
    <w:uiPriority w:val="99"/>
    <w:semiHidden/>
    <w:unhideWhenUsed/>
    <w:rsid w:val="00C32965"/>
    <w:rPr>
      <w:color w:val="605E5C"/>
      <w:shd w:val="clear" w:color="auto" w:fill="E1DFDD"/>
    </w:rPr>
  </w:style>
  <w:style w:type="paragraph" w:styleId="Revision">
    <w:name w:val="Revision"/>
    <w:hidden/>
    <w:uiPriority w:val="99"/>
    <w:semiHidden/>
    <w:rsid w:val="005333BC"/>
    <w:pPr>
      <w:spacing w:after="0" w:line="240" w:lineRule="auto"/>
    </w:pPr>
    <w:rPr>
      <w:rFonts w:ascii="Times New Roman" w:hAnsi="Times New Roman" w:cs="Times New Roman"/>
      <w:sz w:val="26"/>
      <w:szCs w:val="22"/>
    </w:rPr>
  </w:style>
  <w:style w:type="character" w:customStyle="1" w:styleId="FootnoteTextChar">
    <w:name w:val="Footnote Text Char"/>
    <w:aliases w:val="Footnote Text Char1 Char Char,Footnote Text Char Char Char Char,Footnote Text Char1 Char1,Footnote Text Char Char Char1,Footnote Text Char Char1 Char,fn Char,Footnote Text MRP Char,Footnote Text Char3 Char,ft Char Char,ft Char1,f Char"/>
    <w:basedOn w:val="DefaultParagraphFont"/>
    <w:link w:val="FootnoteText"/>
    <w:uiPriority w:val="99"/>
    <w:rsid w:val="000B1A5D"/>
    <w:rPr>
      <w:rFonts w:ascii="Times New Roman" w:hAnsi="Times New Roman" w:cs="Times New Roman"/>
      <w:sz w:val="26"/>
      <w:szCs w:val="20"/>
    </w:rPr>
  </w:style>
  <w:style w:type="character" w:styleId="FollowedHyperlink">
    <w:name w:val="FollowedHyperlink"/>
    <w:basedOn w:val="DefaultParagraphFont"/>
    <w:uiPriority w:val="99"/>
    <w:semiHidden/>
    <w:unhideWhenUsed/>
    <w:rsid w:val="00FB35E0"/>
    <w:rPr>
      <w:color w:val="954F72"/>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yperlink" Target="http://etariff.ferc.gov/TariffSectionDetails.aspx?tid=898&amp;sid=375516" TargetMode="External" /><Relationship Id="rId12" Type="http://schemas.openxmlformats.org/officeDocument/2006/relationships/hyperlink" Target="http://etariff.ferc.gov/TariffSectionDetails.aspx?tid=898&amp;sid=375517" TargetMode="External" /><Relationship Id="rId13" Type="http://schemas.openxmlformats.org/officeDocument/2006/relationships/hyperlink" Target="http://etariff.ferc.gov/TariffSectionDetails.aspx?tid=898&amp;sid=375518" TargetMode="External" /><Relationship Id="rId14" Type="http://schemas.openxmlformats.org/officeDocument/2006/relationships/hyperlink" Target="http://etariff.ferc.gov/TariffSectionDetails.aspx?tid=898&amp;sid=375519" TargetMode="External" /><Relationship Id="rId15" Type="http://schemas.openxmlformats.org/officeDocument/2006/relationships/hyperlink" Target="http://etariff.ferc.gov/TariffSectionDetails.aspx?tid=898&amp;sid=375520" TargetMode="External" /><Relationship Id="rId16" Type="http://schemas.openxmlformats.org/officeDocument/2006/relationships/hyperlink" Target="http://etariff.ferc.gov/TariffSectionDetails.aspx?tid=898&amp;sid=375521" TargetMode="External" /><Relationship Id="rId17" Type="http://schemas.openxmlformats.org/officeDocument/2006/relationships/hyperlink" Target="http://etariff.ferc.gov/TariffSectionDetails.aspx?tid=898&amp;sid=375522" TargetMode="External" /><Relationship Id="rId18" Type="http://schemas.openxmlformats.org/officeDocument/2006/relationships/hyperlink" Target="http://etariff.ferc.gov/TariffSectionDetails.aspx?tid=898&amp;sid=375523" TargetMode="External" /><Relationship Id="rId19" Type="http://schemas.openxmlformats.org/officeDocument/2006/relationships/hyperlink" Target="http://etariff.ferc.gov/TariffSectionDetails.aspx?tid=898&amp;sid=375524" TargetMode="External" /><Relationship Id="rId2" Type="http://schemas.openxmlformats.org/officeDocument/2006/relationships/endnotes" Target="endnotes.xml" /><Relationship Id="rId20" Type="http://schemas.openxmlformats.org/officeDocument/2006/relationships/hyperlink" Target="http://etariff.ferc.gov/TariffSectionDetails.aspx?tid=898&amp;sid=375525" TargetMode="External" /><Relationship Id="rId21" Type="http://schemas.openxmlformats.org/officeDocument/2006/relationships/hyperlink" Target="http://etariff.ferc.gov/TariffSectionDetails.aspx?tid=898&amp;sid=375526" TargetMode="External" /><Relationship Id="rId22" Type="http://schemas.openxmlformats.org/officeDocument/2006/relationships/hyperlink" Target="http://etariff.ferc.gov/TariffSectionDetails.aspx?tid=898&amp;sid=375527" TargetMode="External" /><Relationship Id="rId23" Type="http://schemas.openxmlformats.org/officeDocument/2006/relationships/hyperlink" Target="http://etariff.ferc.gov/TariffSectionDetails.aspx?tid=898&amp;sid=375528" TargetMode="External" /><Relationship Id="rId24" Type="http://schemas.openxmlformats.org/officeDocument/2006/relationships/hyperlink" Target="http://etariff.ferc.gov/TariffSectionDetails.aspx?tid=898&amp;sid=375529" TargetMode="External" /><Relationship Id="rId25" Type="http://schemas.openxmlformats.org/officeDocument/2006/relationships/hyperlink" Target="http://etariff.ferc.gov/TariffSectionDetails.aspx?tid=898&amp;sid=375530" TargetMode="External" /><Relationship Id="rId26" Type="http://schemas.openxmlformats.org/officeDocument/2006/relationships/hyperlink" Target="http://etariff.ferc.gov/TariffSectionDetails.aspx?tid=898&amp;sid=375531" TargetMode="External" /><Relationship Id="rId27" Type="http://schemas.openxmlformats.org/officeDocument/2006/relationships/hyperlink" Target="http://etariff.ferc.gov/TariffSectionDetails.aspx?tid=898&amp;sid=375532" TargetMode="External" /><Relationship Id="rId28" Type="http://schemas.openxmlformats.org/officeDocument/2006/relationships/hyperlink" Target="http://etariff.ferc.gov/TariffSectionDetails.aspx?tid=898&amp;sid=375533" TargetMode="External" /><Relationship Id="rId29" Type="http://schemas.openxmlformats.org/officeDocument/2006/relationships/hyperlink" Target="http://etariff.ferc.gov/TariffSectionDetails.aspx?tid=898&amp;sid=375534" TargetMode="External" /><Relationship Id="rId3" Type="http://schemas.openxmlformats.org/officeDocument/2006/relationships/settings" Target="settings.xml" /><Relationship Id="rId30" Type="http://schemas.openxmlformats.org/officeDocument/2006/relationships/header" Target="header1.xml" /><Relationship Id="rId31" Type="http://schemas.openxmlformats.org/officeDocument/2006/relationships/header" Target="header2.xml" /><Relationship Id="rId32" Type="http://schemas.openxmlformats.org/officeDocument/2006/relationships/header" Target="header3.xm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haredContentType xmlns="Microsoft.SharePoint.Taxonomy.ContentTypeSync" SourceId="74a4cd09-5f17-433b-814a-38e7e9115d16" ContentTypeId="0x0101"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F1F94C-EE7E-4126-B7EE-DCD099C8F567}">
  <ds:schemaRefs>
    <ds:schemaRef ds:uri="Microsoft.SharePoint.Taxonomy.ContentTypeSync"/>
  </ds:schemaRefs>
</ds:datastoreItem>
</file>

<file path=customXml/itemProps2.xml><?xml version="1.0" encoding="utf-8"?>
<ds:datastoreItem xmlns:ds="http://schemas.openxmlformats.org/officeDocument/2006/customXml" ds:itemID="{A8252782-9482-4D4A-8051-ECF9722F0D3E}">
  <ds:schemaRefs>
    <ds:schemaRef ds:uri="http://schemas.openxmlformats.org/officeDocument/2006/bibliography"/>
  </ds:schemaRefs>
</ds:datastoreItem>
</file>

<file path=customXml/itemProps3.xml><?xml version="1.0" encoding="utf-8"?>
<ds:datastoreItem xmlns:ds="http://schemas.openxmlformats.org/officeDocument/2006/customXml" ds:itemID="{57408105-8AD5-4717-A809-95C5AB178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381BE7-B641-45FB-81AE-06DBFECA2362}">
  <ds:schemaRefs>
    <ds:schemaRef ds:uri="http://schemas.microsoft.com/office/2006/metadata/properties"/>
    <ds:schemaRef ds:uri="http://schemas.microsoft.com/office/infopath/2007/PartnerControls"/>
    <ds:schemaRef ds:uri="5e8733a2-e908-454b-85cf-c9d17e1d0943"/>
  </ds:schemaRefs>
</ds:datastoreItem>
</file>

<file path=customXml/itemProps5.xml><?xml version="1.0" encoding="utf-8"?>
<ds:datastoreItem xmlns:ds="http://schemas.openxmlformats.org/officeDocument/2006/customXml" ds:itemID="{19BCB3F6-C847-4C84-81BA-A96453DFE0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12</Pages>
  <Words>3632</Words>
  <Characters>20885</Characters>
  <Application>Microsoft Office Word</Application>
  <DocSecurity>0</DocSecurity>
  <Lines>360</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2026-07-28T20:00:11Z</cp:lastPrinted>
  <dcterms:created xsi:type="dcterms:W3CDTF">2026-07-27T20:15:00Z</dcterms:created>
  <dcterms:modified xsi:type="dcterms:W3CDTF">2026-07-28T17:56:00Z</dcterms:modified>
</cp:coreProperties>
</file>