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A92DDF">
      <w:pPr>
        <w:jc w:val="center"/>
      </w:pPr>
      <w:r>
        <w:t>196 FERC ¶ 61,051</w:t>
      </w:r>
    </w:p>
    <w:p w:rsidR="00F20EBF" w:rsidRPr="00010328">
      <w:pPr>
        <w:jc w:val="center"/>
        <w:rPr>
          <w:szCs w:val="26"/>
        </w:rPr>
      </w:pPr>
      <w:r w:rsidRPr="00010328">
        <w:rPr>
          <w:szCs w:val="26"/>
        </w:rPr>
        <w:t>FEDERAL ENERGY REGULATORY COMMISSION</w:t>
      </w:r>
    </w:p>
    <w:p w:rsidR="00F20EBF" w:rsidRPr="00010328">
      <w:pPr>
        <w:jc w:val="center"/>
        <w:rPr>
          <w:szCs w:val="26"/>
        </w:rPr>
      </w:pPr>
      <w:r w:rsidRPr="00010328">
        <w:rPr>
          <w:szCs w:val="26"/>
        </w:rPr>
        <w:t>WASHINGTON, DC 20426</w:t>
      </w:r>
    </w:p>
    <w:p w:rsidR="00F20EBF" w:rsidRPr="00010328">
      <w:pPr>
        <w:jc w:val="center"/>
        <w:rPr>
          <w:szCs w:val="26"/>
        </w:rPr>
      </w:pPr>
    </w:p>
    <w:p w:rsidR="00F20EBF" w:rsidP="0066730E">
      <w:pPr>
        <w:widowControl/>
        <w:jc w:val="center"/>
        <w:rPr>
          <w:szCs w:val="26"/>
        </w:rPr>
      </w:pPr>
      <w:r w:rsidRPr="0066730E">
        <w:rPr>
          <w:szCs w:val="26"/>
        </w:rPr>
        <w:t>July 20, 2026</w:t>
      </w:r>
    </w:p>
    <w:p w:rsidR="0066730E" w:rsidRPr="0066730E" w:rsidP="0066730E">
      <w:pPr>
        <w:widowControl/>
        <w:rPr>
          <w:szCs w:val="26"/>
        </w:rPr>
      </w:pPr>
    </w:p>
    <w:p w:rsidR="00F20EBF" w:rsidRPr="00010328">
      <w:pPr>
        <w:rPr>
          <w:szCs w:val="26"/>
        </w:rPr>
      </w:pPr>
    </w:p>
    <w:p w:rsidR="00F20EBF" w:rsidRPr="00010328">
      <w:pPr>
        <w:rPr>
          <w:szCs w:val="26"/>
        </w:rPr>
      </w:pPr>
      <w:r w:rsidRPr="00010328">
        <w:rPr>
          <w:szCs w:val="26"/>
        </w:rPr>
        <w:tab/>
        <w:tab/>
        <w:tab/>
        <w:tab/>
        <w:tab/>
      </w:r>
      <w:r w:rsidRPr="00010328" w:rsidR="002A48E7">
        <w:rPr>
          <w:szCs w:val="26"/>
        </w:rPr>
        <w:tab/>
      </w:r>
      <w:r w:rsidRPr="00010328" w:rsidR="006D474C">
        <w:rPr>
          <w:szCs w:val="26"/>
        </w:rPr>
        <w:tab/>
        <w:tab/>
      </w:r>
      <w:r w:rsidRPr="00010328">
        <w:rPr>
          <w:szCs w:val="26"/>
        </w:rPr>
        <w:t>In Reply Refer To:</w:t>
      </w:r>
    </w:p>
    <w:p w:rsidR="00F20EBF" w:rsidRPr="00010328" w:rsidP="006D60D1">
      <w:pPr>
        <w:ind w:left="5760"/>
        <w:rPr>
          <w:szCs w:val="26"/>
        </w:rPr>
      </w:pPr>
      <w:bookmarkStart w:id="0" w:name="Company"/>
      <w:bookmarkEnd w:id="0"/>
      <w:r w:rsidRPr="00010328">
        <w:rPr>
          <w:szCs w:val="26"/>
        </w:rPr>
        <w:t>New York I</w:t>
      </w:r>
      <w:r w:rsidRPr="00010328" w:rsidR="00433835">
        <w:rPr>
          <w:szCs w:val="26"/>
        </w:rPr>
        <w:t>ndependent System Operator, Inc</w:t>
      </w:r>
      <w:r w:rsidRPr="00010328" w:rsidR="009E5E0A">
        <w:rPr>
          <w:szCs w:val="26"/>
        </w:rPr>
        <w:t>.</w:t>
      </w:r>
    </w:p>
    <w:p w:rsidR="00F20EBF" w:rsidRPr="00010328" w:rsidP="005B31B1">
      <w:pPr>
        <w:ind w:left="5760"/>
        <w:rPr>
          <w:szCs w:val="26"/>
        </w:rPr>
      </w:pPr>
      <w:bookmarkStart w:id="1" w:name="Docket_Number"/>
      <w:bookmarkEnd w:id="1"/>
      <w:r w:rsidRPr="00010328">
        <w:rPr>
          <w:szCs w:val="26"/>
        </w:rPr>
        <w:t>Docket No.</w:t>
      </w:r>
      <w:r w:rsidRPr="00010328" w:rsidR="005B31B1">
        <w:rPr>
          <w:szCs w:val="26"/>
        </w:rPr>
        <w:t xml:space="preserve"> </w:t>
      </w:r>
      <w:r w:rsidRPr="00010328">
        <w:rPr>
          <w:szCs w:val="26"/>
        </w:rPr>
        <w:t>ER2</w:t>
      </w:r>
      <w:r w:rsidRPr="00010328" w:rsidR="00DB7F44">
        <w:rPr>
          <w:szCs w:val="26"/>
        </w:rPr>
        <w:t>6-2577-000</w:t>
      </w:r>
    </w:p>
    <w:p w:rsidR="00F20EBF" w:rsidRPr="00010328">
      <w:pPr>
        <w:rPr>
          <w:szCs w:val="26"/>
        </w:rPr>
      </w:pPr>
      <w:r w:rsidRPr="00010328">
        <w:rPr>
          <w:szCs w:val="26"/>
        </w:rPr>
        <w:tab/>
        <w:tab/>
        <w:tab/>
        <w:tab/>
        <w:tab/>
      </w:r>
    </w:p>
    <w:p w:rsidR="00ED188F" w:rsidRPr="00010328">
      <w:pPr>
        <w:rPr>
          <w:szCs w:val="26"/>
        </w:rPr>
      </w:pPr>
      <w:bookmarkStart w:id="2" w:name="Address"/>
      <w:bookmarkEnd w:id="2"/>
      <w:r w:rsidRPr="00010328">
        <w:rPr>
          <w:szCs w:val="26"/>
        </w:rPr>
        <w:t xml:space="preserve">New York Independent System Operator, Inc. </w:t>
      </w:r>
    </w:p>
    <w:p w:rsidR="00ED188F" w:rsidRPr="00010328">
      <w:pPr>
        <w:rPr>
          <w:szCs w:val="26"/>
        </w:rPr>
      </w:pPr>
      <w:r w:rsidRPr="00010328">
        <w:rPr>
          <w:szCs w:val="26"/>
        </w:rPr>
        <w:t xml:space="preserve">10 Krey Boulevard </w:t>
      </w:r>
    </w:p>
    <w:p w:rsidR="00F20EBF" w:rsidRPr="00010328">
      <w:pPr>
        <w:rPr>
          <w:szCs w:val="26"/>
        </w:rPr>
      </w:pPr>
      <w:r w:rsidRPr="00010328">
        <w:rPr>
          <w:szCs w:val="26"/>
        </w:rPr>
        <w:t>Rensselaer, NY</w:t>
      </w:r>
      <w:r w:rsidR="0066730E">
        <w:rPr>
          <w:szCs w:val="26"/>
        </w:rPr>
        <w:t xml:space="preserve">  </w:t>
      </w:r>
      <w:r w:rsidRPr="00010328">
        <w:rPr>
          <w:szCs w:val="26"/>
        </w:rPr>
        <w:t>12144</w:t>
      </w:r>
    </w:p>
    <w:p w:rsidR="00ED188F" w:rsidRPr="00010328">
      <w:pPr>
        <w:rPr>
          <w:szCs w:val="26"/>
        </w:rPr>
      </w:pPr>
    </w:p>
    <w:p w:rsidR="00F20EBF" w:rsidRPr="00010328">
      <w:pPr>
        <w:rPr>
          <w:szCs w:val="26"/>
        </w:rPr>
      </w:pPr>
      <w:r w:rsidRPr="00010328">
        <w:rPr>
          <w:szCs w:val="26"/>
        </w:rPr>
        <w:t xml:space="preserve">Attention: </w:t>
      </w:r>
      <w:r w:rsidRPr="00010328" w:rsidR="00B65E78">
        <w:rPr>
          <w:szCs w:val="26"/>
        </w:rPr>
        <w:t xml:space="preserve"> </w:t>
      </w:r>
      <w:r w:rsidRPr="00010328" w:rsidR="007213D3">
        <w:rPr>
          <w:szCs w:val="26"/>
        </w:rPr>
        <w:t>Sara B. Keegan</w:t>
      </w:r>
      <w:r w:rsidRPr="00010328" w:rsidR="009B2310">
        <w:rPr>
          <w:szCs w:val="26"/>
        </w:rPr>
        <w:t>, Assistant General Counsel</w:t>
      </w:r>
    </w:p>
    <w:p w:rsidR="00F20EBF" w:rsidRPr="00010328">
      <w:pPr>
        <w:rPr>
          <w:szCs w:val="26"/>
        </w:rPr>
      </w:pPr>
    </w:p>
    <w:p w:rsidR="00F20EBF" w:rsidRPr="00010328">
      <w:pPr>
        <w:rPr>
          <w:szCs w:val="26"/>
        </w:rPr>
      </w:pPr>
      <w:bookmarkStart w:id="3" w:name="Name"/>
      <w:bookmarkEnd w:id="3"/>
      <w:r w:rsidRPr="00010328">
        <w:rPr>
          <w:szCs w:val="26"/>
        </w:rPr>
        <w:t xml:space="preserve">Dear </w:t>
      </w:r>
      <w:bookmarkStart w:id="4" w:name="Name2"/>
      <w:bookmarkEnd w:id="4"/>
      <w:r w:rsidRPr="00010328" w:rsidR="00F66077">
        <w:rPr>
          <w:szCs w:val="26"/>
        </w:rPr>
        <w:t xml:space="preserve">Ms. </w:t>
      </w:r>
      <w:r w:rsidRPr="00010328" w:rsidR="006D60D1">
        <w:rPr>
          <w:szCs w:val="26"/>
        </w:rPr>
        <w:t>Keegan</w:t>
      </w:r>
      <w:r w:rsidRPr="00010328">
        <w:rPr>
          <w:szCs w:val="26"/>
        </w:rPr>
        <w:t>:</w:t>
      </w:r>
    </w:p>
    <w:p w:rsidR="003E58D2" w:rsidRPr="00010328">
      <w:pPr>
        <w:rPr>
          <w:szCs w:val="26"/>
        </w:rPr>
      </w:pPr>
    </w:p>
    <w:p w:rsidR="008C31FD" w:rsidRPr="00010328" w:rsidP="008C31FD">
      <w:pPr>
        <w:pStyle w:val="FERCparanumber"/>
        <w:rPr>
          <w:szCs w:val="26"/>
        </w:rPr>
      </w:pPr>
      <w:r w:rsidRPr="00010328">
        <w:rPr>
          <w:szCs w:val="26"/>
        </w:rPr>
        <w:t>On</w:t>
      </w:r>
      <w:r w:rsidRPr="00010328" w:rsidR="00B04EC2">
        <w:rPr>
          <w:szCs w:val="26"/>
        </w:rPr>
        <w:t xml:space="preserve"> May 19, 2026, </w:t>
      </w:r>
      <w:r w:rsidRPr="00010328" w:rsidR="00331C19">
        <w:rPr>
          <w:szCs w:val="26"/>
        </w:rPr>
        <w:t>pursuant to section 205 of the Federal Power Act (FPA)</w:t>
      </w:r>
      <w:r>
        <w:rPr>
          <w:b/>
          <w:szCs w:val="26"/>
          <w:vertAlign w:val="superscript"/>
        </w:rPr>
        <w:footnoteReference w:id="3"/>
      </w:r>
      <w:r w:rsidRPr="00010328" w:rsidR="00331C19">
        <w:rPr>
          <w:szCs w:val="26"/>
        </w:rPr>
        <w:t xml:space="preserve"> and part 35 of the Commission’s regulations,</w:t>
      </w:r>
      <w:r>
        <w:rPr>
          <w:b/>
          <w:szCs w:val="26"/>
          <w:vertAlign w:val="superscript"/>
        </w:rPr>
        <w:footnoteReference w:id="4"/>
      </w:r>
      <w:r w:rsidRPr="00010328" w:rsidR="00331C19">
        <w:rPr>
          <w:szCs w:val="26"/>
        </w:rPr>
        <w:t xml:space="preserve"> </w:t>
      </w:r>
      <w:r w:rsidRPr="00010328" w:rsidR="00FB35D9">
        <w:rPr>
          <w:szCs w:val="26"/>
        </w:rPr>
        <w:t xml:space="preserve">New York Independent System Operator, Inc. (NYISO) </w:t>
      </w:r>
      <w:r w:rsidRPr="00010328" w:rsidR="00AB246A">
        <w:rPr>
          <w:szCs w:val="26"/>
        </w:rPr>
        <w:t>submitted</w:t>
      </w:r>
      <w:r w:rsidRPr="00010328" w:rsidR="00FB35D9">
        <w:rPr>
          <w:szCs w:val="26"/>
        </w:rPr>
        <w:t xml:space="preserve"> proposed revisions to</w:t>
      </w:r>
      <w:r w:rsidRPr="00010328" w:rsidR="00CA582D">
        <w:rPr>
          <w:szCs w:val="26"/>
        </w:rPr>
        <w:t>:  (1)</w:t>
      </w:r>
      <w:r w:rsidRPr="00010328" w:rsidR="00FB35D9">
        <w:rPr>
          <w:szCs w:val="26"/>
        </w:rPr>
        <w:t xml:space="preserve"> </w:t>
      </w:r>
      <w:r w:rsidRPr="00010328" w:rsidR="00CA582D">
        <w:rPr>
          <w:szCs w:val="26"/>
        </w:rPr>
        <w:t>the</w:t>
      </w:r>
      <w:r w:rsidRPr="00010328" w:rsidR="00FB35D9">
        <w:rPr>
          <w:szCs w:val="26"/>
        </w:rPr>
        <w:t xml:space="preserve"> </w:t>
      </w:r>
      <w:r w:rsidRPr="00010328" w:rsidR="00D64191">
        <w:rPr>
          <w:szCs w:val="26"/>
        </w:rPr>
        <w:t xml:space="preserve">Standard Interconnection Procedures </w:t>
      </w:r>
      <w:r w:rsidRPr="00010328" w:rsidR="00CA582D">
        <w:rPr>
          <w:szCs w:val="26"/>
        </w:rPr>
        <w:t xml:space="preserve">in Attachment HH to its </w:t>
      </w:r>
      <w:r w:rsidRPr="00010328" w:rsidR="00FB35D9">
        <w:rPr>
          <w:szCs w:val="26"/>
        </w:rPr>
        <w:t>Open Access Transmission Tariff (OATT)</w:t>
      </w:r>
      <w:r w:rsidRPr="00010328" w:rsidR="00CA582D">
        <w:rPr>
          <w:szCs w:val="26"/>
        </w:rPr>
        <w:t>;</w:t>
      </w:r>
      <w:r w:rsidRPr="00010328" w:rsidR="00FB35D9">
        <w:rPr>
          <w:szCs w:val="26"/>
        </w:rPr>
        <w:t xml:space="preserve"> and </w:t>
      </w:r>
      <w:r w:rsidRPr="00010328" w:rsidR="00CA582D">
        <w:rPr>
          <w:szCs w:val="26"/>
        </w:rPr>
        <w:t xml:space="preserve">(2) its </w:t>
      </w:r>
      <w:r w:rsidRPr="00010328" w:rsidR="00FB35D9">
        <w:rPr>
          <w:szCs w:val="26"/>
        </w:rPr>
        <w:t>Market Administration and Control Area Services Tariff (Services Tariff</w:t>
      </w:r>
      <w:r w:rsidRPr="00010328" w:rsidR="00A40CA2">
        <w:rPr>
          <w:szCs w:val="26"/>
        </w:rPr>
        <w:t>, and</w:t>
      </w:r>
      <w:r w:rsidRPr="00010328" w:rsidR="00D10C5C">
        <w:rPr>
          <w:szCs w:val="26"/>
        </w:rPr>
        <w:t xml:space="preserve"> together</w:t>
      </w:r>
      <w:r w:rsidRPr="00010328" w:rsidR="00A40CA2">
        <w:rPr>
          <w:szCs w:val="26"/>
        </w:rPr>
        <w:t xml:space="preserve"> with the OATT, the Tariff</w:t>
      </w:r>
      <w:r w:rsidRPr="00010328" w:rsidR="00FB35D9">
        <w:rPr>
          <w:szCs w:val="26"/>
        </w:rPr>
        <w:t>) regarding the manner in which deliverability is evaluated in NYISO interconnection studies to appropriately identify</w:t>
      </w:r>
      <w:r w:rsidR="004C1159">
        <w:rPr>
          <w:szCs w:val="26"/>
        </w:rPr>
        <w:t xml:space="preserve"> </w:t>
      </w:r>
      <w:r w:rsidR="00BE4232">
        <w:rPr>
          <w:szCs w:val="26"/>
        </w:rPr>
        <w:t>S</w:t>
      </w:r>
      <w:r w:rsidR="004C1159">
        <w:rPr>
          <w:szCs w:val="26"/>
        </w:rPr>
        <w:t>ystem</w:t>
      </w:r>
      <w:r w:rsidRPr="00010328" w:rsidR="00FB35D9">
        <w:rPr>
          <w:szCs w:val="26"/>
        </w:rPr>
        <w:t xml:space="preserve"> </w:t>
      </w:r>
      <w:r w:rsidR="00BE4232">
        <w:rPr>
          <w:szCs w:val="26"/>
        </w:rPr>
        <w:t>D</w:t>
      </w:r>
      <w:r w:rsidRPr="00010328" w:rsidR="00FB35D9">
        <w:rPr>
          <w:szCs w:val="26"/>
        </w:rPr>
        <w:t xml:space="preserve">eliverability </w:t>
      </w:r>
      <w:r w:rsidR="00BE4232">
        <w:rPr>
          <w:szCs w:val="26"/>
        </w:rPr>
        <w:t>U</w:t>
      </w:r>
      <w:r w:rsidRPr="00010328" w:rsidR="00FB35D9">
        <w:rPr>
          <w:szCs w:val="26"/>
        </w:rPr>
        <w:t>pgrades</w:t>
      </w:r>
      <w:r w:rsidR="006C3CB8">
        <w:rPr>
          <w:szCs w:val="26"/>
        </w:rPr>
        <w:t>.</w:t>
      </w:r>
      <w:r>
        <w:rPr>
          <w:rStyle w:val="FootnoteReference"/>
          <w:szCs w:val="26"/>
        </w:rPr>
        <w:footnoteReference w:id="5"/>
      </w:r>
      <w:r w:rsidRPr="00010328">
        <w:rPr>
          <w:szCs w:val="26"/>
        </w:rPr>
        <w:t xml:space="preserve"> </w:t>
      </w:r>
      <w:r w:rsidRPr="00010328" w:rsidR="008800F8">
        <w:rPr>
          <w:szCs w:val="26"/>
        </w:rPr>
        <w:t xml:space="preserve"> </w:t>
      </w:r>
      <w:r w:rsidRPr="00010328">
        <w:rPr>
          <w:szCs w:val="26"/>
        </w:rPr>
        <w:t xml:space="preserve">As discussed below, we accept the proposed </w:t>
      </w:r>
      <w:r w:rsidRPr="00010328" w:rsidR="0032516D">
        <w:rPr>
          <w:szCs w:val="26"/>
        </w:rPr>
        <w:t>Tariff</w:t>
      </w:r>
      <w:r w:rsidRPr="00010328">
        <w:rPr>
          <w:szCs w:val="26"/>
        </w:rPr>
        <w:t xml:space="preserve"> revisions, effective </w:t>
      </w:r>
      <w:r w:rsidRPr="00010328" w:rsidR="004D330B">
        <w:rPr>
          <w:szCs w:val="26"/>
        </w:rPr>
        <w:t>July 21</w:t>
      </w:r>
      <w:r w:rsidRPr="00010328">
        <w:rPr>
          <w:szCs w:val="26"/>
        </w:rPr>
        <w:t>, 2026, as requested.</w:t>
      </w:r>
    </w:p>
    <w:p w:rsidR="00A77A9B" w:rsidRPr="00010328" w:rsidP="008C31FD">
      <w:pPr>
        <w:pStyle w:val="FERCparanumber"/>
        <w:rPr>
          <w:szCs w:val="26"/>
        </w:rPr>
      </w:pPr>
      <w:r w:rsidRPr="00010328">
        <w:rPr>
          <w:szCs w:val="26"/>
        </w:rPr>
        <w:t>NYISO states that its current deliverability study methodology contains several elements that, when applied at scale, could make the analysis impossible to perform or lead to the identification of unnecessary upgrades for projects seeking Capacity Resource Interconnection Service (CRIS).</w:t>
      </w:r>
      <w:r>
        <w:rPr>
          <w:rStyle w:val="FootnoteReference"/>
          <w:szCs w:val="26"/>
        </w:rPr>
        <w:footnoteReference w:id="6"/>
      </w:r>
      <w:r w:rsidRPr="00010328">
        <w:rPr>
          <w:szCs w:val="26"/>
        </w:rPr>
        <w:t xml:space="preserve">  NYISO states that there are over 90 projects in the current Cluster Study.</w:t>
      </w:r>
      <w:r>
        <w:rPr>
          <w:rStyle w:val="FootnoteReference"/>
          <w:szCs w:val="26"/>
        </w:rPr>
        <w:footnoteReference w:id="7"/>
      </w:r>
      <w:r w:rsidRPr="00010328" w:rsidR="008F0592">
        <w:rPr>
          <w:szCs w:val="26"/>
        </w:rPr>
        <w:t xml:space="preserve">  </w:t>
      </w:r>
      <w:r w:rsidRPr="00010328" w:rsidR="0070202C">
        <w:rPr>
          <w:szCs w:val="26"/>
        </w:rPr>
        <w:t xml:space="preserve">NYISO identifies four main concerns with the </w:t>
      </w:r>
      <w:r w:rsidR="007C21B6">
        <w:rPr>
          <w:szCs w:val="26"/>
        </w:rPr>
        <w:t xml:space="preserve">existing </w:t>
      </w:r>
      <w:r w:rsidRPr="00010328" w:rsidR="0070202C">
        <w:rPr>
          <w:szCs w:val="26"/>
        </w:rPr>
        <w:t xml:space="preserve">deliverability test methodology and proposes </w:t>
      </w:r>
      <w:r w:rsidRPr="00010328" w:rsidR="000E0BBC">
        <w:rPr>
          <w:szCs w:val="26"/>
        </w:rPr>
        <w:t xml:space="preserve">Tariff </w:t>
      </w:r>
      <w:r w:rsidRPr="00010328" w:rsidR="00233E18">
        <w:rPr>
          <w:szCs w:val="26"/>
        </w:rPr>
        <w:t>revisions to remedy each concern.</w:t>
      </w:r>
    </w:p>
    <w:p w:rsidR="00233E18" w:rsidRPr="00010328" w:rsidP="008C31FD">
      <w:pPr>
        <w:pStyle w:val="FERCparanumber"/>
        <w:rPr>
          <w:szCs w:val="26"/>
        </w:rPr>
      </w:pPr>
      <w:r w:rsidRPr="00010328">
        <w:rPr>
          <w:szCs w:val="26"/>
        </w:rPr>
        <w:t>First, NYISO states that the existing generation dispatch methodology for building the deliverability study base case cannot accommodate the large volume of new generation in the current Cluster because it requires NYISO to dispatch proposed generators at their maximum Unforced Capacity (UCAP) dispatch.</w:t>
      </w:r>
      <w:r>
        <w:rPr>
          <w:rStyle w:val="FootnoteReference"/>
          <w:szCs w:val="26"/>
        </w:rPr>
        <w:footnoteReference w:id="8"/>
      </w:r>
      <w:r w:rsidRPr="00010328">
        <w:rPr>
          <w:szCs w:val="26"/>
        </w:rPr>
        <w:t xml:space="preserve">  NYISO states that this approach inherently reflects operating conditions that do not align with how the system is operated in practice and may result in the identification of costly and unnecessary </w:t>
      </w:r>
      <w:r w:rsidR="00BE4232">
        <w:rPr>
          <w:szCs w:val="26"/>
        </w:rPr>
        <w:t xml:space="preserve">System </w:t>
      </w:r>
      <w:r w:rsidR="008104FB">
        <w:rPr>
          <w:szCs w:val="26"/>
        </w:rPr>
        <w:t>D</w:t>
      </w:r>
      <w:r w:rsidRPr="00010328">
        <w:rPr>
          <w:szCs w:val="26"/>
        </w:rPr>
        <w:t xml:space="preserve">eliverability </w:t>
      </w:r>
      <w:r w:rsidR="008104FB">
        <w:rPr>
          <w:szCs w:val="26"/>
        </w:rPr>
        <w:t>U</w:t>
      </w:r>
      <w:r w:rsidRPr="00010328">
        <w:rPr>
          <w:szCs w:val="26"/>
        </w:rPr>
        <w:t>pgrades.  To correct the issue, NYISO proposes to levelize all generation dispatch across the state on a pro rata basis and to adjust output within Capacity Regions only when needed to mitigate violations.</w:t>
      </w:r>
      <w:r>
        <w:rPr>
          <w:rStyle w:val="FootnoteReference"/>
          <w:szCs w:val="26"/>
        </w:rPr>
        <w:footnoteReference w:id="9"/>
      </w:r>
      <w:r w:rsidRPr="00010328">
        <w:rPr>
          <w:szCs w:val="26"/>
        </w:rPr>
        <w:t xml:space="preserve">  </w:t>
      </w:r>
    </w:p>
    <w:p w:rsidR="00EF3631" w:rsidRPr="00010328" w:rsidP="008C31FD">
      <w:pPr>
        <w:pStyle w:val="FERCparanumber"/>
        <w:rPr>
          <w:szCs w:val="26"/>
        </w:rPr>
      </w:pPr>
      <w:r w:rsidRPr="00010328">
        <w:rPr>
          <w:szCs w:val="26"/>
        </w:rPr>
        <w:t xml:space="preserve">Second, NYISO states that the </w:t>
      </w:r>
      <w:r w:rsidR="007529EE">
        <w:rPr>
          <w:szCs w:val="26"/>
        </w:rPr>
        <w:t xml:space="preserve">existing </w:t>
      </w:r>
      <w:r w:rsidRPr="00010328">
        <w:rPr>
          <w:szCs w:val="26"/>
        </w:rPr>
        <w:t>deliverability test methodology that evaluates certain intra-zonal interfaces within Capacity Regions determines if there is excess generation upstream, in which case, the generation excess is assumed to displace downstream generation.</w:t>
      </w:r>
      <w:r>
        <w:rPr>
          <w:rStyle w:val="FootnoteReference"/>
          <w:szCs w:val="26"/>
        </w:rPr>
        <w:footnoteReference w:id="10"/>
      </w:r>
      <w:r w:rsidRPr="00010328">
        <w:rPr>
          <w:szCs w:val="26"/>
        </w:rPr>
        <w:t xml:space="preserve">  NYISO </w:t>
      </w:r>
      <w:r w:rsidRPr="00010328" w:rsidR="005B654F">
        <w:rPr>
          <w:szCs w:val="26"/>
        </w:rPr>
        <w:t>explai</w:t>
      </w:r>
      <w:r w:rsidRPr="00010328" w:rsidR="00FC1C41">
        <w:rPr>
          <w:szCs w:val="26"/>
        </w:rPr>
        <w:t>ns</w:t>
      </w:r>
      <w:r w:rsidRPr="00010328" w:rsidR="005B654F">
        <w:rPr>
          <w:szCs w:val="26"/>
        </w:rPr>
        <w:t xml:space="preserve"> </w:t>
      </w:r>
      <w:r w:rsidRPr="00010328">
        <w:rPr>
          <w:szCs w:val="26"/>
        </w:rPr>
        <w:t xml:space="preserve">that this deliverability test does not consider downstream load or available downstream generation to displace, and thus may indicate severe bottling even though there is no need to deliver that power across the interface, causing the identification of unnecessary System Deliverability Upgrades.  </w:t>
      </w:r>
      <w:r w:rsidRPr="00010328" w:rsidR="00F30EA2">
        <w:rPr>
          <w:szCs w:val="26"/>
        </w:rPr>
        <w:t xml:space="preserve">To correct this issue, </w:t>
      </w:r>
      <w:r w:rsidRPr="00010328">
        <w:rPr>
          <w:szCs w:val="26"/>
        </w:rPr>
        <w:t>NYISO proposes to incorporate downstream load into the deliverability test to allow it to assess the necessary transfer capability based on actual demand, rather than</w:t>
      </w:r>
      <w:r w:rsidR="00E47F88">
        <w:rPr>
          <w:szCs w:val="26"/>
        </w:rPr>
        <w:t xml:space="preserve"> only</w:t>
      </w:r>
      <w:r w:rsidRPr="00010328">
        <w:rPr>
          <w:szCs w:val="26"/>
        </w:rPr>
        <w:t xml:space="preserve"> on interface limits</w:t>
      </w:r>
      <w:r w:rsidR="00873DAA">
        <w:rPr>
          <w:szCs w:val="26"/>
        </w:rPr>
        <w:t xml:space="preserve">, </w:t>
      </w:r>
      <w:r w:rsidRPr="00873DAA" w:rsidR="00873DAA">
        <w:rPr>
          <w:szCs w:val="26"/>
        </w:rPr>
        <w:t>aligning the test methodology with resource adequacy model principles</w:t>
      </w:r>
      <w:r w:rsidRPr="00010328">
        <w:rPr>
          <w:szCs w:val="26"/>
        </w:rPr>
        <w:t>.</w:t>
      </w:r>
      <w:r>
        <w:rPr>
          <w:rStyle w:val="FootnoteReference"/>
          <w:szCs w:val="26"/>
        </w:rPr>
        <w:footnoteReference w:id="11"/>
      </w:r>
    </w:p>
    <w:p w:rsidR="005B346B" w:rsidRPr="00010328" w:rsidP="008C31FD">
      <w:pPr>
        <w:pStyle w:val="FERCparanumber"/>
        <w:rPr>
          <w:szCs w:val="26"/>
        </w:rPr>
      </w:pPr>
      <w:r w:rsidRPr="00010328">
        <w:rPr>
          <w:szCs w:val="26"/>
        </w:rPr>
        <w:t xml:space="preserve">Third, </w:t>
      </w:r>
      <w:r w:rsidRPr="00010328" w:rsidR="00F30EA2">
        <w:rPr>
          <w:szCs w:val="26"/>
        </w:rPr>
        <w:t xml:space="preserve">NYISO states that the current “no-harm” test methodology applied to interfaces </w:t>
      </w:r>
      <w:r w:rsidR="007E2F30">
        <w:rPr>
          <w:szCs w:val="26"/>
        </w:rPr>
        <w:t>between</w:t>
      </w:r>
      <w:r w:rsidRPr="00010328" w:rsidR="007E2F30">
        <w:rPr>
          <w:szCs w:val="26"/>
        </w:rPr>
        <w:t xml:space="preserve"> </w:t>
      </w:r>
      <w:r w:rsidRPr="00010328" w:rsidR="00F30EA2">
        <w:rPr>
          <w:szCs w:val="26"/>
        </w:rPr>
        <w:t xml:space="preserve">Capacity Regions and interfaces between </w:t>
      </w:r>
      <w:r w:rsidRPr="00010328" w:rsidR="00CC1B13">
        <w:rPr>
          <w:szCs w:val="26"/>
        </w:rPr>
        <w:t>the New York Control Area</w:t>
      </w:r>
      <w:r w:rsidRPr="00010328" w:rsidR="00A454CE">
        <w:rPr>
          <w:szCs w:val="26"/>
        </w:rPr>
        <w:t xml:space="preserve"> (</w:t>
      </w:r>
      <w:r w:rsidRPr="00010328" w:rsidR="00F30EA2">
        <w:rPr>
          <w:szCs w:val="26"/>
        </w:rPr>
        <w:t>NYCA</w:t>
      </w:r>
      <w:r w:rsidRPr="00010328" w:rsidR="00A454CE">
        <w:rPr>
          <w:szCs w:val="26"/>
        </w:rPr>
        <w:t>)</w:t>
      </w:r>
      <w:r w:rsidRPr="00010328" w:rsidR="00F30EA2">
        <w:rPr>
          <w:szCs w:val="26"/>
        </w:rPr>
        <w:t xml:space="preserve"> and adjacent Control Areas evaluates whether requested CRIS degrades transfer capability between these regions by more than a </w:t>
      </w:r>
      <w:r w:rsidRPr="00010328" w:rsidR="00F30EA2">
        <w:rPr>
          <w:i/>
          <w:iCs/>
          <w:szCs w:val="26"/>
        </w:rPr>
        <w:t>de minimis</w:t>
      </w:r>
      <w:r w:rsidRPr="00010328" w:rsidR="00F30EA2">
        <w:rPr>
          <w:szCs w:val="26"/>
        </w:rPr>
        <w:t xml:space="preserve"> amount (defined as the lesser of 25 MW or </w:t>
      </w:r>
      <w:r w:rsidRPr="00010328" w:rsidR="008450D1">
        <w:rPr>
          <w:szCs w:val="26"/>
        </w:rPr>
        <w:t>two percent</w:t>
      </w:r>
      <w:r w:rsidRPr="00010328" w:rsidR="00F30EA2">
        <w:rPr>
          <w:szCs w:val="26"/>
        </w:rPr>
        <w:t xml:space="preserve"> of base transfer capability).</w:t>
      </w:r>
      <w:r>
        <w:rPr>
          <w:rStyle w:val="FootnoteReference"/>
          <w:szCs w:val="26"/>
        </w:rPr>
        <w:footnoteReference w:id="12"/>
      </w:r>
      <w:r w:rsidRPr="00010328" w:rsidR="00F30EA2">
        <w:rPr>
          <w:szCs w:val="26"/>
        </w:rPr>
        <w:t xml:space="preserve">  NYISO explains that, because this test methodology does not consider impacts to the loss-of-load-expectation (LOLE), this method can trigger System Deliverability Upgrades based solely on small transfer</w:t>
      </w:r>
      <w:r w:rsidRPr="00010328" w:rsidR="00F30EA2">
        <w:rPr>
          <w:szCs w:val="26"/>
        </w:rPr>
        <w:noBreakHyphen/>
        <w:t>limit impacts, even when those impacts do not affect reliability</w:t>
      </w:r>
      <w:r w:rsidRPr="00010328" w:rsidR="00816AFF">
        <w:rPr>
          <w:szCs w:val="26"/>
        </w:rPr>
        <w:t xml:space="preserve"> related to resource adequacy</w:t>
      </w:r>
      <w:r w:rsidRPr="00010328" w:rsidR="00F30EA2">
        <w:rPr>
          <w:szCs w:val="26"/>
        </w:rPr>
        <w:t>.</w:t>
      </w:r>
      <w:r>
        <w:rPr>
          <w:rStyle w:val="FootnoteReference"/>
          <w:szCs w:val="26"/>
        </w:rPr>
        <w:footnoteReference w:id="13"/>
      </w:r>
      <w:r w:rsidRPr="00010328" w:rsidR="00F30EA2">
        <w:rPr>
          <w:szCs w:val="26"/>
        </w:rPr>
        <w:t xml:space="preserve">  To correct this issue, NYISO proposes to incorporate the LOLE impact in</w:t>
      </w:r>
      <w:r w:rsidRPr="00010328" w:rsidR="00370EEB">
        <w:rPr>
          <w:szCs w:val="26"/>
        </w:rPr>
        <w:t>to</w:t>
      </w:r>
      <w:r w:rsidRPr="00010328" w:rsidR="00F30EA2">
        <w:rPr>
          <w:szCs w:val="26"/>
        </w:rPr>
        <w:t xml:space="preserve"> this “no harm” test methodology.</w:t>
      </w:r>
      <w:r>
        <w:rPr>
          <w:rStyle w:val="FootnoteReference"/>
          <w:szCs w:val="26"/>
        </w:rPr>
        <w:footnoteReference w:id="14"/>
      </w:r>
      <w:r w:rsidRPr="00010328" w:rsidR="00F30EA2">
        <w:rPr>
          <w:szCs w:val="26"/>
        </w:rPr>
        <w:t xml:space="preserve">  </w:t>
      </w:r>
    </w:p>
    <w:p w:rsidR="00F30EA2" w:rsidRPr="00010328" w:rsidP="008C31FD">
      <w:pPr>
        <w:pStyle w:val="FERCparanumber"/>
        <w:rPr>
          <w:szCs w:val="26"/>
        </w:rPr>
      </w:pPr>
      <w:r w:rsidRPr="00010328">
        <w:rPr>
          <w:szCs w:val="26"/>
        </w:rPr>
        <w:t xml:space="preserve">Fourth, NYISO states that the current </w:t>
      </w:r>
      <w:r w:rsidRPr="00010328" w:rsidR="007100D2">
        <w:rPr>
          <w:szCs w:val="26"/>
        </w:rPr>
        <w:t>T</w:t>
      </w:r>
      <w:r w:rsidRPr="00010328">
        <w:rPr>
          <w:szCs w:val="26"/>
        </w:rPr>
        <w:t>ariff requires it to use the same deration factor for conventional generators and Energy Storage Resources (ESR), which results in unrealistically high UCAP assumptions for ESRs that can lead to unnecessary System Deliverability Upgrades and associated costs to interconnection customers.</w:t>
      </w:r>
      <w:r>
        <w:rPr>
          <w:rStyle w:val="FootnoteReference"/>
          <w:szCs w:val="26"/>
        </w:rPr>
        <w:footnoteReference w:id="15"/>
      </w:r>
      <w:r w:rsidRPr="00010328">
        <w:rPr>
          <w:szCs w:val="26"/>
        </w:rPr>
        <w:t xml:space="preserve">  NYISO states that its most recent System &amp; Resource Outlook shows that </w:t>
      </w:r>
      <w:r w:rsidRPr="00010328" w:rsidR="00675666">
        <w:rPr>
          <w:szCs w:val="26"/>
        </w:rPr>
        <w:t xml:space="preserve">an </w:t>
      </w:r>
      <w:r w:rsidRPr="00010328">
        <w:rPr>
          <w:szCs w:val="26"/>
        </w:rPr>
        <w:t>ESR</w:t>
      </w:r>
      <w:r w:rsidRPr="00010328" w:rsidR="00675666">
        <w:rPr>
          <w:szCs w:val="26"/>
        </w:rPr>
        <w:t>’</w:t>
      </w:r>
      <w:r w:rsidRPr="00010328">
        <w:rPr>
          <w:szCs w:val="26"/>
        </w:rPr>
        <w:t xml:space="preserve">s capacity value is dynamic and depends on system load, resource mix, and duration of </w:t>
      </w:r>
      <w:r w:rsidRPr="00010328" w:rsidR="00675666">
        <w:rPr>
          <w:szCs w:val="26"/>
        </w:rPr>
        <w:t xml:space="preserve">the </w:t>
      </w:r>
      <w:r w:rsidRPr="00010328">
        <w:rPr>
          <w:szCs w:val="26"/>
        </w:rPr>
        <w:t>ESR.</w:t>
      </w:r>
      <w:r>
        <w:rPr>
          <w:rStyle w:val="FootnoteReference"/>
          <w:szCs w:val="26"/>
        </w:rPr>
        <w:footnoteReference w:id="16"/>
      </w:r>
      <w:r w:rsidRPr="00010328">
        <w:rPr>
          <w:szCs w:val="26"/>
        </w:rPr>
        <w:t xml:space="preserve">  NYISO proposes to use the same method as in the recent System &amp; Resource Outlook by updating the derate factor values as the resource mix and demand change.</w:t>
      </w:r>
      <w:r>
        <w:rPr>
          <w:rStyle w:val="FootnoteReference"/>
          <w:szCs w:val="26"/>
        </w:rPr>
        <w:footnoteReference w:id="17"/>
      </w:r>
      <w:r w:rsidRPr="00010328">
        <w:rPr>
          <w:szCs w:val="26"/>
        </w:rPr>
        <w:t xml:space="preserve">  </w:t>
      </w:r>
    </w:p>
    <w:p w:rsidR="00086A59" w:rsidRPr="00010328" w:rsidP="00086A59">
      <w:pPr>
        <w:pStyle w:val="FERCparanumber"/>
        <w:rPr>
          <w:szCs w:val="26"/>
        </w:rPr>
      </w:pPr>
      <w:r w:rsidRPr="00010328">
        <w:rPr>
          <w:szCs w:val="26"/>
        </w:rPr>
        <w:t xml:space="preserve">NYISO also proposes </w:t>
      </w:r>
      <w:r w:rsidRPr="00010328" w:rsidR="002153F3">
        <w:rPr>
          <w:szCs w:val="26"/>
        </w:rPr>
        <w:t>corresponding</w:t>
      </w:r>
      <w:r w:rsidRPr="00010328" w:rsidR="00CB53FC">
        <w:rPr>
          <w:szCs w:val="26"/>
        </w:rPr>
        <w:t xml:space="preserve"> </w:t>
      </w:r>
      <w:r w:rsidRPr="00010328" w:rsidR="007C2BB8">
        <w:rPr>
          <w:szCs w:val="26"/>
        </w:rPr>
        <w:t>Tariff</w:t>
      </w:r>
      <w:r w:rsidRPr="00010328" w:rsidR="00CB53FC">
        <w:rPr>
          <w:szCs w:val="26"/>
        </w:rPr>
        <w:t xml:space="preserve"> </w:t>
      </w:r>
      <w:r w:rsidRPr="00010328" w:rsidR="002153F3">
        <w:rPr>
          <w:szCs w:val="26"/>
        </w:rPr>
        <w:t xml:space="preserve">revisions </w:t>
      </w:r>
      <w:r w:rsidRPr="00010328" w:rsidR="00CB53FC">
        <w:rPr>
          <w:szCs w:val="26"/>
        </w:rPr>
        <w:t>to</w:t>
      </w:r>
      <w:r w:rsidRPr="00010328">
        <w:rPr>
          <w:szCs w:val="26"/>
        </w:rPr>
        <w:t xml:space="preserve"> distinguish between internal interfaces (i.e., interfaces between Capacity Regions within the NYCA) and external interfaces (i.e., interfaces between the NYCA and adjacent Control Areas) because they present different operational, modeling, and mitigation considerations.</w:t>
      </w:r>
      <w:r>
        <w:rPr>
          <w:rStyle w:val="FootnoteReference"/>
          <w:szCs w:val="26"/>
        </w:rPr>
        <w:footnoteReference w:id="18"/>
      </w:r>
      <w:r w:rsidRPr="00010328">
        <w:rPr>
          <w:szCs w:val="26"/>
        </w:rPr>
        <w:t xml:space="preserve">  Finally, NYISO proposes several ministerial and clean-up revisions</w:t>
      </w:r>
      <w:r w:rsidRPr="00010328" w:rsidR="00FD03A6">
        <w:rPr>
          <w:szCs w:val="26"/>
        </w:rPr>
        <w:t xml:space="preserve"> to the OATT</w:t>
      </w:r>
      <w:r w:rsidRPr="00010328">
        <w:rPr>
          <w:szCs w:val="26"/>
        </w:rPr>
        <w:t>.</w:t>
      </w:r>
      <w:r>
        <w:rPr>
          <w:rStyle w:val="FootnoteReference"/>
          <w:szCs w:val="26"/>
        </w:rPr>
        <w:footnoteReference w:id="19"/>
      </w:r>
      <w:r w:rsidRPr="00010328">
        <w:rPr>
          <w:szCs w:val="26"/>
        </w:rPr>
        <w:t xml:space="preserve">  </w:t>
      </w:r>
    </w:p>
    <w:p w:rsidR="00F710CC" w:rsidRPr="00010328" w:rsidP="00086A59">
      <w:pPr>
        <w:pStyle w:val="FERCparanumber"/>
        <w:rPr>
          <w:szCs w:val="26"/>
        </w:rPr>
      </w:pPr>
      <w:r w:rsidRPr="00010328">
        <w:rPr>
          <w:szCs w:val="26"/>
        </w:rPr>
        <w:t>NYISO argues that proceeding under the current rules would generate deliverability outcomes that significantly overstate upgrade needs, and that updating the deliverability methodology is essential to provide interconnection customers with clearer, more realistic, and more equitable outcomes as they seek to move projects toward commercial operation.</w:t>
      </w:r>
      <w:r>
        <w:rPr>
          <w:rStyle w:val="FootnoteReference"/>
          <w:szCs w:val="26"/>
        </w:rPr>
        <w:footnoteReference w:id="20"/>
      </w:r>
      <w:r w:rsidRPr="00010328">
        <w:rPr>
          <w:szCs w:val="26"/>
        </w:rPr>
        <w:t xml:space="preserve">  </w:t>
      </w:r>
    </w:p>
    <w:p w:rsidR="00C75FF9" w:rsidRPr="00010328" w:rsidP="00086A59">
      <w:pPr>
        <w:pStyle w:val="FERCparanumber"/>
        <w:rPr>
          <w:szCs w:val="26"/>
        </w:rPr>
      </w:pPr>
      <w:r w:rsidRPr="00010328">
        <w:rPr>
          <w:szCs w:val="26"/>
        </w:rPr>
        <w:t xml:space="preserve">NYISO avers that </w:t>
      </w:r>
      <w:r w:rsidRPr="00010328" w:rsidR="00FD5D78">
        <w:rPr>
          <w:szCs w:val="26"/>
        </w:rPr>
        <w:t xml:space="preserve">the proposed </w:t>
      </w:r>
      <w:r w:rsidRPr="00010328" w:rsidR="00970A37">
        <w:rPr>
          <w:szCs w:val="26"/>
        </w:rPr>
        <w:t>T</w:t>
      </w:r>
      <w:r w:rsidRPr="00010328" w:rsidR="00FD5D78">
        <w:rPr>
          <w:szCs w:val="26"/>
        </w:rPr>
        <w:t xml:space="preserve">ariff revisions </w:t>
      </w:r>
      <w:r w:rsidRPr="00010328" w:rsidR="00E77B92">
        <w:rPr>
          <w:szCs w:val="26"/>
        </w:rPr>
        <w:t>have been reviewed through</w:t>
      </w:r>
      <w:r w:rsidRPr="00010328" w:rsidR="00FD5D78">
        <w:rPr>
          <w:szCs w:val="26"/>
        </w:rPr>
        <w:t xml:space="preserve"> collaborations with stakeholders</w:t>
      </w:r>
      <w:r w:rsidRPr="00010328" w:rsidR="005A494F">
        <w:rPr>
          <w:szCs w:val="26"/>
        </w:rPr>
        <w:t xml:space="preserve">, and </w:t>
      </w:r>
      <w:r w:rsidRPr="00010328" w:rsidR="00E77B92">
        <w:rPr>
          <w:szCs w:val="26"/>
        </w:rPr>
        <w:t>by NYISO’s Market Monitoring Unit</w:t>
      </w:r>
      <w:r w:rsidRPr="00010328" w:rsidR="007F0C45">
        <w:rPr>
          <w:szCs w:val="26"/>
        </w:rPr>
        <w:t xml:space="preserve"> (MMU)</w:t>
      </w:r>
      <w:r w:rsidRPr="00010328" w:rsidR="00E77B92">
        <w:rPr>
          <w:szCs w:val="26"/>
        </w:rPr>
        <w:t>.</w:t>
      </w:r>
      <w:r>
        <w:rPr>
          <w:rStyle w:val="FootnoteReference"/>
          <w:szCs w:val="26"/>
        </w:rPr>
        <w:footnoteReference w:id="21"/>
      </w:r>
      <w:r w:rsidRPr="00010328" w:rsidR="007F0C45">
        <w:rPr>
          <w:szCs w:val="26"/>
        </w:rPr>
        <w:t xml:space="preserve">  NYISO states that the proposed </w:t>
      </w:r>
      <w:r w:rsidRPr="00010328" w:rsidR="00970A37">
        <w:rPr>
          <w:szCs w:val="26"/>
        </w:rPr>
        <w:t>T</w:t>
      </w:r>
      <w:r w:rsidRPr="00010328" w:rsidR="007F0C45">
        <w:rPr>
          <w:szCs w:val="26"/>
        </w:rPr>
        <w:t xml:space="preserve">ariff revisions were approved unanimously by the NYISO Management Committee, and by the NYISO Board of Directors.  NYISO states that </w:t>
      </w:r>
      <w:r w:rsidRPr="00010328" w:rsidR="00AB6ADA">
        <w:rPr>
          <w:szCs w:val="26"/>
        </w:rPr>
        <w:t xml:space="preserve">the MMU has indicated that </w:t>
      </w:r>
      <w:r w:rsidR="00012E69">
        <w:rPr>
          <w:szCs w:val="26"/>
        </w:rPr>
        <w:t>“</w:t>
      </w:r>
      <w:r w:rsidRPr="00010328" w:rsidR="00AB6ADA">
        <w:rPr>
          <w:szCs w:val="26"/>
        </w:rPr>
        <w:t xml:space="preserve">the proposed reforms are directionally correct and </w:t>
      </w:r>
      <w:r w:rsidRPr="00010328" w:rsidR="00CD4B9E">
        <w:rPr>
          <w:szCs w:val="26"/>
        </w:rPr>
        <w:t>are an improvement over the status quo.</w:t>
      </w:r>
      <w:r w:rsidR="00BB5B1C">
        <w:rPr>
          <w:szCs w:val="26"/>
        </w:rPr>
        <w:t>”</w:t>
      </w:r>
      <w:r>
        <w:rPr>
          <w:rStyle w:val="FootnoteReference"/>
          <w:szCs w:val="26"/>
        </w:rPr>
        <w:footnoteReference w:id="22"/>
      </w:r>
    </w:p>
    <w:p w:rsidR="006B35D0" w:rsidRPr="00010328" w:rsidP="006B35D0">
      <w:pPr>
        <w:pStyle w:val="FERCparanumber"/>
        <w:rPr>
          <w:szCs w:val="26"/>
        </w:rPr>
      </w:pPr>
      <w:r w:rsidRPr="00010328">
        <w:rPr>
          <w:szCs w:val="26"/>
        </w:rPr>
        <w:t xml:space="preserve">Notice of </w:t>
      </w:r>
      <w:r w:rsidRPr="00010328" w:rsidR="00C94262">
        <w:rPr>
          <w:szCs w:val="26"/>
        </w:rPr>
        <w:t>NYISO</w:t>
      </w:r>
      <w:r w:rsidRPr="00010328">
        <w:rPr>
          <w:szCs w:val="26"/>
        </w:rPr>
        <w:t xml:space="preserve">’s filing was published in the </w:t>
      </w:r>
      <w:r w:rsidRPr="00010328">
        <w:rPr>
          <w:i/>
          <w:iCs/>
          <w:szCs w:val="26"/>
        </w:rPr>
        <w:t>Federal Register</w:t>
      </w:r>
      <w:r w:rsidRPr="00010328">
        <w:rPr>
          <w:szCs w:val="26"/>
        </w:rPr>
        <w:t xml:space="preserve">, </w:t>
      </w:r>
      <w:r w:rsidRPr="00010328" w:rsidR="00B73A4A">
        <w:rPr>
          <w:szCs w:val="26"/>
        </w:rPr>
        <w:t>91</w:t>
      </w:r>
      <w:r w:rsidRPr="00010328">
        <w:rPr>
          <w:szCs w:val="26"/>
        </w:rPr>
        <w:t xml:space="preserve"> Fed. Reg. </w:t>
      </w:r>
      <w:r w:rsidRPr="00010328" w:rsidR="00B73A4A">
        <w:rPr>
          <w:szCs w:val="26"/>
        </w:rPr>
        <w:t>30298</w:t>
      </w:r>
      <w:r w:rsidRPr="00010328">
        <w:rPr>
          <w:szCs w:val="26"/>
        </w:rPr>
        <w:t xml:space="preserve"> (</w:t>
      </w:r>
      <w:r w:rsidRPr="00010328" w:rsidR="00E94320">
        <w:rPr>
          <w:szCs w:val="26"/>
        </w:rPr>
        <w:t xml:space="preserve">May </w:t>
      </w:r>
      <w:r w:rsidRPr="00010328" w:rsidR="00BC40FB">
        <w:rPr>
          <w:szCs w:val="26"/>
        </w:rPr>
        <w:t>22</w:t>
      </w:r>
      <w:r w:rsidRPr="00010328">
        <w:rPr>
          <w:szCs w:val="26"/>
        </w:rPr>
        <w:t xml:space="preserve">, 2026), with interventions and protests due on or before </w:t>
      </w:r>
      <w:r w:rsidRPr="00010328" w:rsidR="001A325B">
        <w:rPr>
          <w:szCs w:val="26"/>
        </w:rPr>
        <w:t>June 9</w:t>
      </w:r>
      <w:r w:rsidRPr="00010328">
        <w:rPr>
          <w:szCs w:val="26"/>
        </w:rPr>
        <w:t>, 2026.  Timely motions to intervene were filed by:</w:t>
      </w:r>
      <w:r w:rsidRPr="00010328" w:rsidR="009A533F">
        <w:rPr>
          <w:szCs w:val="26"/>
        </w:rPr>
        <w:t xml:space="preserve"> </w:t>
      </w:r>
      <w:r w:rsidRPr="00010328" w:rsidR="005E34C2">
        <w:rPr>
          <w:szCs w:val="26"/>
        </w:rPr>
        <w:t xml:space="preserve"> </w:t>
      </w:r>
      <w:r w:rsidRPr="00010328" w:rsidR="00A139BF">
        <w:rPr>
          <w:szCs w:val="26"/>
        </w:rPr>
        <w:t>Independent Power Producers of New York, Inc.</w:t>
      </w:r>
      <w:r w:rsidRPr="00010328">
        <w:rPr>
          <w:szCs w:val="26"/>
        </w:rPr>
        <w:t xml:space="preserve">; </w:t>
      </w:r>
      <w:r w:rsidRPr="00010328" w:rsidR="00BE04AE">
        <w:rPr>
          <w:szCs w:val="26"/>
        </w:rPr>
        <w:t>EDF Power Solutions, Inc.</w:t>
      </w:r>
      <w:r w:rsidRPr="00010328">
        <w:rPr>
          <w:szCs w:val="26"/>
        </w:rPr>
        <w:t>;</w:t>
      </w:r>
      <w:r w:rsidRPr="00010328" w:rsidR="00DF610F">
        <w:rPr>
          <w:szCs w:val="26"/>
        </w:rPr>
        <w:t xml:space="preserve"> and</w:t>
      </w:r>
      <w:r w:rsidRPr="00010328" w:rsidR="00285360">
        <w:rPr>
          <w:szCs w:val="26"/>
        </w:rPr>
        <w:t xml:space="preserve"> New York Transmission Owners.</w:t>
      </w:r>
      <w:r>
        <w:rPr>
          <w:rStyle w:val="FootnoteReference"/>
          <w:szCs w:val="26"/>
        </w:rPr>
        <w:footnoteReference w:id="23"/>
      </w:r>
      <w:r w:rsidRPr="00010328">
        <w:rPr>
          <w:szCs w:val="26"/>
        </w:rPr>
        <w:t xml:space="preserve">  </w:t>
      </w:r>
    </w:p>
    <w:p w:rsidR="00A77A9B" w:rsidRPr="00010328" w:rsidP="00A77A9B">
      <w:pPr>
        <w:pStyle w:val="FERCparanumber"/>
        <w:rPr>
          <w:szCs w:val="26"/>
        </w:rPr>
      </w:pPr>
      <w:r w:rsidRPr="00010328">
        <w:rPr>
          <w:szCs w:val="26"/>
        </w:rPr>
        <w:t xml:space="preserve"> </w:t>
      </w:r>
      <w:r w:rsidRPr="00010328">
        <w:rPr>
          <w:szCs w:val="26"/>
        </w:rPr>
        <w:t>Pursuant to Rule 214 of the Commission’s Rules of Practice and Procedure, 18 C.F.R. § 385.214, the timely, unopposed motions to intervene serve to make the entities that filed them parties to this proceeding.</w:t>
      </w:r>
    </w:p>
    <w:p w:rsidR="001A53DE" w:rsidRPr="00010328" w:rsidP="00017003">
      <w:pPr>
        <w:pStyle w:val="FERCparanumber"/>
        <w:rPr>
          <w:szCs w:val="26"/>
        </w:rPr>
      </w:pPr>
      <w:r w:rsidRPr="00010328">
        <w:rPr>
          <w:szCs w:val="26"/>
        </w:rPr>
        <w:t xml:space="preserve">We find the proposed Tariff revisions to be just and reasonable and not unduly discriminatory or preferential, and accept them effective July </w:t>
      </w:r>
      <w:r w:rsidRPr="00010328" w:rsidR="00B92586">
        <w:rPr>
          <w:szCs w:val="26"/>
        </w:rPr>
        <w:t>21</w:t>
      </w:r>
      <w:r w:rsidRPr="00010328">
        <w:rPr>
          <w:szCs w:val="26"/>
        </w:rPr>
        <w:t>, 2026, as requested</w:t>
      </w:r>
      <w:r w:rsidRPr="00010328" w:rsidR="00B92586">
        <w:rPr>
          <w:szCs w:val="26"/>
        </w:rPr>
        <w:t>.</w:t>
      </w:r>
      <w:r w:rsidRPr="00010328" w:rsidR="00013A64">
        <w:rPr>
          <w:szCs w:val="26"/>
        </w:rPr>
        <w:t xml:space="preserve">  </w:t>
      </w:r>
      <w:r w:rsidRPr="00010328" w:rsidR="00013491">
        <w:rPr>
          <w:szCs w:val="26"/>
        </w:rPr>
        <w:t xml:space="preserve">NYISO’s filing </w:t>
      </w:r>
      <w:r w:rsidRPr="00010328" w:rsidR="00D52238">
        <w:rPr>
          <w:szCs w:val="26"/>
        </w:rPr>
        <w:t xml:space="preserve">primarily addresses </w:t>
      </w:r>
      <w:r w:rsidR="00B86D98">
        <w:rPr>
          <w:szCs w:val="26"/>
        </w:rPr>
        <w:t xml:space="preserve">certain </w:t>
      </w:r>
      <w:r w:rsidR="00B114F8">
        <w:rPr>
          <w:szCs w:val="26"/>
        </w:rPr>
        <w:t>limitations</w:t>
      </w:r>
      <w:r w:rsidRPr="00010328" w:rsidR="00B114F8">
        <w:rPr>
          <w:szCs w:val="26"/>
        </w:rPr>
        <w:t xml:space="preserve"> </w:t>
      </w:r>
      <w:r w:rsidRPr="00010328" w:rsidR="00500AE1">
        <w:rPr>
          <w:szCs w:val="26"/>
        </w:rPr>
        <w:t xml:space="preserve">of </w:t>
      </w:r>
      <w:r w:rsidRPr="00010328" w:rsidR="00182BD8">
        <w:rPr>
          <w:szCs w:val="26"/>
        </w:rPr>
        <w:t>NYISO’s</w:t>
      </w:r>
      <w:r w:rsidRPr="00010328" w:rsidR="00500AE1">
        <w:rPr>
          <w:szCs w:val="26"/>
        </w:rPr>
        <w:t xml:space="preserve"> current </w:t>
      </w:r>
      <w:r w:rsidRPr="00010328" w:rsidR="008B29EB">
        <w:rPr>
          <w:szCs w:val="26"/>
        </w:rPr>
        <w:t xml:space="preserve">deliverability </w:t>
      </w:r>
      <w:r w:rsidRPr="00010328" w:rsidR="00D30E88">
        <w:rPr>
          <w:szCs w:val="26"/>
        </w:rPr>
        <w:t>test methodology</w:t>
      </w:r>
      <w:r w:rsidRPr="00010328" w:rsidR="00500AE1">
        <w:rPr>
          <w:szCs w:val="26"/>
        </w:rPr>
        <w:t xml:space="preserve"> </w:t>
      </w:r>
      <w:r w:rsidRPr="00010328" w:rsidR="00B2302F">
        <w:rPr>
          <w:szCs w:val="26"/>
        </w:rPr>
        <w:t xml:space="preserve">in interconnection studies </w:t>
      </w:r>
      <w:r w:rsidRPr="00010328" w:rsidR="006A0DC3">
        <w:rPr>
          <w:szCs w:val="26"/>
        </w:rPr>
        <w:t>that, when applied at scale, could make the analysis impossible to perform or lead to the identification of unnecessary upgrades for projects seeking CRIS.</w:t>
      </w:r>
      <w:r w:rsidRPr="00010328" w:rsidR="00500AE1">
        <w:rPr>
          <w:szCs w:val="26"/>
        </w:rPr>
        <w:t xml:space="preserve"> </w:t>
      </w:r>
      <w:r w:rsidRPr="00010328" w:rsidR="00A52EE6">
        <w:rPr>
          <w:szCs w:val="26"/>
        </w:rPr>
        <w:t xml:space="preserve"> </w:t>
      </w:r>
      <w:r w:rsidRPr="00010328" w:rsidR="006F1711">
        <w:rPr>
          <w:szCs w:val="26"/>
        </w:rPr>
        <w:t xml:space="preserve">We find that </w:t>
      </w:r>
      <w:r w:rsidRPr="00010328" w:rsidR="0081137B">
        <w:rPr>
          <w:szCs w:val="26"/>
        </w:rPr>
        <w:t>NYISO’s propos</w:t>
      </w:r>
      <w:r w:rsidRPr="00010328" w:rsidR="00476ABB">
        <w:rPr>
          <w:szCs w:val="26"/>
        </w:rPr>
        <w:t>ed revisions are</w:t>
      </w:r>
      <w:r w:rsidRPr="00010328" w:rsidR="0081137B">
        <w:rPr>
          <w:szCs w:val="26"/>
        </w:rPr>
        <w:t xml:space="preserve"> just and reasonable because </w:t>
      </w:r>
      <w:r w:rsidRPr="00010328" w:rsidR="00476ABB">
        <w:rPr>
          <w:szCs w:val="26"/>
        </w:rPr>
        <w:t>they</w:t>
      </w:r>
      <w:r w:rsidRPr="00010328" w:rsidR="0081137B">
        <w:rPr>
          <w:szCs w:val="26"/>
        </w:rPr>
        <w:t xml:space="preserve"> </w:t>
      </w:r>
      <w:r w:rsidR="008C56F8">
        <w:rPr>
          <w:szCs w:val="26"/>
        </w:rPr>
        <w:t>adapt NYISO’s deliverability test methodology for large cluster studies and</w:t>
      </w:r>
      <w:r w:rsidRPr="00010328" w:rsidR="0081137B">
        <w:rPr>
          <w:szCs w:val="26"/>
        </w:rPr>
        <w:t xml:space="preserve"> </w:t>
      </w:r>
      <w:r w:rsidRPr="00010328" w:rsidR="00454EED">
        <w:rPr>
          <w:szCs w:val="26"/>
        </w:rPr>
        <w:t>provide</w:t>
      </w:r>
      <w:r w:rsidRPr="00010328" w:rsidR="00EA6EB9">
        <w:rPr>
          <w:szCs w:val="26"/>
        </w:rPr>
        <w:t xml:space="preserve"> more realistic and </w:t>
      </w:r>
      <w:r w:rsidR="00254C8B">
        <w:rPr>
          <w:szCs w:val="26"/>
        </w:rPr>
        <w:t xml:space="preserve">just and reasonable </w:t>
      </w:r>
      <w:r w:rsidRPr="00010328" w:rsidR="00EA6EB9">
        <w:rPr>
          <w:szCs w:val="26"/>
        </w:rPr>
        <w:t xml:space="preserve">outcomes to </w:t>
      </w:r>
      <w:r w:rsidRPr="00010328" w:rsidR="00DF602C">
        <w:rPr>
          <w:szCs w:val="26"/>
        </w:rPr>
        <w:t xml:space="preserve">interconnection customers </w:t>
      </w:r>
      <w:r w:rsidRPr="00010328" w:rsidR="00EA6EB9">
        <w:rPr>
          <w:szCs w:val="26"/>
        </w:rPr>
        <w:t>as they seek to move projects toward commercial operation</w:t>
      </w:r>
      <w:r w:rsidRPr="00010328" w:rsidR="00DF602C">
        <w:rPr>
          <w:szCs w:val="26"/>
        </w:rPr>
        <w:t xml:space="preserve">. </w:t>
      </w:r>
      <w:r w:rsidRPr="00010328" w:rsidR="00454EED">
        <w:rPr>
          <w:szCs w:val="26"/>
        </w:rPr>
        <w:t xml:space="preserve"> </w:t>
      </w:r>
    </w:p>
    <w:p w:rsidR="00CD4B9E" w:rsidRPr="00010328" w:rsidP="00017003">
      <w:pPr>
        <w:pStyle w:val="FERCparanumber"/>
        <w:rPr>
          <w:szCs w:val="26"/>
        </w:rPr>
      </w:pPr>
      <w:r w:rsidRPr="00010328">
        <w:rPr>
          <w:szCs w:val="26"/>
        </w:rPr>
        <w:t xml:space="preserve">We agree with NYISO that the revisions </w:t>
      </w:r>
      <w:r w:rsidRPr="00010328" w:rsidR="00C02198">
        <w:rPr>
          <w:szCs w:val="26"/>
        </w:rPr>
        <w:t xml:space="preserve">to the </w:t>
      </w:r>
      <w:r w:rsidRPr="00010328" w:rsidR="002C48F1">
        <w:rPr>
          <w:szCs w:val="26"/>
        </w:rPr>
        <w:t xml:space="preserve">generation dispatch methodology </w:t>
      </w:r>
      <w:r w:rsidRPr="00010328">
        <w:rPr>
          <w:szCs w:val="26"/>
        </w:rPr>
        <w:t>would address the impracticality of the previous rules, provide more reasonable dispatch</w:t>
      </w:r>
      <w:r w:rsidR="008D6B48">
        <w:rPr>
          <w:szCs w:val="26"/>
        </w:rPr>
        <w:t xml:space="preserve"> assumptions</w:t>
      </w:r>
      <w:r w:rsidRPr="00010328">
        <w:rPr>
          <w:szCs w:val="26"/>
        </w:rPr>
        <w:t>, and align with the resource adequacy model</w:t>
      </w:r>
      <w:r w:rsidRPr="00010328" w:rsidR="00A11C59">
        <w:rPr>
          <w:szCs w:val="26"/>
        </w:rPr>
        <w:t>’</w:t>
      </w:r>
      <w:r w:rsidRPr="00010328">
        <w:rPr>
          <w:szCs w:val="26"/>
        </w:rPr>
        <w:t>s treatment of generation</w:t>
      </w:r>
      <w:r w:rsidRPr="00010328" w:rsidR="0069128C">
        <w:rPr>
          <w:szCs w:val="26"/>
        </w:rPr>
        <w:t xml:space="preserve">. </w:t>
      </w:r>
      <w:r w:rsidRPr="00010328" w:rsidR="00C42D2D">
        <w:rPr>
          <w:szCs w:val="26"/>
        </w:rPr>
        <w:t xml:space="preserve"> We </w:t>
      </w:r>
      <w:r w:rsidRPr="00010328" w:rsidR="00DD6509">
        <w:rPr>
          <w:szCs w:val="26"/>
        </w:rPr>
        <w:t xml:space="preserve">find that </w:t>
      </w:r>
      <w:r w:rsidRPr="00010328" w:rsidR="005E59DA">
        <w:rPr>
          <w:szCs w:val="26"/>
        </w:rPr>
        <w:t xml:space="preserve">revisions that </w:t>
      </w:r>
      <w:r w:rsidRPr="00010328" w:rsidR="008A0DD8">
        <w:rPr>
          <w:szCs w:val="26"/>
        </w:rPr>
        <w:t xml:space="preserve">will incorporate downstream load into </w:t>
      </w:r>
      <w:r w:rsidRPr="00010328" w:rsidR="005E59DA">
        <w:rPr>
          <w:szCs w:val="26"/>
        </w:rPr>
        <w:t>the deliverability test methodology</w:t>
      </w:r>
      <w:r w:rsidRPr="00010328" w:rsidR="008A0DD8">
        <w:rPr>
          <w:szCs w:val="26"/>
        </w:rPr>
        <w:t xml:space="preserve"> </w:t>
      </w:r>
      <w:r w:rsidRPr="00010328" w:rsidR="0030691B">
        <w:rPr>
          <w:szCs w:val="26"/>
        </w:rPr>
        <w:t>are just and reasonable because they</w:t>
      </w:r>
      <w:r w:rsidRPr="00010328" w:rsidR="008A0DD8">
        <w:rPr>
          <w:szCs w:val="26"/>
        </w:rPr>
        <w:t xml:space="preserve"> </w:t>
      </w:r>
      <w:r w:rsidRPr="00010328" w:rsidR="00A72C16">
        <w:rPr>
          <w:szCs w:val="26"/>
        </w:rPr>
        <w:t xml:space="preserve">will </w:t>
      </w:r>
      <w:r w:rsidRPr="00010328" w:rsidR="00370E61">
        <w:rPr>
          <w:szCs w:val="26"/>
        </w:rPr>
        <w:t xml:space="preserve">allow </w:t>
      </w:r>
      <w:r w:rsidRPr="00010328">
        <w:rPr>
          <w:szCs w:val="26"/>
        </w:rPr>
        <w:t>NYISO</w:t>
      </w:r>
      <w:r w:rsidRPr="00010328" w:rsidR="00370E61">
        <w:rPr>
          <w:szCs w:val="26"/>
        </w:rPr>
        <w:t xml:space="preserve"> to assess the necessary transfer capability based on actual demand, rather than </w:t>
      </w:r>
      <w:r w:rsidR="002A3267">
        <w:rPr>
          <w:szCs w:val="26"/>
        </w:rPr>
        <w:t>on</w:t>
      </w:r>
      <w:r w:rsidRPr="00010328" w:rsidR="00370E61">
        <w:rPr>
          <w:szCs w:val="26"/>
        </w:rPr>
        <w:t xml:space="preserve"> interface limits</w:t>
      </w:r>
      <w:r w:rsidRPr="00010328" w:rsidR="00B95FBD">
        <w:rPr>
          <w:szCs w:val="26"/>
        </w:rPr>
        <w:t xml:space="preserve"> </w:t>
      </w:r>
      <w:r w:rsidR="002A3267">
        <w:rPr>
          <w:szCs w:val="26"/>
        </w:rPr>
        <w:t xml:space="preserve">alone </w:t>
      </w:r>
      <w:r w:rsidRPr="00010328" w:rsidR="00B95FBD">
        <w:rPr>
          <w:szCs w:val="26"/>
        </w:rPr>
        <w:t xml:space="preserve">and </w:t>
      </w:r>
      <w:r w:rsidRPr="00010328" w:rsidR="00765DE1">
        <w:rPr>
          <w:szCs w:val="26"/>
        </w:rPr>
        <w:t>will align the test methodology with resource adequacy model principles.</w:t>
      </w:r>
      <w:r w:rsidRPr="00010328" w:rsidR="00237498">
        <w:rPr>
          <w:szCs w:val="26"/>
        </w:rPr>
        <w:t xml:space="preserve"> </w:t>
      </w:r>
      <w:r w:rsidRPr="00010328" w:rsidR="000E330F">
        <w:rPr>
          <w:szCs w:val="26"/>
        </w:rPr>
        <w:t xml:space="preserve"> </w:t>
      </w:r>
    </w:p>
    <w:p w:rsidR="00CD4B9E" w:rsidRPr="00010328" w:rsidP="00017003">
      <w:pPr>
        <w:pStyle w:val="FERCparanumber"/>
        <w:rPr>
          <w:szCs w:val="26"/>
        </w:rPr>
      </w:pPr>
      <w:r w:rsidRPr="00010328">
        <w:rPr>
          <w:szCs w:val="26"/>
        </w:rPr>
        <w:t xml:space="preserve">We agree with NYISO that </w:t>
      </w:r>
      <w:r w:rsidRPr="00010328" w:rsidR="00F20E08">
        <w:rPr>
          <w:szCs w:val="26"/>
        </w:rPr>
        <w:t xml:space="preserve">the incorporation of the LOLE impact in the “no harm” test methodology </w:t>
      </w:r>
      <w:r w:rsidRPr="00010328" w:rsidR="004E3895">
        <w:rPr>
          <w:szCs w:val="26"/>
        </w:rPr>
        <w:t xml:space="preserve">applied to interfaces </w:t>
      </w:r>
      <w:r w:rsidR="004E3895">
        <w:rPr>
          <w:szCs w:val="26"/>
        </w:rPr>
        <w:t>between</w:t>
      </w:r>
      <w:r w:rsidRPr="00010328" w:rsidR="004E3895">
        <w:rPr>
          <w:szCs w:val="26"/>
        </w:rPr>
        <w:t xml:space="preserve"> Capacity Regions </w:t>
      </w:r>
      <w:r w:rsidRPr="00010328">
        <w:rPr>
          <w:szCs w:val="26"/>
        </w:rPr>
        <w:t>is just and reasonable because it</w:t>
      </w:r>
      <w:r w:rsidRPr="00010328" w:rsidR="00F20E08">
        <w:rPr>
          <w:szCs w:val="26"/>
        </w:rPr>
        <w:t xml:space="preserve"> will </w:t>
      </w:r>
      <w:r w:rsidR="0097406F">
        <w:rPr>
          <w:szCs w:val="26"/>
        </w:rPr>
        <w:t>re</w:t>
      </w:r>
      <w:r w:rsidR="00841301">
        <w:rPr>
          <w:szCs w:val="26"/>
        </w:rPr>
        <w:t xml:space="preserve">duce </w:t>
      </w:r>
      <w:r w:rsidR="008D6B48">
        <w:rPr>
          <w:szCs w:val="26"/>
        </w:rPr>
        <w:t>the need for</w:t>
      </w:r>
      <w:r w:rsidR="00841301">
        <w:rPr>
          <w:szCs w:val="26"/>
        </w:rPr>
        <w:t xml:space="preserve"> System Deliverability Upgrades</w:t>
      </w:r>
      <w:r w:rsidR="00E46502">
        <w:rPr>
          <w:szCs w:val="26"/>
        </w:rPr>
        <w:t xml:space="preserve"> without impacting reliability</w:t>
      </w:r>
      <w:r w:rsidRPr="00010328" w:rsidR="00F20E08">
        <w:rPr>
          <w:szCs w:val="26"/>
        </w:rPr>
        <w:t xml:space="preserve">.  </w:t>
      </w:r>
    </w:p>
    <w:p w:rsidR="00F20EBF" w:rsidRPr="00010328" w:rsidP="00017003">
      <w:pPr>
        <w:pStyle w:val="FERCparanumber"/>
        <w:rPr>
          <w:szCs w:val="26"/>
        </w:rPr>
      </w:pPr>
      <w:r w:rsidRPr="00010328">
        <w:rPr>
          <w:szCs w:val="26"/>
        </w:rPr>
        <w:t xml:space="preserve">Lastly, </w:t>
      </w:r>
      <w:r w:rsidRPr="00010328" w:rsidR="005C54AF">
        <w:rPr>
          <w:szCs w:val="26"/>
        </w:rPr>
        <w:t xml:space="preserve">we find </w:t>
      </w:r>
      <w:r w:rsidRPr="00010328" w:rsidR="0002397D">
        <w:rPr>
          <w:szCs w:val="26"/>
        </w:rPr>
        <w:t>that</w:t>
      </w:r>
      <w:r w:rsidRPr="00010328" w:rsidR="008B6571">
        <w:rPr>
          <w:szCs w:val="26"/>
        </w:rPr>
        <w:t xml:space="preserve"> </w:t>
      </w:r>
      <w:r w:rsidRPr="00010328" w:rsidR="00877C34">
        <w:rPr>
          <w:szCs w:val="26"/>
        </w:rPr>
        <w:t xml:space="preserve">updating the derate factor values as the resource mix and demand change </w:t>
      </w:r>
      <w:r w:rsidRPr="00010328" w:rsidR="00A261DC">
        <w:rPr>
          <w:szCs w:val="26"/>
        </w:rPr>
        <w:t>is just and reasonable</w:t>
      </w:r>
      <w:r w:rsidRPr="00010328" w:rsidR="0002397D">
        <w:rPr>
          <w:szCs w:val="26"/>
        </w:rPr>
        <w:t xml:space="preserve"> </w:t>
      </w:r>
      <w:r w:rsidRPr="00010328" w:rsidR="009D496A">
        <w:rPr>
          <w:szCs w:val="26"/>
        </w:rPr>
        <w:t>because</w:t>
      </w:r>
      <w:r w:rsidRPr="00010328" w:rsidR="0002397D">
        <w:rPr>
          <w:szCs w:val="26"/>
        </w:rPr>
        <w:t xml:space="preserve"> this method will better reflect the ESR capacity value represented in resource adequacy models</w:t>
      </w:r>
      <w:r w:rsidRPr="00010328" w:rsidR="009D496A">
        <w:rPr>
          <w:szCs w:val="26"/>
        </w:rPr>
        <w:t>.</w:t>
      </w:r>
      <w:r w:rsidRPr="00010328" w:rsidR="00237498">
        <w:rPr>
          <w:szCs w:val="26"/>
        </w:rPr>
        <w:t xml:space="preserve"> </w:t>
      </w:r>
    </w:p>
    <w:p w:rsidR="00F20EBF">
      <w:pPr>
        <w:rPr>
          <w:szCs w:val="26"/>
        </w:rPr>
      </w:pPr>
      <w:r w:rsidRPr="00010328">
        <w:rPr>
          <w:szCs w:val="26"/>
        </w:rPr>
        <w:t xml:space="preserve"> </w:t>
      </w:r>
      <w:r w:rsidR="0066730E">
        <w:rPr>
          <w:szCs w:val="26"/>
        </w:rPr>
        <w:tab/>
      </w:r>
      <w:r w:rsidRPr="00010328">
        <w:rPr>
          <w:szCs w:val="26"/>
        </w:rPr>
        <w:t>By direction of the Commission</w:t>
      </w:r>
      <w:r w:rsidR="0066730E">
        <w:rPr>
          <w:szCs w:val="26"/>
        </w:rPr>
        <w:t>.</w:t>
      </w:r>
      <w:r w:rsidR="00B8355D">
        <w:rPr>
          <w:szCs w:val="26"/>
        </w:rPr>
        <w:t xml:space="preserve">  Commissioner Rosner is concurring with a </w:t>
      </w:r>
    </w:p>
    <w:p w:rsidR="00B8355D" w:rsidRPr="00010328">
      <w:pPr>
        <w:rPr>
          <w:szCs w:val="26"/>
        </w:rPr>
      </w:pPr>
      <w:r>
        <w:rPr>
          <w:szCs w:val="26"/>
        </w:rPr>
        <w:tab/>
        <w:tab/>
        <w:tab/>
        <w:tab/>
        <w:tab/>
        <w:t xml:space="preserve">          separate statement attached.</w:t>
      </w:r>
    </w:p>
    <w:p w:rsidR="00F20EBF" w:rsidRPr="00010328">
      <w:pPr>
        <w:rPr>
          <w:szCs w:val="26"/>
        </w:rPr>
      </w:pPr>
    </w:p>
    <w:p w:rsidR="00AD1AB4" w:rsidP="0066730E">
      <w:pPr>
        <w:widowControl/>
        <w:rPr>
          <w:szCs w:val="26"/>
        </w:rPr>
      </w:pPr>
      <w:r w:rsidRPr="00010328">
        <w:rPr>
          <w:szCs w:val="26"/>
        </w:rPr>
        <w:tab/>
        <w:tab/>
        <w:tab/>
        <w:tab/>
        <w:tab/>
        <w:tab/>
      </w:r>
    </w:p>
    <w:p w:rsidR="0066730E" w:rsidP="0066730E">
      <w:pPr>
        <w:widowControl/>
        <w:rPr>
          <w:szCs w:val="26"/>
        </w:rPr>
      </w:pPr>
    </w:p>
    <w:p w:rsidR="0066730E" w:rsidRPr="0066730E" w:rsidP="0066730E">
      <w:pPr>
        <w:widowControl/>
        <w:ind w:firstLine="2174"/>
        <w:jc w:val="center"/>
      </w:pPr>
      <w:r w:rsidRPr="0066730E">
        <w:t>Carlos D. Clay,</w:t>
      </w:r>
    </w:p>
    <w:p w:rsidR="0066730E" w:rsidRPr="0066730E" w:rsidP="0066730E">
      <w:pPr>
        <w:widowControl/>
        <w:ind w:firstLine="2174"/>
        <w:jc w:val="center"/>
      </w:pPr>
      <w:r w:rsidRPr="0066730E">
        <w:t>Deputy Secretary.</w:t>
      </w:r>
    </w:p>
    <w:p w:rsidR="0066730E" w:rsidRPr="00010328" w:rsidP="0066730E">
      <w:pPr>
        <w:widowControl/>
        <w:rPr>
          <w:szCs w:val="26"/>
        </w:rPr>
      </w:pPr>
    </w:p>
    <w:p w:rsidR="00AD1AB4" w:rsidRPr="00010328">
      <w:pPr>
        <w:widowControl/>
        <w:spacing w:after="160" w:line="259" w:lineRule="auto"/>
        <w:rPr>
          <w:szCs w:val="26"/>
        </w:rPr>
      </w:pPr>
      <w:r w:rsidRPr="00010328">
        <w:rPr>
          <w:szCs w:val="26"/>
        </w:rPr>
        <w:br w:type="page"/>
      </w:r>
    </w:p>
    <w:p w:rsidR="001324BF" w:rsidRPr="00010328">
      <w:pPr>
        <w:widowControl/>
        <w:spacing w:after="160" w:line="259" w:lineRule="auto"/>
        <w:rPr>
          <w:szCs w:val="26"/>
        </w:rPr>
      </w:pPr>
    </w:p>
    <w:p w:rsidR="001324BF" w:rsidRPr="00010328" w:rsidP="001324BF">
      <w:pPr>
        <w:widowControl/>
        <w:jc w:val="center"/>
        <w:rPr>
          <w:b/>
          <w:bCs/>
          <w:szCs w:val="26"/>
          <w:u w:val="single"/>
        </w:rPr>
      </w:pPr>
      <w:r w:rsidRPr="00010328">
        <w:rPr>
          <w:b/>
          <w:bCs/>
          <w:szCs w:val="26"/>
          <w:u w:val="single"/>
        </w:rPr>
        <w:t>Appendix – Tariff Record</w:t>
      </w:r>
    </w:p>
    <w:p w:rsidR="001324BF" w:rsidRPr="00010328" w:rsidP="001324BF">
      <w:pPr>
        <w:widowControl/>
        <w:spacing w:after="160" w:line="259" w:lineRule="auto"/>
        <w:jc w:val="center"/>
        <w:rPr>
          <w:b/>
          <w:bCs/>
          <w:szCs w:val="26"/>
        </w:rPr>
      </w:pPr>
    </w:p>
    <w:p w:rsidR="00366587" w:rsidRPr="00010328" w:rsidP="004905A9">
      <w:pPr>
        <w:autoSpaceDE w:val="0"/>
        <w:autoSpaceDN w:val="0"/>
        <w:adjustRightInd w:val="0"/>
        <w:spacing w:line="252" w:lineRule="auto"/>
        <w:jc w:val="center"/>
        <w:rPr>
          <w:b/>
          <w:bCs/>
          <w:szCs w:val="26"/>
        </w:rPr>
      </w:pPr>
      <w:r w:rsidRPr="00010328">
        <w:rPr>
          <w:b/>
          <w:bCs/>
          <w:szCs w:val="26"/>
        </w:rPr>
        <w:t>New York Independent System Operator, Inc.</w:t>
      </w:r>
    </w:p>
    <w:p w:rsidR="004905A9" w:rsidRPr="00010328" w:rsidP="004905A9">
      <w:pPr>
        <w:autoSpaceDE w:val="0"/>
        <w:autoSpaceDN w:val="0"/>
        <w:adjustRightInd w:val="0"/>
        <w:spacing w:line="252" w:lineRule="auto"/>
        <w:jc w:val="center"/>
        <w:rPr>
          <w:b/>
          <w:bCs/>
          <w:szCs w:val="26"/>
        </w:rPr>
      </w:pPr>
      <w:r w:rsidRPr="00010328">
        <w:rPr>
          <w:b/>
          <w:bCs/>
          <w:szCs w:val="26"/>
        </w:rPr>
        <w:br/>
      </w:r>
      <w:r w:rsidRPr="00010328">
        <w:rPr>
          <w:b/>
          <w:bCs/>
          <w:szCs w:val="26"/>
        </w:rPr>
        <w:t>NYISO Tariffs</w:t>
      </w:r>
    </w:p>
    <w:p w:rsidR="0080647A" w:rsidRPr="00010328" w:rsidP="006524D8">
      <w:pPr>
        <w:pStyle w:val="ListParagraph"/>
        <w:numPr>
          <w:ilvl w:val="0"/>
          <w:numId w:val="23"/>
        </w:numPr>
        <w:autoSpaceDE w:val="0"/>
        <w:autoSpaceDN w:val="0"/>
        <w:adjustRightInd w:val="0"/>
        <w:spacing w:line="252" w:lineRule="auto"/>
        <w:jc w:val="center"/>
        <w:rPr>
          <w:szCs w:val="26"/>
        </w:rPr>
      </w:pPr>
      <w:hyperlink r:id="rId11" w:history="1">
        <w:r w:rsidRPr="00010328">
          <w:rPr>
            <w:color w:val="0563C1"/>
            <w:szCs w:val="26"/>
            <w:u w:val="single"/>
          </w:rPr>
          <w:t>NYISO OATT, 40.1 OATT Att HH Definitions (3.0.0)</w:t>
        </w:r>
      </w:hyperlink>
    </w:p>
    <w:p w:rsidR="00575F49" w:rsidRPr="00010328" w:rsidP="00575F49">
      <w:pPr>
        <w:pStyle w:val="ListParagraph"/>
        <w:autoSpaceDE w:val="0"/>
        <w:autoSpaceDN w:val="0"/>
        <w:adjustRightInd w:val="0"/>
        <w:spacing w:line="252" w:lineRule="auto"/>
        <w:rPr>
          <w:szCs w:val="26"/>
        </w:rPr>
      </w:pPr>
    </w:p>
    <w:p w:rsidR="0080647A" w:rsidRPr="00010328" w:rsidP="006524D8">
      <w:pPr>
        <w:pStyle w:val="ListParagraph"/>
        <w:numPr>
          <w:ilvl w:val="0"/>
          <w:numId w:val="23"/>
        </w:numPr>
        <w:autoSpaceDE w:val="0"/>
        <w:autoSpaceDN w:val="0"/>
        <w:adjustRightInd w:val="0"/>
        <w:spacing w:line="252" w:lineRule="auto"/>
        <w:jc w:val="center"/>
        <w:rPr>
          <w:szCs w:val="26"/>
        </w:rPr>
      </w:pPr>
      <w:hyperlink r:id="rId12" w:history="1">
        <w:r w:rsidRPr="00010328">
          <w:rPr>
            <w:color w:val="0563C1"/>
            <w:szCs w:val="26"/>
            <w:u w:val="single"/>
          </w:rPr>
          <w:t>NYISO OATT, 40.9 OATT Att HH Cluster Study Overview/ NYISO Minimum Inter (2.0.0)</w:t>
        </w:r>
      </w:hyperlink>
    </w:p>
    <w:p w:rsidR="00575F49" w:rsidRPr="00010328" w:rsidP="00575F49">
      <w:pPr>
        <w:pStyle w:val="ListParagraph"/>
        <w:rPr>
          <w:szCs w:val="26"/>
        </w:rPr>
      </w:pPr>
    </w:p>
    <w:p w:rsidR="00575F49" w:rsidRPr="00010328" w:rsidP="00575F49">
      <w:pPr>
        <w:pStyle w:val="ListParagraph"/>
        <w:autoSpaceDE w:val="0"/>
        <w:autoSpaceDN w:val="0"/>
        <w:adjustRightInd w:val="0"/>
        <w:spacing w:line="252" w:lineRule="auto"/>
        <w:rPr>
          <w:szCs w:val="26"/>
        </w:rPr>
      </w:pPr>
    </w:p>
    <w:p w:rsidR="0080647A" w:rsidRPr="00010328" w:rsidP="006524D8">
      <w:pPr>
        <w:pStyle w:val="ListParagraph"/>
        <w:numPr>
          <w:ilvl w:val="0"/>
          <w:numId w:val="23"/>
        </w:numPr>
        <w:autoSpaceDE w:val="0"/>
        <w:autoSpaceDN w:val="0"/>
        <w:adjustRightInd w:val="0"/>
        <w:spacing w:line="252" w:lineRule="auto"/>
        <w:jc w:val="center"/>
        <w:rPr>
          <w:szCs w:val="26"/>
        </w:rPr>
      </w:pPr>
      <w:hyperlink r:id="rId13" w:history="1">
        <w:r w:rsidRPr="00010328">
          <w:rPr>
            <w:color w:val="0563C1"/>
            <w:szCs w:val="26"/>
            <w:u w:val="single"/>
          </w:rPr>
          <w:t>NYISO OATT, 40.13 OATT Att HH Deliverability Studies and Cost Allocation (5.0.0)</w:t>
        </w:r>
      </w:hyperlink>
    </w:p>
    <w:p w:rsidR="00575F49" w:rsidRPr="00010328" w:rsidP="00575F49">
      <w:pPr>
        <w:pStyle w:val="ListParagraph"/>
        <w:autoSpaceDE w:val="0"/>
        <w:autoSpaceDN w:val="0"/>
        <w:adjustRightInd w:val="0"/>
        <w:spacing w:line="252" w:lineRule="auto"/>
        <w:rPr>
          <w:szCs w:val="26"/>
        </w:rPr>
      </w:pPr>
    </w:p>
    <w:p w:rsidR="0080647A" w:rsidRPr="00B8355D" w:rsidP="006524D8">
      <w:pPr>
        <w:pStyle w:val="ListParagraph"/>
        <w:numPr>
          <w:ilvl w:val="0"/>
          <w:numId w:val="23"/>
        </w:numPr>
        <w:autoSpaceDE w:val="0"/>
        <w:autoSpaceDN w:val="0"/>
        <w:adjustRightInd w:val="0"/>
        <w:spacing w:line="252" w:lineRule="auto"/>
        <w:jc w:val="center"/>
        <w:rPr>
          <w:szCs w:val="26"/>
        </w:rPr>
      </w:pPr>
      <w:hyperlink r:id="rId14" w:history="1">
        <w:r w:rsidRPr="00010328">
          <w:rPr>
            <w:color w:val="0563C1"/>
            <w:szCs w:val="26"/>
            <w:u w:val="single"/>
          </w:rPr>
          <w:t>NYISO MST, 5.12 MST Requirements Applicable to Installed Capacity Suppl (60.0.0)</w:t>
        </w:r>
      </w:hyperlink>
    </w:p>
    <w:p w:rsidR="00B8355D" w:rsidRPr="00B8355D" w:rsidP="00B8355D">
      <w:pPr>
        <w:pStyle w:val="ListParagraph"/>
        <w:rPr>
          <w:szCs w:val="26"/>
        </w:rPr>
      </w:pPr>
    </w:p>
    <w:p w:rsidR="00B8355D" w:rsidP="006524D8">
      <w:pPr>
        <w:pStyle w:val="ListParagraph"/>
        <w:numPr>
          <w:ilvl w:val="0"/>
          <w:numId w:val="23"/>
        </w:numPr>
        <w:autoSpaceDE w:val="0"/>
        <w:autoSpaceDN w:val="0"/>
        <w:adjustRightInd w:val="0"/>
        <w:spacing w:line="252" w:lineRule="auto"/>
        <w:jc w:val="center"/>
        <w:rPr>
          <w:szCs w:val="26"/>
        </w:rPr>
        <w:sectPr w:rsidSect="00F20EBF">
          <w:headerReference w:type="even" r:id="rId15"/>
          <w:headerReference w:type="default" r:id="rId16"/>
          <w:headerReference w:type="first" r:id="rId17"/>
          <w:pgSz w:w="12240" w:h="15840"/>
          <w:pgMar w:top="1440" w:right="1440" w:bottom="1440" w:left="1440" w:header="720" w:footer="720" w:gutter="0"/>
          <w:pgNumType w:fmt="numberInDash" w:start="1"/>
          <w:cols w:space="720"/>
          <w:titlePg/>
          <w:docGrid w:linePitch="360"/>
        </w:sectPr>
      </w:pPr>
    </w:p>
    <w:p w:rsidR="00B8355D" w:rsidRPr="00C02A04" w:rsidP="00C02A04">
      <w:pPr>
        <w:jc w:val="center"/>
      </w:pPr>
      <w:r w:rsidRPr="00C02A04">
        <w:t>UNITED STATES OF AMERICA</w:t>
      </w:r>
    </w:p>
    <w:p w:rsidR="00B8355D" w:rsidRPr="00C02A04" w:rsidP="00C02A04">
      <w:pPr>
        <w:jc w:val="center"/>
      </w:pPr>
      <w:r w:rsidRPr="00C02A04">
        <w:t>FEDERAL ENERGY REGULATORY COMMISSION</w:t>
      </w:r>
    </w:p>
    <w:p w:rsidR="00B8355D" w:rsidRPr="00C02A04" w:rsidP="00C02A0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1E0"/>
      </w:tblPr>
      <w:tblGrid>
        <w:gridCol w:w="5934"/>
        <w:gridCol w:w="1534"/>
        <w:gridCol w:w="1892"/>
      </w:tblGrid>
      <w:tr w:rsidTr="008369EE">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1E0"/>
        </w:tblPrEx>
        <w:tc>
          <w:tcPr>
            <w:tcW w:w="6088" w:type="dxa"/>
          </w:tcPr>
          <w:p w:rsidR="00B8355D" w:rsidRPr="00C02A04" w:rsidP="00C02A04">
            <w:pPr>
              <w:widowControl w:val="0"/>
              <w:autoSpaceDE w:val="0"/>
              <w:autoSpaceDN w:val="0"/>
              <w:adjustRightInd w:val="0"/>
              <w:spacing w:after="0" w:line="240" w:lineRule="auto"/>
              <w:rPr>
                <w:rFonts w:ascii="Times New Roman" w:eastAsia="Calibri" w:hAnsi="Times New Roman" w:cs="Times New Roman"/>
                <w:sz w:val="26"/>
                <w:szCs w:val="22"/>
                <w:lang w:val="en-US" w:eastAsia="en-US" w:bidi="ar-SA"/>
              </w:rPr>
            </w:pPr>
            <w:r>
              <w:rPr>
                <w:rFonts w:ascii="Times New Roman" w:eastAsia="Calibri" w:hAnsi="Times New Roman" w:cs="Times New Roman"/>
                <w:sz w:val="26"/>
                <w:szCs w:val="22"/>
                <w:lang w:val="en-US" w:eastAsia="en-US" w:bidi="ar-SA"/>
              </w:rPr>
              <w:t>New York Independent System Operator, Inc.</w:t>
            </w:r>
          </w:p>
        </w:tc>
        <w:tc>
          <w:tcPr>
            <w:tcW w:w="1560" w:type="dxa"/>
          </w:tcPr>
          <w:p w:rsidR="00B8355D" w:rsidRPr="00C02A04" w:rsidP="008369EE">
            <w:pPr>
              <w:widowControl w:val="0"/>
              <w:autoSpaceDE w:val="0"/>
              <w:autoSpaceDN w:val="0"/>
              <w:adjustRightInd w:val="0"/>
              <w:spacing w:after="0" w:line="240" w:lineRule="auto"/>
              <w:jc w:val="right"/>
              <w:rPr>
                <w:rFonts w:ascii="Times New Roman" w:eastAsia="Calibri" w:hAnsi="Times New Roman" w:cs="Times New Roman"/>
                <w:sz w:val="26"/>
                <w:szCs w:val="22"/>
                <w:lang w:val="en-US" w:eastAsia="en-US" w:bidi="ar-SA"/>
              </w:rPr>
            </w:pPr>
            <w:r>
              <w:rPr>
                <w:rFonts w:ascii="Times New Roman" w:eastAsia="Calibri" w:hAnsi="Times New Roman" w:cs="Times New Roman"/>
                <w:sz w:val="26"/>
                <w:szCs w:val="22"/>
                <w:lang w:val="en-US" w:eastAsia="en-US" w:bidi="ar-SA"/>
              </w:rPr>
              <w:t>Docket No.</w:t>
            </w:r>
          </w:p>
        </w:tc>
        <w:tc>
          <w:tcPr>
            <w:tcW w:w="1928" w:type="dxa"/>
            <w:tcMar>
              <w:left w:w="144" w:type="dxa"/>
            </w:tcMar>
          </w:tcPr>
          <w:p w:rsidR="00B8355D" w:rsidRPr="00C02A04" w:rsidP="00C02A04">
            <w:pPr>
              <w:widowControl w:val="0"/>
              <w:autoSpaceDE w:val="0"/>
              <w:autoSpaceDN w:val="0"/>
              <w:adjustRightInd w:val="0"/>
              <w:spacing w:after="0" w:line="240" w:lineRule="auto"/>
              <w:rPr>
                <w:rFonts w:ascii="Times New Roman" w:eastAsia="Calibri" w:hAnsi="Times New Roman" w:cs="Times New Roman"/>
                <w:sz w:val="26"/>
                <w:szCs w:val="22"/>
                <w:lang w:val="en-US" w:eastAsia="en-US" w:bidi="ar-SA"/>
              </w:rPr>
            </w:pPr>
            <w:r w:rsidRPr="003A4A6E">
              <w:rPr>
                <w:rFonts w:ascii="Times New Roman" w:eastAsia="Calibri" w:hAnsi="Times New Roman" w:cs="Times New Roman"/>
                <w:sz w:val="26"/>
                <w:szCs w:val="22"/>
                <w:lang w:val="en-US" w:eastAsia="en-US" w:bidi="ar-SA"/>
              </w:rPr>
              <w:t>ER26-2577</w:t>
            </w:r>
            <w:r>
              <w:rPr>
                <w:rFonts w:ascii="Times New Roman" w:eastAsia="Calibri" w:hAnsi="Times New Roman" w:cs="Times New Roman"/>
                <w:sz w:val="26"/>
                <w:szCs w:val="22"/>
                <w:lang w:val="en-US" w:eastAsia="en-US" w:bidi="ar-SA"/>
              </w:rPr>
              <w:t>-000</w:t>
            </w:r>
          </w:p>
        </w:tc>
      </w:tr>
    </w:tbl>
    <w:p w:rsidR="00B8355D" w:rsidRPr="00C02A04" w:rsidP="00C02A04"/>
    <w:p w:rsidR="00B8355D" w:rsidP="00B8355D">
      <w:pPr>
        <w:widowControl/>
        <w:jc w:val="center"/>
      </w:pPr>
      <w:r w:rsidRPr="00B8355D">
        <w:t>(Issued July 20, 2026))</w:t>
      </w:r>
    </w:p>
    <w:p w:rsidR="00B8355D" w:rsidRPr="00C02A04" w:rsidP="00C02A04">
      <w:pPr>
        <w:rPr>
          <w:bCs/>
        </w:rPr>
      </w:pPr>
    </w:p>
    <w:p w:rsidR="00B8355D" w:rsidRPr="00C02A04" w:rsidP="00C02A04">
      <w:pPr>
        <w:rPr>
          <w:bCs/>
        </w:rPr>
      </w:pPr>
      <w:bookmarkStart w:id="5" w:name="Commissioner"/>
      <w:bookmarkEnd w:id="5"/>
      <w:r>
        <w:rPr>
          <w:bCs/>
        </w:rPr>
        <w:t xml:space="preserve">ROSNER, Commissioner, </w:t>
      </w:r>
      <w:r>
        <w:rPr>
          <w:bCs/>
          <w:i/>
        </w:rPr>
        <w:t>concurring</w:t>
      </w:r>
      <w:r>
        <w:rPr>
          <w:bCs/>
        </w:rPr>
        <w:t>:</w:t>
      </w:r>
      <w:r w:rsidRPr="00C02A04">
        <w:rPr>
          <w:bCs/>
        </w:rPr>
        <w:t xml:space="preserve"> </w:t>
      </w:r>
      <w:bookmarkStart w:id="6" w:name="Action1"/>
      <w:bookmarkEnd w:id="6"/>
    </w:p>
    <w:p w:rsidR="00B8355D" w:rsidRPr="00C02A04" w:rsidP="00C02A04">
      <w:pPr>
        <w:rPr>
          <w:bCs/>
        </w:rPr>
      </w:pPr>
    </w:p>
    <w:p w:rsidR="00B8355D" w:rsidP="00B8355D">
      <w:pPr>
        <w:pStyle w:val="FERCparanumber"/>
        <w:numPr>
          <w:ilvl w:val="0"/>
          <w:numId w:val="24"/>
        </w:numPr>
      </w:pPr>
      <w:r>
        <w:t>Today’s order accepts NYISO’s revised interconnection study rules.  I write separately to commend NYISO for reforming its generator interconnection process to more accurately reflect actual grid conditions, avoid unneeded transmission upgrades, and get new electrons on the grid faster.  While NYISO’s process has unique regional attributes, I call on other grid operators to consider similar solutions.</w:t>
      </w:r>
    </w:p>
    <w:p w:rsidR="00B8355D" w:rsidP="00C02A04">
      <w:pPr>
        <w:pStyle w:val="FERCparanumber"/>
      </w:pPr>
      <w:r>
        <w:t xml:space="preserve">Currently, NYISO’s interconnection studies do not fully consider demand for electricity within zones (i.e., geographic regions within the ISO) when assessing a generator’s ability to deliver electricity.  With today’s reforms, NYISO will now study generation </w:t>
      </w:r>
      <w:r w:rsidRPr="00754E75">
        <w:rPr>
          <w:i/>
        </w:rPr>
        <w:t>and</w:t>
      </w:r>
      <w:r>
        <w:t xml:space="preserve"> demand within a zone </w:t>
      </w:r>
      <w:r>
        <w:rPr>
          <w:i/>
          <w:iCs/>
        </w:rPr>
        <w:t>before</w:t>
      </w:r>
      <w:r>
        <w:t xml:space="preserve"> assessing whether transmission upgrades are needed to make supply deliverable </w:t>
      </w:r>
      <w:r w:rsidRPr="00CA587E">
        <w:t xml:space="preserve">across </w:t>
      </w:r>
      <w:r>
        <w:t>zones.</w:t>
      </w:r>
    </w:p>
    <w:p w:rsidR="00B8355D" w:rsidRPr="00C02A04" w:rsidP="00656F5B">
      <w:pPr>
        <w:pStyle w:val="FERCparanumber"/>
      </w:pPr>
      <w:r w:rsidRPr="00703CFF">
        <w:t xml:space="preserve">NYISO’s </w:t>
      </w:r>
      <w:r>
        <w:t>initial</w:t>
      </w:r>
      <w:r w:rsidRPr="00703CFF">
        <w:t xml:space="preserve"> </w:t>
      </w:r>
      <w:r>
        <w:t>cluster</w:t>
      </w:r>
      <w:r w:rsidRPr="00703CFF">
        <w:t xml:space="preserve"> analysis </w:t>
      </w:r>
      <w:r>
        <w:t xml:space="preserve">conducted under its old rules </w:t>
      </w:r>
      <w:r w:rsidRPr="00703CFF">
        <w:t>identified</w:t>
      </w:r>
      <w:r w:rsidRPr="00754E75">
        <w:t xml:space="preserve"> 24 system deliverability upgrades, including new </w:t>
      </w:r>
      <w:r>
        <w:t>and rebuilt</w:t>
      </w:r>
      <w:r w:rsidRPr="00754E75">
        <w:t xml:space="preserve"> </w:t>
      </w:r>
      <w:r>
        <w:t xml:space="preserve">transmission </w:t>
      </w:r>
      <w:r w:rsidRPr="00754E75">
        <w:t xml:space="preserve">lines, terminal upgrades, and </w:t>
      </w:r>
      <w:r>
        <w:t xml:space="preserve">series </w:t>
      </w:r>
      <w:r w:rsidRPr="00754E75">
        <w:t>reactors,</w:t>
      </w:r>
      <w:r w:rsidRPr="004B4589">
        <w:t xml:space="preserve"> </w:t>
      </w:r>
      <w:r w:rsidRPr="00703CFF">
        <w:t xml:space="preserve">but as a result of this package of reforms, only </w:t>
      </w:r>
      <w:r w:rsidRPr="00754E75">
        <w:t xml:space="preserve">3 of these upgrades </w:t>
      </w:r>
      <w:r w:rsidRPr="00703CFF">
        <w:t>will</w:t>
      </w:r>
      <w:r w:rsidRPr="00754E75">
        <w:t xml:space="preserve"> ultimately</w:t>
      </w:r>
      <w:r w:rsidRPr="00703CFF">
        <w:t xml:space="preserve"> be required</w:t>
      </w:r>
      <w:r>
        <w:t>, which will save over $1 billion in upgrade costs</w:t>
      </w:r>
      <w:r w:rsidRPr="00703CFF">
        <w:t>.</w:t>
      </w:r>
      <w:r>
        <w:rPr>
          <w:rStyle w:val="FootnoteReference"/>
        </w:rPr>
        <w:footnoteReference w:id="24"/>
      </w:r>
      <w:r>
        <w:t xml:space="preserve">  It is well documented that high upgrade costs are a significant barrier to building new generation,</w:t>
      </w:r>
      <w:r>
        <w:rPr>
          <w:rStyle w:val="FootnoteReference"/>
        </w:rPr>
        <w:footnoteReference w:id="25"/>
      </w:r>
      <w:r>
        <w:t xml:space="preserve"> so I continue to encourage other regions to consider whether similar changes would increase</w:t>
      </w:r>
      <w:r w:rsidRPr="0074317D">
        <w:t xml:space="preserve"> the efficiency and speed with which new generation can connect to the grid</w:t>
      </w:r>
      <w:r>
        <w:t xml:space="preserve">. </w:t>
      </w:r>
    </w:p>
    <w:p w:rsidR="00B8355D" w:rsidP="00754E75">
      <w:pPr>
        <w:ind w:firstLine="720"/>
      </w:pPr>
      <w:bookmarkStart w:id="7" w:name="Action2"/>
      <w:bookmarkEnd w:id="7"/>
      <w:r>
        <w:t>For these reasons, I respectfully concur.</w:t>
      </w:r>
    </w:p>
    <w:p w:rsidR="00B8355D" w:rsidP="008369EE"/>
    <w:p w:rsidR="00B8355D" w:rsidP="008369EE">
      <w:r>
        <w:t>________________________</w:t>
      </w:r>
    </w:p>
    <w:p w:rsidR="00B8355D" w:rsidP="008369EE">
      <w:r>
        <w:t>David Rosner</w:t>
      </w:r>
    </w:p>
    <w:p w:rsidR="00B8355D" w:rsidRPr="00C02A04" w:rsidP="00C02A04">
      <w:r>
        <w:t>Commissioner</w:t>
      </w:r>
    </w:p>
    <w:sectPr w:rsidSect="00F20EBF">
      <w:footnotePr>
        <w:numRestart w:val="eachSect"/>
      </w:footnotePr>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A07" w:rsidP="0048020B">
      <w:r>
        <w:separator/>
      </w:r>
    </w:p>
  </w:endnote>
  <w:endnote w:type="continuationSeparator" w:id="1">
    <w:p w:rsidR="00914A07"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 w:name="ＭＳ 明朝">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A07" w:rsidP="0048020B">
      <w:r>
        <w:separator/>
      </w:r>
    </w:p>
  </w:footnote>
  <w:footnote w:type="continuationSeparator" w:id="1">
    <w:p w:rsidR="00914A07" w:rsidP="0048020B">
      <w:r>
        <w:continuationSeparator/>
      </w:r>
    </w:p>
  </w:footnote>
  <w:footnote w:type="continuationNotice" w:id="2">
    <w:p w:rsidR="00914A07" w:rsidRPr="00600321" w:rsidP="00600321">
      <w:pPr>
        <w:spacing w:line="14" w:lineRule="exact"/>
        <w:rPr>
          <w:sz w:val="2"/>
        </w:rPr>
      </w:pPr>
    </w:p>
  </w:footnote>
  <w:footnote w:id="3">
    <w:p w:rsidR="00331C19" w:rsidRPr="003545A2" w:rsidP="00331C19">
      <w:pPr>
        <w:pStyle w:val="FootnoteText"/>
        <w:rPr>
          <w:szCs w:val="26"/>
        </w:rPr>
      </w:pPr>
      <w:r w:rsidRPr="003545A2">
        <w:rPr>
          <w:rStyle w:val="FootnoteReference"/>
          <w:szCs w:val="26"/>
        </w:rPr>
        <w:footnoteRef/>
      </w:r>
      <w:r w:rsidRPr="003545A2">
        <w:rPr>
          <w:szCs w:val="26"/>
        </w:rPr>
        <w:t xml:space="preserve"> 16 U.S.C. §</w:t>
      </w:r>
      <w:r>
        <w:rPr>
          <w:szCs w:val="26"/>
        </w:rPr>
        <w:t> </w:t>
      </w:r>
      <w:r w:rsidRPr="003545A2">
        <w:rPr>
          <w:szCs w:val="26"/>
        </w:rPr>
        <w:t xml:space="preserve">824d. </w:t>
      </w:r>
    </w:p>
  </w:footnote>
  <w:footnote w:id="4">
    <w:p w:rsidR="00331C19" w:rsidRPr="003545A2" w:rsidP="00331C19">
      <w:pPr>
        <w:pStyle w:val="FootnoteText"/>
        <w:rPr>
          <w:szCs w:val="26"/>
        </w:rPr>
      </w:pPr>
      <w:r w:rsidRPr="003545A2">
        <w:rPr>
          <w:rStyle w:val="FootnoteReference"/>
          <w:szCs w:val="26"/>
        </w:rPr>
        <w:footnoteRef/>
      </w:r>
      <w:r w:rsidRPr="003545A2">
        <w:rPr>
          <w:szCs w:val="26"/>
        </w:rPr>
        <w:t xml:space="preserve"> 18 C.F.R. pt. 35 (202</w:t>
      </w:r>
      <w:r>
        <w:rPr>
          <w:szCs w:val="26"/>
        </w:rPr>
        <w:t>5</w:t>
      </w:r>
      <w:r w:rsidRPr="003545A2">
        <w:rPr>
          <w:szCs w:val="26"/>
        </w:rPr>
        <w:t>).</w:t>
      </w:r>
    </w:p>
  </w:footnote>
  <w:footnote w:id="5">
    <w:p w:rsidR="006E2CD1">
      <w:pPr>
        <w:pStyle w:val="FootnoteText"/>
      </w:pPr>
      <w:r>
        <w:rPr>
          <w:rStyle w:val="FootnoteReference"/>
        </w:rPr>
        <w:footnoteRef/>
      </w:r>
      <w:r>
        <w:t xml:space="preserve"> </w:t>
      </w:r>
      <w:r w:rsidRPr="00845F26" w:rsidR="005A2D6E">
        <w:rPr>
          <w:szCs w:val="26"/>
        </w:rPr>
        <w:t xml:space="preserve">System Deliverability Upgrades </w:t>
      </w:r>
      <w:r w:rsidR="00310568">
        <w:rPr>
          <w:szCs w:val="26"/>
        </w:rPr>
        <w:t>are defined in the OATT as</w:t>
      </w:r>
      <w:r w:rsidRPr="00845F26" w:rsidR="005A2D6E">
        <w:rPr>
          <w:szCs w:val="26"/>
        </w:rPr>
        <w:t xml:space="preserve"> </w:t>
      </w:r>
      <w:r w:rsidR="00E43DC0">
        <w:rPr>
          <w:szCs w:val="26"/>
        </w:rPr>
        <w:t>“</w:t>
      </w:r>
      <w:r w:rsidRPr="00845F26" w:rsidR="005A2D6E">
        <w:rPr>
          <w:szCs w:val="26"/>
        </w:rPr>
        <w:t>the least costly configuration of commercially available components of electrical equipment that can be used, consistent with Good Utility Practice and Applicable Reliability Requirements, to make the modifications or additions to Byways and Highways</w:t>
      </w:r>
      <w:r w:rsidR="00EC350F">
        <w:rPr>
          <w:szCs w:val="26"/>
        </w:rPr>
        <w:t>, External Other Interfaces</w:t>
      </w:r>
      <w:r w:rsidRPr="00845F26" w:rsidR="005A2D6E">
        <w:rPr>
          <w:szCs w:val="26"/>
        </w:rPr>
        <w:t xml:space="preserve"> and</w:t>
      </w:r>
      <w:r w:rsidR="00EC350F">
        <w:rPr>
          <w:szCs w:val="26"/>
        </w:rPr>
        <w:t xml:space="preserve"> Internal</w:t>
      </w:r>
      <w:r w:rsidRPr="00845F26" w:rsidR="005A2D6E">
        <w:rPr>
          <w:szCs w:val="26"/>
        </w:rPr>
        <w:t xml:space="preserve"> Other Interfaces on the existing New York State Transmission System that are required for the proposed Project to connect reliably to the system in a manner that meets the NYISO Deliverability Interconnection Standard for Capacity Resource Interconnection Service.</w:t>
      </w:r>
      <w:r w:rsidR="00EC21B1">
        <w:rPr>
          <w:szCs w:val="26"/>
        </w:rPr>
        <w:t xml:space="preserve"> </w:t>
      </w:r>
      <w:r w:rsidR="0066730E">
        <w:rPr>
          <w:szCs w:val="26"/>
        </w:rPr>
        <w:t xml:space="preserve"> </w:t>
      </w:r>
      <w:r w:rsidRPr="00A04A1B" w:rsidR="00A04A1B">
        <w:rPr>
          <w:szCs w:val="26"/>
        </w:rPr>
        <w:t>NYISO</w:t>
      </w:r>
      <w:r w:rsidR="007F1A62">
        <w:rPr>
          <w:szCs w:val="26"/>
        </w:rPr>
        <w:t>, NYISO Tariffs, NYISO</w:t>
      </w:r>
      <w:r w:rsidRPr="00A04A1B" w:rsidR="00A04A1B">
        <w:rPr>
          <w:szCs w:val="26"/>
        </w:rPr>
        <w:t xml:space="preserve"> OATT,</w:t>
      </w:r>
      <w:r w:rsidR="007F1A62">
        <w:rPr>
          <w:szCs w:val="26"/>
        </w:rPr>
        <w:t xml:space="preserve"> §</w:t>
      </w:r>
      <w:r w:rsidRPr="00A04A1B" w:rsidR="00A04A1B">
        <w:rPr>
          <w:szCs w:val="26"/>
        </w:rPr>
        <w:t xml:space="preserve"> 40.1 </w:t>
      </w:r>
      <w:r w:rsidR="005224A4">
        <w:rPr>
          <w:szCs w:val="26"/>
        </w:rPr>
        <w:t>(</w:t>
      </w:r>
      <w:r w:rsidRPr="00A04A1B" w:rsidR="00A04A1B">
        <w:rPr>
          <w:szCs w:val="26"/>
        </w:rPr>
        <w:t>OATT Att</w:t>
      </w:r>
      <w:r w:rsidR="0066730E">
        <w:rPr>
          <w:szCs w:val="26"/>
        </w:rPr>
        <w:t xml:space="preserve">achment </w:t>
      </w:r>
      <w:r w:rsidRPr="00A04A1B" w:rsidR="00A04A1B">
        <w:rPr>
          <w:szCs w:val="26"/>
        </w:rPr>
        <w:t>HH Definitions</w:t>
      </w:r>
      <w:r w:rsidR="005224A4">
        <w:rPr>
          <w:szCs w:val="26"/>
        </w:rPr>
        <w:t>)</w:t>
      </w:r>
      <w:r w:rsidRPr="00A04A1B" w:rsidR="00A04A1B">
        <w:rPr>
          <w:szCs w:val="26"/>
        </w:rPr>
        <w:t xml:space="preserve"> (</w:t>
      </w:r>
      <w:r w:rsidR="0036069D">
        <w:rPr>
          <w:szCs w:val="26"/>
        </w:rPr>
        <w:t>3</w:t>
      </w:r>
      <w:r w:rsidRPr="00A04A1B" w:rsidR="00A04A1B">
        <w:rPr>
          <w:szCs w:val="26"/>
        </w:rPr>
        <w:t>.0.0)</w:t>
      </w:r>
      <w:r w:rsidR="00313949">
        <w:rPr>
          <w:szCs w:val="26"/>
        </w:rPr>
        <w:t>.</w:t>
      </w:r>
    </w:p>
  </w:footnote>
  <w:footnote w:id="6">
    <w:p w:rsidR="005E63AE">
      <w:pPr>
        <w:pStyle w:val="FootnoteText"/>
      </w:pPr>
      <w:r>
        <w:rPr>
          <w:rStyle w:val="FootnoteReference"/>
        </w:rPr>
        <w:footnoteRef/>
      </w:r>
      <w:r>
        <w:t xml:space="preserve"> Filing, Transmittal Letter at 1</w:t>
      </w:r>
      <w:r w:rsidR="005C3B96">
        <w:t xml:space="preserve">. </w:t>
      </w:r>
    </w:p>
  </w:footnote>
  <w:footnote w:id="7">
    <w:p w:rsidR="005C3B96">
      <w:pPr>
        <w:pStyle w:val="FootnoteText"/>
      </w:pPr>
      <w:r>
        <w:rPr>
          <w:rStyle w:val="FootnoteReference"/>
        </w:rPr>
        <w:footnoteRef/>
      </w:r>
      <w:r>
        <w:t xml:space="preserve"> </w:t>
      </w:r>
      <w:r w:rsidR="00B94825">
        <w:rPr>
          <w:i/>
          <w:iCs/>
        </w:rPr>
        <w:t>Id.</w:t>
      </w:r>
      <w:r>
        <w:t xml:space="preserve"> at 1 n.2.</w:t>
      </w:r>
      <w:r w:rsidR="008746BA">
        <w:t xml:space="preserve">  </w:t>
      </w:r>
      <w:r w:rsidRPr="008746BA" w:rsidR="008746BA">
        <w:t>Unless otherwise noted, capitalized terms in this order have the same meaning ascribed to them in the</w:t>
      </w:r>
      <w:r w:rsidR="008746BA">
        <w:t xml:space="preserve"> Tariff.</w:t>
      </w:r>
    </w:p>
  </w:footnote>
  <w:footnote w:id="8">
    <w:p w:rsidR="00712897">
      <w:pPr>
        <w:pStyle w:val="FootnoteText"/>
      </w:pPr>
      <w:r>
        <w:rPr>
          <w:rStyle w:val="FootnoteReference"/>
        </w:rPr>
        <w:footnoteRef/>
      </w:r>
      <w:r>
        <w:t xml:space="preserve"> </w:t>
      </w:r>
      <w:r w:rsidR="00240FB3">
        <w:rPr>
          <w:i/>
          <w:iCs/>
        </w:rPr>
        <w:t>Id.</w:t>
      </w:r>
      <w:r>
        <w:t xml:space="preserve"> at 6.</w:t>
      </w:r>
    </w:p>
  </w:footnote>
  <w:footnote w:id="9">
    <w:p w:rsidR="0034605B" w:rsidRPr="0034605B">
      <w:pPr>
        <w:pStyle w:val="FootnoteText"/>
      </w:pPr>
      <w:r>
        <w:rPr>
          <w:rStyle w:val="FootnoteReference"/>
        </w:rPr>
        <w:footnoteRef/>
      </w:r>
      <w:r>
        <w:t xml:space="preserve"> </w:t>
      </w:r>
      <w:r>
        <w:rPr>
          <w:i/>
          <w:iCs/>
        </w:rPr>
        <w:t>Id.</w:t>
      </w:r>
      <w:r>
        <w:t xml:space="preserve"> at 13.</w:t>
      </w:r>
    </w:p>
  </w:footnote>
  <w:footnote w:id="10">
    <w:p w:rsidR="00663416" w:rsidRPr="00663416">
      <w:pPr>
        <w:pStyle w:val="FootnoteText"/>
      </w:pPr>
      <w:r>
        <w:rPr>
          <w:rStyle w:val="FootnoteReference"/>
        </w:rPr>
        <w:footnoteRef/>
      </w:r>
      <w:r>
        <w:t xml:space="preserve"> </w:t>
      </w:r>
      <w:r>
        <w:rPr>
          <w:i/>
          <w:iCs/>
        </w:rPr>
        <w:t>Id.</w:t>
      </w:r>
      <w:r>
        <w:t xml:space="preserve"> at 7.</w:t>
      </w:r>
    </w:p>
  </w:footnote>
  <w:footnote w:id="11">
    <w:p w:rsidR="00663416" w:rsidRPr="00663416">
      <w:pPr>
        <w:pStyle w:val="FootnoteText"/>
      </w:pPr>
      <w:r>
        <w:rPr>
          <w:rStyle w:val="FootnoteReference"/>
        </w:rPr>
        <w:footnoteRef/>
      </w:r>
      <w:r>
        <w:t xml:space="preserve"> </w:t>
      </w:r>
      <w:r>
        <w:rPr>
          <w:i/>
          <w:iCs/>
        </w:rPr>
        <w:t xml:space="preserve">Id. </w:t>
      </w:r>
      <w:r>
        <w:t>at 14.</w:t>
      </w:r>
    </w:p>
  </w:footnote>
  <w:footnote w:id="12">
    <w:p w:rsidR="002C4902" w:rsidRPr="002C4902">
      <w:pPr>
        <w:pStyle w:val="FootnoteText"/>
      </w:pPr>
      <w:r>
        <w:rPr>
          <w:rStyle w:val="FootnoteReference"/>
        </w:rPr>
        <w:footnoteRef/>
      </w:r>
      <w:r>
        <w:t xml:space="preserve"> </w:t>
      </w:r>
      <w:r>
        <w:rPr>
          <w:i/>
          <w:iCs/>
        </w:rPr>
        <w:t>Id.</w:t>
      </w:r>
      <w:r>
        <w:t xml:space="preserve"> at 5-6.</w:t>
      </w:r>
    </w:p>
  </w:footnote>
  <w:footnote w:id="13">
    <w:p w:rsidR="00816AFF" w:rsidRPr="00816AFF">
      <w:pPr>
        <w:pStyle w:val="FootnoteText"/>
      </w:pPr>
      <w:r>
        <w:rPr>
          <w:rStyle w:val="FootnoteReference"/>
        </w:rPr>
        <w:footnoteRef/>
      </w:r>
      <w:r>
        <w:t xml:space="preserve"> </w:t>
      </w:r>
      <w:r>
        <w:rPr>
          <w:i/>
          <w:iCs/>
        </w:rPr>
        <w:t xml:space="preserve">Id. </w:t>
      </w:r>
      <w:r>
        <w:t>at 7-8.</w:t>
      </w:r>
      <w:r w:rsidR="00BE7CD2">
        <w:t xml:space="preserve">  In contrast, NYISO explains that the “no harm” test methodology applied to intra-zonal interfaces considers both the impact on transfer capability and LOLE and requires System Deliverability Upgrades only when both threshold conditions are met.  </w:t>
      </w:r>
      <w:r w:rsidR="00BE7CD2">
        <w:rPr>
          <w:i/>
          <w:iCs/>
        </w:rPr>
        <w:t xml:space="preserve">Id. </w:t>
      </w:r>
      <w:r w:rsidR="00BE7CD2">
        <w:t>at 7</w:t>
      </w:r>
    </w:p>
  </w:footnote>
  <w:footnote w:id="14">
    <w:p w:rsidR="00B94825" w:rsidRPr="00B94825">
      <w:pPr>
        <w:pStyle w:val="FootnoteText"/>
      </w:pPr>
      <w:r>
        <w:rPr>
          <w:rStyle w:val="FootnoteReference"/>
        </w:rPr>
        <w:footnoteRef/>
      </w:r>
      <w:r>
        <w:t xml:space="preserve"> </w:t>
      </w:r>
      <w:r>
        <w:rPr>
          <w:i/>
          <w:iCs/>
        </w:rPr>
        <w:t>Id.</w:t>
      </w:r>
      <w:r>
        <w:t xml:space="preserve"> at 14-15.</w:t>
      </w:r>
    </w:p>
  </w:footnote>
  <w:footnote w:id="15">
    <w:p w:rsidR="00401674" w:rsidRPr="00401674">
      <w:pPr>
        <w:pStyle w:val="FootnoteText"/>
      </w:pPr>
      <w:r>
        <w:rPr>
          <w:rStyle w:val="FootnoteReference"/>
        </w:rPr>
        <w:footnoteRef/>
      </w:r>
      <w:r>
        <w:t xml:space="preserve"> </w:t>
      </w:r>
      <w:r>
        <w:rPr>
          <w:i/>
          <w:iCs/>
        </w:rPr>
        <w:t>Id.</w:t>
      </w:r>
      <w:r>
        <w:t xml:space="preserve"> at 8-9.</w:t>
      </w:r>
    </w:p>
  </w:footnote>
  <w:footnote w:id="16">
    <w:p w:rsidR="00401674" w:rsidRPr="00401674">
      <w:pPr>
        <w:pStyle w:val="FootnoteText"/>
      </w:pPr>
      <w:r>
        <w:rPr>
          <w:rStyle w:val="FootnoteReference"/>
        </w:rPr>
        <w:footnoteRef/>
      </w:r>
      <w:r>
        <w:t xml:space="preserve"> </w:t>
      </w:r>
      <w:r w:rsidR="0066730E">
        <w:rPr>
          <w:i/>
          <w:iCs/>
        </w:rPr>
        <w:t>Id.</w:t>
      </w:r>
      <w:r w:rsidR="0066730E">
        <w:t xml:space="preserve"> at 9 (citing </w:t>
      </w:r>
      <w:r w:rsidRPr="00841DA6" w:rsidR="0066730E">
        <w:t xml:space="preserve">New York Indep. Sys. </w:t>
      </w:r>
      <w:r w:rsidRPr="0017427D" w:rsidR="0066730E">
        <w:rPr>
          <w:iCs/>
        </w:rPr>
        <w:t>Operator</w:t>
      </w:r>
      <w:r w:rsidRPr="0017427D" w:rsidR="0066730E">
        <w:t>,</w:t>
      </w:r>
      <w:r w:rsidR="0066730E">
        <w:rPr>
          <w:iCs/>
        </w:rPr>
        <w:t xml:space="preserve"> Inc.,</w:t>
      </w:r>
      <w:r w:rsidRPr="004043BB" w:rsidR="0066730E">
        <w:rPr>
          <w:i/>
        </w:rPr>
        <w:t xml:space="preserve"> 2023-2042 System &amp; Resource Outlook</w:t>
      </w:r>
      <w:r w:rsidRPr="00841DA6" w:rsidR="0066730E">
        <w:t xml:space="preserve"> (July 23, 2024), </w:t>
      </w:r>
      <w:r w:rsidRPr="006A1B84" w:rsidR="0066730E">
        <w:t>https://www.nyiso.com/documents/20142/46037414/2023-2042-System-Resource-Outlook.pdf/</w:t>
      </w:r>
      <w:r w:rsidR="0066730E">
        <w:t>).</w:t>
      </w:r>
    </w:p>
  </w:footnote>
  <w:footnote w:id="17">
    <w:p w:rsidR="00CB53FC" w:rsidRPr="00CB53FC">
      <w:pPr>
        <w:pStyle w:val="FootnoteText"/>
      </w:pPr>
      <w:r>
        <w:rPr>
          <w:rStyle w:val="FootnoteReference"/>
        </w:rPr>
        <w:footnoteRef/>
      </w:r>
      <w:r>
        <w:t xml:space="preserve"> </w:t>
      </w:r>
      <w:r>
        <w:rPr>
          <w:i/>
          <w:iCs/>
        </w:rPr>
        <w:t>Id.</w:t>
      </w:r>
      <w:r>
        <w:t xml:space="preserve"> at 15. </w:t>
      </w:r>
    </w:p>
  </w:footnote>
  <w:footnote w:id="18">
    <w:p w:rsidR="00CB53FC" w:rsidRPr="00CB53FC">
      <w:pPr>
        <w:pStyle w:val="FootnoteText"/>
      </w:pPr>
      <w:r>
        <w:rPr>
          <w:rStyle w:val="FootnoteReference"/>
        </w:rPr>
        <w:footnoteRef/>
      </w:r>
      <w:r>
        <w:t xml:space="preserve"> </w:t>
      </w:r>
      <w:r>
        <w:rPr>
          <w:i/>
          <w:iCs/>
        </w:rPr>
        <w:t>Id.</w:t>
      </w:r>
      <w:r>
        <w:t xml:space="preserve"> at 11-12</w:t>
      </w:r>
      <w:r w:rsidR="007C2BB8">
        <w:t>, 18</w:t>
      </w:r>
      <w:r>
        <w:t>.</w:t>
      </w:r>
    </w:p>
  </w:footnote>
  <w:footnote w:id="19">
    <w:p w:rsidR="00FD03A6" w:rsidRPr="00FD03A6">
      <w:pPr>
        <w:pStyle w:val="FootnoteText"/>
      </w:pPr>
      <w:r>
        <w:rPr>
          <w:rStyle w:val="FootnoteReference"/>
        </w:rPr>
        <w:footnoteRef/>
      </w:r>
      <w:r>
        <w:t xml:space="preserve"> </w:t>
      </w:r>
      <w:r>
        <w:rPr>
          <w:i/>
          <w:iCs/>
        </w:rPr>
        <w:t>Id.</w:t>
      </w:r>
      <w:r>
        <w:t xml:space="preserve"> at 16-17. </w:t>
      </w:r>
    </w:p>
  </w:footnote>
  <w:footnote w:id="20">
    <w:p w:rsidR="00504881" w:rsidRPr="00504881">
      <w:pPr>
        <w:pStyle w:val="FootnoteText"/>
      </w:pPr>
      <w:r>
        <w:rPr>
          <w:rStyle w:val="FootnoteReference"/>
        </w:rPr>
        <w:footnoteRef/>
      </w:r>
      <w:r>
        <w:t xml:space="preserve"> </w:t>
      </w:r>
      <w:r>
        <w:rPr>
          <w:i/>
          <w:iCs/>
        </w:rPr>
        <w:t xml:space="preserve">Id. </w:t>
      </w:r>
      <w:r>
        <w:t xml:space="preserve">at 1-2. </w:t>
      </w:r>
    </w:p>
  </w:footnote>
  <w:footnote w:id="21">
    <w:p w:rsidR="00E77B92" w:rsidRPr="007F0C45">
      <w:pPr>
        <w:pStyle w:val="FootnoteText"/>
      </w:pPr>
      <w:r>
        <w:rPr>
          <w:rStyle w:val="FootnoteReference"/>
        </w:rPr>
        <w:footnoteRef/>
      </w:r>
      <w:r>
        <w:t xml:space="preserve"> </w:t>
      </w:r>
      <w:r>
        <w:rPr>
          <w:i/>
          <w:iCs/>
        </w:rPr>
        <w:t>Id.</w:t>
      </w:r>
      <w:r w:rsidR="007F0C45">
        <w:t xml:space="preserve"> at 18.</w:t>
      </w:r>
    </w:p>
  </w:footnote>
  <w:footnote w:id="22">
    <w:p w:rsidR="00012E69">
      <w:pPr>
        <w:pStyle w:val="FootnoteText"/>
      </w:pPr>
      <w:r>
        <w:rPr>
          <w:rStyle w:val="FootnoteReference"/>
        </w:rPr>
        <w:footnoteRef/>
      </w:r>
      <w:r>
        <w:t xml:space="preserve"> </w:t>
      </w:r>
      <w:r w:rsidRPr="00052DAD" w:rsidR="00EB0D16">
        <w:rPr>
          <w:i/>
          <w:iCs/>
        </w:rPr>
        <w:t>Id.</w:t>
      </w:r>
      <w:r w:rsidR="00EB0D16">
        <w:t xml:space="preserve"> </w:t>
      </w:r>
    </w:p>
  </w:footnote>
  <w:footnote w:id="23">
    <w:p w:rsidR="00DF610F">
      <w:pPr>
        <w:pStyle w:val="FootnoteText"/>
      </w:pPr>
      <w:r>
        <w:rPr>
          <w:rStyle w:val="FootnoteReference"/>
        </w:rPr>
        <w:footnoteRef/>
      </w:r>
      <w:r>
        <w:t xml:space="preserve"> New York Transmission Owners </w:t>
      </w:r>
      <w:r w:rsidR="003B6261">
        <w:t>consist</w:t>
      </w:r>
      <w:r w:rsidR="003F05F8">
        <w:t>s</w:t>
      </w:r>
      <w:r w:rsidR="003B6261">
        <w:t xml:space="preserve"> of </w:t>
      </w:r>
      <w:r w:rsidR="009A605A">
        <w:t>Central Hudson Gas &amp; Electric Corporation</w:t>
      </w:r>
      <w:r w:rsidR="003B6261">
        <w:t>,</w:t>
      </w:r>
      <w:r w:rsidR="009A605A">
        <w:t xml:space="preserve"> Consolidated Edison Company of New York, Inc.</w:t>
      </w:r>
      <w:r w:rsidR="003B6261">
        <w:t>,</w:t>
      </w:r>
      <w:r w:rsidR="009A605A">
        <w:t xml:space="preserve"> Long Island Power Authority</w:t>
      </w:r>
      <w:r w:rsidR="002651A6">
        <w:t>,</w:t>
      </w:r>
      <w:r w:rsidR="009A605A">
        <w:t xml:space="preserve"> New York Power Authority</w:t>
      </w:r>
      <w:r w:rsidR="002651A6">
        <w:t>,</w:t>
      </w:r>
      <w:r w:rsidR="009A605A">
        <w:t xml:space="preserve"> New York State Electric &amp; Gas Corporation</w:t>
      </w:r>
      <w:r w:rsidR="002651A6">
        <w:t>,</w:t>
      </w:r>
      <w:r w:rsidR="009A605A">
        <w:t xml:space="preserve"> Niagara Mohawk Power Corporation d/b/a National Grid</w:t>
      </w:r>
      <w:r w:rsidR="002651A6">
        <w:t>,</w:t>
      </w:r>
      <w:r w:rsidR="009A605A">
        <w:t xml:space="preserve"> Orange and Rockland Utilities, Inc.</w:t>
      </w:r>
      <w:r w:rsidR="002651A6">
        <w:t>,</w:t>
      </w:r>
      <w:r w:rsidR="009A605A">
        <w:t xml:space="preserve"> and Rochester Gas and Electric Corporation.</w:t>
      </w:r>
    </w:p>
  </w:footnote>
  <w:footnote w:id="24">
    <w:p w:rsidR="00B8355D">
      <w:pPr>
        <w:pStyle w:val="FootnoteText"/>
      </w:pPr>
      <w:r>
        <w:rPr>
          <w:rStyle w:val="FootnoteReference"/>
        </w:rPr>
        <w:footnoteRef/>
      </w:r>
      <w:r>
        <w:t xml:space="preserve"> </w:t>
      </w:r>
      <w:r w:rsidRPr="00656F5B">
        <w:rPr>
          <w:i/>
          <w:iCs/>
        </w:rPr>
        <w:t>New York Indep. Sys. Operator, Inc.</w:t>
      </w:r>
      <w:r>
        <w:t xml:space="preserve">, Transition Cluster Study 2024 Preliminary Deliverability Study, at 48-49 (Mar. 26, 2026), </w:t>
      </w:r>
      <w:hyperlink r:id="rId1" w:history="1">
        <w:r w:rsidRPr="000B4ACC">
          <w:rPr>
            <w:rStyle w:val="Hyperlink"/>
          </w:rPr>
          <w:t>https://www.nyiso.com/documents/</w:t>
          <w:br/>
          <w:t>20142/57510547/03a_C24_PrelimiaryDIS_Presentation_TPAS_clean.pdf/b1b31558-21ce-ced6-7da5-a28daf0c7c65</w:t>
        </w:r>
      </w:hyperlink>
      <w:r>
        <w:t xml:space="preserve">. </w:t>
      </w:r>
    </w:p>
  </w:footnote>
  <w:footnote w:id="25">
    <w:p w:rsidR="00B8355D" w:rsidP="00952B33">
      <w:pPr>
        <w:pStyle w:val="FootnoteText"/>
      </w:pPr>
      <w:r>
        <w:rPr>
          <w:rStyle w:val="FootnoteReference"/>
        </w:rPr>
        <w:footnoteRef/>
      </w:r>
      <w:r>
        <w:t xml:space="preserve"> </w:t>
      </w:r>
      <w:r>
        <w:rPr>
          <w:i/>
          <w:iCs/>
        </w:rPr>
        <w:t>See, e.g.</w:t>
      </w:r>
      <w:r w:rsidRPr="00656F5B">
        <w:t>,</w:t>
      </w:r>
      <w:r>
        <w:rPr>
          <w:i/>
          <w:iCs/>
        </w:rPr>
        <w:t xml:space="preserve"> RWE </w:t>
      </w:r>
      <w:r w:rsidRPr="002D7C92">
        <w:rPr>
          <w:i/>
          <w:iCs/>
        </w:rPr>
        <w:t xml:space="preserve">Clean Energy, LLC </w:t>
      </w:r>
      <w:r>
        <w:rPr>
          <w:i/>
          <w:iCs/>
        </w:rPr>
        <w:t>v. PJM Interconnection, L.L.C.</w:t>
      </w:r>
      <w:r>
        <w:t xml:space="preserve">, </w:t>
      </w:r>
      <w:r w:rsidRPr="00271187">
        <w:t>194 FERC ¶</w:t>
      </w:r>
      <w:r>
        <w:t> </w:t>
      </w:r>
      <w:r w:rsidRPr="00271187">
        <w:t xml:space="preserve">61,212 </w:t>
      </w:r>
      <w:r>
        <w:t xml:space="preserve">(2026) </w:t>
      </w:r>
      <w:r w:rsidRPr="00A21687">
        <w:t xml:space="preserve">(Rosner, Comm’r, </w:t>
      </w:r>
      <w:r>
        <w:t xml:space="preserve">Chang, Comm’r, </w:t>
      </w:r>
      <w:r w:rsidRPr="00A21687">
        <w:t>concurring</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noProof/>
      </w:rPr>
      <w:pict>
        <v:shapetype id="_x0000_t202" coordsize="21600,21600" o:spt="202" path="m,l,21600r21600,l21600,xe">
          <v:stroke joinstyle="miter"/>
          <v:path gradientshapeok="t" o:connecttype="rect"/>
        </v:shapetype>
        <v:shape id="Text Box 2" o:spid="_x0000_s2049"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text-anchor:top;z-index:251658240" filled="f" fillcolor="this" stroked="f">
          <v:textbox style="mso-fit-shape-to-text:t" inset="0,15pt,0,0">
            <w:txbxContent>
              <w:p w:rsidR="009063EB" w:rsidRPr="009063EB" w:rsidP="009063EB">
                <w:pPr>
                  <w:rPr>
                    <w:rFonts w:eastAsia="Times New Roman"/>
                    <w:noProof/>
                    <w:color w:val="FF0000"/>
                    <w:szCs w:val="26"/>
                  </w:rPr>
                </w:pPr>
                <w:r w:rsidRPr="009063EB">
                  <w:rPr>
                    <w:rFonts w:eastAsia="Times New Roman"/>
                    <w:noProof/>
                    <w:color w:val="FF0000"/>
                    <w:szCs w:val="26"/>
                  </w:rPr>
                  <w:t>CUI</w:t>
                </w:r>
              </w:p>
            </w:txbxContent>
          </v:textbox>
        </v:shape>
      </w:pict>
    </w:r>
    <w:r w:rsidR="00653D8D">
      <w:rPr>
        <w:rStyle w:val="PageNumber"/>
      </w:rPr>
      <w:fldChar w:fldCharType="begin"/>
    </w:r>
    <w:r w:rsidR="00653D8D">
      <w:rPr>
        <w:rStyle w:val="PageNumber"/>
      </w:rPr>
      <w:instrText xml:space="preserve">PAGE  </w:instrText>
    </w:r>
    <w:r w:rsidR="00653D8D">
      <w:rPr>
        <w:rStyle w:val="PageNumber"/>
      </w:rPr>
      <w:fldChar w:fldCharType="separate"/>
    </w:r>
    <w:r w:rsidR="00653D8D">
      <w:rPr>
        <w:rStyle w:val="PageNumber"/>
        <w:noProof/>
      </w:rPr>
      <w:t>- 1 -</w:t>
    </w:r>
    <w:r w:rsidR="00653D8D">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F20EBF">
    <w:pPr>
      <w:pStyle w:val="Header"/>
      <w:tabs>
        <w:tab w:val="clear" w:pos="4680"/>
      </w:tabs>
      <w:spacing w:after="240"/>
    </w:pPr>
    <w:r>
      <w:rPr>
        <w:noProof/>
      </w:rPr>
      <w:t>Docket No. ER2</w:t>
    </w:r>
    <w:r w:rsidR="001056B3">
      <w:rPr>
        <w:noProof/>
      </w:rPr>
      <w:t>6-</w:t>
    </w:r>
    <w:r w:rsidR="00F66077">
      <w:rPr>
        <w:noProof/>
      </w:rPr>
      <w:t>2577-000</w:t>
    </w:r>
    <w:r>
      <w:rPr>
        <w:noProof/>
      </w:rPr>
      <w:t xml:space="preserve"> </w:t>
      <w:tab/>
    </w:r>
    <w:r>
      <w:rPr>
        <w:noProof/>
      </w:rPr>
      <w:fldChar w:fldCharType="begin"/>
    </w:r>
    <w:r>
      <w:rPr>
        <w:noProof/>
      </w:rPr>
      <w:instrText xml:space="preserve"> PAGE  \* MERGEFORMAT </w:instrText>
    </w:r>
    <w:r>
      <w:rPr>
        <w:noProof/>
      </w:rPr>
      <w:fldChar w:fldCharType="separate"/>
    </w:r>
    <w:r>
      <w:rPr>
        <w:noProof/>
      </w:rPr>
      <w:t>- 6 -</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C2B4E80C"/>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004FB1"/>
    <w:multiLevelType w:val="hybridMultilevel"/>
    <w:tmpl w:val="0A0238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0">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8"/>
  </w:num>
  <w:num w:numId="13">
    <w:abstractNumId w:val="13"/>
  </w:num>
  <w:num w:numId="14">
    <w:abstractNumId w:val="19"/>
  </w:num>
  <w:num w:numId="15">
    <w:abstractNumId w:val="16"/>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1"/>
  </w:num>
  <w:num w:numId="22">
    <w:abstractNumId w:val="15"/>
  </w:num>
  <w:num w:numId="23">
    <w:abstractNumId w:val="17"/>
  </w:num>
  <w:num w:numId="24">
    <w:abstractNumId w:val="2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 w:id="2"/>
  </w:footnotePr>
  <w:endnotePr>
    <w:endnote w:id="0"/>
    <w:endnote w:id="1"/>
  </w:endnotePr>
  <w:compat/>
  <w:rsids>
    <w:rsidRoot w:val="003E7BCA"/>
    <w:rsid w:val="000013FA"/>
    <w:rsid w:val="00003340"/>
    <w:rsid w:val="00004FED"/>
    <w:rsid w:val="0000731D"/>
    <w:rsid w:val="0000767B"/>
    <w:rsid w:val="00010328"/>
    <w:rsid w:val="0001041F"/>
    <w:rsid w:val="00010FA6"/>
    <w:rsid w:val="00011150"/>
    <w:rsid w:val="000118C8"/>
    <w:rsid w:val="00011E26"/>
    <w:rsid w:val="00012E69"/>
    <w:rsid w:val="00013491"/>
    <w:rsid w:val="00013A64"/>
    <w:rsid w:val="000143AA"/>
    <w:rsid w:val="00015197"/>
    <w:rsid w:val="00017003"/>
    <w:rsid w:val="0002042F"/>
    <w:rsid w:val="00022A33"/>
    <w:rsid w:val="0002355F"/>
    <w:rsid w:val="0002397D"/>
    <w:rsid w:val="00023E75"/>
    <w:rsid w:val="00026815"/>
    <w:rsid w:val="0003362A"/>
    <w:rsid w:val="0003382F"/>
    <w:rsid w:val="0003625F"/>
    <w:rsid w:val="00037617"/>
    <w:rsid w:val="00042662"/>
    <w:rsid w:val="000428C4"/>
    <w:rsid w:val="00044037"/>
    <w:rsid w:val="00045C3E"/>
    <w:rsid w:val="00046226"/>
    <w:rsid w:val="0004624A"/>
    <w:rsid w:val="00046650"/>
    <w:rsid w:val="0005135D"/>
    <w:rsid w:val="00051587"/>
    <w:rsid w:val="00052C93"/>
    <w:rsid w:val="00052DAD"/>
    <w:rsid w:val="000550DC"/>
    <w:rsid w:val="00055F5F"/>
    <w:rsid w:val="0006117F"/>
    <w:rsid w:val="00062732"/>
    <w:rsid w:val="0006412D"/>
    <w:rsid w:val="000660BB"/>
    <w:rsid w:val="00067EA6"/>
    <w:rsid w:val="00070857"/>
    <w:rsid w:val="00070F3E"/>
    <w:rsid w:val="0007377C"/>
    <w:rsid w:val="0007636C"/>
    <w:rsid w:val="00080401"/>
    <w:rsid w:val="00083B7F"/>
    <w:rsid w:val="0008478C"/>
    <w:rsid w:val="00084A31"/>
    <w:rsid w:val="00084AA9"/>
    <w:rsid w:val="00086A59"/>
    <w:rsid w:val="00086D98"/>
    <w:rsid w:val="0008778D"/>
    <w:rsid w:val="00090A96"/>
    <w:rsid w:val="00091A15"/>
    <w:rsid w:val="00092634"/>
    <w:rsid w:val="000934A4"/>
    <w:rsid w:val="00094422"/>
    <w:rsid w:val="00097605"/>
    <w:rsid w:val="00097800"/>
    <w:rsid w:val="00097C05"/>
    <w:rsid w:val="00097D27"/>
    <w:rsid w:val="000A3298"/>
    <w:rsid w:val="000A3D2F"/>
    <w:rsid w:val="000A5A8D"/>
    <w:rsid w:val="000A6835"/>
    <w:rsid w:val="000A6C08"/>
    <w:rsid w:val="000A75FD"/>
    <w:rsid w:val="000B1299"/>
    <w:rsid w:val="000B4124"/>
    <w:rsid w:val="000B4ACC"/>
    <w:rsid w:val="000B6866"/>
    <w:rsid w:val="000B6C43"/>
    <w:rsid w:val="000B7E62"/>
    <w:rsid w:val="000B7FE9"/>
    <w:rsid w:val="000C0253"/>
    <w:rsid w:val="000C1FCA"/>
    <w:rsid w:val="000C4395"/>
    <w:rsid w:val="000C44B2"/>
    <w:rsid w:val="000C4A0B"/>
    <w:rsid w:val="000C6869"/>
    <w:rsid w:val="000D0EE6"/>
    <w:rsid w:val="000D1D4B"/>
    <w:rsid w:val="000D1FB6"/>
    <w:rsid w:val="000D633F"/>
    <w:rsid w:val="000D739B"/>
    <w:rsid w:val="000D7DD4"/>
    <w:rsid w:val="000D7E4E"/>
    <w:rsid w:val="000D7E96"/>
    <w:rsid w:val="000E065C"/>
    <w:rsid w:val="000E0857"/>
    <w:rsid w:val="000E0BBC"/>
    <w:rsid w:val="000E0FB3"/>
    <w:rsid w:val="000E2BFA"/>
    <w:rsid w:val="000E2CCD"/>
    <w:rsid w:val="000E330F"/>
    <w:rsid w:val="000E367C"/>
    <w:rsid w:val="000E6C1E"/>
    <w:rsid w:val="000F0879"/>
    <w:rsid w:val="000F0916"/>
    <w:rsid w:val="000F169F"/>
    <w:rsid w:val="000F1EFE"/>
    <w:rsid w:val="000F2DC1"/>
    <w:rsid w:val="000F372C"/>
    <w:rsid w:val="000F5039"/>
    <w:rsid w:val="000F603B"/>
    <w:rsid w:val="000F6403"/>
    <w:rsid w:val="000F6C7F"/>
    <w:rsid w:val="000F7762"/>
    <w:rsid w:val="00100E1B"/>
    <w:rsid w:val="00101107"/>
    <w:rsid w:val="00102736"/>
    <w:rsid w:val="0010290F"/>
    <w:rsid w:val="00102C2F"/>
    <w:rsid w:val="0010433A"/>
    <w:rsid w:val="00104F76"/>
    <w:rsid w:val="001056B3"/>
    <w:rsid w:val="00107B0C"/>
    <w:rsid w:val="00115012"/>
    <w:rsid w:val="00117CBF"/>
    <w:rsid w:val="001200CB"/>
    <w:rsid w:val="00120603"/>
    <w:rsid w:val="001208A2"/>
    <w:rsid w:val="001209EF"/>
    <w:rsid w:val="00120ECE"/>
    <w:rsid w:val="001236E4"/>
    <w:rsid w:val="00124C66"/>
    <w:rsid w:val="0012713F"/>
    <w:rsid w:val="00127478"/>
    <w:rsid w:val="001279B9"/>
    <w:rsid w:val="00130CCE"/>
    <w:rsid w:val="001324BF"/>
    <w:rsid w:val="00132D57"/>
    <w:rsid w:val="001421AA"/>
    <w:rsid w:val="0014241D"/>
    <w:rsid w:val="001434F9"/>
    <w:rsid w:val="0014375B"/>
    <w:rsid w:val="00145D9B"/>
    <w:rsid w:val="00146074"/>
    <w:rsid w:val="001467A2"/>
    <w:rsid w:val="00146A50"/>
    <w:rsid w:val="001512A7"/>
    <w:rsid w:val="001520D4"/>
    <w:rsid w:val="00153AF8"/>
    <w:rsid w:val="0015481D"/>
    <w:rsid w:val="001549DE"/>
    <w:rsid w:val="00154C7A"/>
    <w:rsid w:val="001552DE"/>
    <w:rsid w:val="00162E60"/>
    <w:rsid w:val="00162F06"/>
    <w:rsid w:val="00165307"/>
    <w:rsid w:val="0016531B"/>
    <w:rsid w:val="001674D2"/>
    <w:rsid w:val="00173DF9"/>
    <w:rsid w:val="0017427D"/>
    <w:rsid w:val="00174C10"/>
    <w:rsid w:val="0017696A"/>
    <w:rsid w:val="0017701D"/>
    <w:rsid w:val="00182BD8"/>
    <w:rsid w:val="0018758C"/>
    <w:rsid w:val="00191617"/>
    <w:rsid w:val="00191A27"/>
    <w:rsid w:val="0019292E"/>
    <w:rsid w:val="00194CD1"/>
    <w:rsid w:val="00195E45"/>
    <w:rsid w:val="001960DD"/>
    <w:rsid w:val="001A2AF1"/>
    <w:rsid w:val="001A325B"/>
    <w:rsid w:val="001A33D6"/>
    <w:rsid w:val="001A53DE"/>
    <w:rsid w:val="001A563A"/>
    <w:rsid w:val="001A5B5D"/>
    <w:rsid w:val="001B042B"/>
    <w:rsid w:val="001B1100"/>
    <w:rsid w:val="001B196E"/>
    <w:rsid w:val="001B1FE9"/>
    <w:rsid w:val="001B2C6D"/>
    <w:rsid w:val="001B2DF9"/>
    <w:rsid w:val="001B362D"/>
    <w:rsid w:val="001B3974"/>
    <w:rsid w:val="001B482A"/>
    <w:rsid w:val="001B4FB2"/>
    <w:rsid w:val="001B7266"/>
    <w:rsid w:val="001B7734"/>
    <w:rsid w:val="001B79D4"/>
    <w:rsid w:val="001C10D1"/>
    <w:rsid w:val="001C2FBB"/>
    <w:rsid w:val="001D0C3D"/>
    <w:rsid w:val="001D129A"/>
    <w:rsid w:val="001D177A"/>
    <w:rsid w:val="001D1ED2"/>
    <w:rsid w:val="001D264B"/>
    <w:rsid w:val="001D2B6B"/>
    <w:rsid w:val="001D3596"/>
    <w:rsid w:val="001D3B0D"/>
    <w:rsid w:val="001D44C4"/>
    <w:rsid w:val="001D45C2"/>
    <w:rsid w:val="001D4B2F"/>
    <w:rsid w:val="001D51A2"/>
    <w:rsid w:val="001D7927"/>
    <w:rsid w:val="001E041C"/>
    <w:rsid w:val="001E1AA9"/>
    <w:rsid w:val="001E1B43"/>
    <w:rsid w:val="001E2D30"/>
    <w:rsid w:val="001E3D4B"/>
    <w:rsid w:val="001E59F9"/>
    <w:rsid w:val="001E5B7F"/>
    <w:rsid w:val="001E7A8F"/>
    <w:rsid w:val="001F1C60"/>
    <w:rsid w:val="001F21F9"/>
    <w:rsid w:val="001F51A0"/>
    <w:rsid w:val="001F54A5"/>
    <w:rsid w:val="001F5CC6"/>
    <w:rsid w:val="00202BC3"/>
    <w:rsid w:val="00202C0C"/>
    <w:rsid w:val="00203733"/>
    <w:rsid w:val="00203911"/>
    <w:rsid w:val="00203994"/>
    <w:rsid w:val="002041F6"/>
    <w:rsid w:val="002072CF"/>
    <w:rsid w:val="00207957"/>
    <w:rsid w:val="00211053"/>
    <w:rsid w:val="00211765"/>
    <w:rsid w:val="0021179E"/>
    <w:rsid w:val="00211ED7"/>
    <w:rsid w:val="002136E7"/>
    <w:rsid w:val="00213CE2"/>
    <w:rsid w:val="002153F3"/>
    <w:rsid w:val="00215976"/>
    <w:rsid w:val="00216FB3"/>
    <w:rsid w:val="002206DB"/>
    <w:rsid w:val="0022090D"/>
    <w:rsid w:val="002214E0"/>
    <w:rsid w:val="0022182D"/>
    <w:rsid w:val="00224354"/>
    <w:rsid w:val="00224859"/>
    <w:rsid w:val="00224A5D"/>
    <w:rsid w:val="00225A12"/>
    <w:rsid w:val="00225EDC"/>
    <w:rsid w:val="002261B3"/>
    <w:rsid w:val="00226677"/>
    <w:rsid w:val="0023077B"/>
    <w:rsid w:val="002318B6"/>
    <w:rsid w:val="0023273F"/>
    <w:rsid w:val="00233CEF"/>
    <w:rsid w:val="00233E18"/>
    <w:rsid w:val="00233FD0"/>
    <w:rsid w:val="002352B0"/>
    <w:rsid w:val="002354E4"/>
    <w:rsid w:val="00235CBF"/>
    <w:rsid w:val="00236206"/>
    <w:rsid w:val="00237498"/>
    <w:rsid w:val="002377EC"/>
    <w:rsid w:val="00240493"/>
    <w:rsid w:val="00240FB3"/>
    <w:rsid w:val="00241348"/>
    <w:rsid w:val="00243942"/>
    <w:rsid w:val="0024477D"/>
    <w:rsid w:val="00244D13"/>
    <w:rsid w:val="002458F1"/>
    <w:rsid w:val="002464E8"/>
    <w:rsid w:val="0024710C"/>
    <w:rsid w:val="00252D80"/>
    <w:rsid w:val="00252F54"/>
    <w:rsid w:val="00253776"/>
    <w:rsid w:val="00253D1C"/>
    <w:rsid w:val="00254C8B"/>
    <w:rsid w:val="00255417"/>
    <w:rsid w:val="00257989"/>
    <w:rsid w:val="00260517"/>
    <w:rsid w:val="00262FED"/>
    <w:rsid w:val="002636CD"/>
    <w:rsid w:val="002651A6"/>
    <w:rsid w:val="00265A51"/>
    <w:rsid w:val="00266399"/>
    <w:rsid w:val="00267328"/>
    <w:rsid w:val="00267874"/>
    <w:rsid w:val="00271187"/>
    <w:rsid w:val="00273C13"/>
    <w:rsid w:val="00274963"/>
    <w:rsid w:val="00274C38"/>
    <w:rsid w:val="0027525B"/>
    <w:rsid w:val="00275ACC"/>
    <w:rsid w:val="00277726"/>
    <w:rsid w:val="00281217"/>
    <w:rsid w:val="0028135C"/>
    <w:rsid w:val="002817CE"/>
    <w:rsid w:val="00283AA6"/>
    <w:rsid w:val="0028432C"/>
    <w:rsid w:val="0028443F"/>
    <w:rsid w:val="00284E46"/>
    <w:rsid w:val="00285360"/>
    <w:rsid w:val="002857E2"/>
    <w:rsid w:val="002870A9"/>
    <w:rsid w:val="00290ABD"/>
    <w:rsid w:val="0029260C"/>
    <w:rsid w:val="00292DAB"/>
    <w:rsid w:val="00293E05"/>
    <w:rsid w:val="002949F6"/>
    <w:rsid w:val="00295739"/>
    <w:rsid w:val="00295B1E"/>
    <w:rsid w:val="00297BD2"/>
    <w:rsid w:val="002A0B4A"/>
    <w:rsid w:val="002A3267"/>
    <w:rsid w:val="002A34C1"/>
    <w:rsid w:val="002A45FC"/>
    <w:rsid w:val="002A48DC"/>
    <w:rsid w:val="002A48E7"/>
    <w:rsid w:val="002A48F5"/>
    <w:rsid w:val="002A5C43"/>
    <w:rsid w:val="002A729E"/>
    <w:rsid w:val="002A745F"/>
    <w:rsid w:val="002A7FB5"/>
    <w:rsid w:val="002B2490"/>
    <w:rsid w:val="002B262D"/>
    <w:rsid w:val="002B31F0"/>
    <w:rsid w:val="002B35F2"/>
    <w:rsid w:val="002B4F3A"/>
    <w:rsid w:val="002B56DE"/>
    <w:rsid w:val="002B57BD"/>
    <w:rsid w:val="002B6125"/>
    <w:rsid w:val="002C3836"/>
    <w:rsid w:val="002C3B24"/>
    <w:rsid w:val="002C469A"/>
    <w:rsid w:val="002C48F1"/>
    <w:rsid w:val="002C4902"/>
    <w:rsid w:val="002C57E5"/>
    <w:rsid w:val="002C747E"/>
    <w:rsid w:val="002C7704"/>
    <w:rsid w:val="002C7F13"/>
    <w:rsid w:val="002D1036"/>
    <w:rsid w:val="002D12E0"/>
    <w:rsid w:val="002D1528"/>
    <w:rsid w:val="002D206A"/>
    <w:rsid w:val="002D358E"/>
    <w:rsid w:val="002D65B3"/>
    <w:rsid w:val="002D7C92"/>
    <w:rsid w:val="002D7D6B"/>
    <w:rsid w:val="002E2247"/>
    <w:rsid w:val="002E4E8A"/>
    <w:rsid w:val="002E5E10"/>
    <w:rsid w:val="002F08DF"/>
    <w:rsid w:val="002F1491"/>
    <w:rsid w:val="002F309D"/>
    <w:rsid w:val="002F52A9"/>
    <w:rsid w:val="002F5497"/>
    <w:rsid w:val="002F5A4F"/>
    <w:rsid w:val="002F5C43"/>
    <w:rsid w:val="002F6B2E"/>
    <w:rsid w:val="00301D68"/>
    <w:rsid w:val="00302C7E"/>
    <w:rsid w:val="003031DA"/>
    <w:rsid w:val="00303B1F"/>
    <w:rsid w:val="0030691B"/>
    <w:rsid w:val="00310568"/>
    <w:rsid w:val="00312651"/>
    <w:rsid w:val="00312CB3"/>
    <w:rsid w:val="0031362C"/>
    <w:rsid w:val="00313634"/>
    <w:rsid w:val="00313949"/>
    <w:rsid w:val="00315996"/>
    <w:rsid w:val="00316AD7"/>
    <w:rsid w:val="00320263"/>
    <w:rsid w:val="00322F05"/>
    <w:rsid w:val="00324F79"/>
    <w:rsid w:val="0032516D"/>
    <w:rsid w:val="003253EE"/>
    <w:rsid w:val="003265F1"/>
    <w:rsid w:val="00327401"/>
    <w:rsid w:val="00331C19"/>
    <w:rsid w:val="00333567"/>
    <w:rsid w:val="003346EB"/>
    <w:rsid w:val="00335933"/>
    <w:rsid w:val="003370E4"/>
    <w:rsid w:val="003437BD"/>
    <w:rsid w:val="00343D67"/>
    <w:rsid w:val="0034605B"/>
    <w:rsid w:val="0034758B"/>
    <w:rsid w:val="003478CF"/>
    <w:rsid w:val="00347C3A"/>
    <w:rsid w:val="00350E98"/>
    <w:rsid w:val="00350FC8"/>
    <w:rsid w:val="003520AD"/>
    <w:rsid w:val="003545A2"/>
    <w:rsid w:val="00356733"/>
    <w:rsid w:val="00356D43"/>
    <w:rsid w:val="0036069D"/>
    <w:rsid w:val="003608E7"/>
    <w:rsid w:val="00360AA1"/>
    <w:rsid w:val="00362DA2"/>
    <w:rsid w:val="00364E6F"/>
    <w:rsid w:val="0036500A"/>
    <w:rsid w:val="00366587"/>
    <w:rsid w:val="00370E61"/>
    <w:rsid w:val="00370EEB"/>
    <w:rsid w:val="00370FFD"/>
    <w:rsid w:val="00372C76"/>
    <w:rsid w:val="00373166"/>
    <w:rsid w:val="00374268"/>
    <w:rsid w:val="00374470"/>
    <w:rsid w:val="00374532"/>
    <w:rsid w:val="003745E9"/>
    <w:rsid w:val="00374868"/>
    <w:rsid w:val="00375BA1"/>
    <w:rsid w:val="00375DF4"/>
    <w:rsid w:val="00376313"/>
    <w:rsid w:val="00380F76"/>
    <w:rsid w:val="00383004"/>
    <w:rsid w:val="003830CE"/>
    <w:rsid w:val="00383212"/>
    <w:rsid w:val="00383C3C"/>
    <w:rsid w:val="00385B81"/>
    <w:rsid w:val="00385E2D"/>
    <w:rsid w:val="00391C4A"/>
    <w:rsid w:val="0039262E"/>
    <w:rsid w:val="00392F0E"/>
    <w:rsid w:val="003937F3"/>
    <w:rsid w:val="00393B53"/>
    <w:rsid w:val="003977AD"/>
    <w:rsid w:val="003979E6"/>
    <w:rsid w:val="003A0E32"/>
    <w:rsid w:val="003A15D6"/>
    <w:rsid w:val="003A23CE"/>
    <w:rsid w:val="003A3168"/>
    <w:rsid w:val="003A4A6E"/>
    <w:rsid w:val="003A5078"/>
    <w:rsid w:val="003A5145"/>
    <w:rsid w:val="003B2445"/>
    <w:rsid w:val="003B32E9"/>
    <w:rsid w:val="003B61F1"/>
    <w:rsid w:val="003B6261"/>
    <w:rsid w:val="003B6A5F"/>
    <w:rsid w:val="003B7E9A"/>
    <w:rsid w:val="003B7F05"/>
    <w:rsid w:val="003C3A1E"/>
    <w:rsid w:val="003C42AB"/>
    <w:rsid w:val="003C505B"/>
    <w:rsid w:val="003C59F3"/>
    <w:rsid w:val="003C6F0F"/>
    <w:rsid w:val="003C71CF"/>
    <w:rsid w:val="003C789D"/>
    <w:rsid w:val="003D0D4C"/>
    <w:rsid w:val="003D4A56"/>
    <w:rsid w:val="003D5827"/>
    <w:rsid w:val="003D6552"/>
    <w:rsid w:val="003D6C9D"/>
    <w:rsid w:val="003D719F"/>
    <w:rsid w:val="003D7B2C"/>
    <w:rsid w:val="003D7D46"/>
    <w:rsid w:val="003E138D"/>
    <w:rsid w:val="003E1917"/>
    <w:rsid w:val="003E259A"/>
    <w:rsid w:val="003E3899"/>
    <w:rsid w:val="003E47A3"/>
    <w:rsid w:val="003E51A7"/>
    <w:rsid w:val="003E5211"/>
    <w:rsid w:val="003E58D2"/>
    <w:rsid w:val="003E7BCA"/>
    <w:rsid w:val="003F01CD"/>
    <w:rsid w:val="003F05F8"/>
    <w:rsid w:val="003F31D2"/>
    <w:rsid w:val="003F3716"/>
    <w:rsid w:val="003F3987"/>
    <w:rsid w:val="003F3DC0"/>
    <w:rsid w:val="003F4845"/>
    <w:rsid w:val="003F4DBE"/>
    <w:rsid w:val="003F557E"/>
    <w:rsid w:val="003F7CC5"/>
    <w:rsid w:val="00400D68"/>
    <w:rsid w:val="00401674"/>
    <w:rsid w:val="00401A63"/>
    <w:rsid w:val="004039F4"/>
    <w:rsid w:val="004043BB"/>
    <w:rsid w:val="00404EE8"/>
    <w:rsid w:val="00405379"/>
    <w:rsid w:val="00406780"/>
    <w:rsid w:val="004067AD"/>
    <w:rsid w:val="00407EE0"/>
    <w:rsid w:val="004102CB"/>
    <w:rsid w:val="00411969"/>
    <w:rsid w:val="0041225B"/>
    <w:rsid w:val="00413A36"/>
    <w:rsid w:val="00414806"/>
    <w:rsid w:val="004148EA"/>
    <w:rsid w:val="00416562"/>
    <w:rsid w:val="00417456"/>
    <w:rsid w:val="00422CD6"/>
    <w:rsid w:val="00424463"/>
    <w:rsid w:val="00424B18"/>
    <w:rsid w:val="00424B78"/>
    <w:rsid w:val="004252DA"/>
    <w:rsid w:val="0042729A"/>
    <w:rsid w:val="0043161E"/>
    <w:rsid w:val="00432EAE"/>
    <w:rsid w:val="004335E8"/>
    <w:rsid w:val="00433835"/>
    <w:rsid w:val="00436A3E"/>
    <w:rsid w:val="00440D78"/>
    <w:rsid w:val="00441A2A"/>
    <w:rsid w:val="00441BA6"/>
    <w:rsid w:val="004420F6"/>
    <w:rsid w:val="0044359A"/>
    <w:rsid w:val="00444F65"/>
    <w:rsid w:val="0044509A"/>
    <w:rsid w:val="0044652C"/>
    <w:rsid w:val="00446720"/>
    <w:rsid w:val="004476C6"/>
    <w:rsid w:val="00447E1C"/>
    <w:rsid w:val="0045130C"/>
    <w:rsid w:val="00453578"/>
    <w:rsid w:val="004535A2"/>
    <w:rsid w:val="00454A58"/>
    <w:rsid w:val="00454EED"/>
    <w:rsid w:val="00455214"/>
    <w:rsid w:val="00456136"/>
    <w:rsid w:val="00456261"/>
    <w:rsid w:val="00456A9A"/>
    <w:rsid w:val="00456CF9"/>
    <w:rsid w:val="00456D5A"/>
    <w:rsid w:val="0046133D"/>
    <w:rsid w:val="0046163E"/>
    <w:rsid w:val="00462778"/>
    <w:rsid w:val="00464328"/>
    <w:rsid w:val="004652C0"/>
    <w:rsid w:val="0047152F"/>
    <w:rsid w:val="00472C9B"/>
    <w:rsid w:val="00473A5E"/>
    <w:rsid w:val="004740D8"/>
    <w:rsid w:val="004758A9"/>
    <w:rsid w:val="00475963"/>
    <w:rsid w:val="00476273"/>
    <w:rsid w:val="00476ABB"/>
    <w:rsid w:val="00477399"/>
    <w:rsid w:val="0048020B"/>
    <w:rsid w:val="004841FA"/>
    <w:rsid w:val="004843A8"/>
    <w:rsid w:val="004864DA"/>
    <w:rsid w:val="00486BD0"/>
    <w:rsid w:val="004872BC"/>
    <w:rsid w:val="004874A4"/>
    <w:rsid w:val="00487ACC"/>
    <w:rsid w:val="004905A9"/>
    <w:rsid w:val="004912C4"/>
    <w:rsid w:val="00491B3B"/>
    <w:rsid w:val="00492574"/>
    <w:rsid w:val="00493844"/>
    <w:rsid w:val="00494355"/>
    <w:rsid w:val="00494945"/>
    <w:rsid w:val="00494A4A"/>
    <w:rsid w:val="00495E07"/>
    <w:rsid w:val="00497F70"/>
    <w:rsid w:val="004A03E5"/>
    <w:rsid w:val="004A380F"/>
    <w:rsid w:val="004A4200"/>
    <w:rsid w:val="004A503D"/>
    <w:rsid w:val="004A53CC"/>
    <w:rsid w:val="004A6A9D"/>
    <w:rsid w:val="004A7CB5"/>
    <w:rsid w:val="004B141F"/>
    <w:rsid w:val="004B4589"/>
    <w:rsid w:val="004B4A8D"/>
    <w:rsid w:val="004B50EE"/>
    <w:rsid w:val="004B621A"/>
    <w:rsid w:val="004C006C"/>
    <w:rsid w:val="004C04F6"/>
    <w:rsid w:val="004C0E28"/>
    <w:rsid w:val="004C1159"/>
    <w:rsid w:val="004C190E"/>
    <w:rsid w:val="004C3E00"/>
    <w:rsid w:val="004C456B"/>
    <w:rsid w:val="004C4984"/>
    <w:rsid w:val="004C4D5F"/>
    <w:rsid w:val="004C5554"/>
    <w:rsid w:val="004C7C19"/>
    <w:rsid w:val="004D330B"/>
    <w:rsid w:val="004D35E8"/>
    <w:rsid w:val="004D59D3"/>
    <w:rsid w:val="004D614C"/>
    <w:rsid w:val="004E0DA1"/>
    <w:rsid w:val="004E1DAE"/>
    <w:rsid w:val="004E25A6"/>
    <w:rsid w:val="004E3895"/>
    <w:rsid w:val="004F2A16"/>
    <w:rsid w:val="004F5759"/>
    <w:rsid w:val="004F6475"/>
    <w:rsid w:val="004F66B5"/>
    <w:rsid w:val="004F7405"/>
    <w:rsid w:val="0050001C"/>
    <w:rsid w:val="00500AE1"/>
    <w:rsid w:val="005047DF"/>
    <w:rsid w:val="00504881"/>
    <w:rsid w:val="0050738D"/>
    <w:rsid w:val="00512D5A"/>
    <w:rsid w:val="00513E14"/>
    <w:rsid w:val="00513E5E"/>
    <w:rsid w:val="005154C1"/>
    <w:rsid w:val="00515FC8"/>
    <w:rsid w:val="005162AB"/>
    <w:rsid w:val="00517DDC"/>
    <w:rsid w:val="0052048E"/>
    <w:rsid w:val="00520F47"/>
    <w:rsid w:val="00521122"/>
    <w:rsid w:val="005218D1"/>
    <w:rsid w:val="005224A4"/>
    <w:rsid w:val="0052351B"/>
    <w:rsid w:val="00524D50"/>
    <w:rsid w:val="005270B5"/>
    <w:rsid w:val="00531657"/>
    <w:rsid w:val="005316C2"/>
    <w:rsid w:val="00531703"/>
    <w:rsid w:val="0053242E"/>
    <w:rsid w:val="00535C7E"/>
    <w:rsid w:val="00536312"/>
    <w:rsid w:val="00536950"/>
    <w:rsid w:val="00541146"/>
    <w:rsid w:val="00542787"/>
    <w:rsid w:val="00542814"/>
    <w:rsid w:val="00542E25"/>
    <w:rsid w:val="0054301A"/>
    <w:rsid w:val="0054446B"/>
    <w:rsid w:val="005455CE"/>
    <w:rsid w:val="00545CC2"/>
    <w:rsid w:val="00546238"/>
    <w:rsid w:val="005463A2"/>
    <w:rsid w:val="00547D3F"/>
    <w:rsid w:val="0055166A"/>
    <w:rsid w:val="00551BF0"/>
    <w:rsid w:val="00552271"/>
    <w:rsid w:val="00552A11"/>
    <w:rsid w:val="00552F9A"/>
    <w:rsid w:val="005530D0"/>
    <w:rsid w:val="00553F58"/>
    <w:rsid w:val="0055568A"/>
    <w:rsid w:val="0055707D"/>
    <w:rsid w:val="005577D9"/>
    <w:rsid w:val="005606D0"/>
    <w:rsid w:val="00561DA8"/>
    <w:rsid w:val="00562CB2"/>
    <w:rsid w:val="00565356"/>
    <w:rsid w:val="005656D3"/>
    <w:rsid w:val="00565CDC"/>
    <w:rsid w:val="00570166"/>
    <w:rsid w:val="005713DD"/>
    <w:rsid w:val="00571BA7"/>
    <w:rsid w:val="00571D6D"/>
    <w:rsid w:val="00572F46"/>
    <w:rsid w:val="00573AE9"/>
    <w:rsid w:val="00574942"/>
    <w:rsid w:val="00574A02"/>
    <w:rsid w:val="00574FE4"/>
    <w:rsid w:val="00575F49"/>
    <w:rsid w:val="00576A54"/>
    <w:rsid w:val="00577DC6"/>
    <w:rsid w:val="005816F4"/>
    <w:rsid w:val="00581BDF"/>
    <w:rsid w:val="00582BF3"/>
    <w:rsid w:val="00583257"/>
    <w:rsid w:val="0058351D"/>
    <w:rsid w:val="00583875"/>
    <w:rsid w:val="00585174"/>
    <w:rsid w:val="00585583"/>
    <w:rsid w:val="00585CC1"/>
    <w:rsid w:val="00585CD4"/>
    <w:rsid w:val="00587B48"/>
    <w:rsid w:val="0059038C"/>
    <w:rsid w:val="00591EA5"/>
    <w:rsid w:val="005921E2"/>
    <w:rsid w:val="00592BA9"/>
    <w:rsid w:val="00594E87"/>
    <w:rsid w:val="005950E5"/>
    <w:rsid w:val="00596484"/>
    <w:rsid w:val="005969FC"/>
    <w:rsid w:val="00597309"/>
    <w:rsid w:val="005973EF"/>
    <w:rsid w:val="005A16E6"/>
    <w:rsid w:val="005A1772"/>
    <w:rsid w:val="005A27A2"/>
    <w:rsid w:val="005A2D6E"/>
    <w:rsid w:val="005A494F"/>
    <w:rsid w:val="005A4CD3"/>
    <w:rsid w:val="005A55F2"/>
    <w:rsid w:val="005A66B7"/>
    <w:rsid w:val="005A6F7C"/>
    <w:rsid w:val="005B0C9A"/>
    <w:rsid w:val="005B132F"/>
    <w:rsid w:val="005B15EB"/>
    <w:rsid w:val="005B18B2"/>
    <w:rsid w:val="005B31B1"/>
    <w:rsid w:val="005B346B"/>
    <w:rsid w:val="005B38E7"/>
    <w:rsid w:val="005B3A24"/>
    <w:rsid w:val="005B40A6"/>
    <w:rsid w:val="005B654F"/>
    <w:rsid w:val="005B6903"/>
    <w:rsid w:val="005C0180"/>
    <w:rsid w:val="005C01B7"/>
    <w:rsid w:val="005C3B96"/>
    <w:rsid w:val="005C3C95"/>
    <w:rsid w:val="005C54AF"/>
    <w:rsid w:val="005C55DA"/>
    <w:rsid w:val="005C6074"/>
    <w:rsid w:val="005D2A79"/>
    <w:rsid w:val="005D3004"/>
    <w:rsid w:val="005D3D39"/>
    <w:rsid w:val="005D560A"/>
    <w:rsid w:val="005D5966"/>
    <w:rsid w:val="005D787E"/>
    <w:rsid w:val="005D7C39"/>
    <w:rsid w:val="005E0677"/>
    <w:rsid w:val="005E13DF"/>
    <w:rsid w:val="005E34C2"/>
    <w:rsid w:val="005E387D"/>
    <w:rsid w:val="005E3B75"/>
    <w:rsid w:val="005E3D15"/>
    <w:rsid w:val="005E4C65"/>
    <w:rsid w:val="005E59DA"/>
    <w:rsid w:val="005E5C68"/>
    <w:rsid w:val="005E63AE"/>
    <w:rsid w:val="005E783F"/>
    <w:rsid w:val="005F2946"/>
    <w:rsid w:val="005F34C6"/>
    <w:rsid w:val="005F3F4F"/>
    <w:rsid w:val="005F4318"/>
    <w:rsid w:val="005F4F8E"/>
    <w:rsid w:val="005F54A4"/>
    <w:rsid w:val="005F71D1"/>
    <w:rsid w:val="00600321"/>
    <w:rsid w:val="0060035F"/>
    <w:rsid w:val="00600F11"/>
    <w:rsid w:val="00603B9D"/>
    <w:rsid w:val="006046E7"/>
    <w:rsid w:val="00607205"/>
    <w:rsid w:val="006074E4"/>
    <w:rsid w:val="006101FB"/>
    <w:rsid w:val="006112D1"/>
    <w:rsid w:val="006112FA"/>
    <w:rsid w:val="006133F0"/>
    <w:rsid w:val="006146DF"/>
    <w:rsid w:val="006177F8"/>
    <w:rsid w:val="00620205"/>
    <w:rsid w:val="00620FC4"/>
    <w:rsid w:val="00622D42"/>
    <w:rsid w:val="00622F63"/>
    <w:rsid w:val="00623402"/>
    <w:rsid w:val="00624B34"/>
    <w:rsid w:val="00624F4C"/>
    <w:rsid w:val="00625B93"/>
    <w:rsid w:val="00626AD6"/>
    <w:rsid w:val="00627934"/>
    <w:rsid w:val="006308E9"/>
    <w:rsid w:val="00633563"/>
    <w:rsid w:val="00634126"/>
    <w:rsid w:val="00635512"/>
    <w:rsid w:val="00636271"/>
    <w:rsid w:val="00636A8A"/>
    <w:rsid w:val="00637686"/>
    <w:rsid w:val="00643C5A"/>
    <w:rsid w:val="0064542B"/>
    <w:rsid w:val="006477C7"/>
    <w:rsid w:val="006502FA"/>
    <w:rsid w:val="006514F5"/>
    <w:rsid w:val="006524D8"/>
    <w:rsid w:val="00653D8D"/>
    <w:rsid w:val="00655A79"/>
    <w:rsid w:val="00655B70"/>
    <w:rsid w:val="00655BD8"/>
    <w:rsid w:val="00656F5B"/>
    <w:rsid w:val="00657279"/>
    <w:rsid w:val="006579A0"/>
    <w:rsid w:val="00662BC9"/>
    <w:rsid w:val="00663416"/>
    <w:rsid w:val="00663B13"/>
    <w:rsid w:val="006665B1"/>
    <w:rsid w:val="0066730E"/>
    <w:rsid w:val="00667B22"/>
    <w:rsid w:val="0067006B"/>
    <w:rsid w:val="006710C1"/>
    <w:rsid w:val="0067304E"/>
    <w:rsid w:val="006737BD"/>
    <w:rsid w:val="006745E5"/>
    <w:rsid w:val="00675666"/>
    <w:rsid w:val="00676069"/>
    <w:rsid w:val="00677A0E"/>
    <w:rsid w:val="00680C15"/>
    <w:rsid w:val="00680C37"/>
    <w:rsid w:val="00681118"/>
    <w:rsid w:val="00681181"/>
    <w:rsid w:val="00682099"/>
    <w:rsid w:val="006849ED"/>
    <w:rsid w:val="00685A22"/>
    <w:rsid w:val="00686648"/>
    <w:rsid w:val="00687BF5"/>
    <w:rsid w:val="006910F7"/>
    <w:rsid w:val="0069128C"/>
    <w:rsid w:val="00692197"/>
    <w:rsid w:val="0069274F"/>
    <w:rsid w:val="00693383"/>
    <w:rsid w:val="00693736"/>
    <w:rsid w:val="0069376A"/>
    <w:rsid w:val="00694F3D"/>
    <w:rsid w:val="006A0DC3"/>
    <w:rsid w:val="006A18B6"/>
    <w:rsid w:val="006A1B84"/>
    <w:rsid w:val="006A1EDC"/>
    <w:rsid w:val="006A4342"/>
    <w:rsid w:val="006A5B0F"/>
    <w:rsid w:val="006A5ED6"/>
    <w:rsid w:val="006A5FF3"/>
    <w:rsid w:val="006A72AB"/>
    <w:rsid w:val="006B075E"/>
    <w:rsid w:val="006B20EE"/>
    <w:rsid w:val="006B35D0"/>
    <w:rsid w:val="006B4826"/>
    <w:rsid w:val="006B5B8D"/>
    <w:rsid w:val="006B6B13"/>
    <w:rsid w:val="006C0BD9"/>
    <w:rsid w:val="006C1614"/>
    <w:rsid w:val="006C1D8C"/>
    <w:rsid w:val="006C3CB8"/>
    <w:rsid w:val="006C51D5"/>
    <w:rsid w:val="006C575C"/>
    <w:rsid w:val="006D033D"/>
    <w:rsid w:val="006D1637"/>
    <w:rsid w:val="006D1CF1"/>
    <w:rsid w:val="006D1E49"/>
    <w:rsid w:val="006D2553"/>
    <w:rsid w:val="006D3D28"/>
    <w:rsid w:val="006D432E"/>
    <w:rsid w:val="006D474C"/>
    <w:rsid w:val="006D5B0E"/>
    <w:rsid w:val="006D60D1"/>
    <w:rsid w:val="006D7F90"/>
    <w:rsid w:val="006E0438"/>
    <w:rsid w:val="006E1CF4"/>
    <w:rsid w:val="006E2CD1"/>
    <w:rsid w:val="006E4894"/>
    <w:rsid w:val="006E6044"/>
    <w:rsid w:val="006E677E"/>
    <w:rsid w:val="006E6785"/>
    <w:rsid w:val="006F0AFA"/>
    <w:rsid w:val="006F1711"/>
    <w:rsid w:val="006F1B52"/>
    <w:rsid w:val="006F1F06"/>
    <w:rsid w:val="006F27A6"/>
    <w:rsid w:val="006F39A4"/>
    <w:rsid w:val="006F42DE"/>
    <w:rsid w:val="006F569E"/>
    <w:rsid w:val="006F5CBD"/>
    <w:rsid w:val="006F6442"/>
    <w:rsid w:val="006F76AF"/>
    <w:rsid w:val="006F7B4B"/>
    <w:rsid w:val="00700E09"/>
    <w:rsid w:val="007013C8"/>
    <w:rsid w:val="0070202C"/>
    <w:rsid w:val="00703CFF"/>
    <w:rsid w:val="00704B74"/>
    <w:rsid w:val="00705B33"/>
    <w:rsid w:val="00705D5A"/>
    <w:rsid w:val="0070615E"/>
    <w:rsid w:val="00706C4B"/>
    <w:rsid w:val="007100D2"/>
    <w:rsid w:val="00710A58"/>
    <w:rsid w:val="007116AC"/>
    <w:rsid w:val="007124A2"/>
    <w:rsid w:val="00712897"/>
    <w:rsid w:val="007133ED"/>
    <w:rsid w:val="0071377B"/>
    <w:rsid w:val="007179A2"/>
    <w:rsid w:val="00720782"/>
    <w:rsid w:val="007213D3"/>
    <w:rsid w:val="007230D6"/>
    <w:rsid w:val="00723E4B"/>
    <w:rsid w:val="00724553"/>
    <w:rsid w:val="0072563F"/>
    <w:rsid w:val="00730686"/>
    <w:rsid w:val="0073147E"/>
    <w:rsid w:val="00731FA0"/>
    <w:rsid w:val="00732CFA"/>
    <w:rsid w:val="00732E2C"/>
    <w:rsid w:val="00733398"/>
    <w:rsid w:val="00734468"/>
    <w:rsid w:val="00735ECF"/>
    <w:rsid w:val="007368A2"/>
    <w:rsid w:val="00736C91"/>
    <w:rsid w:val="00736DE9"/>
    <w:rsid w:val="00737D0C"/>
    <w:rsid w:val="00740B05"/>
    <w:rsid w:val="00742439"/>
    <w:rsid w:val="0074317D"/>
    <w:rsid w:val="00743A10"/>
    <w:rsid w:val="007443A0"/>
    <w:rsid w:val="007465A9"/>
    <w:rsid w:val="007529EE"/>
    <w:rsid w:val="007545CD"/>
    <w:rsid w:val="00754A0D"/>
    <w:rsid w:val="00754E75"/>
    <w:rsid w:val="00755152"/>
    <w:rsid w:val="007552C1"/>
    <w:rsid w:val="007562E2"/>
    <w:rsid w:val="007577C2"/>
    <w:rsid w:val="007625C3"/>
    <w:rsid w:val="00762F2B"/>
    <w:rsid w:val="0076328E"/>
    <w:rsid w:val="0076561E"/>
    <w:rsid w:val="00765DE1"/>
    <w:rsid w:val="007661B0"/>
    <w:rsid w:val="007703C1"/>
    <w:rsid w:val="0077070A"/>
    <w:rsid w:val="00772C08"/>
    <w:rsid w:val="00773353"/>
    <w:rsid w:val="0077381E"/>
    <w:rsid w:val="00773BAE"/>
    <w:rsid w:val="00780A45"/>
    <w:rsid w:val="00780BCB"/>
    <w:rsid w:val="00783779"/>
    <w:rsid w:val="00783842"/>
    <w:rsid w:val="007876E3"/>
    <w:rsid w:val="00787753"/>
    <w:rsid w:val="00791A24"/>
    <w:rsid w:val="00791CB8"/>
    <w:rsid w:val="007928AD"/>
    <w:rsid w:val="00794724"/>
    <w:rsid w:val="00794743"/>
    <w:rsid w:val="0079770B"/>
    <w:rsid w:val="007A0174"/>
    <w:rsid w:val="007A0BB2"/>
    <w:rsid w:val="007A1DBA"/>
    <w:rsid w:val="007A5131"/>
    <w:rsid w:val="007B0035"/>
    <w:rsid w:val="007B243D"/>
    <w:rsid w:val="007B29DC"/>
    <w:rsid w:val="007B4019"/>
    <w:rsid w:val="007B4EC3"/>
    <w:rsid w:val="007B5D01"/>
    <w:rsid w:val="007B5F19"/>
    <w:rsid w:val="007B66A0"/>
    <w:rsid w:val="007B678E"/>
    <w:rsid w:val="007B6E4E"/>
    <w:rsid w:val="007B71E9"/>
    <w:rsid w:val="007B7640"/>
    <w:rsid w:val="007B7A1B"/>
    <w:rsid w:val="007C1702"/>
    <w:rsid w:val="007C1D53"/>
    <w:rsid w:val="007C21B6"/>
    <w:rsid w:val="007C2BB8"/>
    <w:rsid w:val="007C2E66"/>
    <w:rsid w:val="007C309B"/>
    <w:rsid w:val="007C3DB9"/>
    <w:rsid w:val="007C41D1"/>
    <w:rsid w:val="007C48C7"/>
    <w:rsid w:val="007C69D6"/>
    <w:rsid w:val="007C6BC6"/>
    <w:rsid w:val="007C6F90"/>
    <w:rsid w:val="007D0385"/>
    <w:rsid w:val="007D1CC5"/>
    <w:rsid w:val="007D2CEB"/>
    <w:rsid w:val="007D3591"/>
    <w:rsid w:val="007D4B8B"/>
    <w:rsid w:val="007D6683"/>
    <w:rsid w:val="007D73ED"/>
    <w:rsid w:val="007D7F47"/>
    <w:rsid w:val="007E0757"/>
    <w:rsid w:val="007E0CD0"/>
    <w:rsid w:val="007E1010"/>
    <w:rsid w:val="007E2F30"/>
    <w:rsid w:val="007E3FE7"/>
    <w:rsid w:val="007E43E4"/>
    <w:rsid w:val="007E6167"/>
    <w:rsid w:val="007E6947"/>
    <w:rsid w:val="007E74C5"/>
    <w:rsid w:val="007E754A"/>
    <w:rsid w:val="007F0B44"/>
    <w:rsid w:val="007F0C45"/>
    <w:rsid w:val="007F0E34"/>
    <w:rsid w:val="007F1A62"/>
    <w:rsid w:val="007F32C6"/>
    <w:rsid w:val="007F34B6"/>
    <w:rsid w:val="007F4275"/>
    <w:rsid w:val="007F5BEE"/>
    <w:rsid w:val="007F6368"/>
    <w:rsid w:val="007F7B7F"/>
    <w:rsid w:val="00800461"/>
    <w:rsid w:val="008043DE"/>
    <w:rsid w:val="0080498D"/>
    <w:rsid w:val="0080606A"/>
    <w:rsid w:val="0080647A"/>
    <w:rsid w:val="008065F0"/>
    <w:rsid w:val="00807C2F"/>
    <w:rsid w:val="008104FB"/>
    <w:rsid w:val="00810B67"/>
    <w:rsid w:val="0081137B"/>
    <w:rsid w:val="00812494"/>
    <w:rsid w:val="008129C6"/>
    <w:rsid w:val="00812E0A"/>
    <w:rsid w:val="0081352B"/>
    <w:rsid w:val="008140C1"/>
    <w:rsid w:val="00814514"/>
    <w:rsid w:val="00816AFF"/>
    <w:rsid w:val="008237E2"/>
    <w:rsid w:val="008255E4"/>
    <w:rsid w:val="00825DEA"/>
    <w:rsid w:val="00827BAD"/>
    <w:rsid w:val="00830639"/>
    <w:rsid w:val="008309C9"/>
    <w:rsid w:val="00830BC7"/>
    <w:rsid w:val="008335E3"/>
    <w:rsid w:val="00833C2A"/>
    <w:rsid w:val="00834DCB"/>
    <w:rsid w:val="008350CF"/>
    <w:rsid w:val="00836673"/>
    <w:rsid w:val="008369EE"/>
    <w:rsid w:val="00840304"/>
    <w:rsid w:val="00840C01"/>
    <w:rsid w:val="00840C42"/>
    <w:rsid w:val="00841301"/>
    <w:rsid w:val="0084167C"/>
    <w:rsid w:val="00841DA6"/>
    <w:rsid w:val="00842858"/>
    <w:rsid w:val="00842886"/>
    <w:rsid w:val="0084398E"/>
    <w:rsid w:val="00844F10"/>
    <w:rsid w:val="008450D1"/>
    <w:rsid w:val="00845186"/>
    <w:rsid w:val="00845BBC"/>
    <w:rsid w:val="00845F26"/>
    <w:rsid w:val="00847F2B"/>
    <w:rsid w:val="00850048"/>
    <w:rsid w:val="0085005F"/>
    <w:rsid w:val="008513D8"/>
    <w:rsid w:val="00852C25"/>
    <w:rsid w:val="00852E01"/>
    <w:rsid w:val="00853D02"/>
    <w:rsid w:val="00855D43"/>
    <w:rsid w:val="008561D7"/>
    <w:rsid w:val="00857623"/>
    <w:rsid w:val="008607B4"/>
    <w:rsid w:val="00860AAA"/>
    <w:rsid w:val="00860B22"/>
    <w:rsid w:val="00861074"/>
    <w:rsid w:val="008610DB"/>
    <w:rsid w:val="008636FC"/>
    <w:rsid w:val="00863DB6"/>
    <w:rsid w:val="00865B86"/>
    <w:rsid w:val="00865C99"/>
    <w:rsid w:val="00866DA0"/>
    <w:rsid w:val="00866DF3"/>
    <w:rsid w:val="00870368"/>
    <w:rsid w:val="00871164"/>
    <w:rsid w:val="00872ECD"/>
    <w:rsid w:val="00873BC6"/>
    <w:rsid w:val="00873D85"/>
    <w:rsid w:val="00873DAA"/>
    <w:rsid w:val="008746BA"/>
    <w:rsid w:val="00874FB1"/>
    <w:rsid w:val="008771F4"/>
    <w:rsid w:val="00877675"/>
    <w:rsid w:val="00877C34"/>
    <w:rsid w:val="008800F8"/>
    <w:rsid w:val="008805EF"/>
    <w:rsid w:val="00880902"/>
    <w:rsid w:val="00881468"/>
    <w:rsid w:val="008817C2"/>
    <w:rsid w:val="00881E3C"/>
    <w:rsid w:val="008825DD"/>
    <w:rsid w:val="00886BEF"/>
    <w:rsid w:val="00886C9C"/>
    <w:rsid w:val="0088740E"/>
    <w:rsid w:val="00892A4E"/>
    <w:rsid w:val="00893112"/>
    <w:rsid w:val="008946FD"/>
    <w:rsid w:val="00894A27"/>
    <w:rsid w:val="00895369"/>
    <w:rsid w:val="00896A4C"/>
    <w:rsid w:val="00896EBA"/>
    <w:rsid w:val="0089797F"/>
    <w:rsid w:val="008A0DD8"/>
    <w:rsid w:val="008A23C9"/>
    <w:rsid w:val="008A2A85"/>
    <w:rsid w:val="008A39F8"/>
    <w:rsid w:val="008A423E"/>
    <w:rsid w:val="008A474D"/>
    <w:rsid w:val="008A4C8B"/>
    <w:rsid w:val="008A4D8F"/>
    <w:rsid w:val="008A6590"/>
    <w:rsid w:val="008B0B3A"/>
    <w:rsid w:val="008B0FF6"/>
    <w:rsid w:val="008B29EB"/>
    <w:rsid w:val="008B32A9"/>
    <w:rsid w:val="008B3484"/>
    <w:rsid w:val="008B55E0"/>
    <w:rsid w:val="008B6571"/>
    <w:rsid w:val="008C0083"/>
    <w:rsid w:val="008C2E60"/>
    <w:rsid w:val="008C2EDB"/>
    <w:rsid w:val="008C31FD"/>
    <w:rsid w:val="008C3912"/>
    <w:rsid w:val="008C4A08"/>
    <w:rsid w:val="008C56F8"/>
    <w:rsid w:val="008C6C85"/>
    <w:rsid w:val="008C6C9A"/>
    <w:rsid w:val="008C701E"/>
    <w:rsid w:val="008D0E87"/>
    <w:rsid w:val="008D1B64"/>
    <w:rsid w:val="008D207F"/>
    <w:rsid w:val="008D2369"/>
    <w:rsid w:val="008D23EB"/>
    <w:rsid w:val="008D2792"/>
    <w:rsid w:val="008D4162"/>
    <w:rsid w:val="008D43E1"/>
    <w:rsid w:val="008D4E54"/>
    <w:rsid w:val="008D6B48"/>
    <w:rsid w:val="008E2A10"/>
    <w:rsid w:val="008E4C89"/>
    <w:rsid w:val="008E4D8B"/>
    <w:rsid w:val="008E51AF"/>
    <w:rsid w:val="008E548A"/>
    <w:rsid w:val="008E74A2"/>
    <w:rsid w:val="008F0592"/>
    <w:rsid w:val="008F2FDE"/>
    <w:rsid w:val="008F4B82"/>
    <w:rsid w:val="009000B6"/>
    <w:rsid w:val="009006A6"/>
    <w:rsid w:val="009016D7"/>
    <w:rsid w:val="0090288D"/>
    <w:rsid w:val="00903AC3"/>
    <w:rsid w:val="0090412E"/>
    <w:rsid w:val="00904536"/>
    <w:rsid w:val="0090478A"/>
    <w:rsid w:val="009063EB"/>
    <w:rsid w:val="0090685A"/>
    <w:rsid w:val="00906A5E"/>
    <w:rsid w:val="009102A7"/>
    <w:rsid w:val="00911A77"/>
    <w:rsid w:val="00911D86"/>
    <w:rsid w:val="00912230"/>
    <w:rsid w:val="009127B4"/>
    <w:rsid w:val="00913A66"/>
    <w:rsid w:val="009144B5"/>
    <w:rsid w:val="009146F6"/>
    <w:rsid w:val="00914A07"/>
    <w:rsid w:val="00915863"/>
    <w:rsid w:val="00915A6B"/>
    <w:rsid w:val="00916ED7"/>
    <w:rsid w:val="00922E70"/>
    <w:rsid w:val="00926E69"/>
    <w:rsid w:val="00927C51"/>
    <w:rsid w:val="00930230"/>
    <w:rsid w:val="00930EF7"/>
    <w:rsid w:val="0093125C"/>
    <w:rsid w:val="009317B8"/>
    <w:rsid w:val="00935D8A"/>
    <w:rsid w:val="00936046"/>
    <w:rsid w:val="009360D6"/>
    <w:rsid w:val="00936282"/>
    <w:rsid w:val="00936510"/>
    <w:rsid w:val="00941263"/>
    <w:rsid w:val="00941336"/>
    <w:rsid w:val="009413D2"/>
    <w:rsid w:val="00941591"/>
    <w:rsid w:val="00942AC8"/>
    <w:rsid w:val="00943A3E"/>
    <w:rsid w:val="00945E92"/>
    <w:rsid w:val="009466EE"/>
    <w:rsid w:val="0094698E"/>
    <w:rsid w:val="009503A3"/>
    <w:rsid w:val="00950436"/>
    <w:rsid w:val="00952B33"/>
    <w:rsid w:val="0095589A"/>
    <w:rsid w:val="009575E1"/>
    <w:rsid w:val="00960BC7"/>
    <w:rsid w:val="00961B0E"/>
    <w:rsid w:val="00962129"/>
    <w:rsid w:val="009629DD"/>
    <w:rsid w:val="009632C9"/>
    <w:rsid w:val="00963C0A"/>
    <w:rsid w:val="00964625"/>
    <w:rsid w:val="009667EE"/>
    <w:rsid w:val="00970A37"/>
    <w:rsid w:val="00971E38"/>
    <w:rsid w:val="009720B6"/>
    <w:rsid w:val="0097316B"/>
    <w:rsid w:val="0097354A"/>
    <w:rsid w:val="0097406F"/>
    <w:rsid w:val="009744E9"/>
    <w:rsid w:val="00974FAA"/>
    <w:rsid w:val="00975CB0"/>
    <w:rsid w:val="00977184"/>
    <w:rsid w:val="0097718F"/>
    <w:rsid w:val="009802C9"/>
    <w:rsid w:val="00980392"/>
    <w:rsid w:val="00980B5D"/>
    <w:rsid w:val="00985ABF"/>
    <w:rsid w:val="009874CF"/>
    <w:rsid w:val="00990AF8"/>
    <w:rsid w:val="009910A1"/>
    <w:rsid w:val="00991685"/>
    <w:rsid w:val="00991E6D"/>
    <w:rsid w:val="009927FA"/>
    <w:rsid w:val="0099445E"/>
    <w:rsid w:val="009967F2"/>
    <w:rsid w:val="00997790"/>
    <w:rsid w:val="009A2169"/>
    <w:rsid w:val="009A2388"/>
    <w:rsid w:val="009A25B5"/>
    <w:rsid w:val="009A3C9A"/>
    <w:rsid w:val="009A3F27"/>
    <w:rsid w:val="009A40C1"/>
    <w:rsid w:val="009A533F"/>
    <w:rsid w:val="009A605A"/>
    <w:rsid w:val="009A66D0"/>
    <w:rsid w:val="009B01FC"/>
    <w:rsid w:val="009B0CD3"/>
    <w:rsid w:val="009B1513"/>
    <w:rsid w:val="009B1BFE"/>
    <w:rsid w:val="009B2310"/>
    <w:rsid w:val="009B316A"/>
    <w:rsid w:val="009B3A45"/>
    <w:rsid w:val="009B4DD2"/>
    <w:rsid w:val="009B6319"/>
    <w:rsid w:val="009B686F"/>
    <w:rsid w:val="009B7367"/>
    <w:rsid w:val="009C6A04"/>
    <w:rsid w:val="009D1167"/>
    <w:rsid w:val="009D28B8"/>
    <w:rsid w:val="009D32A0"/>
    <w:rsid w:val="009D3F76"/>
    <w:rsid w:val="009D496A"/>
    <w:rsid w:val="009E0C90"/>
    <w:rsid w:val="009E0EA2"/>
    <w:rsid w:val="009E214D"/>
    <w:rsid w:val="009E28EC"/>
    <w:rsid w:val="009E315A"/>
    <w:rsid w:val="009E4841"/>
    <w:rsid w:val="009E578F"/>
    <w:rsid w:val="009E5E0A"/>
    <w:rsid w:val="009E78E7"/>
    <w:rsid w:val="009E7983"/>
    <w:rsid w:val="009F2D82"/>
    <w:rsid w:val="009F2E31"/>
    <w:rsid w:val="009F32D6"/>
    <w:rsid w:val="009F3F1F"/>
    <w:rsid w:val="009F49DA"/>
    <w:rsid w:val="009F4F1F"/>
    <w:rsid w:val="009F4FB3"/>
    <w:rsid w:val="009F5408"/>
    <w:rsid w:val="009F668A"/>
    <w:rsid w:val="009F71D1"/>
    <w:rsid w:val="009F7C9E"/>
    <w:rsid w:val="00A00DD6"/>
    <w:rsid w:val="00A017BA"/>
    <w:rsid w:val="00A01EFD"/>
    <w:rsid w:val="00A026DF"/>
    <w:rsid w:val="00A036C5"/>
    <w:rsid w:val="00A03A5F"/>
    <w:rsid w:val="00A04100"/>
    <w:rsid w:val="00A04A1B"/>
    <w:rsid w:val="00A066DE"/>
    <w:rsid w:val="00A075C8"/>
    <w:rsid w:val="00A10B65"/>
    <w:rsid w:val="00A119ED"/>
    <w:rsid w:val="00A11C59"/>
    <w:rsid w:val="00A139BF"/>
    <w:rsid w:val="00A141E5"/>
    <w:rsid w:val="00A15581"/>
    <w:rsid w:val="00A1566C"/>
    <w:rsid w:val="00A1593F"/>
    <w:rsid w:val="00A15B57"/>
    <w:rsid w:val="00A17F84"/>
    <w:rsid w:val="00A2024C"/>
    <w:rsid w:val="00A21687"/>
    <w:rsid w:val="00A21983"/>
    <w:rsid w:val="00A21F92"/>
    <w:rsid w:val="00A2536F"/>
    <w:rsid w:val="00A261DC"/>
    <w:rsid w:val="00A263F4"/>
    <w:rsid w:val="00A26AF6"/>
    <w:rsid w:val="00A30AF9"/>
    <w:rsid w:val="00A30DB3"/>
    <w:rsid w:val="00A31379"/>
    <w:rsid w:val="00A32D99"/>
    <w:rsid w:val="00A32F97"/>
    <w:rsid w:val="00A344A6"/>
    <w:rsid w:val="00A403E9"/>
    <w:rsid w:val="00A406DC"/>
    <w:rsid w:val="00A40CA2"/>
    <w:rsid w:val="00A41119"/>
    <w:rsid w:val="00A4347E"/>
    <w:rsid w:val="00A4381E"/>
    <w:rsid w:val="00A454CE"/>
    <w:rsid w:val="00A46118"/>
    <w:rsid w:val="00A4620F"/>
    <w:rsid w:val="00A4630E"/>
    <w:rsid w:val="00A479A2"/>
    <w:rsid w:val="00A47DE3"/>
    <w:rsid w:val="00A50678"/>
    <w:rsid w:val="00A5227A"/>
    <w:rsid w:val="00A52999"/>
    <w:rsid w:val="00A52EE6"/>
    <w:rsid w:val="00A5466A"/>
    <w:rsid w:val="00A555D3"/>
    <w:rsid w:val="00A55A52"/>
    <w:rsid w:val="00A55DE0"/>
    <w:rsid w:val="00A57D42"/>
    <w:rsid w:val="00A60139"/>
    <w:rsid w:val="00A60218"/>
    <w:rsid w:val="00A60255"/>
    <w:rsid w:val="00A60BBB"/>
    <w:rsid w:val="00A60C83"/>
    <w:rsid w:val="00A63A99"/>
    <w:rsid w:val="00A64655"/>
    <w:rsid w:val="00A65F1E"/>
    <w:rsid w:val="00A6656D"/>
    <w:rsid w:val="00A67C55"/>
    <w:rsid w:val="00A70822"/>
    <w:rsid w:val="00A721CC"/>
    <w:rsid w:val="00A72C16"/>
    <w:rsid w:val="00A739AD"/>
    <w:rsid w:val="00A73C48"/>
    <w:rsid w:val="00A74938"/>
    <w:rsid w:val="00A77A9B"/>
    <w:rsid w:val="00A80964"/>
    <w:rsid w:val="00A80998"/>
    <w:rsid w:val="00A81EC8"/>
    <w:rsid w:val="00A822B1"/>
    <w:rsid w:val="00A83111"/>
    <w:rsid w:val="00A83285"/>
    <w:rsid w:val="00A84047"/>
    <w:rsid w:val="00A84E98"/>
    <w:rsid w:val="00A855AA"/>
    <w:rsid w:val="00A85982"/>
    <w:rsid w:val="00A863EB"/>
    <w:rsid w:val="00A86587"/>
    <w:rsid w:val="00A90123"/>
    <w:rsid w:val="00A9133E"/>
    <w:rsid w:val="00A92DDF"/>
    <w:rsid w:val="00A932B7"/>
    <w:rsid w:val="00A934C1"/>
    <w:rsid w:val="00A93E8B"/>
    <w:rsid w:val="00A947C8"/>
    <w:rsid w:val="00A972FF"/>
    <w:rsid w:val="00AA22FC"/>
    <w:rsid w:val="00AA7C2E"/>
    <w:rsid w:val="00AA7D23"/>
    <w:rsid w:val="00AB0683"/>
    <w:rsid w:val="00AB0E69"/>
    <w:rsid w:val="00AB15C7"/>
    <w:rsid w:val="00AB16AB"/>
    <w:rsid w:val="00AB179B"/>
    <w:rsid w:val="00AB197C"/>
    <w:rsid w:val="00AB199E"/>
    <w:rsid w:val="00AB246A"/>
    <w:rsid w:val="00AB2706"/>
    <w:rsid w:val="00AB2DA9"/>
    <w:rsid w:val="00AB5052"/>
    <w:rsid w:val="00AB5560"/>
    <w:rsid w:val="00AB6ADA"/>
    <w:rsid w:val="00AB6FB9"/>
    <w:rsid w:val="00AC0288"/>
    <w:rsid w:val="00AC0B8A"/>
    <w:rsid w:val="00AC2F1A"/>
    <w:rsid w:val="00AC4100"/>
    <w:rsid w:val="00AC4104"/>
    <w:rsid w:val="00AC4335"/>
    <w:rsid w:val="00AC463F"/>
    <w:rsid w:val="00AC58FC"/>
    <w:rsid w:val="00AC7D76"/>
    <w:rsid w:val="00AD0191"/>
    <w:rsid w:val="00AD19FA"/>
    <w:rsid w:val="00AD1AB4"/>
    <w:rsid w:val="00AD42E6"/>
    <w:rsid w:val="00AD48BE"/>
    <w:rsid w:val="00AD5E69"/>
    <w:rsid w:val="00AD7AA1"/>
    <w:rsid w:val="00AE16EC"/>
    <w:rsid w:val="00AE4DF8"/>
    <w:rsid w:val="00AE55EC"/>
    <w:rsid w:val="00AE694C"/>
    <w:rsid w:val="00AE78BC"/>
    <w:rsid w:val="00AE7B86"/>
    <w:rsid w:val="00AF1E0C"/>
    <w:rsid w:val="00AF2305"/>
    <w:rsid w:val="00AF2A93"/>
    <w:rsid w:val="00AF46AA"/>
    <w:rsid w:val="00AF5D98"/>
    <w:rsid w:val="00AF7307"/>
    <w:rsid w:val="00B01174"/>
    <w:rsid w:val="00B02D48"/>
    <w:rsid w:val="00B03A57"/>
    <w:rsid w:val="00B044C6"/>
    <w:rsid w:val="00B04B83"/>
    <w:rsid w:val="00B04BA5"/>
    <w:rsid w:val="00B04EC2"/>
    <w:rsid w:val="00B05898"/>
    <w:rsid w:val="00B05C2E"/>
    <w:rsid w:val="00B071A9"/>
    <w:rsid w:val="00B10EBF"/>
    <w:rsid w:val="00B114F8"/>
    <w:rsid w:val="00B11FF2"/>
    <w:rsid w:val="00B169CA"/>
    <w:rsid w:val="00B211F2"/>
    <w:rsid w:val="00B2222C"/>
    <w:rsid w:val="00B2302F"/>
    <w:rsid w:val="00B24FC2"/>
    <w:rsid w:val="00B26221"/>
    <w:rsid w:val="00B27A34"/>
    <w:rsid w:val="00B27BF9"/>
    <w:rsid w:val="00B27C8B"/>
    <w:rsid w:val="00B30EC8"/>
    <w:rsid w:val="00B34F63"/>
    <w:rsid w:val="00B35670"/>
    <w:rsid w:val="00B36418"/>
    <w:rsid w:val="00B4012B"/>
    <w:rsid w:val="00B40EDB"/>
    <w:rsid w:val="00B43126"/>
    <w:rsid w:val="00B447CB"/>
    <w:rsid w:val="00B464E5"/>
    <w:rsid w:val="00B4777C"/>
    <w:rsid w:val="00B51DCA"/>
    <w:rsid w:val="00B5262D"/>
    <w:rsid w:val="00B5275C"/>
    <w:rsid w:val="00B53A21"/>
    <w:rsid w:val="00B53B49"/>
    <w:rsid w:val="00B54481"/>
    <w:rsid w:val="00B5470F"/>
    <w:rsid w:val="00B548FA"/>
    <w:rsid w:val="00B54A0A"/>
    <w:rsid w:val="00B54B09"/>
    <w:rsid w:val="00B55958"/>
    <w:rsid w:val="00B56FF3"/>
    <w:rsid w:val="00B57AFD"/>
    <w:rsid w:val="00B57EA9"/>
    <w:rsid w:val="00B57F9B"/>
    <w:rsid w:val="00B61267"/>
    <w:rsid w:val="00B61ADA"/>
    <w:rsid w:val="00B61E21"/>
    <w:rsid w:val="00B641A7"/>
    <w:rsid w:val="00B641F8"/>
    <w:rsid w:val="00B64399"/>
    <w:rsid w:val="00B65E78"/>
    <w:rsid w:val="00B71A63"/>
    <w:rsid w:val="00B71DBC"/>
    <w:rsid w:val="00B7228A"/>
    <w:rsid w:val="00B73A4A"/>
    <w:rsid w:val="00B75CDF"/>
    <w:rsid w:val="00B75F5D"/>
    <w:rsid w:val="00B7662E"/>
    <w:rsid w:val="00B80D3E"/>
    <w:rsid w:val="00B82086"/>
    <w:rsid w:val="00B820A6"/>
    <w:rsid w:val="00B8227E"/>
    <w:rsid w:val="00B8341F"/>
    <w:rsid w:val="00B8355D"/>
    <w:rsid w:val="00B86D98"/>
    <w:rsid w:val="00B87141"/>
    <w:rsid w:val="00B90FCC"/>
    <w:rsid w:val="00B91263"/>
    <w:rsid w:val="00B92181"/>
    <w:rsid w:val="00B92464"/>
    <w:rsid w:val="00B92586"/>
    <w:rsid w:val="00B927E5"/>
    <w:rsid w:val="00B94825"/>
    <w:rsid w:val="00B95C50"/>
    <w:rsid w:val="00B95FBD"/>
    <w:rsid w:val="00B975F3"/>
    <w:rsid w:val="00BA12A0"/>
    <w:rsid w:val="00BA1E11"/>
    <w:rsid w:val="00BA2A61"/>
    <w:rsid w:val="00BA7776"/>
    <w:rsid w:val="00BB3B42"/>
    <w:rsid w:val="00BB5B1C"/>
    <w:rsid w:val="00BB69A5"/>
    <w:rsid w:val="00BC0EFB"/>
    <w:rsid w:val="00BC21EE"/>
    <w:rsid w:val="00BC3A13"/>
    <w:rsid w:val="00BC40FB"/>
    <w:rsid w:val="00BC65D8"/>
    <w:rsid w:val="00BD1415"/>
    <w:rsid w:val="00BD316B"/>
    <w:rsid w:val="00BD3F7D"/>
    <w:rsid w:val="00BD4653"/>
    <w:rsid w:val="00BD4E06"/>
    <w:rsid w:val="00BD560B"/>
    <w:rsid w:val="00BD5D04"/>
    <w:rsid w:val="00BD6475"/>
    <w:rsid w:val="00BE04AE"/>
    <w:rsid w:val="00BE2499"/>
    <w:rsid w:val="00BE4232"/>
    <w:rsid w:val="00BE5C95"/>
    <w:rsid w:val="00BE6721"/>
    <w:rsid w:val="00BE7CD2"/>
    <w:rsid w:val="00BF0271"/>
    <w:rsid w:val="00BF06DD"/>
    <w:rsid w:val="00BF12C4"/>
    <w:rsid w:val="00BF2C0E"/>
    <w:rsid w:val="00BF315D"/>
    <w:rsid w:val="00BF5E81"/>
    <w:rsid w:val="00BF65CA"/>
    <w:rsid w:val="00BF7EA4"/>
    <w:rsid w:val="00C01123"/>
    <w:rsid w:val="00C02198"/>
    <w:rsid w:val="00C028DC"/>
    <w:rsid w:val="00C02A04"/>
    <w:rsid w:val="00C0346E"/>
    <w:rsid w:val="00C03A44"/>
    <w:rsid w:val="00C04A9D"/>
    <w:rsid w:val="00C07B72"/>
    <w:rsid w:val="00C1005F"/>
    <w:rsid w:val="00C108B7"/>
    <w:rsid w:val="00C1110D"/>
    <w:rsid w:val="00C11A50"/>
    <w:rsid w:val="00C127B1"/>
    <w:rsid w:val="00C134B7"/>
    <w:rsid w:val="00C15234"/>
    <w:rsid w:val="00C15E87"/>
    <w:rsid w:val="00C170C3"/>
    <w:rsid w:val="00C175D0"/>
    <w:rsid w:val="00C20689"/>
    <w:rsid w:val="00C2096B"/>
    <w:rsid w:val="00C21A8D"/>
    <w:rsid w:val="00C21E2C"/>
    <w:rsid w:val="00C22236"/>
    <w:rsid w:val="00C2255B"/>
    <w:rsid w:val="00C22D8B"/>
    <w:rsid w:val="00C230F7"/>
    <w:rsid w:val="00C24DB0"/>
    <w:rsid w:val="00C26B1C"/>
    <w:rsid w:val="00C26B29"/>
    <w:rsid w:val="00C274AA"/>
    <w:rsid w:val="00C27E9A"/>
    <w:rsid w:val="00C30108"/>
    <w:rsid w:val="00C32965"/>
    <w:rsid w:val="00C33909"/>
    <w:rsid w:val="00C3426D"/>
    <w:rsid w:val="00C42D2D"/>
    <w:rsid w:val="00C44ADA"/>
    <w:rsid w:val="00C46060"/>
    <w:rsid w:val="00C4680A"/>
    <w:rsid w:val="00C50711"/>
    <w:rsid w:val="00C51303"/>
    <w:rsid w:val="00C523C6"/>
    <w:rsid w:val="00C525BA"/>
    <w:rsid w:val="00C53065"/>
    <w:rsid w:val="00C54204"/>
    <w:rsid w:val="00C555F7"/>
    <w:rsid w:val="00C55EF8"/>
    <w:rsid w:val="00C56446"/>
    <w:rsid w:val="00C564D3"/>
    <w:rsid w:val="00C60510"/>
    <w:rsid w:val="00C60863"/>
    <w:rsid w:val="00C6281D"/>
    <w:rsid w:val="00C6285D"/>
    <w:rsid w:val="00C639E3"/>
    <w:rsid w:val="00C640E3"/>
    <w:rsid w:val="00C646A9"/>
    <w:rsid w:val="00C65595"/>
    <w:rsid w:val="00C672EC"/>
    <w:rsid w:val="00C67CE5"/>
    <w:rsid w:val="00C70563"/>
    <w:rsid w:val="00C71292"/>
    <w:rsid w:val="00C71484"/>
    <w:rsid w:val="00C716CA"/>
    <w:rsid w:val="00C7179F"/>
    <w:rsid w:val="00C72305"/>
    <w:rsid w:val="00C735A7"/>
    <w:rsid w:val="00C755C4"/>
    <w:rsid w:val="00C75D81"/>
    <w:rsid w:val="00C75FF9"/>
    <w:rsid w:val="00C76FAC"/>
    <w:rsid w:val="00C8566F"/>
    <w:rsid w:val="00C859AE"/>
    <w:rsid w:val="00C867A8"/>
    <w:rsid w:val="00C8798B"/>
    <w:rsid w:val="00C87C43"/>
    <w:rsid w:val="00C90272"/>
    <w:rsid w:val="00C92614"/>
    <w:rsid w:val="00C93B0E"/>
    <w:rsid w:val="00C94262"/>
    <w:rsid w:val="00C975FD"/>
    <w:rsid w:val="00C979D0"/>
    <w:rsid w:val="00CA15D5"/>
    <w:rsid w:val="00CA410E"/>
    <w:rsid w:val="00CA447E"/>
    <w:rsid w:val="00CA4890"/>
    <w:rsid w:val="00CA582D"/>
    <w:rsid w:val="00CA587E"/>
    <w:rsid w:val="00CA6722"/>
    <w:rsid w:val="00CA6FEA"/>
    <w:rsid w:val="00CB09BB"/>
    <w:rsid w:val="00CB0CDF"/>
    <w:rsid w:val="00CB0FE7"/>
    <w:rsid w:val="00CB1DDE"/>
    <w:rsid w:val="00CB27FD"/>
    <w:rsid w:val="00CB33B9"/>
    <w:rsid w:val="00CB4B45"/>
    <w:rsid w:val="00CB528D"/>
    <w:rsid w:val="00CB53FC"/>
    <w:rsid w:val="00CB635C"/>
    <w:rsid w:val="00CB7321"/>
    <w:rsid w:val="00CB7E0A"/>
    <w:rsid w:val="00CC1B13"/>
    <w:rsid w:val="00CC3027"/>
    <w:rsid w:val="00CC3BB0"/>
    <w:rsid w:val="00CC421B"/>
    <w:rsid w:val="00CC4ECC"/>
    <w:rsid w:val="00CC77C6"/>
    <w:rsid w:val="00CD16D7"/>
    <w:rsid w:val="00CD1BC6"/>
    <w:rsid w:val="00CD2169"/>
    <w:rsid w:val="00CD27EE"/>
    <w:rsid w:val="00CD4B9E"/>
    <w:rsid w:val="00CD626E"/>
    <w:rsid w:val="00CE09A8"/>
    <w:rsid w:val="00CE10BD"/>
    <w:rsid w:val="00CE1A9F"/>
    <w:rsid w:val="00CE1F17"/>
    <w:rsid w:val="00CE4913"/>
    <w:rsid w:val="00CE7F13"/>
    <w:rsid w:val="00CF08CA"/>
    <w:rsid w:val="00CF1725"/>
    <w:rsid w:val="00CF26BF"/>
    <w:rsid w:val="00CF3FB2"/>
    <w:rsid w:val="00CF43A0"/>
    <w:rsid w:val="00CF66A7"/>
    <w:rsid w:val="00D004BE"/>
    <w:rsid w:val="00D00DBC"/>
    <w:rsid w:val="00D00EA7"/>
    <w:rsid w:val="00D01171"/>
    <w:rsid w:val="00D015EA"/>
    <w:rsid w:val="00D03586"/>
    <w:rsid w:val="00D03A7E"/>
    <w:rsid w:val="00D03B28"/>
    <w:rsid w:val="00D05726"/>
    <w:rsid w:val="00D05755"/>
    <w:rsid w:val="00D062DD"/>
    <w:rsid w:val="00D06EA7"/>
    <w:rsid w:val="00D075C6"/>
    <w:rsid w:val="00D10C5C"/>
    <w:rsid w:val="00D126E6"/>
    <w:rsid w:val="00D145AD"/>
    <w:rsid w:val="00D14FB9"/>
    <w:rsid w:val="00D15DBA"/>
    <w:rsid w:val="00D16DA4"/>
    <w:rsid w:val="00D172C0"/>
    <w:rsid w:val="00D20A98"/>
    <w:rsid w:val="00D213E9"/>
    <w:rsid w:val="00D303EA"/>
    <w:rsid w:val="00D30E72"/>
    <w:rsid w:val="00D30E88"/>
    <w:rsid w:val="00D336F4"/>
    <w:rsid w:val="00D33B6C"/>
    <w:rsid w:val="00D3454C"/>
    <w:rsid w:val="00D347DE"/>
    <w:rsid w:val="00D37F45"/>
    <w:rsid w:val="00D40A97"/>
    <w:rsid w:val="00D4105E"/>
    <w:rsid w:val="00D413E0"/>
    <w:rsid w:val="00D42E24"/>
    <w:rsid w:val="00D46107"/>
    <w:rsid w:val="00D46EE9"/>
    <w:rsid w:val="00D50157"/>
    <w:rsid w:val="00D50854"/>
    <w:rsid w:val="00D50899"/>
    <w:rsid w:val="00D519A5"/>
    <w:rsid w:val="00D51ACF"/>
    <w:rsid w:val="00D52238"/>
    <w:rsid w:val="00D527CB"/>
    <w:rsid w:val="00D54158"/>
    <w:rsid w:val="00D5688B"/>
    <w:rsid w:val="00D579C9"/>
    <w:rsid w:val="00D60DAA"/>
    <w:rsid w:val="00D636A7"/>
    <w:rsid w:val="00D63D53"/>
    <w:rsid w:val="00D64191"/>
    <w:rsid w:val="00D72181"/>
    <w:rsid w:val="00D73367"/>
    <w:rsid w:val="00D7396F"/>
    <w:rsid w:val="00D7523E"/>
    <w:rsid w:val="00D76A33"/>
    <w:rsid w:val="00D80825"/>
    <w:rsid w:val="00D8164A"/>
    <w:rsid w:val="00D81AF1"/>
    <w:rsid w:val="00D81DB1"/>
    <w:rsid w:val="00D8282E"/>
    <w:rsid w:val="00D82C62"/>
    <w:rsid w:val="00D843D7"/>
    <w:rsid w:val="00D84E4B"/>
    <w:rsid w:val="00D878E1"/>
    <w:rsid w:val="00D90345"/>
    <w:rsid w:val="00D906AD"/>
    <w:rsid w:val="00D91E66"/>
    <w:rsid w:val="00D92A4E"/>
    <w:rsid w:val="00D95BB2"/>
    <w:rsid w:val="00D97D5E"/>
    <w:rsid w:val="00DA110F"/>
    <w:rsid w:val="00DA4017"/>
    <w:rsid w:val="00DA4780"/>
    <w:rsid w:val="00DA494B"/>
    <w:rsid w:val="00DA5B94"/>
    <w:rsid w:val="00DA6B1B"/>
    <w:rsid w:val="00DA72DC"/>
    <w:rsid w:val="00DA7543"/>
    <w:rsid w:val="00DB16ED"/>
    <w:rsid w:val="00DB5C76"/>
    <w:rsid w:val="00DB7F44"/>
    <w:rsid w:val="00DC0159"/>
    <w:rsid w:val="00DC0500"/>
    <w:rsid w:val="00DC0FC4"/>
    <w:rsid w:val="00DC5090"/>
    <w:rsid w:val="00DC53D8"/>
    <w:rsid w:val="00DD0A22"/>
    <w:rsid w:val="00DD1675"/>
    <w:rsid w:val="00DD1854"/>
    <w:rsid w:val="00DD2253"/>
    <w:rsid w:val="00DD2B27"/>
    <w:rsid w:val="00DD2D60"/>
    <w:rsid w:val="00DD2F32"/>
    <w:rsid w:val="00DD36FD"/>
    <w:rsid w:val="00DD46EB"/>
    <w:rsid w:val="00DD4B85"/>
    <w:rsid w:val="00DD607A"/>
    <w:rsid w:val="00DD6509"/>
    <w:rsid w:val="00DD69DD"/>
    <w:rsid w:val="00DD6D90"/>
    <w:rsid w:val="00DD776A"/>
    <w:rsid w:val="00DE04CC"/>
    <w:rsid w:val="00DE261E"/>
    <w:rsid w:val="00DE35DB"/>
    <w:rsid w:val="00DE6A6C"/>
    <w:rsid w:val="00DE7144"/>
    <w:rsid w:val="00DE76C6"/>
    <w:rsid w:val="00DF1CF2"/>
    <w:rsid w:val="00DF2E01"/>
    <w:rsid w:val="00DF3569"/>
    <w:rsid w:val="00DF602C"/>
    <w:rsid w:val="00DF610F"/>
    <w:rsid w:val="00DF64ED"/>
    <w:rsid w:val="00DF6593"/>
    <w:rsid w:val="00DF7CF6"/>
    <w:rsid w:val="00E03141"/>
    <w:rsid w:val="00E05314"/>
    <w:rsid w:val="00E06DB4"/>
    <w:rsid w:val="00E07E08"/>
    <w:rsid w:val="00E13516"/>
    <w:rsid w:val="00E151C4"/>
    <w:rsid w:val="00E1655A"/>
    <w:rsid w:val="00E20AB8"/>
    <w:rsid w:val="00E216A6"/>
    <w:rsid w:val="00E22D28"/>
    <w:rsid w:val="00E24811"/>
    <w:rsid w:val="00E26AB8"/>
    <w:rsid w:val="00E2749E"/>
    <w:rsid w:val="00E27AB4"/>
    <w:rsid w:val="00E31055"/>
    <w:rsid w:val="00E31239"/>
    <w:rsid w:val="00E332F7"/>
    <w:rsid w:val="00E341D3"/>
    <w:rsid w:val="00E35B18"/>
    <w:rsid w:val="00E36F79"/>
    <w:rsid w:val="00E374E0"/>
    <w:rsid w:val="00E40D84"/>
    <w:rsid w:val="00E41E79"/>
    <w:rsid w:val="00E43DC0"/>
    <w:rsid w:val="00E44CD3"/>
    <w:rsid w:val="00E46502"/>
    <w:rsid w:val="00E47430"/>
    <w:rsid w:val="00E4775F"/>
    <w:rsid w:val="00E47F88"/>
    <w:rsid w:val="00E50484"/>
    <w:rsid w:val="00E5161C"/>
    <w:rsid w:val="00E523F8"/>
    <w:rsid w:val="00E60F4D"/>
    <w:rsid w:val="00E61FEA"/>
    <w:rsid w:val="00E61FED"/>
    <w:rsid w:val="00E6233B"/>
    <w:rsid w:val="00E64584"/>
    <w:rsid w:val="00E720A6"/>
    <w:rsid w:val="00E72DD6"/>
    <w:rsid w:val="00E75D4B"/>
    <w:rsid w:val="00E775AE"/>
    <w:rsid w:val="00E77B92"/>
    <w:rsid w:val="00E8122F"/>
    <w:rsid w:val="00E814AC"/>
    <w:rsid w:val="00E81C52"/>
    <w:rsid w:val="00E82A7A"/>
    <w:rsid w:val="00E85D9D"/>
    <w:rsid w:val="00E86075"/>
    <w:rsid w:val="00E867B4"/>
    <w:rsid w:val="00E870CF"/>
    <w:rsid w:val="00E8756D"/>
    <w:rsid w:val="00E87F29"/>
    <w:rsid w:val="00E90664"/>
    <w:rsid w:val="00E91169"/>
    <w:rsid w:val="00E917E1"/>
    <w:rsid w:val="00E9253B"/>
    <w:rsid w:val="00E92C22"/>
    <w:rsid w:val="00E92DE9"/>
    <w:rsid w:val="00E92F00"/>
    <w:rsid w:val="00E94320"/>
    <w:rsid w:val="00E950E7"/>
    <w:rsid w:val="00E95C8C"/>
    <w:rsid w:val="00E9758C"/>
    <w:rsid w:val="00E97592"/>
    <w:rsid w:val="00E97F4A"/>
    <w:rsid w:val="00EA1322"/>
    <w:rsid w:val="00EA2A81"/>
    <w:rsid w:val="00EA35D6"/>
    <w:rsid w:val="00EA41FC"/>
    <w:rsid w:val="00EA5177"/>
    <w:rsid w:val="00EA5551"/>
    <w:rsid w:val="00EA6DFF"/>
    <w:rsid w:val="00EA6EB9"/>
    <w:rsid w:val="00EA7477"/>
    <w:rsid w:val="00EA77F3"/>
    <w:rsid w:val="00EB0760"/>
    <w:rsid w:val="00EB0D16"/>
    <w:rsid w:val="00EB4FA1"/>
    <w:rsid w:val="00EB5D6A"/>
    <w:rsid w:val="00EB76EB"/>
    <w:rsid w:val="00EC159F"/>
    <w:rsid w:val="00EC21B1"/>
    <w:rsid w:val="00EC2AA2"/>
    <w:rsid w:val="00EC350F"/>
    <w:rsid w:val="00EC3F55"/>
    <w:rsid w:val="00EC544B"/>
    <w:rsid w:val="00EC5D8C"/>
    <w:rsid w:val="00ED0125"/>
    <w:rsid w:val="00ED01AD"/>
    <w:rsid w:val="00ED188F"/>
    <w:rsid w:val="00ED3DC8"/>
    <w:rsid w:val="00ED488F"/>
    <w:rsid w:val="00ED51FA"/>
    <w:rsid w:val="00ED60FB"/>
    <w:rsid w:val="00EE00AB"/>
    <w:rsid w:val="00EE02F3"/>
    <w:rsid w:val="00EE1FD6"/>
    <w:rsid w:val="00EE35C9"/>
    <w:rsid w:val="00EE5F37"/>
    <w:rsid w:val="00EE79C9"/>
    <w:rsid w:val="00EF176E"/>
    <w:rsid w:val="00EF1B63"/>
    <w:rsid w:val="00EF3631"/>
    <w:rsid w:val="00EF401E"/>
    <w:rsid w:val="00EF6E86"/>
    <w:rsid w:val="00F0000F"/>
    <w:rsid w:val="00F00AF7"/>
    <w:rsid w:val="00F01066"/>
    <w:rsid w:val="00F0211D"/>
    <w:rsid w:val="00F033E6"/>
    <w:rsid w:val="00F05A78"/>
    <w:rsid w:val="00F05EC3"/>
    <w:rsid w:val="00F05F9A"/>
    <w:rsid w:val="00F07570"/>
    <w:rsid w:val="00F07694"/>
    <w:rsid w:val="00F076EF"/>
    <w:rsid w:val="00F07BDD"/>
    <w:rsid w:val="00F12D19"/>
    <w:rsid w:val="00F1412A"/>
    <w:rsid w:val="00F1588F"/>
    <w:rsid w:val="00F15BA3"/>
    <w:rsid w:val="00F171EE"/>
    <w:rsid w:val="00F209DD"/>
    <w:rsid w:val="00F20E08"/>
    <w:rsid w:val="00F20EBF"/>
    <w:rsid w:val="00F232C5"/>
    <w:rsid w:val="00F259E8"/>
    <w:rsid w:val="00F27360"/>
    <w:rsid w:val="00F30EA2"/>
    <w:rsid w:val="00F3385A"/>
    <w:rsid w:val="00F35FDA"/>
    <w:rsid w:val="00F36254"/>
    <w:rsid w:val="00F363FC"/>
    <w:rsid w:val="00F36E4A"/>
    <w:rsid w:val="00F42328"/>
    <w:rsid w:val="00F42671"/>
    <w:rsid w:val="00F50CB0"/>
    <w:rsid w:val="00F54657"/>
    <w:rsid w:val="00F54D02"/>
    <w:rsid w:val="00F55E0C"/>
    <w:rsid w:val="00F56DC0"/>
    <w:rsid w:val="00F60452"/>
    <w:rsid w:val="00F60C31"/>
    <w:rsid w:val="00F612C8"/>
    <w:rsid w:val="00F61777"/>
    <w:rsid w:val="00F61DE6"/>
    <w:rsid w:val="00F66077"/>
    <w:rsid w:val="00F66718"/>
    <w:rsid w:val="00F66FE7"/>
    <w:rsid w:val="00F7000C"/>
    <w:rsid w:val="00F703DE"/>
    <w:rsid w:val="00F71008"/>
    <w:rsid w:val="00F710CC"/>
    <w:rsid w:val="00F712CF"/>
    <w:rsid w:val="00F71C50"/>
    <w:rsid w:val="00F71CE5"/>
    <w:rsid w:val="00F74334"/>
    <w:rsid w:val="00F7518A"/>
    <w:rsid w:val="00F75823"/>
    <w:rsid w:val="00F77DC4"/>
    <w:rsid w:val="00F81978"/>
    <w:rsid w:val="00F84A29"/>
    <w:rsid w:val="00F86C2D"/>
    <w:rsid w:val="00F912A3"/>
    <w:rsid w:val="00F913C1"/>
    <w:rsid w:val="00F91475"/>
    <w:rsid w:val="00F91B5D"/>
    <w:rsid w:val="00F924B6"/>
    <w:rsid w:val="00F92FF6"/>
    <w:rsid w:val="00FA5090"/>
    <w:rsid w:val="00FA5A84"/>
    <w:rsid w:val="00FA72A2"/>
    <w:rsid w:val="00FB0B07"/>
    <w:rsid w:val="00FB35D9"/>
    <w:rsid w:val="00FB48D4"/>
    <w:rsid w:val="00FB49C4"/>
    <w:rsid w:val="00FB65C9"/>
    <w:rsid w:val="00FB6EE2"/>
    <w:rsid w:val="00FC0871"/>
    <w:rsid w:val="00FC0EAE"/>
    <w:rsid w:val="00FC1234"/>
    <w:rsid w:val="00FC13CF"/>
    <w:rsid w:val="00FC1C41"/>
    <w:rsid w:val="00FC2012"/>
    <w:rsid w:val="00FC27B2"/>
    <w:rsid w:val="00FC351C"/>
    <w:rsid w:val="00FC4634"/>
    <w:rsid w:val="00FC48AA"/>
    <w:rsid w:val="00FC5373"/>
    <w:rsid w:val="00FC6D95"/>
    <w:rsid w:val="00FD03A6"/>
    <w:rsid w:val="00FD0806"/>
    <w:rsid w:val="00FD3D3B"/>
    <w:rsid w:val="00FD4046"/>
    <w:rsid w:val="00FD4658"/>
    <w:rsid w:val="00FD5D78"/>
    <w:rsid w:val="00FD7133"/>
    <w:rsid w:val="00FD782A"/>
    <w:rsid w:val="00FE04C3"/>
    <w:rsid w:val="00FE2973"/>
    <w:rsid w:val="00FE519C"/>
    <w:rsid w:val="00FE577C"/>
    <w:rsid w:val="00FE57C2"/>
    <w:rsid w:val="00FF00BE"/>
    <w:rsid w:val="00FF16EC"/>
    <w:rsid w:val="00FF1C8B"/>
    <w:rsid w:val="00FF32A1"/>
    <w:rsid w:val="00FF41BA"/>
    <w:rsid w:val="00FF4E89"/>
    <w:rsid w:val="00FF60E9"/>
    <w:rsid w:val="00FF79B2"/>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F20EBF"/>
    <w:pPr>
      <w:keepNext/>
      <w:keepLines/>
      <w:widowControl/>
      <w:numPr>
        <w:numId w:val="15"/>
      </w:numPr>
      <w:spacing w:after="260"/>
      <w:outlineLvl w:val="0"/>
    </w:pPr>
    <w:rPr>
      <w:rFonts w:eastAsia="ＭＳ ゴシック"/>
      <w:b/>
      <w:kern w:val="32"/>
      <w:szCs w:val="32"/>
      <w:u w:val="single"/>
    </w:rPr>
  </w:style>
  <w:style w:type="paragraph" w:styleId="Heading2">
    <w:name w:val="heading 2"/>
    <w:basedOn w:val="Normal"/>
    <w:next w:val="FERCparanumber"/>
    <w:link w:val="Heading2Char"/>
    <w:uiPriority w:val="9"/>
    <w:unhideWhenUsed/>
    <w:qFormat/>
    <w:rsid w:val="00F20EBF"/>
    <w:pPr>
      <w:keepNext/>
      <w:keepLines/>
      <w:widowControl/>
      <w:numPr>
        <w:ilvl w:val="1"/>
        <w:numId w:val="15"/>
      </w:numPr>
      <w:spacing w:after="260"/>
      <w:outlineLvl w:val="1"/>
    </w:pPr>
    <w:rPr>
      <w:rFonts w:eastAsia="ＭＳ ゴシック"/>
      <w:b/>
      <w:kern w:val="32"/>
      <w:szCs w:val="26"/>
      <w:u w:val="single"/>
    </w:rPr>
  </w:style>
  <w:style w:type="paragraph" w:styleId="Heading3">
    <w:name w:val="heading 3"/>
    <w:basedOn w:val="Normal"/>
    <w:next w:val="FERCparanumber"/>
    <w:uiPriority w:val="9"/>
    <w:unhideWhenUsed/>
    <w:qFormat/>
    <w:rsid w:val="00F20EBF"/>
    <w:pPr>
      <w:keepNext/>
      <w:keepLines/>
      <w:widowControl/>
      <w:numPr>
        <w:ilvl w:val="2"/>
        <w:numId w:val="15"/>
      </w:numPr>
      <w:spacing w:after="260"/>
      <w:outlineLvl w:val="2"/>
    </w:pPr>
    <w:rPr>
      <w:rFonts w:eastAsia="ＭＳ ゴシック"/>
      <w:b/>
      <w:kern w:val="32"/>
      <w:szCs w:val="24"/>
      <w:u w:val="single"/>
    </w:rPr>
  </w:style>
  <w:style w:type="paragraph" w:styleId="Heading4">
    <w:name w:val="heading 4"/>
    <w:basedOn w:val="Normal"/>
    <w:next w:val="FERCparanumber"/>
    <w:uiPriority w:val="9"/>
    <w:unhideWhenUsed/>
    <w:qFormat/>
    <w:rsid w:val="00F20EBF"/>
    <w:pPr>
      <w:keepNext/>
      <w:keepLines/>
      <w:widowControl/>
      <w:numPr>
        <w:ilvl w:val="3"/>
        <w:numId w:val="15"/>
      </w:numPr>
      <w:spacing w:after="260"/>
      <w:outlineLvl w:val="3"/>
    </w:pPr>
    <w:rPr>
      <w:rFonts w:eastAsia="ＭＳ ゴシック"/>
      <w:b/>
      <w:iCs/>
      <w:kern w:val="32"/>
      <w:u w:val="single"/>
    </w:rPr>
  </w:style>
  <w:style w:type="paragraph" w:styleId="Heading5">
    <w:name w:val="heading 5"/>
    <w:basedOn w:val="Normal"/>
    <w:next w:val="FERCparanumber"/>
    <w:uiPriority w:val="9"/>
    <w:semiHidden/>
    <w:unhideWhenUsed/>
    <w:qFormat/>
    <w:rsid w:val="00F20EBF"/>
    <w:pPr>
      <w:keepNext/>
      <w:keepLines/>
      <w:widowControl/>
      <w:numPr>
        <w:ilvl w:val="4"/>
        <w:numId w:val="15"/>
      </w:numPr>
      <w:spacing w:after="260"/>
      <w:outlineLvl w:val="4"/>
    </w:pPr>
    <w:rPr>
      <w:rFonts w:eastAsia="ＭＳ ゴシック"/>
      <w:b/>
      <w:kern w:val="32"/>
      <w:u w:val="single"/>
    </w:rPr>
  </w:style>
  <w:style w:type="paragraph" w:styleId="Heading6">
    <w:name w:val="heading 6"/>
    <w:basedOn w:val="Normal"/>
    <w:next w:val="FERCparanumber"/>
    <w:uiPriority w:val="9"/>
    <w:semiHidden/>
    <w:unhideWhenUsed/>
    <w:qFormat/>
    <w:rsid w:val="00F20EBF"/>
    <w:pPr>
      <w:keepNext/>
      <w:keepLines/>
      <w:widowControl/>
      <w:numPr>
        <w:ilvl w:val="5"/>
        <w:numId w:val="15"/>
      </w:numPr>
      <w:spacing w:after="260"/>
      <w:outlineLvl w:val="5"/>
    </w:pPr>
    <w:rPr>
      <w:rFonts w:eastAsia="ＭＳ ゴシック"/>
      <w:b/>
      <w:kern w:val="32"/>
      <w:u w:val="single"/>
    </w:rPr>
  </w:style>
  <w:style w:type="paragraph" w:styleId="Heading7">
    <w:name w:val="heading 7"/>
    <w:basedOn w:val="Normal"/>
    <w:next w:val="FERCparanumber"/>
    <w:uiPriority w:val="9"/>
    <w:semiHidden/>
    <w:unhideWhenUsed/>
    <w:qFormat/>
    <w:rsid w:val="00F20EBF"/>
    <w:pPr>
      <w:keepNext/>
      <w:keepLines/>
      <w:widowControl/>
      <w:numPr>
        <w:ilvl w:val="6"/>
        <w:numId w:val="15"/>
      </w:numPr>
      <w:spacing w:after="260"/>
      <w:outlineLvl w:val="6"/>
    </w:pPr>
    <w:rPr>
      <w:rFonts w:eastAsia="ＭＳ ゴシック"/>
      <w:b/>
      <w:iCs/>
      <w:kern w:val="32"/>
      <w:u w:val="single"/>
    </w:rPr>
  </w:style>
  <w:style w:type="paragraph" w:styleId="Heading8">
    <w:name w:val="heading 8"/>
    <w:basedOn w:val="Normal"/>
    <w:next w:val="FERCparanumber"/>
    <w:uiPriority w:val="9"/>
    <w:semiHidden/>
    <w:unhideWhenUsed/>
    <w:qFormat/>
    <w:rsid w:val="00F20EBF"/>
    <w:pPr>
      <w:keepNext/>
      <w:keepLines/>
      <w:widowControl/>
      <w:numPr>
        <w:ilvl w:val="7"/>
        <w:numId w:val="15"/>
      </w:numPr>
      <w:spacing w:after="260"/>
      <w:outlineLvl w:val="7"/>
    </w:pPr>
    <w:rPr>
      <w:rFonts w:eastAsia="ＭＳ ゴシック"/>
      <w:b/>
      <w:kern w:val="32"/>
      <w:szCs w:val="21"/>
      <w:u w:val="single"/>
    </w:rPr>
  </w:style>
  <w:style w:type="paragraph" w:styleId="Heading9">
    <w:name w:val="heading 9"/>
    <w:basedOn w:val="Normal"/>
    <w:next w:val="FERCparanumber"/>
    <w:uiPriority w:val="9"/>
    <w:semiHidden/>
    <w:unhideWhenUsed/>
    <w:qFormat/>
    <w:rsid w:val="00F20EBF"/>
    <w:pPr>
      <w:keepNext/>
      <w:keepLines/>
      <w:widowControl/>
      <w:numPr>
        <w:ilvl w:val="8"/>
        <w:numId w:val="15"/>
      </w:numPr>
      <w:spacing w:after="260"/>
      <w:outlineLvl w:val="8"/>
    </w:pPr>
    <w:rPr>
      <w:rFonts w:eastAsia="ＭＳ ゴシック"/>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ＭＳ 明朝"/>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ＭＳ ゴシック" w:hAnsi="Calibri Light" w:cs="Times New Roman"/>
      <w:sz w:val="24"/>
      <w:szCs w:val="24"/>
    </w:rPr>
  </w:style>
  <w:style w:type="paragraph" w:styleId="EnvelopeReturn">
    <w:name w:val="envelope return"/>
    <w:basedOn w:val="Normal"/>
    <w:uiPriority w:val="99"/>
    <w:semiHidden/>
    <w:unhideWhenUsed/>
    <w:rsid w:val="00CE7F13"/>
    <w:rPr>
      <w:rFonts w:ascii="Calibri Light" w:eastAsia="ＭＳ ゴシック"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ＭＳ ゴシック"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ＭＳ ゴシック"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ＭＳ ゴシック"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ＭＳ 明朝"/>
      <w:color w:val="5A5A5A"/>
      <w:spacing w:val="15"/>
    </w:rPr>
  </w:style>
  <w:style w:type="character" w:customStyle="1" w:styleId="SubtitleChar">
    <w:name w:val="Subtitle Char"/>
    <w:basedOn w:val="DefaultParagraphFont"/>
    <w:link w:val="Subtitle"/>
    <w:uiPriority w:val="11"/>
    <w:rsid w:val="00CE7F13"/>
    <w:rPr>
      <w:rFonts w:eastAsia="ＭＳ 明朝"/>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ＭＳ ゴシック"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ＭＳ ゴシック"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ＭＳ ゴシック"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ＭＳ ゴシック"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ＭＳ ゴシック" w:hAnsi="Times New Roman" w:cs="Times New Roman"/>
      <w:b/>
      <w:kern w:val="32"/>
      <w:sz w:val="26"/>
      <w:szCs w:val="26"/>
      <w:u w:val="single"/>
    </w:rPr>
  </w:style>
  <w:style w:type="paragraph" w:styleId="FootnoteText">
    <w:name w:val="footnote text"/>
    <w:aliases w:val="Footnote Text Char1 Char,Footnote Text Char Char Char,Footnote Text Char1,Footnote Text Char Char,Footnote Text Char Char1,fn,Footnote Text MRP,Footnote Text Char3,Footnote Text Char2 Char,ft Char,Footnote Text Char1 Char Char Char1,ft,f,c"/>
    <w:basedOn w:val="Normal"/>
    <w:link w:val="FootnoteTextChar"/>
    <w:unhideWhenUsed/>
    <w:qFormat/>
    <w:rsid w:val="00DD46EB"/>
    <w:pPr>
      <w:spacing w:after="260"/>
      <w:ind w:firstLine="720"/>
    </w:pPr>
    <w:rPr>
      <w:szCs w:val="20"/>
    </w:rPr>
  </w:style>
  <w:style w:type="character" w:styleId="FootnoteReference">
    <w:name w:val="footnote reference"/>
    <w:aliases w:val="o,fr,Style 13,Style 12,Style 15,Style 17,Style 9,o1,fr1,o2,fr2,o3,fr3,Style 18,(NECG) Footnote Reference,Style 20,Style 7,Style 8,Style 19,Style 28,Style 11,Style 16,Styl,Footnote Reference (EIS),fnr,Footnote reference (EA),Style 30,."/>
    <w:basedOn w:val="DefaultParagraphFont"/>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4B621A"/>
    <w:pPr>
      <w:spacing w:after="0" w:line="240" w:lineRule="auto"/>
    </w:pPr>
    <w:rPr>
      <w:rFonts w:ascii="Times New Roman" w:hAnsi="Times New Roman" w:cs="Times New Roman"/>
      <w:sz w:val="26"/>
      <w:szCs w:val="22"/>
    </w:rPr>
  </w:style>
  <w:style w:type="character" w:customStyle="1" w:styleId="FootnoteTextChar">
    <w:name w:val="Footnote Text Char"/>
    <w:aliases w:val="Footnote Text Char1 Char Char,Footnote Text Char Char Char Char,Footnote Text Char1 Char1,Footnote Text Char Char Char1,Footnote Text Char Char1 Char,fn Char,Footnote Text MRP Char,Footnote Text Char3 Char,ft Char Char,ft Char1,f Char"/>
    <w:basedOn w:val="DefaultParagraphFont"/>
    <w:link w:val="FootnoteText"/>
    <w:rsid w:val="00331C19"/>
    <w:rPr>
      <w:rFonts w:ascii="Times New Roman" w:hAnsi="Times New Roman" w:cs="Times New Roman"/>
      <w:sz w:val="26"/>
      <w:szCs w:val="20"/>
    </w:rPr>
  </w:style>
  <w:style w:type="character" w:styleId="Mention">
    <w:name w:val="Mention"/>
    <w:basedOn w:val="DefaultParagraphFont"/>
    <w:uiPriority w:val="99"/>
    <w:unhideWhenUsed/>
    <w:rsid w:val="009A533F"/>
    <w:rPr>
      <w:color w:val="2B579A"/>
      <w:shd w:val="clear" w:color="auto" w:fill="E1DFDD"/>
    </w:rPr>
  </w:style>
  <w:style w:type="character" w:styleId="FollowedHyperlink">
    <w:name w:val="FollowedHyperlink"/>
    <w:basedOn w:val="DefaultParagraphFont"/>
    <w:uiPriority w:val="99"/>
    <w:semiHidden/>
    <w:unhideWhenUsed/>
    <w:rsid w:val="00320263"/>
    <w:rPr>
      <w:color w:val="954F72"/>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etariff.ferc.gov/TariffSectionDetails.aspx?tid=898&amp;sid=374468" TargetMode="External" /><Relationship Id="rId12" Type="http://schemas.openxmlformats.org/officeDocument/2006/relationships/hyperlink" Target="http://etariff.ferc.gov/TariffSectionDetails.aspx?tid=898&amp;sid=374469" TargetMode="External" /><Relationship Id="rId13" Type="http://schemas.openxmlformats.org/officeDocument/2006/relationships/hyperlink" Target="http://etariff.ferc.gov/TariffSectionDetails.aspx?tid=898&amp;sid=374470" TargetMode="External" /><Relationship Id="rId14" Type="http://schemas.openxmlformats.org/officeDocument/2006/relationships/hyperlink" Target="http://etariff.ferc.gov/TariffSectionDetails.aspx?tid=898&amp;sid=374471"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nyiso.com/documents/20142/57510547/03a_C24_PrelimiaryDIS_Presentation_TPAS_clean.pdf/b1b31558-21ce-ced6-7da5-a28daf0c7c6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4a4cd09-5f17-433b-814a-38e7e9115d1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2.xml><?xml version="1.0" encoding="utf-8"?>
<ds:datastoreItem xmlns:ds="http://schemas.openxmlformats.org/officeDocument/2006/customXml" ds:itemID="{DD3E3DAB-3F3B-4420-B779-FD0BF21F04E5}">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A6ECC91D-E8B7-4B8E-BEBE-0968E1143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1E3428-3BAD-4B10-888C-D081A5EC691F}">
  <ds:schemaRefs>
    <ds:schemaRef ds:uri="Microsoft.SharePoint.Taxonomy.ContentTypeSync"/>
  </ds:schemaRefs>
</ds:datastoreItem>
</file>

<file path=customXml/itemProps5.xml><?xml version="1.0" encoding="utf-8"?>
<ds:datastoreItem xmlns:ds="http://schemas.openxmlformats.org/officeDocument/2006/customXml" ds:itemID="{DC1C9E0A-5C2E-4D93-B308-0939B94EA3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1608</Words>
  <Characters>9167</Characters>
  <Application>Microsoft Office Word</Application>
  <DocSecurity>0</DocSecurity>
  <Lines>76</Lines>
  <Paragraphs>21</Paragraphs>
  <ScaleCrop>false</ScaleCrop>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Morse, Alexander</dc:creator>
  <cp:lastModifiedBy>Morse, Alexander</cp:lastModifiedBy>
  <cp:revision>2</cp:revision>
  <cp:lastPrinted>2026-07-21T15:00:22Z</cp:lastPrinted>
  <dcterms:created xsi:type="dcterms:W3CDTF">2026-07-21T00:24:00Z</dcterms:created>
  <dcterms:modified xsi:type="dcterms:W3CDTF">2026-07-21T00:24:00Z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7356948e-6bb5-499d-b2bc-442fc10d7061</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2026-07-21T00:24:01Z</vt:lpwstr>
  </property>
  <property fmtid="{D5CDD505-2E9C-101B-9397-08002B2CF9AE}" pid="8" name="MSIP_Label_5bf193d9-c1cf-45e0-8fa7-a9bc86b7f5dd_SiteId">
    <vt:lpwstr>7658602a-f7b9-4209-bc62-d2bfc30dea0d</vt:lpwstr>
  </property>
  <property fmtid="{D5CDD505-2E9C-101B-9397-08002B2CF9AE}" pid="9" name="MSIP_Label_5bf193d9-c1cf-45e0-8fa7-a9bc86b7f5dd_Tag">
    <vt:lpwstr>10, 0, 1, 1</vt:lpwstr>
  </property>
</Properties>
</file>