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73618C">
      <w:pPr>
        <w:jc w:val="center"/>
      </w:pPr>
      <w:r>
        <w:t>195 FERC ¶ 61,028</w:t>
      </w:r>
    </w:p>
    <w:p w:rsidR="00FD6221" w:rsidRPr="00FD6221" w:rsidP="00D82CE8">
      <w:pPr>
        <w:jc w:val="center"/>
      </w:pPr>
      <w:r w:rsidRPr="00FD6221">
        <w:rPr>
          <w:b/>
        </w:rPr>
        <w:fldChar w:fldCharType="begin"/>
      </w:r>
      <w:r w:rsidRPr="00FD6221">
        <w:rPr>
          <w:b/>
        </w:rPr>
        <w:instrText xml:space="preserve"> MACROBUTTON  AcceptAllChangesInDoc </w:instrText>
      </w:r>
      <w:r w:rsidRPr="00FD6221">
        <w:rPr>
          <w:b/>
        </w:rPr>
        <w:fldChar w:fldCharType="end"/>
      </w:r>
      <w:r w:rsidRPr="00FD6221">
        <w:t>UNITED STATES OF AMERICA</w:t>
      </w:r>
    </w:p>
    <w:p w:rsidR="00FD6221" w:rsidRPr="00FD6221" w:rsidP="00B47054">
      <w:pPr>
        <w:jc w:val="center"/>
      </w:pPr>
      <w:r w:rsidRPr="00FD6221">
        <w:t>FEDERAL ENERGY REGULATORY COMMISSION</w:t>
      </w:r>
    </w:p>
    <w:p w:rsidR="00FD6221" w:rsidRPr="00FD6221" w:rsidP="00B47054"/>
    <w:p w:rsidR="00FD6221" w:rsidRPr="00232395" w:rsidP="00BF007B">
      <w:pPr>
        <w:widowControl/>
      </w:pPr>
      <w:r w:rsidRPr="00232395">
        <w:t>Before Commissioners:  Laura V. Swett, Chairman;</w:t>
      </w:r>
    </w:p>
    <w:p w:rsidR="00232395" w:rsidRPr="00232395" w:rsidP="00BF007B">
      <w:pPr>
        <w:widowControl/>
      </w:pPr>
      <w:r w:rsidRPr="00232395">
        <w:t xml:space="preserve">                                        David Rosner, Lindsay S. See,</w:t>
      </w:r>
    </w:p>
    <w:p w:rsidR="00232395" w:rsidRPr="00FD6221" w:rsidP="00BF007B">
      <w:pPr>
        <w:widowControl/>
      </w:pPr>
      <w:r w:rsidRPr="00232395">
        <w:t xml:space="preserve">                                        Judy W. Chang, and David LaCerte.</w:t>
      </w:r>
    </w:p>
    <w:p w:rsidR="00FD6221" w:rsidRPr="00FD6221" w:rsidP="00B4705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FD622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FD6221" w:rsidRPr="00FD6221" w:rsidP="00B47054">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 xml:space="preserve">New York Independent System Operator, Inc. </w:t>
            </w:r>
          </w:p>
        </w:tc>
        <w:tc>
          <w:tcPr>
            <w:tcW w:w="1560" w:type="dxa"/>
          </w:tcPr>
          <w:p w:rsidR="00FD6221" w:rsidRPr="00FD6221" w:rsidP="00FD6221">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Docket Nos.</w:t>
            </w:r>
          </w:p>
        </w:tc>
        <w:tc>
          <w:tcPr>
            <w:tcW w:w="1928" w:type="dxa"/>
            <w:tcMar>
              <w:left w:w="144" w:type="dxa"/>
            </w:tcMar>
          </w:tcPr>
          <w:p w:rsidR="00FD6221" w:rsidRPr="00FD6221" w:rsidP="00B47054">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ER26-570-000</w:t>
            </w:r>
          </w:p>
          <w:p w:rsidR="00FD6221" w:rsidRPr="00FD6221" w:rsidP="00B47054">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ER26-570-001</w:t>
            </w:r>
          </w:p>
        </w:tc>
      </w:tr>
    </w:tbl>
    <w:p w:rsidR="00FD6221" w:rsidRPr="00FD6221" w:rsidP="00B47054">
      <w:pPr>
        <w:jc w:val="center"/>
      </w:pPr>
    </w:p>
    <w:p w:rsidR="00FD6221" w:rsidRPr="00FD6221" w:rsidP="00B47054">
      <w:pPr>
        <w:jc w:val="center"/>
      </w:pPr>
      <w:r>
        <w:t>ORDER ACCEPTING TARIFF REVISIONS SUBJECT TO CONDITION</w:t>
      </w:r>
    </w:p>
    <w:p w:rsidR="00FD6221" w:rsidRPr="00FD6221" w:rsidP="00B47054">
      <w:pPr>
        <w:jc w:val="center"/>
      </w:pPr>
    </w:p>
    <w:p w:rsidR="00FD6221" w:rsidP="00232395">
      <w:pPr>
        <w:widowControl/>
        <w:jc w:val="center"/>
      </w:pPr>
      <w:r w:rsidRPr="00232395">
        <w:t>(Issued April 13, 2026)</w:t>
      </w:r>
    </w:p>
    <w:p w:rsidR="00FD6221" w:rsidRPr="00FD6221" w:rsidP="00B47054">
      <w:pPr>
        <w:rPr>
          <w:bCs/>
        </w:rPr>
      </w:pPr>
    </w:p>
    <w:p w:rsidR="00FD6221" w:rsidP="00FD6221">
      <w:pPr>
        <w:pStyle w:val="FERCparanumber"/>
      </w:pPr>
      <w:r>
        <w:t>On November 21, 2025,</w:t>
      </w:r>
      <w:r w:rsidR="00993CD5">
        <w:t xml:space="preserve"> as amended on February 12, 2026</w:t>
      </w:r>
      <w:r>
        <w:t xml:space="preserve">, pursuant to </w:t>
      </w:r>
      <w:r w:rsidR="00232395">
        <w:t xml:space="preserve">        </w:t>
      </w:r>
      <w:r>
        <w:t xml:space="preserve">section </w:t>
      </w:r>
      <w:r w:rsidRPr="00FD6221">
        <w:t>205 of the Federal Power Act (FPA)</w:t>
      </w:r>
      <w:r>
        <w:rPr>
          <w:b/>
          <w:vertAlign w:val="superscript"/>
        </w:rPr>
        <w:footnoteReference w:id="3"/>
      </w:r>
      <w:r w:rsidRPr="00FD6221">
        <w:t xml:space="preserve"> and Part 35 of the Commission’s Regulations,</w:t>
      </w:r>
      <w:r>
        <w:rPr>
          <w:b/>
          <w:vertAlign w:val="superscript"/>
        </w:rPr>
        <w:footnoteReference w:id="4"/>
      </w:r>
      <w:r>
        <w:t xml:space="preserve"> New York Independent System Operator, Inc. (NYISO) submitted revisions to its Open Access Transmission Tariff (OATT) </w:t>
      </w:r>
      <w:r w:rsidRPr="00FD6221">
        <w:t>and to its Market Administration and Control Area Services Tariff (Services Tariff)</w:t>
      </w:r>
      <w:r>
        <w:rPr>
          <w:rStyle w:val="FootnoteReference"/>
        </w:rPr>
        <w:footnoteReference w:id="5"/>
      </w:r>
      <w:r w:rsidRPr="00FD6221">
        <w:t xml:space="preserve"> to implement new market rules for operations, scheduling</w:t>
      </w:r>
      <w:r w:rsidR="00330A0C">
        <w:t>,</w:t>
      </w:r>
      <w:r w:rsidRPr="00FD6221">
        <w:t xml:space="preserve"> and management of transmission service for </w:t>
      </w:r>
      <w:r w:rsidR="00232395">
        <w:t xml:space="preserve">    </w:t>
      </w:r>
      <w:r w:rsidRPr="00FD6221">
        <w:t>the Champlain Hudson Power Express Merchant Transmission Facility (</w:t>
      </w:r>
      <w:r w:rsidR="003A1578">
        <w:t>Project</w:t>
      </w:r>
      <w:r w:rsidRPr="00FD6221">
        <w:t>)</w:t>
      </w:r>
      <w:r w:rsidR="00971BE5">
        <w:t>.</w:t>
      </w:r>
      <w:r>
        <w:rPr>
          <w:rStyle w:val="FootnoteReference"/>
        </w:rPr>
        <w:footnoteReference w:id="6"/>
      </w:r>
      <w:r w:rsidRPr="00FD6221">
        <w:t xml:space="preserve">  As discussed below, we accept the OATT and Services Tariff revisions</w:t>
      </w:r>
      <w:r w:rsidR="005208DD">
        <w:t xml:space="preserve">, </w:t>
      </w:r>
      <w:r w:rsidRPr="006B40F3">
        <w:t>effective March 16, 2026</w:t>
      </w:r>
      <w:r w:rsidR="002534D1">
        <w:t xml:space="preserve">, </w:t>
      </w:r>
      <w:r w:rsidRPr="002534D1" w:rsidR="002534D1">
        <w:t xml:space="preserve">subject to </w:t>
      </w:r>
      <w:r w:rsidR="002534D1">
        <w:t>a</w:t>
      </w:r>
      <w:r w:rsidRPr="002534D1" w:rsidR="002534D1">
        <w:t xml:space="preserve"> compliance filing </w:t>
      </w:r>
      <w:r w:rsidR="001A651D">
        <w:t>to be</w:t>
      </w:r>
      <w:r w:rsidRPr="002534D1" w:rsidR="001A651D">
        <w:t xml:space="preserve"> </w:t>
      </w:r>
      <w:r w:rsidRPr="002534D1" w:rsidR="002534D1">
        <w:t xml:space="preserve">submitted within </w:t>
      </w:r>
      <w:r w:rsidRPr="006B40F3" w:rsidR="00B544EA">
        <w:t>30</w:t>
      </w:r>
      <w:r w:rsidRPr="002534D1" w:rsidR="002534D1">
        <w:t xml:space="preserve"> days of the date of this order.</w:t>
      </w:r>
    </w:p>
    <w:p w:rsidR="00FD6221" w:rsidP="00FD6221">
      <w:pPr>
        <w:pStyle w:val="Heading1"/>
      </w:pPr>
      <w:r>
        <w:t>Background</w:t>
      </w:r>
    </w:p>
    <w:p w:rsidR="00C3196F" w:rsidP="00C3196F">
      <w:pPr>
        <w:pStyle w:val="FERCparanumber"/>
      </w:pPr>
      <w:r>
        <w:t xml:space="preserve">The Project is </w:t>
      </w:r>
      <w:r w:rsidRPr="00FD6221">
        <w:t xml:space="preserve">a 1,250 </w:t>
      </w:r>
      <w:r w:rsidR="008F72DA">
        <w:t>megawatt (</w:t>
      </w:r>
      <w:r w:rsidRPr="00FD6221">
        <w:t>MW</w:t>
      </w:r>
      <w:r w:rsidR="008F72DA">
        <w:t>)</w:t>
      </w:r>
      <w:r w:rsidRPr="00FD6221">
        <w:t xml:space="preserve"> </w:t>
      </w:r>
      <w:r w:rsidR="00401779">
        <w:t>high-voltage</w:t>
      </w:r>
      <w:r w:rsidRPr="00FD6221" w:rsidR="00401779">
        <w:t xml:space="preserve"> </w:t>
      </w:r>
      <w:r w:rsidRPr="00FD6221">
        <w:t xml:space="preserve">direct current </w:t>
      </w:r>
      <w:r w:rsidR="00E22552">
        <w:t xml:space="preserve">merchant transmission </w:t>
      </w:r>
      <w:r w:rsidRPr="00FD6221">
        <w:t xml:space="preserve">line </w:t>
      </w:r>
      <w:r w:rsidR="00395FD2">
        <w:t xml:space="preserve">that will run from </w:t>
      </w:r>
      <w:r w:rsidR="001F4650">
        <w:t xml:space="preserve">the </w:t>
      </w:r>
      <w:r w:rsidRPr="0031315D" w:rsidR="0031315D">
        <w:t xml:space="preserve">Hertel substation in Quebec, Canada to the Astoria Annex </w:t>
      </w:r>
      <w:r w:rsidR="005C4C60">
        <w:t>S</w:t>
      </w:r>
      <w:r w:rsidRPr="0031315D" w:rsidR="0031315D">
        <w:t>ubstation in Queens, New York</w:t>
      </w:r>
      <w:r w:rsidRPr="00FD6221">
        <w:t>.</w:t>
      </w:r>
      <w:r>
        <w:rPr>
          <w:b/>
          <w:vertAlign w:val="superscript"/>
        </w:rPr>
        <w:footnoteReference w:id="7"/>
      </w:r>
      <w:r w:rsidR="000A69B1">
        <w:t xml:space="preserve">  </w:t>
      </w:r>
      <w:r w:rsidR="001973BC">
        <w:t xml:space="preserve">The Project is being developed and financed by </w:t>
      </w:r>
      <w:r w:rsidRPr="00CA49A5" w:rsidR="00CA49A5">
        <w:t>CHPE, LLC</w:t>
      </w:r>
      <w:r w:rsidR="00CA49A5">
        <w:t xml:space="preserve"> (CHPE), </w:t>
      </w:r>
      <w:r w:rsidRPr="008D7997" w:rsidR="008D7997">
        <w:t>a limited liability company organized under the laws of New York.</w:t>
      </w:r>
      <w:r>
        <w:rPr>
          <w:rStyle w:val="FootnoteReference"/>
        </w:rPr>
        <w:footnoteReference w:id="8"/>
      </w:r>
      <w:r w:rsidRPr="008D7997" w:rsidR="008D7997">
        <w:t xml:space="preserve"> </w:t>
      </w:r>
      <w:r w:rsidR="003D5D82">
        <w:t xml:space="preserve"> </w:t>
      </w:r>
      <w:r w:rsidR="00D971ED">
        <w:t>T</w:t>
      </w:r>
      <w:r w:rsidRPr="005D18D7" w:rsidR="005D18D7">
        <w:t xml:space="preserve">he construction, maintenance, and operation of </w:t>
      </w:r>
      <w:r w:rsidR="00D971ED">
        <w:t xml:space="preserve">the </w:t>
      </w:r>
      <w:r w:rsidR="003D5D82">
        <w:t>Project</w:t>
      </w:r>
      <w:r w:rsidR="008752F0">
        <w:t xml:space="preserve"> </w:t>
      </w:r>
      <w:r w:rsidRPr="005D18D7" w:rsidR="005D18D7">
        <w:t xml:space="preserve">will be funded entirely by </w:t>
      </w:r>
      <w:r w:rsidR="00FF7CA3">
        <w:t>CHPE</w:t>
      </w:r>
      <w:r w:rsidR="00904C7E">
        <w:t xml:space="preserve"> </w:t>
      </w:r>
      <w:r w:rsidRPr="005D18D7" w:rsidR="005D18D7">
        <w:t>and/or other subscribers to the line; therefore, these costs are not included in NYISO’s transmission revenue requirement.</w:t>
      </w:r>
      <w:r>
        <w:rPr>
          <w:b/>
          <w:vertAlign w:val="superscript"/>
        </w:rPr>
        <w:footnoteReference w:id="9"/>
      </w:r>
      <w:r w:rsidR="005B4E60">
        <w:t xml:space="preserve">  </w:t>
      </w:r>
      <w:r w:rsidR="00EF6FB2">
        <w:t xml:space="preserve">NYISO explains </w:t>
      </w:r>
      <w:r w:rsidR="00C03E1B">
        <w:t xml:space="preserve">that </w:t>
      </w:r>
      <w:r w:rsidR="008335FA">
        <w:t>Hydro Quebec’s Transmission Function (</w:t>
      </w:r>
      <w:r w:rsidR="00D95387">
        <w:t>HQT</w:t>
      </w:r>
      <w:r w:rsidR="008335FA">
        <w:t>)</w:t>
      </w:r>
      <w:r w:rsidR="00D95387">
        <w:t xml:space="preserve"> will operate the portion of the </w:t>
      </w:r>
      <w:r w:rsidR="006B3E9F">
        <w:t xml:space="preserve">line </w:t>
      </w:r>
      <w:r w:rsidR="008764B7">
        <w:t>in Canada</w:t>
      </w:r>
      <w:r w:rsidR="006B3E9F">
        <w:t>.</w:t>
      </w:r>
      <w:r>
        <w:rPr>
          <w:rStyle w:val="FootnoteReference"/>
        </w:rPr>
        <w:footnoteReference w:id="10"/>
      </w:r>
      <w:r w:rsidR="00201186">
        <w:t xml:space="preserve"> </w:t>
      </w:r>
      <w:r w:rsidR="00C03E1B">
        <w:t xml:space="preserve"> </w:t>
      </w:r>
      <w:r>
        <w:t xml:space="preserve"> </w:t>
      </w:r>
    </w:p>
    <w:p w:rsidR="00D25DB1" w:rsidRPr="00F12A4C" w:rsidP="00FC184E">
      <w:pPr>
        <w:pStyle w:val="FERCparanumber"/>
      </w:pPr>
      <w:r>
        <w:t xml:space="preserve">In 2020, the Commission authorized </w:t>
      </w:r>
      <w:r w:rsidR="0028081E">
        <w:t xml:space="preserve">CHPE </w:t>
      </w:r>
      <w:r>
        <w:t>to charge negotiated rates for transmission rights on the</w:t>
      </w:r>
      <w:r w:rsidR="004D59C9">
        <w:t xml:space="preserve"> </w:t>
      </w:r>
      <w:r w:rsidR="00904C7E">
        <w:t>Project</w:t>
      </w:r>
      <w:r>
        <w:t xml:space="preserve">, noting that CHPE will turn over operational control of the </w:t>
      </w:r>
      <w:r w:rsidR="002C486F">
        <w:t>United States</w:t>
      </w:r>
      <w:r w:rsidR="0082066A">
        <w:t xml:space="preserve"> portion of the </w:t>
      </w:r>
      <w:r>
        <w:t xml:space="preserve">transmission line to NYISO, </w:t>
      </w:r>
      <w:r w:rsidR="00CE290A">
        <w:t xml:space="preserve">who </w:t>
      </w:r>
      <w:r>
        <w:t>will operate the line pursuant to NYISO’s OATT.</w:t>
      </w:r>
      <w:r>
        <w:rPr>
          <w:rStyle w:val="FootnoteReference"/>
        </w:rPr>
        <w:footnoteReference w:id="11"/>
      </w:r>
      <w:r>
        <w:t xml:space="preserve">  </w:t>
      </w:r>
      <w:r w:rsidR="00B133BF">
        <w:t xml:space="preserve">As a result of CHPE’s open season process, </w:t>
      </w:r>
      <w:r w:rsidRPr="00011731" w:rsidR="00011731">
        <w:t xml:space="preserve">H.Q. Energy Services U.S. </w:t>
      </w:r>
      <w:r w:rsidR="00011731">
        <w:t>(</w:t>
      </w:r>
      <w:r w:rsidR="00B133BF">
        <w:t>HQUS</w:t>
      </w:r>
      <w:r w:rsidR="00011731">
        <w:t>)</w:t>
      </w:r>
      <w:r w:rsidR="00B133BF">
        <w:t xml:space="preserve"> is subscribed to 100% of the </w:t>
      </w:r>
      <w:r w:rsidR="009B64ED">
        <w:t>Project’s</w:t>
      </w:r>
      <w:r w:rsidR="00B133BF">
        <w:t xml:space="preserve"> transmission capacity for </w:t>
      </w:r>
      <w:r w:rsidR="0093619B">
        <w:t xml:space="preserve">a term of </w:t>
      </w:r>
      <w:r w:rsidR="00B133BF">
        <w:t>40 years</w:t>
      </w:r>
      <w:r w:rsidR="00310CD2">
        <w:t>.</w:t>
      </w:r>
      <w:r>
        <w:rPr>
          <w:rStyle w:val="FootnoteReference"/>
        </w:rPr>
        <w:footnoteReference w:id="12"/>
      </w:r>
      <w:r w:rsidR="00B133BF">
        <w:t xml:space="preserve">  </w:t>
      </w:r>
      <w:r w:rsidR="00606FE9">
        <w:t xml:space="preserve">NYISO </w:t>
      </w:r>
      <w:r w:rsidR="00EF67B0">
        <w:t xml:space="preserve">anticipates beginning </w:t>
      </w:r>
      <w:r w:rsidR="002D58DD">
        <w:t xml:space="preserve">to </w:t>
      </w:r>
      <w:r w:rsidR="00EF67B0">
        <w:t xml:space="preserve">import power </w:t>
      </w:r>
      <w:r w:rsidR="001513A3">
        <w:t xml:space="preserve">over </w:t>
      </w:r>
      <w:r w:rsidR="00102D0E">
        <w:t>the Project to New York on or after May 1, 2026.</w:t>
      </w:r>
      <w:r>
        <w:rPr>
          <w:rStyle w:val="FootnoteReference"/>
        </w:rPr>
        <w:footnoteReference w:id="13"/>
      </w:r>
      <w:r w:rsidR="0019075B">
        <w:t xml:space="preserve"> </w:t>
      </w:r>
      <w:r w:rsidR="006453FC">
        <w:t xml:space="preserve">  </w:t>
      </w:r>
    </w:p>
    <w:p w:rsidR="00586746" w:rsidRPr="00586746" w:rsidP="00D25DB1">
      <w:pPr>
        <w:pStyle w:val="Heading1"/>
      </w:pPr>
      <w:r>
        <w:t>Filings</w:t>
      </w:r>
    </w:p>
    <w:p w:rsidR="00DB3767" w:rsidRPr="00DB3767" w:rsidP="008F5C0E">
      <w:pPr>
        <w:pStyle w:val="Heading2"/>
      </w:pPr>
      <w:r>
        <w:t xml:space="preserve">November 21 </w:t>
      </w:r>
      <w:r w:rsidR="0012083D">
        <w:t>Filing</w:t>
      </w:r>
    </w:p>
    <w:p w:rsidR="002D00CC" w:rsidP="002D00CC">
      <w:pPr>
        <w:pStyle w:val="FERCparanumber"/>
      </w:pPr>
      <w:r>
        <w:t xml:space="preserve">NYISO states that </w:t>
      </w:r>
      <w:r w:rsidR="001E590F">
        <w:t xml:space="preserve">the </w:t>
      </w:r>
      <w:r w:rsidR="0027198A">
        <w:t xml:space="preserve">proposed OATT and Services Tariff </w:t>
      </w:r>
      <w:r w:rsidR="001E590F">
        <w:t>revisions</w:t>
      </w:r>
      <w:r>
        <w:t xml:space="preserve"> are needed </w:t>
      </w:r>
      <w:r w:rsidR="00A81AEB">
        <w:t>so that the</w:t>
      </w:r>
      <w:r>
        <w:t xml:space="preserve"> </w:t>
      </w:r>
      <w:r w:rsidR="003A1578">
        <w:t>Project</w:t>
      </w:r>
      <w:r w:rsidR="00A81AEB">
        <w:t>’s</w:t>
      </w:r>
      <w:r>
        <w:t xml:space="preserve"> physical transmission reservation </w:t>
      </w:r>
      <w:r w:rsidR="00A81AEB">
        <w:t>system can</w:t>
      </w:r>
      <w:r>
        <w:t xml:space="preserve"> interface with NYISO’s financial reservation system and </w:t>
      </w:r>
      <w:r w:rsidR="00C0184C">
        <w:t xml:space="preserve">because </w:t>
      </w:r>
      <w:r>
        <w:t xml:space="preserve">NYISO will have operational control of the </w:t>
      </w:r>
      <w:r w:rsidR="00147684">
        <w:t>Project</w:t>
      </w:r>
      <w:r w:rsidR="001D5B4E">
        <w:t>,</w:t>
      </w:r>
      <w:r>
        <w:t xml:space="preserve"> consistent with </w:t>
      </w:r>
      <w:r w:rsidR="001D5B4E">
        <w:t xml:space="preserve">CHPE’s </w:t>
      </w:r>
      <w:r w:rsidR="00E531FF">
        <w:t xml:space="preserve">previous commitments </w:t>
      </w:r>
      <w:r w:rsidR="002C1146">
        <w:t xml:space="preserve">in the Negotiated Rate </w:t>
      </w:r>
      <w:r w:rsidR="004D59C9">
        <w:t>Order</w:t>
      </w:r>
      <w:r>
        <w:t>.</w:t>
      </w:r>
      <w:r>
        <w:rPr>
          <w:rStyle w:val="FootnoteReference"/>
        </w:rPr>
        <w:footnoteReference w:id="14"/>
      </w:r>
      <w:r w:rsidR="00D256B3">
        <w:t xml:space="preserve"> </w:t>
      </w:r>
      <w:r w:rsidR="00442A41">
        <w:t xml:space="preserve"> </w:t>
      </w:r>
      <w:r w:rsidR="00F30F61">
        <w:t>NYISO</w:t>
      </w:r>
      <w:r w:rsidR="000F6034">
        <w:t xml:space="preserve"> </w:t>
      </w:r>
      <w:r w:rsidR="00856902">
        <w:t>states that p</w:t>
      </w:r>
      <w:r w:rsidRPr="000F6034" w:rsidR="000F6034">
        <w:t>hysical transmission service reservations</w:t>
      </w:r>
      <w:r w:rsidR="00856902">
        <w:t xml:space="preserve"> </w:t>
      </w:r>
      <w:r w:rsidRPr="000F6034" w:rsidR="000F6034">
        <w:t xml:space="preserve">are frequently used to fund the construction of merchant transmission facilities like the </w:t>
      </w:r>
      <w:r w:rsidR="00946328">
        <w:t>Project</w:t>
      </w:r>
      <w:r w:rsidRPr="000F6034" w:rsidR="000F6034">
        <w:t xml:space="preserve"> because holding physical rights ordinarily guarantees the purchaser the right to use the line or to sell-off rights that it does not intend to use.</w:t>
      </w:r>
      <w:r>
        <w:rPr>
          <w:rStyle w:val="FootnoteReference"/>
        </w:rPr>
        <w:footnoteReference w:id="15"/>
      </w:r>
      <w:r w:rsidRPr="000F6034" w:rsidR="000F6034">
        <w:t xml:space="preserve"> </w:t>
      </w:r>
      <w:r w:rsidR="00856902">
        <w:t xml:space="preserve"> </w:t>
      </w:r>
      <w:r w:rsidRPr="00283FC5" w:rsidR="005928F9">
        <w:t>NYISO</w:t>
      </w:r>
      <w:r w:rsidR="005928F9">
        <w:t xml:space="preserve"> </w:t>
      </w:r>
      <w:r w:rsidR="00671218">
        <w:t>explains that such physical transmission rights differ from its</w:t>
      </w:r>
      <w:r w:rsidRPr="006D1A7B" w:rsidR="005928F9">
        <w:t xml:space="preserve"> financial reservation system </w:t>
      </w:r>
      <w:r w:rsidR="00946328">
        <w:t xml:space="preserve">that </w:t>
      </w:r>
      <w:r w:rsidRPr="006D1A7B" w:rsidR="005928F9">
        <w:t xml:space="preserve">does not allow market participants to reserve and hold transfer capability, but rather makes the capability of its transmission system available for scheduling each day in </w:t>
      </w:r>
      <w:r w:rsidR="00773BAC">
        <w:t>NYISO’s</w:t>
      </w:r>
      <w:r w:rsidRPr="006D1A7B" w:rsidR="00773BAC">
        <w:t xml:space="preserve"> </w:t>
      </w:r>
      <w:r w:rsidRPr="006D1A7B" w:rsidR="005928F9">
        <w:t>Day-Ahead and Real-</w:t>
      </w:r>
      <w:r w:rsidR="00404AF0">
        <w:t>T</w:t>
      </w:r>
      <w:r w:rsidRPr="006D1A7B" w:rsidR="005928F9">
        <w:t xml:space="preserve">ime </w:t>
      </w:r>
      <w:r w:rsidR="00C84782">
        <w:t>M</w:t>
      </w:r>
      <w:r w:rsidRPr="006D1A7B" w:rsidR="005928F9">
        <w:t>arkets.</w:t>
      </w:r>
      <w:r>
        <w:rPr>
          <w:rStyle w:val="FootnoteReference"/>
        </w:rPr>
        <w:footnoteReference w:id="16"/>
      </w:r>
      <w:r w:rsidR="005928F9">
        <w:t xml:space="preserve">  </w:t>
      </w:r>
      <w:r w:rsidR="00F30F61">
        <w:t xml:space="preserve">NYISO </w:t>
      </w:r>
      <w:r w:rsidR="00F53637">
        <w:t>explains</w:t>
      </w:r>
      <w:r w:rsidR="00F30F61">
        <w:t xml:space="preserve"> that its financial reservation system is a </w:t>
      </w:r>
      <w:r w:rsidRPr="00084E3A" w:rsidR="005C4C60">
        <w:t>Locational Based Marginal Price</w:t>
      </w:r>
      <w:r w:rsidR="009A4C25">
        <w:t xml:space="preserve"> </w:t>
      </w:r>
      <w:r w:rsidR="00803589">
        <w:t>(L</w:t>
      </w:r>
      <w:r w:rsidR="009A4C25">
        <w:t>B</w:t>
      </w:r>
      <w:r w:rsidR="00803589">
        <w:t>MP)</w:t>
      </w:r>
      <w:r w:rsidR="00F30F61">
        <w:t xml:space="preserve"> system that bundles transmission and energy purchases and deliveries, then applies economic dispatch to use the full capability of the transmission system to arrive at a least production cost solution to serve the New York Control Area </w:t>
      </w:r>
      <w:r w:rsidR="00002320">
        <w:t xml:space="preserve">(NYCA) </w:t>
      </w:r>
      <w:r w:rsidR="00F30F61">
        <w:t>load using available resources.</w:t>
      </w:r>
      <w:r>
        <w:rPr>
          <w:rStyle w:val="FootnoteReference"/>
        </w:rPr>
        <w:footnoteReference w:id="17"/>
      </w:r>
      <w:r w:rsidR="00F30F61">
        <w:t xml:space="preserve">    </w:t>
      </w:r>
      <w:r w:rsidR="004937E7">
        <w:t xml:space="preserve"> </w:t>
      </w:r>
    </w:p>
    <w:p w:rsidR="006D1A7B" w:rsidP="005952E8">
      <w:pPr>
        <w:pStyle w:val="FERCparanumber"/>
      </w:pPr>
      <w:r>
        <w:t xml:space="preserve">NYISO states that the Project will be the first </w:t>
      </w:r>
      <w:r w:rsidR="001A36AD">
        <w:t>merchant</w:t>
      </w:r>
      <w:r>
        <w:t xml:space="preserve"> transmission facility </w:t>
      </w:r>
      <w:r w:rsidR="001A36AD">
        <w:t>(MTF)</w:t>
      </w:r>
      <w:r>
        <w:t xml:space="preserve"> over which </w:t>
      </w:r>
      <w:r w:rsidR="00E42D0A">
        <w:t>NYISO</w:t>
      </w:r>
      <w:r>
        <w:t xml:space="preserve"> would have operational control that employs physical reservations to allocate transmission rights.</w:t>
      </w:r>
      <w:r>
        <w:rPr>
          <w:rStyle w:val="FootnoteReference"/>
        </w:rPr>
        <w:footnoteReference w:id="18"/>
      </w:r>
      <w:r w:rsidR="00A27F61">
        <w:t xml:space="preserve">  NYISO explains</w:t>
      </w:r>
      <w:r w:rsidR="001A15A7">
        <w:t xml:space="preserve"> that</w:t>
      </w:r>
      <w:r w:rsidR="00E95F3C">
        <w:t>,</w:t>
      </w:r>
      <w:r w:rsidR="001A15A7">
        <w:t xml:space="preserve"> at least initially, the Project will be implemented as a unidirectional </w:t>
      </w:r>
      <w:r w:rsidRPr="00084E3A" w:rsidR="00084E3A">
        <w:t>transmission facility over which MTF Reservation holders can submit Bids to NYISO to schedule Imports</w:t>
      </w:r>
      <w:r>
        <w:rPr>
          <w:rStyle w:val="FootnoteReference"/>
        </w:rPr>
        <w:footnoteReference w:id="19"/>
      </w:r>
      <w:r w:rsidRPr="00084E3A" w:rsidR="00084E3A">
        <w:t xml:space="preserve"> into the NYCA from Quebec.</w:t>
      </w:r>
      <w:r>
        <w:rPr>
          <w:rStyle w:val="FootnoteReference"/>
        </w:rPr>
        <w:footnoteReference w:id="20"/>
      </w:r>
      <w:r w:rsidR="00084E3A">
        <w:t xml:space="preserve">  Specifically,</w:t>
      </w:r>
      <w:r w:rsidRPr="00084E3A" w:rsidR="00084E3A">
        <w:t xml:space="preserve"> </w:t>
      </w:r>
      <w:r w:rsidR="008A0F9E">
        <w:t xml:space="preserve">NYISO states that </w:t>
      </w:r>
      <w:r w:rsidR="005C4C60">
        <w:t>e</w:t>
      </w:r>
      <w:r w:rsidRPr="00084E3A" w:rsidR="00084E3A">
        <w:t xml:space="preserve">nergy will be delivered </w:t>
      </w:r>
      <w:r w:rsidRPr="00084E3A" w:rsidR="00F8408D">
        <w:t>to</w:t>
      </w:r>
      <w:r w:rsidRPr="00084E3A" w:rsidR="00084E3A">
        <w:t xml:space="preserve"> the Astoria Annex Substation and will </w:t>
      </w:r>
      <w:r w:rsidR="003C23F3">
        <w:t>earn</w:t>
      </w:r>
      <w:r w:rsidRPr="00084E3A" w:rsidR="00084E3A">
        <w:t xml:space="preserve"> the LBMP that NYISO develops for the </w:t>
      </w:r>
      <w:r w:rsidR="00F1751D">
        <w:t xml:space="preserve">Astoria </w:t>
      </w:r>
      <w:r w:rsidRPr="00084E3A" w:rsidR="00084E3A">
        <w:t>Proxy Generator Bus</w:t>
      </w:r>
      <w:r w:rsidR="00F1751D">
        <w:t>.</w:t>
      </w:r>
      <w:r w:rsidR="002421AB">
        <w:t xml:space="preserve">  NYISO asserts that</w:t>
      </w:r>
      <w:r w:rsidR="00F760F5">
        <w:t>,</w:t>
      </w:r>
      <w:r w:rsidR="002421AB">
        <w:t xml:space="preserve"> whereas </w:t>
      </w:r>
      <w:r w:rsidR="00E548B3">
        <w:t xml:space="preserve">CHPE will </w:t>
      </w:r>
      <w:r w:rsidR="0091072D">
        <w:t>manage</w:t>
      </w:r>
      <w:r w:rsidR="00E548B3">
        <w:t xml:space="preserve"> </w:t>
      </w:r>
      <w:r w:rsidR="002F521F">
        <w:t>reservations for transmission service</w:t>
      </w:r>
      <w:r w:rsidR="00E548B3">
        <w:t xml:space="preserve"> </w:t>
      </w:r>
      <w:r w:rsidR="00C217DF">
        <w:t>on the Project,</w:t>
      </w:r>
      <w:r w:rsidR="00E548B3">
        <w:t xml:space="preserve"> NYISO </w:t>
      </w:r>
      <w:r w:rsidR="00395FA2">
        <w:t xml:space="preserve">will schedule transmission </w:t>
      </w:r>
      <w:r w:rsidR="00CD0449">
        <w:t>service for import into the NYCA.</w:t>
      </w:r>
      <w:r>
        <w:rPr>
          <w:rStyle w:val="FootnoteReference"/>
        </w:rPr>
        <w:footnoteReference w:id="21"/>
      </w:r>
      <w:r w:rsidR="00003B09">
        <w:t xml:space="preserve"> </w:t>
      </w:r>
    </w:p>
    <w:p w:rsidR="00623AC2" w:rsidP="00043563">
      <w:pPr>
        <w:pStyle w:val="FERCparanumber"/>
      </w:pPr>
      <w:r>
        <w:t>NYISO explains that the majority of the</w:t>
      </w:r>
      <w:r w:rsidR="00103884">
        <w:t xml:space="preserve"> </w:t>
      </w:r>
      <w:r w:rsidR="00920C0B">
        <w:t>proposed</w:t>
      </w:r>
      <w:r w:rsidR="00103884">
        <w:t xml:space="preserve"> </w:t>
      </w:r>
      <w:r>
        <w:t>revisions</w:t>
      </w:r>
      <w:r w:rsidR="00103884">
        <w:t xml:space="preserve"> </w:t>
      </w:r>
      <w:r>
        <w:t xml:space="preserve">appear in a new </w:t>
      </w:r>
      <w:r w:rsidR="00870BE0">
        <w:t>Attachment II to S</w:t>
      </w:r>
      <w:r>
        <w:t>ection 41</w:t>
      </w:r>
      <w:r w:rsidR="00870BE0">
        <w:t xml:space="preserve"> of its OATT (Proposed Section 41)</w:t>
      </w:r>
      <w:r w:rsidR="009654F2">
        <w:t xml:space="preserve">, with </w:t>
      </w:r>
      <w:r w:rsidR="00714258">
        <w:t xml:space="preserve">additional </w:t>
      </w:r>
      <w:r w:rsidR="00CB14AE">
        <w:t xml:space="preserve">revisions in </w:t>
      </w:r>
      <w:r w:rsidR="006112F5">
        <w:t xml:space="preserve">other sections of the </w:t>
      </w:r>
      <w:r w:rsidR="00B53643">
        <w:t>OATT</w:t>
      </w:r>
      <w:r w:rsidR="00B86540">
        <w:t xml:space="preserve"> and Services Tariff</w:t>
      </w:r>
      <w:r>
        <w:t>.</w:t>
      </w:r>
      <w:r>
        <w:rPr>
          <w:rStyle w:val="FootnoteReference"/>
        </w:rPr>
        <w:footnoteReference w:id="22"/>
      </w:r>
      <w:r>
        <w:t xml:space="preserve">  NYISO states that </w:t>
      </w:r>
      <w:r w:rsidR="005321BC">
        <w:t xml:space="preserve">provisions in Proposed Section </w:t>
      </w:r>
      <w:r>
        <w:t xml:space="preserve">41 </w:t>
      </w:r>
      <w:r w:rsidR="00F57A5B">
        <w:t>address</w:t>
      </w:r>
      <w:r w:rsidR="00954E08">
        <w:t>, among other things</w:t>
      </w:r>
      <w:r>
        <w:t>:</w:t>
      </w:r>
      <w:r w:rsidR="00B6429B">
        <w:t xml:space="preserve"> </w:t>
      </w:r>
      <w:r>
        <w:t xml:space="preserve"> (1) CHPE’s administrative duties as the MTF Provider; (2) </w:t>
      </w:r>
      <w:r w:rsidR="00A726FD">
        <w:t>t</w:t>
      </w:r>
      <w:r w:rsidRPr="00657E12">
        <w:t>he rights and responsibilities of entities that hold or seek to obtain</w:t>
      </w:r>
      <w:r>
        <w:t xml:space="preserve"> MTF Reservations</w:t>
      </w:r>
      <w:r w:rsidR="00F57A5B">
        <w:t>;</w:t>
      </w:r>
      <w:r>
        <w:rPr>
          <w:rStyle w:val="FootnoteReference"/>
        </w:rPr>
        <w:footnoteReference w:id="23"/>
      </w:r>
      <w:r w:rsidR="00782D8D">
        <w:t xml:space="preserve"> </w:t>
      </w:r>
      <w:r w:rsidRPr="00657E12">
        <w:t xml:space="preserve">(3) </w:t>
      </w:r>
      <w:r>
        <w:t>r</w:t>
      </w:r>
      <w:r w:rsidRPr="00657E12">
        <w:t xml:space="preserve">ules addressing when and how </w:t>
      </w:r>
      <w:r w:rsidR="003A1578">
        <w:t>Project</w:t>
      </w:r>
      <w:r w:rsidRPr="00657E12">
        <w:t xml:space="preserve"> </w:t>
      </w:r>
      <w:r>
        <w:t>r</w:t>
      </w:r>
      <w:r w:rsidRPr="00657E12">
        <w:t>eservations can be transferred</w:t>
      </w:r>
      <w:r w:rsidR="00D8259A">
        <w:t>,</w:t>
      </w:r>
      <w:r w:rsidRPr="00657E12">
        <w:t xml:space="preserve"> sold, or made available for acquisition by third partie</w:t>
      </w:r>
      <w:r>
        <w:t>s;</w:t>
      </w:r>
      <w:r w:rsidR="00F57A5B">
        <w:t xml:space="preserve"> </w:t>
      </w:r>
      <w:r w:rsidRPr="00697782" w:rsidR="00F57A5B">
        <w:t>(</w:t>
      </w:r>
      <w:r w:rsidR="00F57A5B">
        <w:t>4</w:t>
      </w:r>
      <w:r w:rsidRPr="00697782" w:rsidR="00F57A5B">
        <w:t xml:space="preserve">) how </w:t>
      </w:r>
      <w:r w:rsidR="00F57A5B">
        <w:t>MTF</w:t>
      </w:r>
      <w:r w:rsidR="009B5230">
        <w:t xml:space="preserve"> </w:t>
      </w:r>
      <w:r w:rsidR="00F57A5B">
        <w:t>Reservation holders will submit Bids</w:t>
      </w:r>
      <w:r w:rsidRPr="00697782" w:rsidR="00F57A5B">
        <w:t xml:space="preserve"> </w:t>
      </w:r>
      <w:r w:rsidR="00F57A5B">
        <w:t>into NYISO’s financial reservation system;</w:t>
      </w:r>
      <w:r w:rsidRPr="00657E12">
        <w:t xml:space="preserve"> (</w:t>
      </w:r>
      <w:r w:rsidR="00F57A5B">
        <w:t>5</w:t>
      </w:r>
      <w:r w:rsidRPr="00657E12">
        <w:t xml:space="preserve">) </w:t>
      </w:r>
      <w:r w:rsidR="00F57A5B">
        <w:t>how</w:t>
      </w:r>
      <w:r w:rsidRPr="00657E12">
        <w:t xml:space="preserve"> NYISO will schedule and curtail Imports to the </w:t>
      </w:r>
      <w:r>
        <w:t>NYCA</w:t>
      </w:r>
      <w:r w:rsidRPr="00657E12">
        <w:t xml:space="preserve"> over the </w:t>
      </w:r>
      <w:r w:rsidR="003A1578">
        <w:t>Project</w:t>
      </w:r>
      <w:r>
        <w:t>;</w:t>
      </w:r>
      <w:r w:rsidRPr="00657E12">
        <w:t xml:space="preserve"> (</w:t>
      </w:r>
      <w:r w:rsidR="00F57A5B">
        <w:t>6</w:t>
      </w:r>
      <w:r w:rsidRPr="00657E12">
        <w:t xml:space="preserve">) </w:t>
      </w:r>
      <w:r w:rsidR="00911BA4">
        <w:t>o</w:t>
      </w:r>
      <w:r w:rsidRPr="00657E12">
        <w:t xml:space="preserve">perating rules that are unique to the </w:t>
      </w:r>
      <w:r w:rsidR="003A1578">
        <w:t>Project</w:t>
      </w:r>
      <w:r w:rsidR="00F57A5B">
        <w:t xml:space="preserve">; </w:t>
      </w:r>
      <w:r w:rsidRPr="00697782" w:rsidR="00F57A5B">
        <w:t>(</w:t>
      </w:r>
      <w:r w:rsidR="00F57A5B">
        <w:t>7</w:t>
      </w:r>
      <w:r w:rsidRPr="00697782" w:rsidR="00F57A5B">
        <w:t>) how congestion will be calculated on the MTF</w:t>
      </w:r>
      <w:r w:rsidR="00F42239">
        <w:t xml:space="preserve">; </w:t>
      </w:r>
      <w:r w:rsidR="003B3548">
        <w:t xml:space="preserve">   </w:t>
      </w:r>
      <w:r w:rsidR="00F42239">
        <w:t>(8) rules for whe</w:t>
      </w:r>
      <w:r>
        <w:t xml:space="preserve">n data </w:t>
      </w:r>
      <w:r w:rsidR="007D0FF2">
        <w:t>sharing</w:t>
      </w:r>
      <w:r>
        <w:t xml:space="preserve"> or communications between NYISO, CHPE, or HQT fail</w:t>
      </w:r>
      <w:r w:rsidR="00851C99">
        <w:t>;</w:t>
      </w:r>
      <w:r w:rsidR="00D81CFE">
        <w:t xml:space="preserve"> and </w:t>
      </w:r>
      <w:r w:rsidR="00851C99">
        <w:t>(9)</w:t>
      </w:r>
      <w:r w:rsidR="00477C55">
        <w:t xml:space="preserve"> the MTF Reservation </w:t>
      </w:r>
      <w:r w:rsidR="003D6A99">
        <w:t>holder</w:t>
      </w:r>
      <w:r w:rsidR="007716B1">
        <w:t xml:space="preserve">’s </w:t>
      </w:r>
      <w:r w:rsidRPr="002A3107" w:rsidR="003D6A99">
        <w:t>obligation to provide requested data to NYISO or to its external Market Monitoring Unit (MMU)</w:t>
      </w:r>
      <w:r w:rsidR="00F57A5B">
        <w:t>.</w:t>
      </w:r>
      <w:r>
        <w:rPr>
          <w:rStyle w:val="FootnoteReference"/>
        </w:rPr>
        <w:footnoteReference w:id="24"/>
      </w:r>
      <w:r w:rsidRPr="003F5088" w:rsidR="003F5088">
        <w:t xml:space="preserve"> </w:t>
      </w:r>
      <w:r w:rsidR="0018071D">
        <w:t xml:space="preserve"> </w:t>
      </w:r>
      <w:r w:rsidR="003F5088">
        <w:t>NYISO also explains that, as the MTF Provider, CHPE is responsible for “</w:t>
      </w:r>
      <w:r w:rsidRPr="003A6F34" w:rsidR="003F5088">
        <w:t xml:space="preserve">administering and maintaining the MTF Provider OASIS, administering MTF Reservations, and operating the MTF consistent with the Operating Agreement between the MTF </w:t>
      </w:r>
      <w:r w:rsidR="003F5088">
        <w:t>P</w:t>
      </w:r>
      <w:r w:rsidRPr="003A6F34" w:rsidR="003F5088">
        <w:t xml:space="preserve">rovider and </w:t>
      </w:r>
      <w:r w:rsidR="003F5088">
        <w:t>[NYISO]</w:t>
      </w:r>
      <w:r w:rsidRPr="003A6F34" w:rsidR="003F5088">
        <w:t>, the ISO’s Tariffs and applicable reliability standards and rules.</w:t>
      </w:r>
      <w:r w:rsidR="003F5088">
        <w:t>”</w:t>
      </w:r>
      <w:r>
        <w:rPr>
          <w:rStyle w:val="FootnoteReference"/>
        </w:rPr>
        <w:footnoteReference w:id="25"/>
      </w:r>
      <w:r w:rsidR="003F5088">
        <w:t xml:space="preserve">  </w:t>
      </w:r>
    </w:p>
    <w:p w:rsidR="00DB3767" w:rsidP="00DB3767">
      <w:pPr>
        <w:pStyle w:val="Heading3"/>
      </w:pPr>
      <w:r>
        <w:t>Separate OASIS</w:t>
      </w:r>
      <w:r w:rsidR="00253E25">
        <w:t xml:space="preserve"> Sites</w:t>
      </w:r>
    </w:p>
    <w:p w:rsidR="007F1EAA" w:rsidP="007F1EAA">
      <w:pPr>
        <w:pStyle w:val="FERCparanumber"/>
      </w:pPr>
      <w:r w:rsidRPr="00DA4038">
        <w:t xml:space="preserve">NYISO </w:t>
      </w:r>
      <w:r w:rsidR="00397267">
        <w:t>proposes that</w:t>
      </w:r>
      <w:r w:rsidRPr="00DA4038">
        <w:t xml:space="preserve"> CHPE will operate a limited purpose Open Access Same-</w:t>
      </w:r>
      <w:r w:rsidR="002F541A">
        <w:t>T</w:t>
      </w:r>
      <w:r w:rsidRPr="00DA4038">
        <w:t xml:space="preserve">ime Information System (OASIS) where the information that is necessary to administer physical MTF </w:t>
      </w:r>
      <w:r w:rsidR="0053390F">
        <w:t>R</w:t>
      </w:r>
      <w:r w:rsidRPr="00DA4038">
        <w:t>eservations will be posted.</w:t>
      </w:r>
      <w:r>
        <w:rPr>
          <w:rStyle w:val="FootnoteReference"/>
        </w:rPr>
        <w:footnoteReference w:id="26"/>
      </w:r>
      <w:r w:rsidRPr="00DA4038">
        <w:t xml:space="preserve"> </w:t>
      </w:r>
      <w:r w:rsidR="0000196A">
        <w:t xml:space="preserve"> </w:t>
      </w:r>
      <w:r w:rsidR="00A11D11">
        <w:rPr>
          <w:bCs/>
        </w:rPr>
        <w:t>NYISO</w:t>
      </w:r>
      <w:r w:rsidR="00186CB2">
        <w:rPr>
          <w:bCs/>
        </w:rPr>
        <w:t xml:space="preserve"> states</w:t>
      </w:r>
      <w:r>
        <w:t xml:space="preserve"> </w:t>
      </w:r>
      <w:r w:rsidR="007553BB">
        <w:t xml:space="preserve">that </w:t>
      </w:r>
      <w:r>
        <w:t>it would be too expensive and time-consuming to develop the new software necessary for NYISO to integrate the Project’s physical reservation model with NYISO’s financial reservation system, especially given the Project’s targeted commercial operation date of</w:t>
      </w:r>
      <w:r w:rsidRPr="00C5080C">
        <w:t xml:space="preserve"> May 2026</w:t>
      </w:r>
      <w:r>
        <w:t>.</w:t>
      </w:r>
      <w:r>
        <w:rPr>
          <w:rStyle w:val="FootnoteReference"/>
        </w:rPr>
        <w:footnoteReference w:id="27"/>
      </w:r>
      <w:r>
        <w:t xml:space="preserve">  </w:t>
      </w:r>
      <w:r w:rsidR="00CA461B">
        <w:t xml:space="preserve">NYISO also notes that having a separate </w:t>
      </w:r>
      <w:r w:rsidR="004867D4">
        <w:t xml:space="preserve">CHPE OASIS means that </w:t>
      </w:r>
      <w:r>
        <w:t xml:space="preserve">NYISO would only need to make minimal modifications to its existing systems </w:t>
      </w:r>
      <w:r w:rsidR="00262F8E">
        <w:t>in place</w:t>
      </w:r>
      <w:r>
        <w:t xml:space="preserve"> for external merchant transmission facilities that are </w:t>
      </w:r>
      <w:r w:rsidR="00417C5F">
        <w:t>operated by</w:t>
      </w:r>
      <w:r>
        <w:t xml:space="preserve"> ISO-NE and PJM and import energy into NYISO.</w:t>
      </w:r>
      <w:r>
        <w:rPr>
          <w:rStyle w:val="FootnoteReference"/>
        </w:rPr>
        <w:footnoteReference w:id="28"/>
      </w:r>
      <w:r>
        <w:t xml:space="preserve">  </w:t>
      </w:r>
    </w:p>
    <w:p w:rsidR="002C2C7F" w:rsidP="00043563">
      <w:pPr>
        <w:pStyle w:val="FERCparanumber"/>
      </w:pPr>
      <w:r>
        <w:t>NYISO adds that, while it proposes to assign duties to CHPE similar to those assigned to Cross-Sound Cable Company, LLC (C</w:t>
      </w:r>
      <w:r w:rsidR="006144F9">
        <w:t>ross-Sound</w:t>
      </w:r>
      <w:r w:rsidR="00CE1207">
        <w:t xml:space="preserve"> Cable</w:t>
      </w:r>
      <w:r>
        <w:t>) under Schedule 18 of the ISO-NE tariff to manage the Cross</w:t>
      </w:r>
      <w:r w:rsidR="00527857">
        <w:t>-</w:t>
      </w:r>
      <w:r>
        <w:t>Sound Cable</w:t>
      </w:r>
      <w:r w:rsidR="002D2DC3">
        <w:t xml:space="preserve"> merchant transmission facility</w:t>
      </w:r>
      <w:r>
        <w:t>,</w:t>
      </w:r>
      <w:r>
        <w:rPr>
          <w:rStyle w:val="FootnoteReference"/>
        </w:rPr>
        <w:footnoteReference w:id="29"/>
      </w:r>
      <w:r>
        <w:t xml:space="preserve"> </w:t>
      </w:r>
      <w:r w:rsidR="006144F9">
        <w:t>Cross</w:t>
      </w:r>
      <w:r w:rsidR="00527857">
        <w:t>-</w:t>
      </w:r>
      <w:r w:rsidR="006144F9">
        <w:t>Sound</w:t>
      </w:r>
      <w:r w:rsidR="00B17B37">
        <w:t xml:space="preserve"> Ca</w:t>
      </w:r>
      <w:r w:rsidR="002D242E">
        <w:t>ble</w:t>
      </w:r>
      <w:r w:rsidR="006144F9">
        <w:t>’s</w:t>
      </w:r>
      <w:r>
        <w:t xml:space="preserve"> web page is a sub-page within ISO-NE’s OASIS, whereas CHPE’s OASIS would be completely separate from NYISO’s OASIS.</w:t>
      </w:r>
      <w:r>
        <w:rPr>
          <w:rStyle w:val="FootnoteReference"/>
        </w:rPr>
        <w:footnoteReference w:id="30"/>
      </w:r>
      <w:r>
        <w:t xml:space="preserve">  </w:t>
      </w:r>
      <w:r w:rsidR="005B360B">
        <w:t xml:space="preserve">NYISO states that CHPE is working with </w:t>
      </w:r>
      <w:r w:rsidR="00461168">
        <w:t xml:space="preserve">Open Access Technologies, Inc., NYISO, and the Northeast Power Coordinating Council to </w:t>
      </w:r>
      <w:r w:rsidR="001A3BA6">
        <w:t>achieve compliance with applicable reliability standards for the CHPE OASIS.</w:t>
      </w:r>
      <w:r>
        <w:rPr>
          <w:rStyle w:val="FootnoteReference"/>
        </w:rPr>
        <w:footnoteReference w:id="31"/>
      </w:r>
      <w:r>
        <w:t xml:space="preserve"> </w:t>
      </w:r>
    </w:p>
    <w:p w:rsidR="00410F5A" w:rsidP="004B4DA7">
      <w:pPr>
        <w:pStyle w:val="FERCparanumber"/>
      </w:pPr>
      <w:r>
        <w:t xml:space="preserve">NYISO </w:t>
      </w:r>
      <w:r w:rsidR="00407626">
        <w:t>states that, with respect to MT</w:t>
      </w:r>
      <w:r w:rsidR="007513B8">
        <w:t>F</w:t>
      </w:r>
      <w:r w:rsidR="00407626">
        <w:t xml:space="preserve"> Reservations, CHPE will perform the</w:t>
      </w:r>
      <w:r w:rsidR="00E91E6C">
        <w:t xml:space="preserve"> following tasks on the</w:t>
      </w:r>
      <w:r w:rsidR="00407626">
        <w:t xml:space="preserve"> CHPE OASIS</w:t>
      </w:r>
      <w:r w:rsidR="00E91E6C">
        <w:t>:</w:t>
      </w:r>
      <w:r w:rsidR="00F3293B">
        <w:t xml:space="preserve">  (1) </w:t>
      </w:r>
      <w:r w:rsidR="00CA0CB9">
        <w:t>identify</w:t>
      </w:r>
      <w:r w:rsidR="00F3293B">
        <w:t xml:space="preserve"> HQUS as the initial </w:t>
      </w:r>
      <w:r w:rsidR="00CA0CB9">
        <w:t xml:space="preserve">MTF Reservation holder; </w:t>
      </w:r>
      <w:r w:rsidR="00F3293B">
        <w:t>(</w:t>
      </w:r>
      <w:r w:rsidR="00CA0CB9">
        <w:t>2</w:t>
      </w:r>
      <w:r w:rsidR="00F3293B">
        <w:t xml:space="preserve">) </w:t>
      </w:r>
      <w:r w:rsidRPr="007D60A7" w:rsidR="00F3293B">
        <w:t xml:space="preserve">schedule </w:t>
      </w:r>
      <w:r w:rsidR="00F3293B">
        <w:t>the MTF Reservations, i.e., point-to-point</w:t>
      </w:r>
      <w:r w:rsidRPr="007D60A7" w:rsidR="00F3293B">
        <w:t xml:space="preserve"> transmission service requests over the </w:t>
      </w:r>
      <w:r w:rsidR="00F3293B">
        <w:t>Project</w:t>
      </w:r>
      <w:r w:rsidRPr="007D60A7" w:rsidR="00F3293B">
        <w:t xml:space="preserve"> </w:t>
      </w:r>
      <w:r w:rsidR="00F3293B">
        <w:t xml:space="preserve">into NYISO; </w:t>
      </w:r>
      <w:r w:rsidR="00D63234">
        <w:t xml:space="preserve">(3) </w:t>
      </w:r>
      <w:r w:rsidR="00344D65">
        <w:t xml:space="preserve">post the </w:t>
      </w:r>
      <w:r w:rsidR="009B5230">
        <w:t>MTF R</w:t>
      </w:r>
      <w:r w:rsidR="0095097B">
        <w:t>eservation</w:t>
      </w:r>
      <w:r w:rsidR="00344D65">
        <w:t xml:space="preserve"> holder</w:t>
      </w:r>
      <w:r w:rsidR="0095097B">
        <w:t>, quantity in MW, and duration of each reservation; (4)</w:t>
      </w:r>
      <w:r w:rsidRPr="00C57B4F" w:rsidR="00C57B4F">
        <w:rPr>
          <w:szCs w:val="26"/>
        </w:rPr>
        <w:t xml:space="preserve"> </w:t>
      </w:r>
      <w:r w:rsidR="00C57B4F">
        <w:t>manage</w:t>
      </w:r>
      <w:r w:rsidRPr="00C57B4F" w:rsidR="00C57B4F">
        <w:t xml:space="preserve"> a “bulletin board” where holders of MTF Reservations and qualified Transmission Customers can arrange bilateral transactions, which must be posted on the CHPE OASIS before they take effect</w:t>
      </w:r>
      <w:r w:rsidR="00C57B4F">
        <w:t>; (5) calculate and post available transfer capability (ATC)</w:t>
      </w:r>
      <w:r w:rsidR="00410FC1">
        <w:t xml:space="preserve"> that CHPE will use to determine the availability of MTF Reservations; and (6) </w:t>
      </w:r>
      <w:r w:rsidR="00073607">
        <w:rPr>
          <w:szCs w:val="26"/>
        </w:rPr>
        <w:t>p</w:t>
      </w:r>
      <w:r w:rsidR="00410FC1">
        <w:rPr>
          <w:szCs w:val="26"/>
        </w:rPr>
        <w:t>ost the MTF Provider Business Practices and notice of proposed new or revised MTF Provider Business Practices</w:t>
      </w:r>
      <w:r w:rsidR="00410FC1">
        <w:t>.</w:t>
      </w:r>
      <w:r>
        <w:rPr>
          <w:rStyle w:val="FootnoteReference"/>
        </w:rPr>
        <w:footnoteReference w:id="32"/>
      </w:r>
      <w:r w:rsidR="00C57B4F">
        <w:t xml:space="preserve"> </w:t>
      </w:r>
    </w:p>
    <w:p w:rsidR="007F1EAA" w:rsidP="007F1EAA">
      <w:pPr>
        <w:pStyle w:val="FERCparanumber"/>
      </w:pPr>
      <w:r>
        <w:t xml:space="preserve">In particular, NYISO’s proposed revisions lay out the steps </w:t>
      </w:r>
      <w:r w:rsidR="00BD69FC">
        <w:t>required</w:t>
      </w:r>
      <w:r>
        <w:t xml:space="preserve"> to deliver energy over the Project</w:t>
      </w:r>
      <w:r w:rsidR="001C07B8">
        <w:t xml:space="preserve"> into the NYCA</w:t>
      </w:r>
      <w:r w:rsidR="00253E25">
        <w:t xml:space="preserve">.  </w:t>
      </w:r>
      <w:r w:rsidRPr="00A35942" w:rsidR="00253E25">
        <w:t xml:space="preserve">NYISO proposes to treat the </w:t>
      </w:r>
      <w:r w:rsidR="00253E25">
        <w:t>Project</w:t>
      </w:r>
      <w:r w:rsidRPr="00A35942" w:rsidR="00253E25">
        <w:t xml:space="preserve"> as an </w:t>
      </w:r>
      <w:r w:rsidR="00253E25">
        <w:t>E</w:t>
      </w:r>
      <w:r w:rsidRPr="00A35942" w:rsidR="00253E25">
        <w:t>xternal</w:t>
      </w:r>
      <w:r>
        <w:rPr>
          <w:rStyle w:val="FootnoteReference"/>
          <w:szCs w:val="26"/>
        </w:rPr>
        <w:footnoteReference w:id="33"/>
      </w:r>
      <w:r w:rsidRPr="00A35942" w:rsidR="00253E25">
        <w:t xml:space="preserve"> line </w:t>
      </w:r>
      <w:r w:rsidRPr="005524D6" w:rsidR="00253E25">
        <w:t xml:space="preserve">and energy flows at the Astoria </w:t>
      </w:r>
      <w:r w:rsidR="00AC0A2A">
        <w:t>P</w:t>
      </w:r>
      <w:r w:rsidRPr="005524D6" w:rsidR="00253E25">
        <w:t xml:space="preserve">roxy </w:t>
      </w:r>
      <w:r w:rsidR="00AC0A2A">
        <w:t>Generator B</w:t>
      </w:r>
      <w:r w:rsidRPr="005524D6" w:rsidR="00253E25">
        <w:t>us as Imports</w:t>
      </w:r>
      <w:r w:rsidR="00AC0A2A">
        <w:t xml:space="preserve"> </w:t>
      </w:r>
      <w:r w:rsidRPr="005524D6" w:rsidR="00253E25">
        <w:t xml:space="preserve">into the </w:t>
      </w:r>
      <w:r w:rsidR="00863006">
        <w:t>NYCA</w:t>
      </w:r>
      <w:r w:rsidRPr="005524D6" w:rsidR="00253E25">
        <w:t>.</w:t>
      </w:r>
      <w:r>
        <w:rPr>
          <w:rStyle w:val="FootnoteReference"/>
          <w:szCs w:val="26"/>
        </w:rPr>
        <w:footnoteReference w:id="34"/>
      </w:r>
      <w:r w:rsidR="00253E25">
        <w:t xml:space="preserve"> </w:t>
      </w:r>
      <w:r w:rsidRPr="005524D6" w:rsidR="00253E25">
        <w:t xml:space="preserve"> </w:t>
      </w:r>
      <w:r w:rsidR="00253E25">
        <w:t xml:space="preserve">NYISO explains that it will post the Imports on the NYISO OASIS, </w:t>
      </w:r>
      <w:r w:rsidRPr="004668AD" w:rsidR="00253E25">
        <w:t xml:space="preserve">consistent with how it schedules service on </w:t>
      </w:r>
      <w:r w:rsidR="00253E25">
        <w:t>merchant transmission facilities</w:t>
      </w:r>
      <w:r w:rsidRPr="004668AD" w:rsidR="00253E25">
        <w:t xml:space="preserve"> not within its operational </w:t>
      </w:r>
      <w:r w:rsidR="00253E25">
        <w:t>control</w:t>
      </w:r>
      <w:r w:rsidRPr="004668AD" w:rsidR="00253E25">
        <w:t>.</w:t>
      </w:r>
      <w:r>
        <w:rPr>
          <w:rStyle w:val="FootnoteReference"/>
        </w:rPr>
        <w:footnoteReference w:id="35"/>
      </w:r>
      <w:r w:rsidR="00253E25">
        <w:t xml:space="preserve">  </w:t>
      </w:r>
      <w:r w:rsidR="00BD15C4">
        <w:t>NYISO explains t</w:t>
      </w:r>
      <w:r w:rsidRPr="004668AD" w:rsidR="00253E25">
        <w:t xml:space="preserve">ransmission customers with valid MTF Reservations will then submit bids for </w:t>
      </w:r>
      <w:r w:rsidR="00253E25">
        <w:t xml:space="preserve">those imports.  </w:t>
      </w:r>
      <w:r w:rsidRPr="00253E25" w:rsidR="00253E25">
        <w:t xml:space="preserve">Finally, </w:t>
      </w:r>
      <w:r w:rsidRPr="00AF3C95" w:rsidR="00253E25">
        <w:t xml:space="preserve">NYISO will schedule the Imports based on the amount of Project capacity that clears NYISO’s Day-Ahead and Real-Time </w:t>
      </w:r>
      <w:r w:rsidR="00A021B1">
        <w:t>M</w:t>
      </w:r>
      <w:r w:rsidRPr="00AF3C95" w:rsidR="00253E25">
        <w:t>arkets auctions, consistent with how NYISO schedules all requests for transmission capacity reservations through its financial reservation system</w:t>
      </w:r>
      <w:r w:rsidRPr="00253E25" w:rsidR="00253E25">
        <w:t>.</w:t>
      </w:r>
      <w:r>
        <w:rPr>
          <w:rStyle w:val="FootnoteReference"/>
        </w:rPr>
        <w:footnoteReference w:id="36"/>
      </w:r>
      <w:r>
        <w:t xml:space="preserve">  </w:t>
      </w:r>
    </w:p>
    <w:p w:rsidR="00DE0FD4" w:rsidP="0047568B">
      <w:pPr>
        <w:pStyle w:val="FERCparanumber"/>
      </w:pPr>
      <w:r>
        <w:t>NYISO states that its bid verification software will only recognize and validate bids in its Day</w:t>
      </w:r>
      <w:r w:rsidR="00DD1A80">
        <w:t>-</w:t>
      </w:r>
      <w:r>
        <w:t>Ahead and Real Time</w:t>
      </w:r>
      <w:r w:rsidR="00DD1A80">
        <w:t>-M</w:t>
      </w:r>
      <w:r>
        <w:t>arkets that are supported by MTF Reservations that are timely and properly posted on CHPE’s OASIS</w:t>
      </w:r>
      <w:r w:rsidR="009E6397">
        <w:t xml:space="preserve">.  However, NYISO contemplates </w:t>
      </w:r>
      <w:r w:rsidR="00FA40BF">
        <w:t xml:space="preserve">that “foreseeable problems” could arise that disrupt </w:t>
      </w:r>
      <w:r w:rsidR="00345551">
        <w:t>the automated exchange of dat</w:t>
      </w:r>
      <w:r w:rsidR="00B97F1A">
        <w:t>a</w:t>
      </w:r>
      <w:r w:rsidR="00345551">
        <w:t xml:space="preserve"> between CHPE</w:t>
      </w:r>
      <w:r>
        <w:t xml:space="preserve">, </w:t>
      </w:r>
      <w:r w:rsidR="00B8337F">
        <w:t xml:space="preserve">MTF Reservations, or communications between CHPE, NYISO, and MTF Reservation </w:t>
      </w:r>
      <w:r w:rsidR="000811A5">
        <w:t>h</w:t>
      </w:r>
      <w:r w:rsidR="00B8337F">
        <w:t xml:space="preserve">olders.  Accordingly, </w:t>
      </w:r>
      <w:r w:rsidR="00A853D8">
        <w:t xml:space="preserve">NYISO proposes </w:t>
      </w:r>
      <w:r w:rsidR="00E530DD">
        <w:t>OATT provisions</w:t>
      </w:r>
      <w:r w:rsidR="00700075">
        <w:t xml:space="preserve"> </w:t>
      </w:r>
      <w:r w:rsidR="00793CF6">
        <w:t>to govern how the parties will ensure</w:t>
      </w:r>
      <w:r w:rsidR="00F812FB">
        <w:t xml:space="preserve"> access to </w:t>
      </w:r>
      <w:r w:rsidR="007A6EFA">
        <w:t xml:space="preserve">information regarding </w:t>
      </w:r>
      <w:r w:rsidR="00383A4E">
        <w:t xml:space="preserve">MTF Reservations and Bids/Imports when </w:t>
      </w:r>
      <w:r w:rsidR="000D40BE">
        <w:t>such problems arise.</w:t>
      </w:r>
      <w:r>
        <w:rPr>
          <w:rStyle w:val="FootnoteReference"/>
        </w:rPr>
        <w:footnoteReference w:id="37"/>
      </w:r>
      <w:r w:rsidR="000D40BE">
        <w:t xml:space="preserve"> </w:t>
      </w:r>
      <w:r>
        <w:t xml:space="preserve">  </w:t>
      </w:r>
    </w:p>
    <w:p w:rsidR="008C0A26" w:rsidP="001752BA">
      <w:pPr>
        <w:pStyle w:val="Heading3"/>
      </w:pPr>
      <w:r>
        <w:t>Capacity Reassignment</w:t>
      </w:r>
      <w:r w:rsidR="00F805F9">
        <w:t xml:space="preserve"> </w:t>
      </w:r>
    </w:p>
    <w:p w:rsidR="003E3974" w:rsidP="003E3974">
      <w:pPr>
        <w:pStyle w:val="FERCparanumber"/>
      </w:pPr>
      <w:r>
        <w:t xml:space="preserve">NYISO </w:t>
      </w:r>
      <w:r w:rsidR="00BA05A8">
        <w:t xml:space="preserve">also </w:t>
      </w:r>
      <w:r>
        <w:t>proposes</w:t>
      </w:r>
      <w:r w:rsidR="00F33639">
        <w:t xml:space="preserve"> provisions governing</w:t>
      </w:r>
      <w:r>
        <w:t xml:space="preserve"> capacity reassignment</w:t>
      </w:r>
      <w:r w:rsidR="00F33639">
        <w:t>, whereby</w:t>
      </w:r>
      <w:r>
        <w:t xml:space="preserve"> a</w:t>
      </w:r>
      <w:r w:rsidR="008C2957">
        <w:t>n</w:t>
      </w:r>
      <w:r>
        <w:t xml:space="preserve"> MTF Reservation </w:t>
      </w:r>
      <w:r w:rsidR="002809A7">
        <w:t>h</w:t>
      </w:r>
      <w:r>
        <w:t xml:space="preserve">older may </w:t>
      </w:r>
      <w:r w:rsidR="007C3A9C">
        <w:t xml:space="preserve">voluntarily </w:t>
      </w:r>
      <w:r>
        <w:t xml:space="preserve">sell, assign or transfer all or a portion of its rights to </w:t>
      </w:r>
      <w:r w:rsidR="00F93E06">
        <w:t>a</w:t>
      </w:r>
      <w:r w:rsidR="007A0652">
        <w:t xml:space="preserve">n acquiring </w:t>
      </w:r>
      <w:r w:rsidR="00661209">
        <w:t>Eligible</w:t>
      </w:r>
      <w:r w:rsidR="007A0652">
        <w:t xml:space="preserve"> Customer </w:t>
      </w:r>
      <w:r>
        <w:t>that has agreements in place with the MTF provider</w:t>
      </w:r>
      <w:r w:rsidR="00F33639">
        <w:t xml:space="preserve"> on the CHPE OASIS</w:t>
      </w:r>
      <w:r>
        <w:t>.</w:t>
      </w:r>
      <w:r>
        <w:rPr>
          <w:rStyle w:val="FootnoteReference"/>
        </w:rPr>
        <w:footnoteReference w:id="38"/>
      </w:r>
      <w:r>
        <w:t xml:space="preserve">  NYISO notes that, if </w:t>
      </w:r>
      <w:r w:rsidR="007C3A9C">
        <w:t>exchange of a</w:t>
      </w:r>
      <w:r w:rsidR="00732413">
        <w:t>n</w:t>
      </w:r>
      <w:r w:rsidR="007C3A9C">
        <w:t xml:space="preserve"> MTF Reservation is made via</w:t>
      </w:r>
      <w:r>
        <w:t xml:space="preserve"> a bilateral agreement, the participating parties transfer the funds and must timely record the change on the </w:t>
      </w:r>
      <w:r w:rsidR="00E63158">
        <w:t>CHPE</w:t>
      </w:r>
      <w:r>
        <w:t xml:space="preserve"> OASIS.</w:t>
      </w:r>
      <w:r>
        <w:rPr>
          <w:rStyle w:val="FootnoteReference"/>
        </w:rPr>
        <w:footnoteReference w:id="39"/>
      </w:r>
      <w:r>
        <w:t xml:space="preserve">  NYISO further explains that</w:t>
      </w:r>
      <w:r w:rsidR="00B4318B">
        <w:t>,</w:t>
      </w:r>
      <w:r>
        <w:t xml:space="preserve"> if the MTF </w:t>
      </w:r>
      <w:r w:rsidRPr="00F027BD">
        <w:t xml:space="preserve">Reservation is posted for purchase at a price on the </w:t>
      </w:r>
      <w:r w:rsidR="008A40EA">
        <w:t>CHPE</w:t>
      </w:r>
      <w:r w:rsidRPr="00F027BD">
        <w:t xml:space="preserve"> OASIS and an offer is submitted by a </w:t>
      </w:r>
      <w:r w:rsidR="00765204">
        <w:t>t</w:t>
      </w:r>
      <w:r w:rsidRPr="00F027BD">
        <w:t xml:space="preserve">ransmission </w:t>
      </w:r>
      <w:r w:rsidR="00765204">
        <w:t>c</w:t>
      </w:r>
      <w:r w:rsidRPr="00F027BD">
        <w:t xml:space="preserve">ustomer, then </w:t>
      </w:r>
      <w:r w:rsidR="008A40EA">
        <w:t>CHPE</w:t>
      </w:r>
      <w:r w:rsidRPr="00F027BD">
        <w:t xml:space="preserve"> will participate in the fund transfer and the MTF Provider’s creditworthiness requirements will apply to the purchasing entity.</w:t>
      </w:r>
      <w:r w:rsidR="006F1969">
        <w:t xml:space="preserve">  </w:t>
      </w:r>
      <w:r w:rsidR="00B4318B">
        <w:t xml:space="preserve">NYISO’s proposed tariff provisions </w:t>
      </w:r>
      <w:r w:rsidR="001B6A9A">
        <w:t>also</w:t>
      </w:r>
      <w:r w:rsidR="00B4318B">
        <w:t xml:space="preserve"> require </w:t>
      </w:r>
      <w:r w:rsidR="00D45AF6">
        <w:t>CHPE</w:t>
      </w:r>
      <w:r w:rsidR="00F20E19">
        <w:t xml:space="preserve"> </w:t>
      </w:r>
      <w:r w:rsidR="00B4318B">
        <w:t>to</w:t>
      </w:r>
      <w:r w:rsidR="00F20E19">
        <w:t xml:space="preserve"> post </w:t>
      </w:r>
      <w:r w:rsidR="000A764E">
        <w:t>pertinent data related to capacity reassignments and acquisitions</w:t>
      </w:r>
      <w:r w:rsidR="00B4318B">
        <w:t>, such as availability and pricing.</w:t>
      </w:r>
    </w:p>
    <w:p w:rsidR="008C0A26" w:rsidRPr="008C0A26" w:rsidP="00CC7F09">
      <w:pPr>
        <w:pStyle w:val="FERCparanumber"/>
      </w:pPr>
      <w:r>
        <w:t>NYISO explains that</w:t>
      </w:r>
      <w:r w:rsidR="00351DB8">
        <w:t>,</w:t>
      </w:r>
      <w:r>
        <w:t xml:space="preserve"> because HQT and HQUS are affiliated, these entities could coordinate </w:t>
      </w:r>
      <w:r w:rsidR="009264DA">
        <w:t>to “prevent third parties from acquiring and using the reservations to schedule Imports to New York.”</w:t>
      </w:r>
      <w:r>
        <w:rPr>
          <w:rStyle w:val="FootnoteReference"/>
        </w:rPr>
        <w:footnoteReference w:id="40"/>
      </w:r>
      <w:r>
        <w:t xml:space="preserve"> </w:t>
      </w:r>
      <w:r w:rsidR="00D4473E">
        <w:t xml:space="preserve"> </w:t>
      </w:r>
      <w:r w:rsidR="00AD57A2">
        <w:t>Therefore</w:t>
      </w:r>
      <w:r w:rsidR="00D31296">
        <w:t xml:space="preserve">, NYISO proposes to </w:t>
      </w:r>
      <w:r w:rsidR="004C3167">
        <w:t xml:space="preserve">monitor </w:t>
      </w:r>
      <w:r w:rsidR="000135C4">
        <w:t xml:space="preserve">the CHPE OASIS for </w:t>
      </w:r>
      <w:r w:rsidR="00C12325">
        <w:t>affiliate</w:t>
      </w:r>
      <w:r w:rsidR="004C3167">
        <w:t xml:space="preserve"> transactions</w:t>
      </w:r>
      <w:r w:rsidR="00C12325">
        <w:t xml:space="preserve"> </w:t>
      </w:r>
      <w:r w:rsidR="001453D9">
        <w:t>that could amount to</w:t>
      </w:r>
      <w:r w:rsidR="00D31296">
        <w:t xml:space="preserve"> </w:t>
      </w:r>
      <w:r w:rsidRPr="00B43A19" w:rsidR="00D31296">
        <w:t>(</w:t>
      </w:r>
      <w:r w:rsidR="00D31296">
        <w:t>1</w:t>
      </w:r>
      <w:r w:rsidRPr="00B43A19" w:rsidR="00D31296">
        <w:t>) physical or economic withholding of the opportunity to schedule transmission service, and (</w:t>
      </w:r>
      <w:r w:rsidR="00D31296">
        <w:t>2</w:t>
      </w:r>
      <w:r w:rsidRPr="00B43A19" w:rsidR="00D31296">
        <w:t xml:space="preserve">) under-delivery of scheduled Energy in real-time, where </w:t>
      </w:r>
      <w:r w:rsidR="00D31296">
        <w:t>such</w:t>
      </w:r>
      <w:r w:rsidRPr="00B43A19" w:rsidR="00D31296">
        <w:t xml:space="preserve"> under delivery may have a material impact on prices or guarantee payments in</w:t>
      </w:r>
      <w:r w:rsidR="00D31296">
        <w:t xml:space="preserve"> NYISO-administered markets</w:t>
      </w:r>
      <w:r w:rsidR="003F5B1C">
        <w:t>.</w:t>
      </w:r>
      <w:r w:rsidR="003E3EB1">
        <w:t xml:space="preserve">  NYISO</w:t>
      </w:r>
      <w:r w:rsidR="006D0B19">
        <w:t xml:space="preserve"> </w:t>
      </w:r>
      <w:r w:rsidR="00F36616">
        <w:t xml:space="preserve">also </w:t>
      </w:r>
      <w:r w:rsidR="004B7215">
        <w:t>proposes to have</w:t>
      </w:r>
      <w:r w:rsidR="000C2F28">
        <w:t xml:space="preserve"> read-only access to all areas of the CHPE OASIS (including </w:t>
      </w:r>
      <w:r w:rsidR="0030398A">
        <w:t xml:space="preserve">customer-specific pages and information) </w:t>
      </w:r>
      <w:r w:rsidR="009C5CC4">
        <w:t xml:space="preserve">and require CHPE and MTF Reservation </w:t>
      </w:r>
      <w:r w:rsidR="000811A5">
        <w:t>h</w:t>
      </w:r>
      <w:r w:rsidR="009C5CC4">
        <w:t>olders to promptly respond to data requests from NYISO or the MMU that seek information about possible physical or economic withholding.</w:t>
      </w:r>
      <w:r>
        <w:rPr>
          <w:rStyle w:val="FootnoteReference"/>
        </w:rPr>
        <w:footnoteReference w:id="41"/>
      </w:r>
      <w:r w:rsidR="0030398A">
        <w:t xml:space="preserve"> </w:t>
      </w:r>
      <w:r w:rsidR="00A77A18">
        <w:t xml:space="preserve"> NYISO avers that</w:t>
      </w:r>
      <w:r w:rsidR="00C2496B">
        <w:t>,</w:t>
      </w:r>
      <w:r w:rsidR="00A77A18">
        <w:t xml:space="preserve"> </w:t>
      </w:r>
      <w:r w:rsidR="00577252">
        <w:t>if it identifies anticompetitive behavior</w:t>
      </w:r>
      <w:r w:rsidR="00D14F62">
        <w:t>, it must inform the MMU for possible referral to the Commission’s Office of Enforcement.</w:t>
      </w:r>
      <w:r w:rsidR="00577252">
        <w:t xml:space="preserve"> </w:t>
      </w:r>
    </w:p>
    <w:p w:rsidR="0012083D" w:rsidP="0012083D">
      <w:pPr>
        <w:pStyle w:val="Heading2"/>
      </w:pPr>
      <w:r>
        <w:t xml:space="preserve">Deficiency Letter and Response </w:t>
      </w:r>
    </w:p>
    <w:p w:rsidR="00C96284" w:rsidP="00C96284">
      <w:pPr>
        <w:pStyle w:val="FERCparanumber"/>
      </w:pPr>
      <w:r>
        <w:t xml:space="preserve">On January 16, 2026, a letter </w:t>
      </w:r>
      <w:r w:rsidR="0004482E">
        <w:t>was issued</w:t>
      </w:r>
      <w:r>
        <w:t xml:space="preserve"> notifying NYISO that its filing is deficient and requesting additional information (Deficiency Letter)</w:t>
      </w:r>
      <w:r w:rsidR="0004482E">
        <w:t>.  The Deficiency Letter</w:t>
      </w:r>
      <w:r w:rsidR="0065664C">
        <w:t xml:space="preserve"> </w:t>
      </w:r>
      <w:r w:rsidR="00851902">
        <w:t>asked</w:t>
      </w:r>
      <w:r>
        <w:t xml:space="preserve"> NYISO </w:t>
      </w:r>
      <w:r w:rsidR="00851902">
        <w:t xml:space="preserve">to </w:t>
      </w:r>
      <w:r>
        <w:t>explain how</w:t>
      </w:r>
      <w:r w:rsidR="00835DB1">
        <w:t xml:space="preserve"> the</w:t>
      </w:r>
      <w:r>
        <w:t xml:space="preserve"> separate CHPE OASIS and provisions on capacity reassignment are consistent with or superior to requirements in the </w:t>
      </w:r>
      <w:r w:rsidRPr="0012083D">
        <w:rPr>
          <w:i/>
          <w:iCs/>
        </w:rPr>
        <w:t xml:space="preserve">pro forma </w:t>
      </w:r>
      <w:r>
        <w:t xml:space="preserve">OATT established by Order Nos. </w:t>
      </w:r>
      <w:r w:rsidRPr="004A0F80">
        <w:t>888, 889, and 890 and Parts 37 and 38 of the Commission’s regulations.</w:t>
      </w:r>
      <w:r>
        <w:rPr>
          <w:b/>
          <w:vertAlign w:val="superscript"/>
        </w:rPr>
        <w:footnoteReference w:id="42"/>
      </w:r>
      <w:r>
        <w:t xml:space="preserve">  </w:t>
      </w:r>
    </w:p>
    <w:p w:rsidR="0012083D" w:rsidP="00043563">
      <w:pPr>
        <w:pStyle w:val="FERCparanumber"/>
      </w:pPr>
      <w:r>
        <w:t>On February 12, 2026, NYISO responded to the deficiency letter (Deficiency Response).  NYISO argues that the proposed OASIS and capacity reassignment provisions satisfy the Commission’s consistent with or superior to standard, and requests that the Commission accept the proposed revisions including minor amendments, which it inadvertently omitted in its original filing.</w:t>
      </w:r>
      <w:r>
        <w:rPr>
          <w:rStyle w:val="FootnoteReference"/>
        </w:rPr>
        <w:footnoteReference w:id="43"/>
      </w:r>
      <w:r>
        <w:t xml:space="preserve"> </w:t>
      </w:r>
      <w:r w:rsidR="006B3AEE">
        <w:t xml:space="preserve"> </w:t>
      </w:r>
      <w:r w:rsidR="0000145D">
        <w:t xml:space="preserve">NYISO </w:t>
      </w:r>
      <w:r w:rsidR="00316F88">
        <w:t xml:space="preserve">states that </w:t>
      </w:r>
      <w:r w:rsidR="002C7DCC">
        <w:t xml:space="preserve">it </w:t>
      </w:r>
      <w:r w:rsidR="00475086">
        <w:t xml:space="preserve">consents to </w:t>
      </w:r>
      <w:r w:rsidR="001A768D">
        <w:t xml:space="preserve">revising </w:t>
      </w:r>
      <w:r w:rsidR="009B24D1">
        <w:t>S</w:t>
      </w:r>
      <w:r w:rsidR="001A768D">
        <w:t xml:space="preserve">ection </w:t>
      </w:r>
      <w:r w:rsidR="004C368D">
        <w:t>41 to list</w:t>
      </w:r>
      <w:r w:rsidR="00D61AFF">
        <w:t xml:space="preserve"> all of the currently-effective </w:t>
      </w:r>
      <w:r w:rsidR="00907E9E">
        <w:t xml:space="preserve">North American Energy Standard Board (NAESB) Wholesale Electric Quadrant (WEQ) </w:t>
      </w:r>
      <w:r w:rsidR="00BB1DFD">
        <w:t>s</w:t>
      </w:r>
      <w:r w:rsidR="00147EF6">
        <w:t>tandards</w:t>
      </w:r>
      <w:r w:rsidR="0092373B">
        <w:t xml:space="preserve"> and </w:t>
      </w:r>
      <w:r w:rsidR="00C06525">
        <w:t xml:space="preserve">adding a statement </w:t>
      </w:r>
      <w:r w:rsidR="003C589B">
        <w:t xml:space="preserve">that </w:t>
      </w:r>
      <w:r w:rsidRPr="005D0984" w:rsidR="005D0984">
        <w:t xml:space="preserve">they are “incorporated by reference to the extent that the requirements therein apply to </w:t>
      </w:r>
      <w:r w:rsidR="005D0984">
        <w:t>[CHPE]</w:t>
      </w:r>
      <w:r w:rsidRPr="005D0984" w:rsidR="005D0984">
        <w:t>.”</w:t>
      </w:r>
      <w:r w:rsidR="00830FF8">
        <w:t xml:space="preserve">  NYISO states that </w:t>
      </w:r>
      <w:r w:rsidR="005C12B2">
        <w:t>this type of language was previously accepted by the Commission for Cross</w:t>
      </w:r>
      <w:r w:rsidR="005665E7">
        <w:t>-</w:t>
      </w:r>
      <w:r w:rsidR="005C12B2">
        <w:t>Sound Cable.</w:t>
      </w:r>
      <w:r>
        <w:rPr>
          <w:rStyle w:val="FootnoteReference"/>
        </w:rPr>
        <w:footnoteReference w:id="44"/>
      </w:r>
      <w:r w:rsidR="00830FF8">
        <w:t xml:space="preserve"> </w:t>
      </w:r>
      <w:r w:rsidR="00303BE4">
        <w:t xml:space="preserve"> </w:t>
      </w:r>
      <w:r w:rsidRPr="0012083D" w:rsidR="009C13A2">
        <w:t xml:space="preserve">In the alternative, NYISO requests that the Commission grant waiver of any individual OASIS, </w:t>
      </w:r>
      <w:r w:rsidR="00907E9E">
        <w:t xml:space="preserve">NAESB WEQ </w:t>
      </w:r>
      <w:r w:rsidRPr="0012083D" w:rsidR="009C13A2">
        <w:t>standards</w:t>
      </w:r>
      <w:r w:rsidR="009C13A2">
        <w:t>,</w:t>
      </w:r>
      <w:r w:rsidRPr="0012083D" w:rsidR="009C13A2">
        <w:t xml:space="preserve"> or reassignment requirements that the Commission believes NYISO has not fully satisfied</w:t>
      </w:r>
      <w:r w:rsidR="009C13A2">
        <w:t xml:space="preserve">, </w:t>
      </w:r>
      <w:r w:rsidRPr="0012083D" w:rsidR="009C13A2">
        <w:t>should the Commission determine that the filing does not fully satisfy the consistent with or superior to standard.</w:t>
      </w:r>
      <w:r>
        <w:rPr>
          <w:rStyle w:val="FootnoteReference"/>
        </w:rPr>
        <w:footnoteReference w:id="45"/>
      </w:r>
      <w:r w:rsidR="009C13A2">
        <w:t xml:space="preserve"> </w:t>
      </w:r>
    </w:p>
    <w:p w:rsidR="0012083D" w:rsidP="0012083D">
      <w:pPr>
        <w:pStyle w:val="FERCparanumber"/>
      </w:pPr>
      <w:r>
        <w:t xml:space="preserve">NYISO </w:t>
      </w:r>
      <w:r w:rsidR="0058381C">
        <w:t xml:space="preserve">requests that </w:t>
      </w:r>
      <w:r w:rsidR="003D0C2A">
        <w:t xml:space="preserve">the </w:t>
      </w:r>
      <w:r w:rsidR="00A64E01">
        <w:t xml:space="preserve">proposed </w:t>
      </w:r>
      <w:r w:rsidR="00F06CD9">
        <w:t>tariff</w:t>
      </w:r>
      <w:r w:rsidR="00A64E01">
        <w:t xml:space="preserve"> </w:t>
      </w:r>
      <w:r w:rsidR="003D0C2A">
        <w:t>revisions</w:t>
      </w:r>
      <w:r w:rsidR="00A64E01">
        <w:t xml:space="preserve">, </w:t>
      </w:r>
      <w:r w:rsidR="00C46039">
        <w:t>as amended and further supported by the Deficiency Response</w:t>
      </w:r>
      <w:r w:rsidR="008E6915">
        <w:t>,</w:t>
      </w:r>
      <w:r w:rsidR="003D0C2A">
        <w:t xml:space="preserve"> become effective on </w:t>
      </w:r>
      <w:r w:rsidR="00EC022E">
        <w:t>March 16, 2026</w:t>
      </w:r>
      <w:r w:rsidR="00C46039">
        <w:t>.  NYISO</w:t>
      </w:r>
      <w:r w:rsidR="00D9046E">
        <w:t xml:space="preserve"> states </w:t>
      </w:r>
      <w:r w:rsidR="00D40058">
        <w:t xml:space="preserve">that </w:t>
      </w:r>
      <w:r w:rsidR="00D9046E">
        <w:t>good cause exists to waive the standard 60-day notice period</w:t>
      </w:r>
      <w:r w:rsidR="00DD7D9A">
        <w:t>.</w:t>
      </w:r>
      <w:r>
        <w:rPr>
          <w:rStyle w:val="FootnoteReference"/>
        </w:rPr>
        <w:footnoteReference w:id="46"/>
      </w:r>
      <w:r w:rsidR="00964BE9">
        <w:t xml:space="preserve">  </w:t>
      </w:r>
      <w:r>
        <w:t xml:space="preserve">NYISO </w:t>
      </w:r>
      <w:r w:rsidR="00964BE9">
        <w:t>explains</w:t>
      </w:r>
      <w:r>
        <w:t xml:space="preserve"> that it expects test energy scheduling to begin in late March, and </w:t>
      </w:r>
      <w:r w:rsidR="00964BE9">
        <w:t xml:space="preserve">contends </w:t>
      </w:r>
      <w:r>
        <w:t xml:space="preserve">that timely test energy scheduling is essential to implementing the </w:t>
      </w:r>
      <w:r w:rsidR="002A1291">
        <w:t xml:space="preserve">Project </w:t>
      </w:r>
      <w:r>
        <w:t>in the NYISO-administered Energy Market by the planned commercial start date of May 1, 2026.</w:t>
      </w:r>
      <w:r>
        <w:rPr>
          <w:rStyle w:val="FootnoteReference"/>
        </w:rPr>
        <w:footnoteReference w:id="47"/>
      </w:r>
      <w:r>
        <w:t xml:space="preserve">  NYISO argues that not being able to schedule test energy risks delaying the substantial economic and reliability benefits that the </w:t>
      </w:r>
      <w:r w:rsidR="002A1291">
        <w:t>Project</w:t>
      </w:r>
      <w:r>
        <w:t xml:space="preserve"> is expected to bring to New York and the ability of the </w:t>
      </w:r>
      <w:r w:rsidR="002A1291">
        <w:t>Project</w:t>
      </w:r>
      <w:r>
        <w:t xml:space="preserve"> to commence commercial operation and sta</w:t>
      </w:r>
      <w:r w:rsidR="003E3D7A">
        <w:t>r</w:t>
      </w:r>
      <w:r>
        <w:t xml:space="preserve">t service for MTF Reservation </w:t>
      </w:r>
      <w:r w:rsidR="000811A5">
        <w:t>h</w:t>
      </w:r>
      <w:r>
        <w:t>olders.</w:t>
      </w:r>
      <w:r>
        <w:rPr>
          <w:rStyle w:val="FootnoteReference"/>
        </w:rPr>
        <w:footnoteReference w:id="48"/>
      </w:r>
      <w:r w:rsidR="00197ECF">
        <w:t xml:space="preserve"> </w:t>
      </w:r>
      <w:r w:rsidR="008E6915">
        <w:t xml:space="preserve"> </w:t>
      </w:r>
      <w:r w:rsidR="00197ECF">
        <w:t xml:space="preserve">NYISO states </w:t>
      </w:r>
      <w:r w:rsidR="005910A3">
        <w:t xml:space="preserve">that </w:t>
      </w:r>
      <w:r w:rsidR="00197ECF">
        <w:t xml:space="preserve">a March 16, 2026 effective date would ensure that </w:t>
      </w:r>
      <w:r w:rsidR="00601942">
        <w:t xml:space="preserve">the proposed revisions </w:t>
      </w:r>
      <w:r w:rsidR="008E6915">
        <w:t xml:space="preserve">would be on file to govern the scheduling of test energy. </w:t>
      </w:r>
    </w:p>
    <w:p w:rsidR="0012083D" w:rsidP="0077134E">
      <w:pPr>
        <w:pStyle w:val="Heading3"/>
      </w:pPr>
      <w:r>
        <w:t>Separate OASIS</w:t>
      </w:r>
      <w:r w:rsidR="008B3857">
        <w:t xml:space="preserve"> Sites</w:t>
      </w:r>
    </w:p>
    <w:p w:rsidR="0012083D" w:rsidP="0012083D">
      <w:pPr>
        <w:pStyle w:val="FERCparanumber"/>
      </w:pPr>
      <w:r>
        <w:t xml:space="preserve">NYISO argues that </w:t>
      </w:r>
      <w:r w:rsidR="00CA276E">
        <w:t xml:space="preserve">the </w:t>
      </w:r>
      <w:r>
        <w:t>p</w:t>
      </w:r>
      <w:r w:rsidR="00CA276E">
        <w:t>ro</w:t>
      </w:r>
      <w:r>
        <w:t>posed OATT revisions regarding the limited purpose OASIS satisf</w:t>
      </w:r>
      <w:r w:rsidR="00616137">
        <w:t>y</w:t>
      </w:r>
      <w:r>
        <w:t xml:space="preserve"> the Commission’s consistent with or superior to standard.</w:t>
      </w:r>
      <w:r>
        <w:rPr>
          <w:rStyle w:val="FootnoteReference"/>
        </w:rPr>
        <w:footnoteReference w:id="49"/>
      </w:r>
      <w:r>
        <w:t xml:space="preserve">  NYISO </w:t>
      </w:r>
      <w:r w:rsidR="00E17068">
        <w:t>contends</w:t>
      </w:r>
      <w:r>
        <w:t xml:space="preserve"> that the Commission’s OASIS regulations expressly contemplate that multiple transmission providers may share responsibility for performing OASIS functions.</w:t>
      </w:r>
      <w:r>
        <w:rPr>
          <w:rStyle w:val="FootnoteReference"/>
        </w:rPr>
        <w:footnoteReference w:id="50"/>
      </w:r>
      <w:r>
        <w:t xml:space="preserve">  Further, NYISO argues that CHPE will be subject to oversight by NYISO’s Market Monitoring and Analysis Department and its independent </w:t>
      </w:r>
      <w:r w:rsidR="001A6570">
        <w:t>MMU</w:t>
      </w:r>
      <w:r>
        <w:t>.</w:t>
      </w:r>
      <w:r>
        <w:rPr>
          <w:rStyle w:val="FootnoteReference"/>
        </w:rPr>
        <w:footnoteReference w:id="51"/>
      </w:r>
      <w:r>
        <w:t xml:space="preserve"> </w:t>
      </w:r>
      <w:r w:rsidR="001A6570">
        <w:t xml:space="preserve"> </w:t>
      </w:r>
      <w:r>
        <w:t xml:space="preserve">NYISO argues that </w:t>
      </w:r>
      <w:r w:rsidR="001A6570">
        <w:t xml:space="preserve">such </w:t>
      </w:r>
      <w:r>
        <w:t xml:space="preserve">monitoring of </w:t>
      </w:r>
      <w:r w:rsidR="001A6570">
        <w:t>CHPE’s</w:t>
      </w:r>
      <w:r>
        <w:t xml:space="preserve"> limited purpose OASIS, which is not required by the Commission’s regulations, will provide superior transparency and customer protection compared to the </w:t>
      </w:r>
      <w:r w:rsidRPr="00EA3FD6">
        <w:rPr>
          <w:i/>
          <w:iCs/>
        </w:rPr>
        <w:t>pro forma</w:t>
      </w:r>
      <w:r>
        <w:t xml:space="preserve"> OATT’s incorporation of Part 37.  </w:t>
      </w:r>
    </w:p>
    <w:p w:rsidR="0012083D" w:rsidP="0012083D">
      <w:pPr>
        <w:pStyle w:val="FERCparanumber"/>
      </w:pPr>
      <w:r>
        <w:t xml:space="preserve">NYISO </w:t>
      </w:r>
      <w:r w:rsidR="00204876">
        <w:t xml:space="preserve">asserts </w:t>
      </w:r>
      <w:r>
        <w:t xml:space="preserve">that it will perform the vast majority of the tasks </w:t>
      </w:r>
      <w:r w:rsidR="00204876">
        <w:t xml:space="preserve">required </w:t>
      </w:r>
      <w:r>
        <w:t xml:space="preserve">under Parts 37 and 38, </w:t>
      </w:r>
      <w:r w:rsidR="00EB5F36">
        <w:t>with the exception of</w:t>
      </w:r>
      <w:r>
        <w:t xml:space="preserve"> CHPE’s OASIS responsibilities pertaining to MTF Reservations.</w:t>
      </w:r>
      <w:r>
        <w:rPr>
          <w:rStyle w:val="FootnoteReference"/>
        </w:rPr>
        <w:footnoteReference w:id="52"/>
      </w:r>
      <w:r>
        <w:t xml:space="preserve">  </w:t>
      </w:r>
      <w:r>
        <w:t xml:space="preserve">With respect to Part 37, NYISO argues that CHPE’s responsibilities are limited to </w:t>
      </w:r>
      <w:r w:rsidR="007B0F8A">
        <w:t xml:space="preserve">managing </w:t>
      </w:r>
      <w:r>
        <w:t>MTF Reservations.  NYISO states that, for all other functions, NYISO has complied with or obtained waivers of Part 37.  NYISO contends, therefore, that there is no reason to require CHPE or NYISO to incur the expense that would be required to set up a CHPE OASIS that satisfies all of the requirements of Part 37.  NYISO argues that CHPE will have the ability to comply with Part 37 requirements that are relevant to its limited transmission provider responsibilities that are not being performed for it by NYISO.</w:t>
      </w:r>
      <w:r>
        <w:rPr>
          <w:rStyle w:val="FootnoteReference"/>
        </w:rPr>
        <w:footnoteReference w:id="53"/>
      </w:r>
    </w:p>
    <w:p w:rsidR="0012083D" w:rsidP="0012083D">
      <w:pPr>
        <w:pStyle w:val="FERCparanumber"/>
      </w:pPr>
      <w:r>
        <w:t>With respect to Part 38 requirements, NYISO argues that CHPE will comply with NAESB WEQ standards that are applicable to the limited services that CHPE will provide under the limited purpose OASIS.</w:t>
      </w:r>
      <w:r>
        <w:rPr>
          <w:rStyle w:val="FootnoteReference"/>
        </w:rPr>
        <w:footnoteReference w:id="54"/>
      </w:r>
      <w:r>
        <w:t xml:space="preserve">  NYISO argues that CHPE is not subject to, nor is it required to seek waiver of NAESB WEQ standards that are facially inapplicable to transmission providers.</w:t>
      </w:r>
      <w:r>
        <w:rPr>
          <w:rStyle w:val="FootnoteReference"/>
        </w:rPr>
        <w:footnoteReference w:id="55"/>
      </w:r>
      <w:r>
        <w:t xml:space="preserve">  NYISO argues that, given the narrow scope of the services available on the </w:t>
      </w:r>
      <w:r w:rsidR="002A1291">
        <w:t>Project</w:t>
      </w:r>
      <w:r>
        <w:t xml:space="preserve">, many NAESB WEQ standards will not apply to CHPE.  NYISO states that </w:t>
      </w:r>
      <w:r w:rsidRPr="001C3D36">
        <w:t>the Commission clarified in Order No. 676 that “[a] public utility whose OASIS is administered by an ISO or RTO may comply with the requirement to include the OASIS standards in its OATT by adding a provision to its OATT stating that the ISO or RTO will be performing these functions on its behalf.”</w:t>
      </w:r>
      <w:r>
        <w:rPr>
          <w:rStyle w:val="FootnoteReference"/>
        </w:rPr>
        <w:footnoteReference w:id="56"/>
      </w:r>
    </w:p>
    <w:p w:rsidR="00A0753F" w:rsidP="00A0753F">
      <w:pPr>
        <w:pStyle w:val="FERCparanumber"/>
      </w:pPr>
      <w:r>
        <w:t xml:space="preserve">NYISO states that it has no objection to clarifying </w:t>
      </w:r>
      <w:r w:rsidR="00A06FEE">
        <w:t xml:space="preserve">proposed </w:t>
      </w:r>
      <w:r w:rsidR="000F7A93">
        <w:t>S</w:t>
      </w:r>
      <w:r>
        <w:t xml:space="preserve">ection 41 of its OATT to include language in the CHPE OASIS provisions that tracks the Commission’s </w:t>
      </w:r>
      <w:r w:rsidRPr="00973EC7">
        <w:rPr>
          <w:i/>
          <w:iCs/>
        </w:rPr>
        <w:t>pro forma</w:t>
      </w:r>
      <w:r>
        <w:t xml:space="preserve"> OATT language.</w:t>
      </w:r>
      <w:r>
        <w:rPr>
          <w:rStyle w:val="FootnoteReference"/>
        </w:rPr>
        <w:footnoteReference w:id="57"/>
      </w:r>
      <w:r>
        <w:t xml:space="preserve">  Accordingly, NYISO states that it consents to the Commission </w:t>
      </w:r>
      <w:r w:rsidR="00A06FEE">
        <w:t>accepting</w:t>
      </w:r>
      <w:r>
        <w:t xml:space="preserve"> NYISO’s proposal </w:t>
      </w:r>
      <w:r w:rsidR="00A06FEE">
        <w:t>subject to the requirement that NYISO</w:t>
      </w:r>
      <w:r>
        <w:t xml:space="preserve"> submit a compliance filing adding the </w:t>
      </w:r>
      <w:r w:rsidRPr="00BC33AC">
        <w:rPr>
          <w:i/>
          <w:iCs/>
        </w:rPr>
        <w:t>pro forma</w:t>
      </w:r>
      <w:r>
        <w:t xml:space="preserve"> OATT language for the CHPE OASIS.</w:t>
      </w:r>
      <w:r>
        <w:rPr>
          <w:rStyle w:val="FootnoteReference"/>
        </w:rPr>
        <w:footnoteReference w:id="58"/>
      </w:r>
    </w:p>
    <w:p w:rsidR="00805D82" w:rsidP="00C549BB">
      <w:pPr>
        <w:pStyle w:val="FERCparanumber"/>
      </w:pPr>
      <w:r>
        <w:t xml:space="preserve">NYISO states that it consents to submitting a compliance filing that would add </w:t>
      </w:r>
      <w:r w:rsidR="0013507F">
        <w:t xml:space="preserve">  </w:t>
      </w:r>
      <w:r>
        <w:rPr>
          <w:i/>
          <w:iCs/>
        </w:rPr>
        <w:t xml:space="preserve">pro forma </w:t>
      </w:r>
      <w:r>
        <w:t>language related to NAESB WEQ standards.</w:t>
      </w:r>
      <w:r>
        <w:rPr>
          <w:rStyle w:val="FootnoteReference"/>
        </w:rPr>
        <w:footnoteReference w:id="59"/>
      </w:r>
      <w:r>
        <w:t xml:space="preserve">  Specifically, NYISO commits to revise proposed Section 41 to state that CHPE would:</w:t>
      </w:r>
    </w:p>
    <w:p w:rsidR="005A7FD5" w:rsidP="005A7FD5">
      <w:pPr>
        <w:pStyle w:val="BodyText"/>
        <w:ind w:left="1440" w:right="1440" w:firstLine="0"/>
      </w:pPr>
      <w:r w:rsidRPr="00076AD2">
        <w:t xml:space="preserve">post on [its] OASIS and its public website an electronic link to all rules, standards and practices that (i) relate to the terms and conditions of transmission service, </w:t>
      </w:r>
      <w:r w:rsidRPr="00C5202C">
        <w:t>(ii) are not subject to a North American Energy Standards Board (NAESB) copyright restriction, and (iii) are not otherwise included in this Tariff. The MTF Provider shall post on OASIS and on its public website an electronic link to the NAESB website where any rules, standards and practices that are protected by copyright may be obtained.</w:t>
      </w:r>
    </w:p>
    <w:p w:rsidR="00A453B0" w:rsidRPr="0012083D" w:rsidP="0099763A">
      <w:pPr>
        <w:pStyle w:val="FERCparanumber"/>
      </w:pPr>
      <w:r>
        <w:t>NYISO states</w:t>
      </w:r>
      <w:r w:rsidRPr="00C5202C">
        <w:t xml:space="preserve"> </w:t>
      </w:r>
      <w:r>
        <w:t xml:space="preserve">that it would also consent to further revisions that would include other relevant tariff language, including:  (1) OASIS terms and conditions in </w:t>
      </w:r>
      <w:r w:rsidR="0011796B">
        <w:t>P</w:t>
      </w:r>
      <w:r>
        <w:t>arts 37 and 38 of the Commission regulations</w:t>
      </w:r>
      <w:r w:rsidR="00712464">
        <w:t>;</w:t>
      </w:r>
      <w:r>
        <w:t xml:space="preserve"> and (2) listing and incorporating by reference WEQ Version 4.0 standards “to the extent that the requirements therein apply to the MTF Provider.”</w:t>
      </w:r>
      <w:r>
        <w:rPr>
          <w:rStyle w:val="FootnoteReference"/>
        </w:rPr>
        <w:footnoteReference w:id="60"/>
      </w:r>
      <w:r>
        <w:t xml:space="preserve"> </w:t>
      </w:r>
    </w:p>
    <w:p w:rsidR="00691460" w:rsidRPr="00A0753F" w:rsidP="00062C1A">
      <w:pPr>
        <w:pStyle w:val="Heading3"/>
      </w:pPr>
      <w:r>
        <w:t xml:space="preserve">Capacity </w:t>
      </w:r>
      <w:r w:rsidR="009409E7">
        <w:t>Reassignment</w:t>
      </w:r>
    </w:p>
    <w:p w:rsidR="00692BE8" w:rsidP="00BF007B">
      <w:pPr>
        <w:pStyle w:val="FERCparanumber"/>
        <w:ind w:right="-270"/>
      </w:pPr>
      <w:r>
        <w:t xml:space="preserve">NYISO argues that the </w:t>
      </w:r>
      <w:r w:rsidR="008021FA">
        <w:t>proposed</w:t>
      </w:r>
      <w:r>
        <w:t xml:space="preserve"> capacity reassignment tariff provisions concerning the CHPE MTF fully satisfy the Commission’s consistent with or superior to standard.</w:t>
      </w:r>
      <w:r>
        <w:rPr>
          <w:rStyle w:val="FootnoteReference"/>
        </w:rPr>
        <w:footnoteReference w:id="61"/>
      </w:r>
      <w:r>
        <w:t xml:space="preserve">  NYISO argues that the capacity reassignment provisions are not directly comparable to the Commission’s </w:t>
      </w:r>
      <w:r w:rsidRPr="00735589">
        <w:rPr>
          <w:i/>
          <w:iCs/>
        </w:rPr>
        <w:t>pro forma</w:t>
      </w:r>
      <w:r>
        <w:t xml:space="preserve"> transmission capacity reassignment provisions, </w:t>
      </w:r>
      <w:r w:rsidR="00FE3D08">
        <w:t>and</w:t>
      </w:r>
      <w:r>
        <w:t xml:space="preserve"> the proposed deviations are consistent with or superior to the </w:t>
      </w:r>
      <w:r w:rsidRPr="00822970">
        <w:rPr>
          <w:i/>
        </w:rPr>
        <w:t>pro forma</w:t>
      </w:r>
      <w:r>
        <w:t xml:space="preserve"> because the unique nature of the CHPE MTF line necessitates the need for the deviations.</w:t>
      </w:r>
      <w:r>
        <w:rPr>
          <w:rStyle w:val="FootnoteReference"/>
        </w:rPr>
        <w:footnoteReference w:id="62"/>
      </w:r>
      <w:r>
        <w:t xml:space="preserve">  NYISO </w:t>
      </w:r>
      <w:r w:rsidR="00002767">
        <w:t xml:space="preserve">explains that the limited differences reflect the characteristics of a single DC scheduling path merchant transmission facility, compared to the more complex integrated AC transmission network that the </w:t>
      </w:r>
      <w:r w:rsidRPr="00E97226" w:rsidR="00002767">
        <w:rPr>
          <w:i/>
        </w:rPr>
        <w:t>pro forma</w:t>
      </w:r>
      <w:r w:rsidR="00002767">
        <w:t xml:space="preserve"> rules were developed to accommodate. </w:t>
      </w:r>
      <w:r w:rsidR="005A59BA">
        <w:t xml:space="preserve"> </w:t>
      </w:r>
      <w:r>
        <w:t>NYISO</w:t>
      </w:r>
      <w:r w:rsidR="00002767">
        <w:t xml:space="preserve"> also s</w:t>
      </w:r>
      <w:r w:rsidR="00DE05EF">
        <w:t>tates</w:t>
      </w:r>
      <w:r>
        <w:t xml:space="preserve"> that its proposed revisions are modeled closely on the physical reservation capacity reassignment provisions that the Commission accepted for Cross</w:t>
      </w:r>
      <w:r w:rsidR="00E66F24">
        <w:t>-</w:t>
      </w:r>
      <w:r>
        <w:t>Sound Cable.</w:t>
      </w:r>
      <w:r>
        <w:rPr>
          <w:rStyle w:val="FootnoteReference"/>
        </w:rPr>
        <w:footnoteReference w:id="63"/>
      </w:r>
      <w:r>
        <w:t xml:space="preserve">  </w:t>
      </w:r>
    </w:p>
    <w:p w:rsidR="0012083D" w:rsidP="00482B22">
      <w:pPr>
        <w:pStyle w:val="Heading1"/>
      </w:pPr>
      <w:r>
        <w:t>Notice</w:t>
      </w:r>
      <w:r w:rsidR="009C68E1">
        <w:t>s</w:t>
      </w:r>
      <w:r>
        <w:t xml:space="preserve"> and Responsive Pleadings</w:t>
      </w:r>
    </w:p>
    <w:p w:rsidR="00351741" w:rsidP="00351741">
      <w:pPr>
        <w:pStyle w:val="FERCparanumber"/>
      </w:pPr>
      <w:r w:rsidRPr="00D778FE">
        <w:t xml:space="preserve">Notice of </w:t>
      </w:r>
      <w:r w:rsidRPr="00D778FE" w:rsidR="00D778FE">
        <w:t>NYISO’s initial filing</w:t>
      </w:r>
      <w:r w:rsidRPr="00D778FE">
        <w:t xml:space="preserve"> was published in the </w:t>
      </w:r>
      <w:r w:rsidRPr="00D778FE">
        <w:rPr>
          <w:i/>
        </w:rPr>
        <w:t>Federal Register</w:t>
      </w:r>
      <w:r w:rsidRPr="00D778FE">
        <w:t>, 90 Fed. Reg. 54648 (Nov. 28, 2025),</w:t>
      </w:r>
      <w:r>
        <w:t xml:space="preserve"> </w:t>
      </w:r>
      <w:r w:rsidRPr="009E378E">
        <w:t xml:space="preserve">with interventions and protests due on or before </w:t>
      </w:r>
      <w:r>
        <w:t>December</w:t>
      </w:r>
      <w:r w:rsidRPr="009E378E">
        <w:t xml:space="preserve"> </w:t>
      </w:r>
      <w:r>
        <w:t>12</w:t>
      </w:r>
      <w:r w:rsidRPr="009E378E">
        <w:t>, 2025.  Timely motions to intervene were filed</w:t>
      </w:r>
      <w:r>
        <w:t xml:space="preserve"> by</w:t>
      </w:r>
      <w:r w:rsidR="00E64CA1">
        <w:t xml:space="preserve"> CHPE, HQUS</w:t>
      </w:r>
      <w:r w:rsidR="00DE3FA2">
        <w:t>,</w:t>
      </w:r>
      <w:r>
        <w:t xml:space="preserve"> </w:t>
      </w:r>
      <w:r w:rsidR="009B65B6">
        <w:t xml:space="preserve">Independent </w:t>
      </w:r>
      <w:r>
        <w:t>Power Producers of New York, Inc.</w:t>
      </w:r>
      <w:r w:rsidR="00490B68">
        <w:t>,</w:t>
      </w:r>
      <w:r>
        <w:t xml:space="preserve"> and New York Transmission Owners</w:t>
      </w:r>
      <w:r w:rsidR="00490B68">
        <w:t>.</w:t>
      </w:r>
      <w:r>
        <w:rPr>
          <w:rStyle w:val="FootnoteReference"/>
        </w:rPr>
        <w:footnoteReference w:id="64"/>
      </w:r>
      <w:r w:rsidR="00473505">
        <w:t xml:space="preserve">  The New York State Public Service Commission </w:t>
      </w:r>
      <w:r w:rsidR="007111F9">
        <w:t>filed a</w:t>
      </w:r>
      <w:r w:rsidR="005B19DE">
        <w:t xml:space="preserve"> timely</w:t>
      </w:r>
      <w:r w:rsidR="007111F9">
        <w:t xml:space="preserve"> notice of intervention.</w:t>
      </w:r>
      <w:r w:rsidR="00E64413">
        <w:t xml:space="preserve">  </w:t>
      </w:r>
      <w:r w:rsidR="008A51BB">
        <w:t xml:space="preserve">CHPE </w:t>
      </w:r>
      <w:r>
        <w:t xml:space="preserve">and HQUS </w:t>
      </w:r>
      <w:r w:rsidR="00172B27">
        <w:t xml:space="preserve">also filed </w:t>
      </w:r>
      <w:r>
        <w:t xml:space="preserve">comments </w:t>
      </w:r>
      <w:r w:rsidR="00172B27">
        <w:t xml:space="preserve">supporting </w:t>
      </w:r>
      <w:r>
        <w:t xml:space="preserve">the filing.  </w:t>
      </w:r>
    </w:p>
    <w:p w:rsidR="00A95CF9" w:rsidP="008B6507">
      <w:pPr>
        <w:pStyle w:val="FERCparanumber"/>
      </w:pPr>
      <w:r>
        <w:t xml:space="preserve">CHPE and HQUS </w:t>
      </w:r>
      <w:r w:rsidR="00FD3CB4">
        <w:t xml:space="preserve">state </w:t>
      </w:r>
      <w:r>
        <w:t>that the proposed revisions are consistent with Commission polic</w:t>
      </w:r>
      <w:r w:rsidR="004349C6">
        <w:t>i</w:t>
      </w:r>
      <w:r>
        <w:t>es approving similar merchant transmission facilities.</w:t>
      </w:r>
      <w:r>
        <w:rPr>
          <w:rStyle w:val="FootnoteReference"/>
        </w:rPr>
        <w:footnoteReference w:id="65"/>
      </w:r>
      <w:r>
        <w:t xml:space="preserve">  HQUS </w:t>
      </w:r>
      <w:r w:rsidR="00FD3CB4">
        <w:t xml:space="preserve">states </w:t>
      </w:r>
      <w:r>
        <w:t xml:space="preserve">that </w:t>
      </w:r>
      <w:r w:rsidR="00FD3CB4">
        <w:t xml:space="preserve">the </w:t>
      </w:r>
      <w:r>
        <w:t xml:space="preserve">proposed OATT </w:t>
      </w:r>
      <w:r w:rsidR="00FD3CB4">
        <w:t>revisions are</w:t>
      </w:r>
      <w:r>
        <w:t xml:space="preserve"> consistent with Commission policy regarding resales and reassignments of transmission service.</w:t>
      </w:r>
      <w:r>
        <w:rPr>
          <w:rStyle w:val="FootnoteReference"/>
        </w:rPr>
        <w:footnoteReference w:id="66"/>
      </w:r>
      <w:r>
        <w:t xml:space="preserve">  HQUS further argues that, consistent with Commission policy, </w:t>
      </w:r>
      <w:r w:rsidR="00773D39">
        <w:t xml:space="preserve">the proposed </w:t>
      </w:r>
      <w:r>
        <w:t xml:space="preserve">OATT </w:t>
      </w:r>
      <w:r w:rsidR="00773D39">
        <w:t>revisions</w:t>
      </w:r>
      <w:r>
        <w:t xml:space="preserve"> ensure that available transmission capacity will not be withheld. </w:t>
      </w:r>
      <w:r w:rsidR="00EF3985">
        <w:t xml:space="preserve"> </w:t>
      </w:r>
    </w:p>
    <w:p w:rsidR="00482B22" w:rsidP="00482B22">
      <w:pPr>
        <w:pStyle w:val="FERCparanumber"/>
      </w:pPr>
      <w:r>
        <w:t>Notice of NYIS</w:t>
      </w:r>
      <w:r w:rsidR="00F41880">
        <w:t xml:space="preserve">O’s Deficiency Response was published in the </w:t>
      </w:r>
      <w:r w:rsidRPr="0029614F" w:rsidR="00F41880">
        <w:rPr>
          <w:i/>
          <w:iCs/>
        </w:rPr>
        <w:t>Federal Register</w:t>
      </w:r>
      <w:r w:rsidR="00F41880">
        <w:t xml:space="preserve">, 91 Fed. Reg. </w:t>
      </w:r>
      <w:r w:rsidRPr="003F1EB8" w:rsidR="003F1EB8">
        <w:t xml:space="preserve">8225 </w:t>
      </w:r>
      <w:r w:rsidR="00F41880">
        <w:t>(</w:t>
      </w:r>
      <w:r w:rsidR="003F1EB8">
        <w:t>Feb</w:t>
      </w:r>
      <w:r w:rsidR="00D77975">
        <w:t>.</w:t>
      </w:r>
      <w:r w:rsidR="003F1EB8">
        <w:t xml:space="preserve"> 20, 2026</w:t>
      </w:r>
      <w:r w:rsidR="00F41880">
        <w:t xml:space="preserve">), with interventions and </w:t>
      </w:r>
      <w:r w:rsidR="006D2034">
        <w:t>protests</w:t>
      </w:r>
      <w:r w:rsidR="00F41880">
        <w:t xml:space="preserve"> due on or before </w:t>
      </w:r>
      <w:r w:rsidR="006D2034">
        <w:t>February 23, 2026.</w:t>
      </w:r>
      <w:r w:rsidR="00F41880">
        <w:t xml:space="preserve">  </w:t>
      </w:r>
      <w:r w:rsidR="00136C70">
        <w:t xml:space="preserve">On </w:t>
      </w:r>
      <w:r w:rsidR="005C0829">
        <w:t xml:space="preserve">February 13, 2026, </w:t>
      </w:r>
      <w:r w:rsidR="0029614F">
        <w:t xml:space="preserve">CHPE submitted comments in support of the Deficiency Response. </w:t>
      </w:r>
      <w:r w:rsidR="00F41880">
        <w:t xml:space="preserve">  </w:t>
      </w:r>
    </w:p>
    <w:p w:rsidR="0068753E" w:rsidP="00CC7F09">
      <w:pPr>
        <w:pStyle w:val="FERCparanumber"/>
      </w:pPr>
      <w:r>
        <w:t>CHPE argues that NYISO’s proposed OATT revisions fully satisfy the Commission</w:t>
      </w:r>
      <w:r w:rsidR="005C0BE4">
        <w:t>’</w:t>
      </w:r>
      <w:r>
        <w:t>s consistent with or superior to standard</w:t>
      </w:r>
      <w:r w:rsidR="002D49C0">
        <w:t xml:space="preserve"> </w:t>
      </w:r>
      <w:r w:rsidRPr="0032609F" w:rsidR="002D49C0">
        <w:t>because</w:t>
      </w:r>
      <w:r>
        <w:t xml:space="preserve"> a majority of the OASIS-related functions will be performed by NYISO, including economic evaluation, scheduling of transmission service, and operation of the </w:t>
      </w:r>
      <w:r w:rsidR="002A1291">
        <w:t>Project</w:t>
      </w:r>
      <w:r>
        <w:t>.</w:t>
      </w:r>
      <w:r>
        <w:rPr>
          <w:rStyle w:val="FootnoteReference"/>
        </w:rPr>
        <w:footnoteReference w:id="67"/>
      </w:r>
      <w:r>
        <w:t xml:space="preserve">  CHPE </w:t>
      </w:r>
      <w:r w:rsidR="002D49C0">
        <w:t>asserts</w:t>
      </w:r>
      <w:r>
        <w:t xml:space="preserve"> that NYISO’s Deficiency Response clarifies the intent of </w:t>
      </w:r>
      <w:r w:rsidR="002D49C0">
        <w:t>P</w:t>
      </w:r>
      <w:r>
        <w:t xml:space="preserve">roposed </w:t>
      </w:r>
      <w:r w:rsidR="009F5B25">
        <w:t>Section</w:t>
      </w:r>
      <w:r>
        <w:t xml:space="preserve"> 41 by consenting to add </w:t>
      </w:r>
      <w:r w:rsidRPr="009314B9">
        <w:rPr>
          <w:i/>
          <w:iCs/>
        </w:rPr>
        <w:t>pro forma</w:t>
      </w:r>
      <w:r w:rsidRPr="009314B9">
        <w:t xml:space="preserve"> OATT references to OASIS regulations</w:t>
      </w:r>
      <w:r>
        <w:t xml:space="preserve">. </w:t>
      </w:r>
      <w:r w:rsidR="00196115">
        <w:t xml:space="preserve"> </w:t>
      </w:r>
    </w:p>
    <w:p w:rsidR="00076847" w:rsidP="00076847">
      <w:pPr>
        <w:pStyle w:val="Heading1"/>
      </w:pPr>
      <w:r>
        <w:t>Discussion</w:t>
      </w:r>
    </w:p>
    <w:p w:rsidR="00076847" w:rsidP="00076847">
      <w:pPr>
        <w:pStyle w:val="Heading2"/>
      </w:pPr>
      <w:r>
        <w:t>Procedural Matters</w:t>
      </w:r>
    </w:p>
    <w:p w:rsidR="00617261" w:rsidP="00617261">
      <w:pPr>
        <w:pStyle w:val="FERCparanumber"/>
      </w:pPr>
      <w:r w:rsidRPr="00CA5B73">
        <w:t xml:space="preserve">Pursuant to Rule 214 of the Commission’s Rules of Practice and Procedure, </w:t>
      </w:r>
      <w:r>
        <w:br/>
      </w:r>
      <w:r w:rsidRPr="00CA5B73">
        <w:t xml:space="preserve">18 C.F.R. § 385.214, </w:t>
      </w:r>
      <w:r w:rsidR="00A8173B">
        <w:t xml:space="preserve">the </w:t>
      </w:r>
      <w:r w:rsidR="008A3267">
        <w:t>notice of intervention</w:t>
      </w:r>
      <w:r w:rsidR="008C6962">
        <w:t xml:space="preserve"> and </w:t>
      </w:r>
      <w:r w:rsidR="00D36567">
        <w:t>timely, unopposed motion</w:t>
      </w:r>
      <w:r w:rsidR="00F601B5">
        <w:t>s</w:t>
      </w:r>
      <w:r>
        <w:t xml:space="preserve"> </w:t>
      </w:r>
      <w:r w:rsidR="001542C0">
        <w:t xml:space="preserve">to intervene </w:t>
      </w:r>
      <w:r w:rsidRPr="00CA5B73">
        <w:t xml:space="preserve">serve to make </w:t>
      </w:r>
      <w:r w:rsidR="008C6962">
        <w:t>the</w:t>
      </w:r>
      <w:r w:rsidR="008E632B">
        <w:t xml:space="preserve"> entities that filed </w:t>
      </w:r>
      <w:r w:rsidR="008C6962">
        <w:t>them</w:t>
      </w:r>
      <w:r>
        <w:t xml:space="preserve"> </w:t>
      </w:r>
      <w:r w:rsidRPr="00CA5B73">
        <w:t>part</w:t>
      </w:r>
      <w:r w:rsidR="00191850">
        <w:t>ies</w:t>
      </w:r>
      <w:r w:rsidRPr="00CA5B73">
        <w:t xml:space="preserve"> to this proceeding.</w:t>
      </w:r>
    </w:p>
    <w:p w:rsidR="00F0597B" w:rsidP="00F0597B">
      <w:pPr>
        <w:pStyle w:val="Heading2"/>
      </w:pPr>
      <w:r>
        <w:t>Substantive Matters</w:t>
      </w:r>
    </w:p>
    <w:p w:rsidR="000B24EF" w:rsidP="0077134E">
      <w:pPr>
        <w:pStyle w:val="FERCparanumber"/>
      </w:pPr>
      <w:r w:rsidRPr="005210DE">
        <w:t xml:space="preserve">We accept </w:t>
      </w:r>
      <w:r>
        <w:t>NYISO’s proposed revisions to its OATT and Services Tariff</w:t>
      </w:r>
      <w:r w:rsidRPr="005210DE">
        <w:t xml:space="preserve">, </w:t>
      </w:r>
      <w:r w:rsidR="00741EAA">
        <w:t>effective March 16, 2026</w:t>
      </w:r>
      <w:r w:rsidRPr="005210DE">
        <w:t>,</w:t>
      </w:r>
      <w:r w:rsidR="00041EBA">
        <w:t xml:space="preserve"> </w:t>
      </w:r>
      <w:r w:rsidR="00084754">
        <w:t>subject to a compliance filing to be</w:t>
      </w:r>
      <w:r w:rsidRPr="005210DE">
        <w:t xml:space="preserve"> </w:t>
      </w:r>
      <w:r w:rsidR="00084754">
        <w:t xml:space="preserve">submitted </w:t>
      </w:r>
      <w:r w:rsidRPr="005210DE">
        <w:t>within 30 days of the date of this order, as discussed below.</w:t>
      </w:r>
      <w:r>
        <w:rPr>
          <w:b/>
          <w:vertAlign w:val="superscript"/>
        </w:rPr>
        <w:footnoteReference w:id="68"/>
      </w:r>
      <w:r w:rsidR="005960DC">
        <w:t xml:space="preserve">  </w:t>
      </w:r>
      <w:r w:rsidR="00DB4361">
        <w:t>W</w:t>
      </w:r>
      <w:r w:rsidR="00F77328">
        <w:t xml:space="preserve">e find NYISO’s proposed revisions </w:t>
      </w:r>
      <w:r w:rsidR="00ED6C5A">
        <w:t>to implement</w:t>
      </w:r>
      <w:r w:rsidR="007C309F">
        <w:t xml:space="preserve"> </w:t>
      </w:r>
      <w:r w:rsidRPr="00FD6221" w:rsidR="007C309F">
        <w:t>new market rules for operations, scheduling</w:t>
      </w:r>
      <w:r w:rsidR="007C309F">
        <w:t>,</w:t>
      </w:r>
      <w:r w:rsidRPr="00FD6221" w:rsidR="007C309F">
        <w:t xml:space="preserve"> and management of transmission service</w:t>
      </w:r>
      <w:r w:rsidR="00ED6C5A">
        <w:t xml:space="preserve"> </w:t>
      </w:r>
      <w:r w:rsidR="007C309F">
        <w:t xml:space="preserve">for </w:t>
      </w:r>
      <w:r w:rsidR="00ED6C5A">
        <w:t xml:space="preserve">the Project </w:t>
      </w:r>
      <w:r w:rsidR="0060112F">
        <w:t>in</w:t>
      </w:r>
      <w:r w:rsidR="00F77328">
        <w:t xml:space="preserve"> its OATT and Services Tariff to be just and reasonable</w:t>
      </w:r>
      <w:r w:rsidR="00DB4361">
        <w:t xml:space="preserve"> </w:t>
      </w:r>
      <w:r w:rsidR="00E23D51">
        <w:t xml:space="preserve">and not unduly discriminatory or preferential </w:t>
      </w:r>
      <w:r w:rsidR="00DB4361">
        <w:t>because they</w:t>
      </w:r>
      <w:r w:rsidR="00FD4A81">
        <w:t xml:space="preserve"> </w:t>
      </w:r>
      <w:r w:rsidR="007E1538">
        <w:t>will</w:t>
      </w:r>
      <w:r w:rsidR="00FD4A81">
        <w:t xml:space="preserve"> </w:t>
      </w:r>
      <w:r w:rsidR="009B73EA">
        <w:t xml:space="preserve">allow </w:t>
      </w:r>
      <w:r w:rsidR="00622EED">
        <w:t>NYISO to inte</w:t>
      </w:r>
      <w:r w:rsidR="00CD461C">
        <w:t>grate the Project’s physical reservation model with NYISO’s financial reservation model.</w:t>
      </w:r>
      <w:r w:rsidR="00F601B5">
        <w:t xml:space="preserve">  </w:t>
      </w:r>
      <w:r w:rsidR="00C32449">
        <w:t xml:space="preserve">We </w:t>
      </w:r>
      <w:r w:rsidR="00741EAA">
        <w:t xml:space="preserve">also </w:t>
      </w:r>
      <w:r w:rsidR="00F230B1">
        <w:t xml:space="preserve">find </w:t>
      </w:r>
      <w:r w:rsidR="005A7742">
        <w:t xml:space="preserve">that </w:t>
      </w:r>
      <w:r w:rsidR="00F230B1">
        <w:t xml:space="preserve">NYISO’s </w:t>
      </w:r>
      <w:r w:rsidR="00FA3E12">
        <w:t>proposed</w:t>
      </w:r>
      <w:r w:rsidR="00F230B1">
        <w:t xml:space="preserve"> </w:t>
      </w:r>
      <w:r w:rsidR="00AF0275">
        <w:t>re</w:t>
      </w:r>
      <w:r w:rsidR="005E7B18">
        <w:t>visions</w:t>
      </w:r>
      <w:r w:rsidR="00F601B5">
        <w:t xml:space="preserve"> </w:t>
      </w:r>
      <w:r w:rsidR="005A7742">
        <w:t xml:space="preserve">are consistent with or superior to the </w:t>
      </w:r>
      <w:r w:rsidR="005A7742">
        <w:rPr>
          <w:i/>
          <w:iCs/>
        </w:rPr>
        <w:t xml:space="preserve">pro forma </w:t>
      </w:r>
      <w:r w:rsidR="005A7742">
        <w:t xml:space="preserve">OATT. </w:t>
      </w:r>
      <w:r w:rsidR="00F601B5">
        <w:t xml:space="preserve"> </w:t>
      </w:r>
    </w:p>
    <w:p w:rsidR="00102D0E" w:rsidRPr="00102D0E" w:rsidP="0077134E">
      <w:pPr>
        <w:pStyle w:val="FERCparanumber"/>
      </w:pPr>
      <w:r>
        <w:t>In Order Nos. 888 and 889, the Commission required each public utility (or its agent) that owns, controls, or operates facilities used for the transmission of electric energy in interstate commerce to create or participate in an OASIS that will provide open access transmission customers information about available transmission capacity, prices, and other information.</w:t>
      </w:r>
      <w:r>
        <w:rPr>
          <w:rStyle w:val="FootnoteReference"/>
        </w:rPr>
        <w:footnoteReference w:id="69"/>
      </w:r>
      <w:r>
        <w:t xml:space="preserve">  </w:t>
      </w:r>
      <w:r w:rsidRPr="000828C4">
        <w:t xml:space="preserve">In Order No. 890, the Commission reformed the </w:t>
      </w:r>
      <w:r w:rsidRPr="00CC7F09">
        <w:rPr>
          <w:i/>
        </w:rPr>
        <w:t>pro forma</w:t>
      </w:r>
      <w:r w:rsidRPr="000828C4">
        <w:t xml:space="preserve"> OATT to clarify and expand the obligations of transmission providers to ensure that transmission service is provided on a non-discriminatory basis.</w:t>
      </w:r>
      <w:r w:rsidR="00580DCF">
        <w:t xml:space="preserve">  </w:t>
      </w:r>
      <w:r w:rsidRPr="000828C4">
        <w:t>Part 38 of the Commission’s regulations incorporates by reference certain standards promulgated by the NAESB</w:t>
      </w:r>
      <w:r w:rsidR="008976D3">
        <w:t xml:space="preserve"> WEQ</w:t>
      </w:r>
      <w:r w:rsidR="001173CC">
        <w:t>, wh</w:t>
      </w:r>
      <w:r w:rsidR="0065580C">
        <w:t>ich</w:t>
      </w:r>
      <w:r w:rsidRPr="000828C4">
        <w:t xml:space="preserve"> establish a set of business practice standards and communication protocols for the electric industry.  </w:t>
      </w:r>
      <w:r w:rsidRPr="00B875E5" w:rsidR="002B741A">
        <w:t xml:space="preserve">The Commission has permitted </w:t>
      </w:r>
      <w:r w:rsidR="00DD081C">
        <w:t>deviations</w:t>
      </w:r>
      <w:r w:rsidRPr="00B875E5" w:rsidR="002B741A">
        <w:t xml:space="preserve"> from the open access requirements of the </w:t>
      </w:r>
      <w:r w:rsidRPr="00B875E5" w:rsidR="002B741A">
        <w:rPr>
          <w:i/>
          <w:iCs/>
        </w:rPr>
        <w:t xml:space="preserve">pro forma </w:t>
      </w:r>
      <w:r w:rsidRPr="00B875E5" w:rsidR="002B741A">
        <w:t xml:space="preserve">OATT, as promulgated by Order Nos. 888, 889, and 890, on a case-by-case basis when </w:t>
      </w:r>
      <w:r w:rsidR="001B2B47">
        <w:t>applicants</w:t>
      </w:r>
      <w:r w:rsidRPr="00B875E5" w:rsidR="002B741A">
        <w:t xml:space="preserve"> sufficiently explain either how the deviations are consistent with or superior to the </w:t>
      </w:r>
      <w:r w:rsidRPr="00B875E5" w:rsidR="002B741A">
        <w:rPr>
          <w:i/>
        </w:rPr>
        <w:t>pro forma</w:t>
      </w:r>
      <w:r w:rsidRPr="00B875E5" w:rsidR="002B741A">
        <w:t xml:space="preserve"> OATT</w:t>
      </w:r>
      <w:r w:rsidR="009166DA">
        <w:t xml:space="preserve"> or why certain </w:t>
      </w:r>
      <w:r w:rsidR="009166DA">
        <w:rPr>
          <w:i/>
          <w:iCs/>
        </w:rPr>
        <w:t xml:space="preserve">pro forma </w:t>
      </w:r>
      <w:r w:rsidR="009166DA">
        <w:t>OATT provisions are inapplicable to the applicant’s business model</w:t>
      </w:r>
      <w:r w:rsidR="00815167">
        <w:t>.</w:t>
      </w:r>
      <w:r>
        <w:rPr>
          <w:b/>
          <w:vertAlign w:val="superscript"/>
        </w:rPr>
        <w:footnoteReference w:id="70"/>
      </w:r>
      <w:r w:rsidRPr="00B875E5" w:rsidR="002B741A">
        <w:t xml:space="preserve"> </w:t>
      </w:r>
      <w:r w:rsidR="002B741A">
        <w:t xml:space="preserve"> </w:t>
      </w:r>
    </w:p>
    <w:p w:rsidR="003C70C4" w:rsidP="00837885">
      <w:pPr>
        <w:pStyle w:val="FERCparanumber"/>
      </w:pPr>
      <w:r>
        <w:t xml:space="preserve">We accept NYISO’s proposed revisions </w:t>
      </w:r>
      <w:r w:rsidR="00DB75C3">
        <w:t xml:space="preserve">to delegate </w:t>
      </w:r>
      <w:r>
        <w:t xml:space="preserve">limited </w:t>
      </w:r>
      <w:r w:rsidR="00DB75C3">
        <w:t>authority to CHPE to maintain a limited purpose OASIS</w:t>
      </w:r>
      <w:r w:rsidR="007F3D4B">
        <w:t xml:space="preserve">.  </w:t>
      </w:r>
      <w:r w:rsidR="00DB75C3">
        <w:t>As NYISO points out, Commission regulations require transmission providers to operate an OASIS “either individually or jointly with other Transmission Providers.”</w:t>
      </w:r>
      <w:r>
        <w:rPr>
          <w:rStyle w:val="FootnoteReference"/>
        </w:rPr>
        <w:footnoteReference w:id="71"/>
      </w:r>
      <w:r w:rsidR="00DB75C3">
        <w:t xml:space="preserve">  </w:t>
      </w:r>
      <w:r w:rsidR="00E8559F">
        <w:t>T</w:t>
      </w:r>
      <w:r w:rsidR="00DB75C3">
        <w:t>he purpose of the Commission’s OASIS regulations is to “e</w:t>
      </w:r>
      <w:r w:rsidRPr="000568F0" w:rsidR="00DB75C3">
        <w:t xml:space="preserve">nsure that potential customers of open access transmission service receive access to information that will enable them to obtain transmission service on a non-discriminatory basis from </w:t>
      </w:r>
      <w:r w:rsidRPr="00CC7F09" w:rsidR="00DB75C3">
        <w:t>any</w:t>
      </w:r>
      <w:r w:rsidRPr="000568F0" w:rsidR="00DB75C3">
        <w:t xml:space="preserve"> Transmission Provider</w:t>
      </w:r>
      <w:r w:rsidR="00DB75C3">
        <w:t xml:space="preserve">” by providing a transparent “process for requesting transmission </w:t>
      </w:r>
      <w:r w:rsidRPr="007E732F" w:rsidR="00DB75C3">
        <w:t>service.”</w:t>
      </w:r>
      <w:r>
        <w:rPr>
          <w:rStyle w:val="FootnoteReference"/>
        </w:rPr>
        <w:footnoteReference w:id="72"/>
      </w:r>
      <w:r w:rsidR="00DB75C3">
        <w:t xml:space="preserve">  </w:t>
      </w:r>
      <w:r w:rsidR="00AA54FD">
        <w:t xml:space="preserve">We find that </w:t>
      </w:r>
      <w:r w:rsidR="00335FBF">
        <w:t>NYISO’s</w:t>
      </w:r>
      <w:r w:rsidRPr="007E732F" w:rsidR="00335FBF">
        <w:t xml:space="preserve"> </w:t>
      </w:r>
      <w:r w:rsidRPr="007E732F" w:rsidR="00DB75C3">
        <w:t xml:space="preserve">proposed dual-OASIS structure </w:t>
      </w:r>
      <w:r w:rsidR="00AA54FD">
        <w:t>is consistent with the purpose of the</w:t>
      </w:r>
      <w:r w:rsidRPr="007E732F" w:rsidR="00DB75C3">
        <w:t xml:space="preserve"> </w:t>
      </w:r>
      <w:r w:rsidR="008D4889">
        <w:t xml:space="preserve">Commission’s </w:t>
      </w:r>
      <w:r w:rsidRPr="007E732F" w:rsidR="00DB75C3">
        <w:t xml:space="preserve">OASIS </w:t>
      </w:r>
      <w:r w:rsidR="00AA54FD">
        <w:t>requirements</w:t>
      </w:r>
      <w:r w:rsidRPr="007E732F" w:rsidR="00AA54FD">
        <w:t xml:space="preserve"> </w:t>
      </w:r>
      <w:r w:rsidRPr="007E732F" w:rsidR="00DB75C3">
        <w:t>by ensuring transparent, non-discriminatory access to information necessary to obtain transmission service.</w:t>
      </w:r>
      <w:r>
        <w:rPr>
          <w:rStyle w:val="FootnoteReference"/>
        </w:rPr>
        <w:footnoteReference w:id="73"/>
      </w:r>
      <w:r w:rsidRPr="007E732F" w:rsidR="00DB75C3">
        <w:t xml:space="preserve">  The </w:t>
      </w:r>
      <w:r w:rsidR="004C0221">
        <w:t xml:space="preserve">separate </w:t>
      </w:r>
      <w:r w:rsidRPr="007E732F" w:rsidR="00DB75C3">
        <w:t xml:space="preserve">CHPE OASIS </w:t>
      </w:r>
      <w:r w:rsidR="00B043AB">
        <w:t xml:space="preserve">serves </w:t>
      </w:r>
      <w:r w:rsidRPr="007E732F" w:rsidR="00DB75C3">
        <w:t xml:space="preserve">the limited purpose of </w:t>
      </w:r>
      <w:r w:rsidR="00C4508E">
        <w:t xml:space="preserve">providing a platform for </w:t>
      </w:r>
      <w:r w:rsidRPr="007E732F" w:rsidR="00DB75C3">
        <w:t xml:space="preserve">the resale and reassignment of physical transmission rights on the </w:t>
      </w:r>
      <w:r w:rsidR="00DB75C3">
        <w:t>Project</w:t>
      </w:r>
      <w:r w:rsidRPr="007E732F" w:rsidR="00DB75C3">
        <w:t xml:space="preserve">.  </w:t>
      </w:r>
    </w:p>
    <w:p w:rsidR="00DB75C3" w:rsidP="00837885">
      <w:pPr>
        <w:pStyle w:val="FERCparanumber"/>
      </w:pPr>
      <w:r w:rsidRPr="007E732F">
        <w:t xml:space="preserve">At the same time, NYISO ensures that any MTF Reservations align with financial reservations made on the NYISO OASIS, providing transmission customers with bidding information for NYISO to schedule verified MTF Reservations as Import Energy.  </w:t>
      </w:r>
      <w:r w:rsidRPr="00187540">
        <w:t xml:space="preserve">NYISO will only schedule the resulting imports on the </w:t>
      </w:r>
      <w:r>
        <w:t xml:space="preserve">Project </w:t>
      </w:r>
      <w:r w:rsidRPr="00187540">
        <w:t>once a transmission c</w:t>
      </w:r>
      <w:r>
        <w:t>u</w:t>
      </w:r>
      <w:r w:rsidRPr="00187540">
        <w:t>st</w:t>
      </w:r>
      <w:r>
        <w:t>o</w:t>
      </w:r>
      <w:r w:rsidRPr="00187540">
        <w:t xml:space="preserve">mer’s bid clears the </w:t>
      </w:r>
      <w:r w:rsidR="00BC777B">
        <w:t>D</w:t>
      </w:r>
      <w:r w:rsidRPr="00187540">
        <w:t>ay-</w:t>
      </w:r>
      <w:r w:rsidR="00DB3D2D">
        <w:t>A</w:t>
      </w:r>
      <w:r w:rsidRPr="00D9220F">
        <w:t xml:space="preserve">head or </w:t>
      </w:r>
      <w:r w:rsidR="00BC777B">
        <w:t>R</w:t>
      </w:r>
      <w:r w:rsidRPr="00D9220F">
        <w:t>eal-</w:t>
      </w:r>
      <w:r w:rsidR="00DB3D2D">
        <w:t>T</w:t>
      </w:r>
      <w:r w:rsidRPr="00D9220F">
        <w:t xml:space="preserve">ime </w:t>
      </w:r>
      <w:r w:rsidR="00DB3D2D">
        <w:t>M</w:t>
      </w:r>
      <w:r w:rsidRPr="00D9220F">
        <w:t xml:space="preserve">arket and a valid MTF </w:t>
      </w:r>
      <w:r w:rsidR="000877BF">
        <w:t>R</w:t>
      </w:r>
      <w:r w:rsidRPr="00D9220F">
        <w:t xml:space="preserve">eservation has been verified by NYISO based on the amount of </w:t>
      </w:r>
      <w:r>
        <w:t xml:space="preserve">Project </w:t>
      </w:r>
      <w:r w:rsidRPr="00D9220F">
        <w:t xml:space="preserve">capacity that clears those markets. </w:t>
      </w:r>
      <w:r w:rsidR="00544EDA">
        <w:t xml:space="preserve"> </w:t>
      </w:r>
      <w:r>
        <w:t xml:space="preserve">Therefore, NYISO maintains responsibility for the scheduling and dispatch of energy into the </w:t>
      </w:r>
      <w:r w:rsidR="007A2A57">
        <w:t>NYCA</w:t>
      </w:r>
      <w:r>
        <w:t>, and</w:t>
      </w:r>
      <w:r w:rsidR="00F05C98">
        <w:t xml:space="preserve">, combined with NYISO’s OASIS proposal as discussed below, </w:t>
      </w:r>
      <w:r>
        <w:t>the proposal satisfies the Commission’s open access and transparency requirements</w:t>
      </w:r>
      <w:r w:rsidR="00F05C98">
        <w:t xml:space="preserve"> regarding requests, scheduling, and interruption of transmission service and the posted availability of transmission capacity</w:t>
      </w:r>
      <w:r>
        <w:t xml:space="preserve">.  </w:t>
      </w:r>
    </w:p>
    <w:p w:rsidR="00DB75C3" w:rsidP="007D0D58">
      <w:pPr>
        <w:pStyle w:val="FERCparanumber"/>
      </w:pPr>
      <w:r>
        <w:rPr>
          <w:szCs w:val="26"/>
        </w:rPr>
        <w:t>Regarding the Commission’s OASIS posting requirements</w:t>
      </w:r>
      <w:r w:rsidR="00281AF4">
        <w:rPr>
          <w:szCs w:val="26"/>
        </w:rPr>
        <w:t xml:space="preserve">, </w:t>
      </w:r>
      <w:r w:rsidR="002C1F57">
        <w:rPr>
          <w:szCs w:val="26"/>
        </w:rPr>
        <w:t xml:space="preserve">NYISO has explained </w:t>
      </w:r>
      <w:r w:rsidR="007C6D56">
        <w:rPr>
          <w:szCs w:val="26"/>
        </w:rPr>
        <w:t>how</w:t>
      </w:r>
      <w:r w:rsidR="00B352FA">
        <w:rPr>
          <w:szCs w:val="26"/>
        </w:rPr>
        <w:t xml:space="preserve"> its </w:t>
      </w:r>
      <w:r w:rsidR="005649C4">
        <w:rPr>
          <w:szCs w:val="26"/>
        </w:rPr>
        <w:t xml:space="preserve">OATT and </w:t>
      </w:r>
      <w:r w:rsidR="00DC7A37">
        <w:rPr>
          <w:szCs w:val="26"/>
        </w:rPr>
        <w:t xml:space="preserve">Services Tariff </w:t>
      </w:r>
      <w:r w:rsidR="00DA45DD">
        <w:rPr>
          <w:szCs w:val="26"/>
        </w:rPr>
        <w:t xml:space="preserve">already complies with </w:t>
      </w:r>
      <w:r w:rsidR="008243C9">
        <w:rPr>
          <w:szCs w:val="26"/>
        </w:rPr>
        <w:t xml:space="preserve">certain </w:t>
      </w:r>
      <w:r w:rsidR="00AD7CD6">
        <w:rPr>
          <w:szCs w:val="26"/>
        </w:rPr>
        <w:t xml:space="preserve">OASIS and standard of conduct </w:t>
      </w:r>
      <w:r w:rsidR="00E36759">
        <w:rPr>
          <w:szCs w:val="26"/>
        </w:rPr>
        <w:t>requirements under Parts 37 and 38 of the Comision’s regulations with respect to the CHPE OASIS.</w:t>
      </w:r>
      <w:r w:rsidR="002477C3">
        <w:rPr>
          <w:szCs w:val="26"/>
        </w:rPr>
        <w:t xml:space="preserve">  For the </w:t>
      </w:r>
      <w:r w:rsidR="00854568">
        <w:rPr>
          <w:szCs w:val="26"/>
        </w:rPr>
        <w:t>remainder of those requirements,</w:t>
      </w:r>
      <w:r w:rsidR="007C6D56">
        <w:rPr>
          <w:szCs w:val="26"/>
        </w:rPr>
        <w:t xml:space="preserve"> </w:t>
      </w:r>
      <w:r w:rsidR="00281AF4">
        <w:rPr>
          <w:szCs w:val="26"/>
        </w:rPr>
        <w:t>w</w:t>
      </w:r>
      <w:r w:rsidR="004A686E">
        <w:rPr>
          <w:szCs w:val="26"/>
        </w:rPr>
        <w:t>e find that</w:t>
      </w:r>
      <w:r>
        <w:rPr>
          <w:szCs w:val="26"/>
        </w:rPr>
        <w:t xml:space="preserve"> </w:t>
      </w:r>
      <w:r w:rsidRPr="007D60A7">
        <w:rPr>
          <w:szCs w:val="26"/>
        </w:rPr>
        <w:t xml:space="preserve">NYISO has </w:t>
      </w:r>
      <w:r w:rsidR="007D169E">
        <w:rPr>
          <w:szCs w:val="26"/>
        </w:rPr>
        <w:t xml:space="preserve">either (1) </w:t>
      </w:r>
      <w:r w:rsidRPr="007D60A7">
        <w:rPr>
          <w:szCs w:val="26"/>
        </w:rPr>
        <w:t>shown</w:t>
      </w:r>
      <w:r>
        <w:rPr>
          <w:szCs w:val="26"/>
        </w:rPr>
        <w:t xml:space="preserve"> how its proposal </w:t>
      </w:r>
      <w:r w:rsidR="003206F3">
        <w:rPr>
          <w:szCs w:val="26"/>
        </w:rPr>
        <w:t xml:space="preserve">is consistent with or superior to the </w:t>
      </w:r>
      <w:r w:rsidRPr="00CC7F09" w:rsidR="003206F3">
        <w:rPr>
          <w:i/>
          <w:iCs/>
          <w:szCs w:val="26"/>
        </w:rPr>
        <w:t>pro forma</w:t>
      </w:r>
      <w:r w:rsidR="003206F3">
        <w:rPr>
          <w:szCs w:val="26"/>
        </w:rPr>
        <w:t xml:space="preserve"> OATT, </w:t>
      </w:r>
      <w:r w:rsidR="004F6817">
        <w:rPr>
          <w:szCs w:val="26"/>
        </w:rPr>
        <w:t>(2</w:t>
      </w:r>
      <w:r w:rsidR="00517E82">
        <w:rPr>
          <w:szCs w:val="26"/>
        </w:rPr>
        <w:t xml:space="preserve">) </w:t>
      </w:r>
      <w:r w:rsidR="005376AE">
        <w:rPr>
          <w:szCs w:val="26"/>
        </w:rPr>
        <w:t>explained how such requirements</w:t>
      </w:r>
      <w:r w:rsidR="004A7D6D">
        <w:rPr>
          <w:szCs w:val="26"/>
        </w:rPr>
        <w:t xml:space="preserve"> are inapplicable</w:t>
      </w:r>
      <w:r w:rsidR="00B55822">
        <w:rPr>
          <w:szCs w:val="26"/>
        </w:rPr>
        <w:t xml:space="preserve"> to its </w:t>
      </w:r>
      <w:r w:rsidR="00D25E5B">
        <w:rPr>
          <w:szCs w:val="26"/>
        </w:rPr>
        <w:t>business model</w:t>
      </w:r>
      <w:r w:rsidR="009B6942">
        <w:rPr>
          <w:szCs w:val="26"/>
        </w:rPr>
        <w:t>,</w:t>
      </w:r>
      <w:r>
        <w:rPr>
          <w:rStyle w:val="FootnoteReference"/>
          <w:szCs w:val="26"/>
        </w:rPr>
        <w:footnoteReference w:id="74"/>
      </w:r>
      <w:r w:rsidR="00CE3DF3">
        <w:rPr>
          <w:szCs w:val="26"/>
        </w:rPr>
        <w:t xml:space="preserve"> </w:t>
      </w:r>
      <w:r w:rsidR="00BF0BEB">
        <w:rPr>
          <w:szCs w:val="26"/>
        </w:rPr>
        <w:t>or</w:t>
      </w:r>
      <w:r w:rsidR="00547BC7">
        <w:rPr>
          <w:szCs w:val="26"/>
        </w:rPr>
        <w:t xml:space="preserve"> </w:t>
      </w:r>
      <w:r w:rsidR="0013507F">
        <w:rPr>
          <w:szCs w:val="26"/>
        </w:rPr>
        <w:t xml:space="preserve">            </w:t>
      </w:r>
      <w:r w:rsidR="00FB2A62">
        <w:rPr>
          <w:szCs w:val="26"/>
        </w:rPr>
        <w:t>(</w:t>
      </w:r>
      <w:r w:rsidR="00547BC7">
        <w:rPr>
          <w:szCs w:val="26"/>
        </w:rPr>
        <w:t>3</w:t>
      </w:r>
      <w:r w:rsidR="00FB2A62">
        <w:rPr>
          <w:szCs w:val="26"/>
        </w:rPr>
        <w:t xml:space="preserve">) </w:t>
      </w:r>
      <w:r w:rsidR="00547BC7">
        <w:rPr>
          <w:szCs w:val="26"/>
        </w:rPr>
        <w:t xml:space="preserve">committed to filing revisions </w:t>
      </w:r>
      <w:r w:rsidR="00FA73D9">
        <w:rPr>
          <w:szCs w:val="26"/>
        </w:rPr>
        <w:t>on compliance</w:t>
      </w:r>
      <w:r w:rsidR="005C1291">
        <w:rPr>
          <w:szCs w:val="26"/>
        </w:rPr>
        <w:t>, as discussed below</w:t>
      </w:r>
      <w:r w:rsidR="00E0515F">
        <w:rPr>
          <w:szCs w:val="26"/>
        </w:rPr>
        <w:t>.</w:t>
      </w:r>
      <w:r w:rsidR="00292644">
        <w:rPr>
          <w:szCs w:val="26"/>
        </w:rPr>
        <w:t xml:space="preserve"> </w:t>
      </w:r>
    </w:p>
    <w:p w:rsidR="00DB75C3" w:rsidP="007D0D58">
      <w:pPr>
        <w:pStyle w:val="FERCparanumber"/>
      </w:pPr>
      <w:r w:rsidRPr="004A43BE">
        <w:t xml:space="preserve">NYISO has </w:t>
      </w:r>
      <w:r w:rsidR="00C12905">
        <w:t>explained how certain requirements</w:t>
      </w:r>
      <w:r w:rsidRPr="004A43BE">
        <w:t xml:space="preserve"> of Part 37 are inapplicable to CHPE’s business model or NYISO’s </w:t>
      </w:r>
      <w:r w:rsidR="00B26F52">
        <w:t xml:space="preserve">financial reservation </w:t>
      </w:r>
      <w:r w:rsidRPr="004A43BE">
        <w:t xml:space="preserve">system.  </w:t>
      </w:r>
      <w:r w:rsidR="00082AFC">
        <w:t>As one</w:t>
      </w:r>
      <w:r w:rsidRPr="004A43BE">
        <w:t xml:space="preserve"> example, NYISO </w:t>
      </w:r>
      <w:r w:rsidR="00994888">
        <w:t xml:space="preserve">omits certain provisions, </w:t>
      </w:r>
      <w:r w:rsidRPr="004A43BE">
        <w:t>explain</w:t>
      </w:r>
      <w:r w:rsidR="00994888">
        <w:t>ing</w:t>
      </w:r>
      <w:r w:rsidRPr="004A43BE">
        <w:t xml:space="preserve"> how regulations requiring load calculations and the posting of redispatch data do not apply to the CHPE OASIS because CHPE is not a load serving entity, and redispatch is not a viable option on a unidirectional merchant transmission direct current line that has one point of receipt and one point of delivery.</w:t>
      </w:r>
      <w:r>
        <w:rPr>
          <w:rStyle w:val="FootnoteReference"/>
        </w:rPr>
        <w:footnoteReference w:id="75"/>
      </w:r>
      <w:r w:rsidRPr="004A43BE">
        <w:t xml:space="preserve">  </w:t>
      </w:r>
      <w:r w:rsidR="003F0189">
        <w:t xml:space="preserve">We </w:t>
      </w:r>
      <w:r w:rsidR="008949E5">
        <w:t xml:space="preserve">find that it is reasonable for NYISO </w:t>
      </w:r>
      <w:r w:rsidR="00FD602D">
        <w:t xml:space="preserve">to omit </w:t>
      </w:r>
      <w:r w:rsidR="00843106">
        <w:t xml:space="preserve">tariff provisions on these </w:t>
      </w:r>
      <w:r w:rsidR="003F0189">
        <w:t>inapplicable</w:t>
      </w:r>
      <w:r w:rsidR="00843106">
        <w:t xml:space="preserve"> requirements</w:t>
      </w:r>
      <w:r w:rsidR="003F0189">
        <w:t>.</w:t>
      </w:r>
      <w:r>
        <w:rPr>
          <w:rStyle w:val="FootnoteReference"/>
        </w:rPr>
        <w:footnoteReference w:id="76"/>
      </w:r>
      <w:r w:rsidR="003F0189">
        <w:t xml:space="preserve"> </w:t>
      </w:r>
    </w:p>
    <w:p w:rsidR="00BE4510" w:rsidP="00BE4510">
      <w:pPr>
        <w:pStyle w:val="FERCparanumber"/>
      </w:pPr>
      <w:r>
        <w:t>In Order No. 888</w:t>
      </w:r>
      <w:r w:rsidR="00896205">
        <w:t>,</w:t>
      </w:r>
      <w:r>
        <w:t xml:space="preserve"> the Commission required that</w:t>
      </w:r>
      <w:r w:rsidR="007F5AC7">
        <w:t xml:space="preserve"> a</w:t>
      </w:r>
      <w:r>
        <w:t xml:space="preserve"> public utility’s </w:t>
      </w:r>
      <w:r w:rsidR="00852363">
        <w:t>tariff</w:t>
      </w:r>
      <w:r>
        <w:t xml:space="preserve"> </w:t>
      </w:r>
      <w:r w:rsidR="00852363">
        <w:t xml:space="preserve">must </w:t>
      </w:r>
      <w:r w:rsidR="00896205">
        <w:t xml:space="preserve">explicitly </w:t>
      </w:r>
      <w:r>
        <w:t xml:space="preserve">permit the voluntary reassignments of all or part </w:t>
      </w:r>
      <w:r w:rsidR="00852363">
        <w:t>o</w:t>
      </w:r>
      <w:r>
        <w:t xml:space="preserve">f a </w:t>
      </w:r>
      <w:r w:rsidR="00852363">
        <w:t>holder’s</w:t>
      </w:r>
      <w:r>
        <w:t xml:space="preserve"> firm </w:t>
      </w:r>
      <w:r w:rsidR="000A52FE">
        <w:t xml:space="preserve">point to point </w:t>
      </w:r>
      <w:r>
        <w:t>transmission capacity rights to any eligible customer</w:t>
      </w:r>
      <w:r w:rsidR="00AE634C">
        <w:t>, subject to price caps</w:t>
      </w:r>
      <w:r>
        <w:t>.</w:t>
      </w:r>
      <w:r>
        <w:rPr>
          <w:rStyle w:val="FootnoteReference"/>
        </w:rPr>
        <w:footnoteReference w:id="77"/>
      </w:r>
      <w:r w:rsidR="00AD7A4C">
        <w:t xml:space="preserve"> </w:t>
      </w:r>
      <w:r w:rsidR="00A63075">
        <w:t xml:space="preserve"> In Order No. 890</w:t>
      </w:r>
      <w:r w:rsidR="00042102">
        <w:t xml:space="preserve">, the Commission </w:t>
      </w:r>
      <w:r w:rsidR="00E7747D">
        <w:t xml:space="preserve">further </w:t>
      </w:r>
      <w:r w:rsidR="0059121A">
        <w:t xml:space="preserve">required that </w:t>
      </w:r>
      <w:r w:rsidR="00014326">
        <w:t xml:space="preserve">all sales or assignments of capacity </w:t>
      </w:r>
      <w:r w:rsidR="00595D62">
        <w:t>be conducted through or otherwise posted on t</w:t>
      </w:r>
      <w:r w:rsidR="006625C3">
        <w:t>he t</w:t>
      </w:r>
      <w:r w:rsidR="00F8665C">
        <w:t>ransmission provider’s OASIS</w:t>
      </w:r>
      <w:r w:rsidR="00581F45">
        <w:t>, and execute a service agreement</w:t>
      </w:r>
      <w:r w:rsidR="00F8665C">
        <w:t xml:space="preserve"> on or before </w:t>
      </w:r>
      <w:r w:rsidR="00997236">
        <w:t xml:space="preserve">the date the </w:t>
      </w:r>
      <w:r w:rsidR="009B6DC1">
        <w:t>reassigned service commences.</w:t>
      </w:r>
      <w:r>
        <w:rPr>
          <w:rStyle w:val="FootnoteReference"/>
        </w:rPr>
        <w:footnoteReference w:id="78"/>
      </w:r>
      <w:r w:rsidR="009B6DC1">
        <w:t xml:space="preserve"> </w:t>
      </w:r>
      <w:r w:rsidR="00F05008">
        <w:t xml:space="preserve"> </w:t>
      </w:r>
      <w:r w:rsidR="001C2C5E">
        <w:t xml:space="preserve">We find that </w:t>
      </w:r>
      <w:r w:rsidR="00104480">
        <w:t>NYISO</w:t>
      </w:r>
      <w:r w:rsidR="001C2C5E">
        <w:t>’</w:t>
      </w:r>
      <w:r w:rsidR="002E7E47">
        <w:t>s</w:t>
      </w:r>
      <w:r w:rsidR="00104480">
        <w:t xml:space="preserve"> proposed revisions </w:t>
      </w:r>
      <w:r w:rsidR="002E7E47">
        <w:t xml:space="preserve">are </w:t>
      </w:r>
      <w:r w:rsidR="00730536">
        <w:t>consistent with or superior to</w:t>
      </w:r>
      <w:r w:rsidR="002E7E47">
        <w:t xml:space="preserve"> </w:t>
      </w:r>
      <w:r w:rsidR="00C20B1D">
        <w:t>these requirements</w:t>
      </w:r>
      <w:r w:rsidR="0023377B">
        <w:t>, as discussed below.</w:t>
      </w:r>
      <w:r w:rsidR="002E7E47">
        <w:t xml:space="preserve"> </w:t>
      </w:r>
      <w:r w:rsidR="009B6DC1">
        <w:t xml:space="preserve"> </w:t>
      </w:r>
      <w:r w:rsidR="00F05008">
        <w:t xml:space="preserve"> </w:t>
      </w:r>
    </w:p>
    <w:p w:rsidR="004775AB" w:rsidP="00A63D2A">
      <w:pPr>
        <w:pStyle w:val="FERCparanumber"/>
      </w:pPr>
      <w:r>
        <w:t xml:space="preserve">First, </w:t>
      </w:r>
      <w:r w:rsidR="001A4D95">
        <w:t xml:space="preserve">NYISO </w:t>
      </w:r>
      <w:r w:rsidR="00195922">
        <w:t xml:space="preserve">asserts </w:t>
      </w:r>
      <w:r w:rsidR="00082AFC">
        <w:t>that its</w:t>
      </w:r>
      <w:r w:rsidR="001A4D95">
        <w:t xml:space="preserve"> proposed capacity reassignment provisions </w:t>
      </w:r>
      <w:r w:rsidRPr="009551CD" w:rsidR="009551CD">
        <w:t xml:space="preserve">reflect the characteristics of a single </w:t>
      </w:r>
      <w:r w:rsidR="009551CD">
        <w:t>direct current</w:t>
      </w:r>
      <w:r w:rsidRPr="009551CD" w:rsidR="009551CD">
        <w:t xml:space="preserve"> scheduling path</w:t>
      </w:r>
      <w:r w:rsidR="009551CD">
        <w:t xml:space="preserve"> for the </w:t>
      </w:r>
      <w:r w:rsidR="00101523">
        <w:t>Project</w:t>
      </w:r>
      <w:r w:rsidRPr="009551CD" w:rsidR="009551CD">
        <w:t xml:space="preserve">, compared to the more complex integrated </w:t>
      </w:r>
      <w:r w:rsidR="009551CD">
        <w:t xml:space="preserve">alternating current </w:t>
      </w:r>
      <w:r w:rsidRPr="009551CD" w:rsidR="009551CD">
        <w:t xml:space="preserve">transmission networks the </w:t>
      </w:r>
      <w:r w:rsidRPr="001E7B85" w:rsidR="009551CD">
        <w:rPr>
          <w:i/>
        </w:rPr>
        <w:t>pro forma</w:t>
      </w:r>
      <w:r w:rsidRPr="009551CD" w:rsidR="009551CD">
        <w:t xml:space="preserve"> </w:t>
      </w:r>
      <w:r w:rsidR="009551CD">
        <w:t>O</w:t>
      </w:r>
      <w:r w:rsidR="008C65C2">
        <w:t>A</w:t>
      </w:r>
      <w:r w:rsidR="009551CD">
        <w:t xml:space="preserve">TT </w:t>
      </w:r>
      <w:r w:rsidRPr="009551CD" w:rsidR="009551CD">
        <w:t>rules were developed to accommodate</w:t>
      </w:r>
      <w:r w:rsidR="009551CD">
        <w:t xml:space="preserve">.  </w:t>
      </w:r>
      <w:r w:rsidR="00B67856">
        <w:t>W</w:t>
      </w:r>
      <w:r w:rsidR="008C65C2">
        <w:t xml:space="preserve">e find that NYISO’s </w:t>
      </w:r>
      <w:r w:rsidR="00C67FC1">
        <w:t xml:space="preserve">capacity reassignment </w:t>
      </w:r>
      <w:r w:rsidR="00FD6665">
        <w:t>provisions</w:t>
      </w:r>
      <w:r w:rsidR="00C67FC1">
        <w:t xml:space="preserve"> are consistent with </w:t>
      </w:r>
      <w:r w:rsidR="009168BD">
        <w:t xml:space="preserve">or superior to </w:t>
      </w:r>
      <w:r w:rsidR="00C67FC1">
        <w:t xml:space="preserve">the capacity reassignment provisions in the </w:t>
      </w:r>
      <w:r w:rsidRPr="001E7B85" w:rsidR="00C67FC1">
        <w:rPr>
          <w:i/>
        </w:rPr>
        <w:t>pro forma</w:t>
      </w:r>
      <w:r w:rsidR="00C67FC1">
        <w:t xml:space="preserve"> OATT</w:t>
      </w:r>
      <w:r w:rsidR="00642CA2">
        <w:t xml:space="preserve"> because they </w:t>
      </w:r>
      <w:r w:rsidR="00531C28">
        <w:t xml:space="preserve">provide </w:t>
      </w:r>
      <w:r w:rsidR="00642CA2">
        <w:t xml:space="preserve">that </w:t>
      </w:r>
      <w:r w:rsidR="00C67FC1">
        <w:t>a transmission customer may sell, assign</w:t>
      </w:r>
      <w:r w:rsidR="002F29FC">
        <w:t>,</w:t>
      </w:r>
      <w:r w:rsidR="00C67FC1">
        <w:t xml:space="preserve"> or transfer all or a portion of its transmission capacity rights</w:t>
      </w:r>
      <w:r w:rsidR="00642CA2">
        <w:t>,</w:t>
      </w:r>
      <w:r w:rsidR="00C67FC1">
        <w:t xml:space="preserve"> </w:t>
      </w:r>
      <w:r w:rsidR="00642CA2">
        <w:t>and that</w:t>
      </w:r>
      <w:r w:rsidR="00C67FC1">
        <w:t xml:space="preserve"> all re-sales or </w:t>
      </w:r>
      <w:r w:rsidR="002E33CD">
        <w:t>assignments</w:t>
      </w:r>
      <w:r w:rsidR="00C67FC1">
        <w:t xml:space="preserve"> of</w:t>
      </w:r>
      <w:r w:rsidR="002E33CD">
        <w:t xml:space="preserve"> MTF </w:t>
      </w:r>
      <w:r w:rsidR="00575E6F">
        <w:t>R</w:t>
      </w:r>
      <w:r w:rsidR="002E33CD">
        <w:t>eservations</w:t>
      </w:r>
      <w:r w:rsidR="003D251B">
        <w:t xml:space="preserve"> are</w:t>
      </w:r>
      <w:r w:rsidR="002E33CD">
        <w:t xml:space="preserve"> to be posted on the CHPE OASIS</w:t>
      </w:r>
      <w:r w:rsidR="00FF78F7">
        <w:t xml:space="preserve"> </w:t>
      </w:r>
      <w:r w:rsidR="00A513D7">
        <w:t xml:space="preserve">on or before </w:t>
      </w:r>
      <w:r w:rsidR="0013507F">
        <w:t xml:space="preserve">     </w:t>
      </w:r>
      <w:r w:rsidR="00A513D7">
        <w:t>the date the reassigned service commences</w:t>
      </w:r>
      <w:r w:rsidR="002E33CD">
        <w:t>.</w:t>
      </w:r>
      <w:r>
        <w:rPr>
          <w:rStyle w:val="FootnoteReference"/>
        </w:rPr>
        <w:footnoteReference w:id="79"/>
      </w:r>
      <w:r>
        <w:t xml:space="preserve">  We find that the proposed revisions </w:t>
      </w:r>
      <w:r w:rsidR="0013507F">
        <w:t xml:space="preserve">        </w:t>
      </w:r>
      <w:r>
        <w:t xml:space="preserve">are consistent with or superior to the Commission’s </w:t>
      </w:r>
      <w:r w:rsidRPr="004775AB">
        <w:rPr>
          <w:i/>
          <w:iCs/>
        </w:rPr>
        <w:t>pro forma</w:t>
      </w:r>
      <w:r>
        <w:t xml:space="preserve"> OATT because:  </w:t>
      </w:r>
      <w:r w:rsidR="0013507F">
        <w:t xml:space="preserve">            </w:t>
      </w:r>
      <w:r>
        <w:t xml:space="preserve">(1) transmission services over the Project must be posted on the CHPE OASIS; </w:t>
      </w:r>
      <w:r w:rsidR="0013507F">
        <w:t xml:space="preserve">             </w:t>
      </w:r>
      <w:r>
        <w:t>(2) any unused capacity would be made available to all qualifying market participants under the NYISO OATT; (3) CHPE must post any denials of transmission service on its OASIS according to the Commission’s OASIS rules, thereby rendering transmission services non-discriminatory; and (4) the additional market monitoring oversight and communication failures protocols proposed by NYISO will provide transparency and customer protections.</w:t>
      </w:r>
      <w:r>
        <w:rPr>
          <w:rStyle w:val="FootnoteReference"/>
        </w:rPr>
        <w:footnoteReference w:id="80"/>
      </w:r>
      <w:r>
        <w:t xml:space="preserve">  </w:t>
      </w:r>
    </w:p>
    <w:p w:rsidR="00D70FDD" w:rsidP="00410BD8">
      <w:pPr>
        <w:pStyle w:val="FERCparanumber"/>
      </w:pPr>
      <w:r>
        <w:t xml:space="preserve">Next, </w:t>
      </w:r>
      <w:r w:rsidRPr="007C03A9" w:rsidR="00C4240F">
        <w:t>NYISO</w:t>
      </w:r>
      <w:r w:rsidR="00C4240F">
        <w:t xml:space="preserve"> has consented to </w:t>
      </w:r>
      <w:r w:rsidR="00082AFC">
        <w:t xml:space="preserve">incorporating </w:t>
      </w:r>
      <w:r w:rsidR="00952349">
        <w:t>certain</w:t>
      </w:r>
      <w:r w:rsidRPr="00B84522" w:rsidR="00CD5442">
        <w:rPr>
          <w:i/>
        </w:rPr>
        <w:t xml:space="preserve"> </w:t>
      </w:r>
      <w:r w:rsidRPr="00380744" w:rsidR="00CD5442">
        <w:rPr>
          <w:i/>
          <w:iCs/>
        </w:rPr>
        <w:t>pro forma</w:t>
      </w:r>
      <w:r w:rsidR="00CD5442">
        <w:t xml:space="preserve"> language related to NAESB WEQ standard</w:t>
      </w:r>
      <w:r w:rsidR="00AF6F6C">
        <w:t>s</w:t>
      </w:r>
      <w:r w:rsidR="00ED2C11">
        <w:t>.</w:t>
      </w:r>
      <w:r>
        <w:rPr>
          <w:rStyle w:val="FootnoteReference"/>
        </w:rPr>
        <w:footnoteReference w:id="81"/>
      </w:r>
      <w:r w:rsidR="007C03A9">
        <w:t xml:space="preserve">  </w:t>
      </w:r>
      <w:r>
        <w:t xml:space="preserve">Accordingly, we </w:t>
      </w:r>
      <w:r w:rsidR="005D2D77">
        <w:t>direct</w:t>
      </w:r>
      <w:r w:rsidR="00A86AB2">
        <w:t xml:space="preserve"> NYISO to submit a compliance filing within 30 days of the</w:t>
      </w:r>
      <w:r w:rsidR="005226DC">
        <w:t xml:space="preserve"> date of</w:t>
      </w:r>
      <w:r w:rsidR="00A86AB2">
        <w:t xml:space="preserve"> issuance of this order </w:t>
      </w:r>
      <w:r w:rsidR="0093197D">
        <w:t xml:space="preserve">incorporating </w:t>
      </w:r>
      <w:r w:rsidR="00A86AB2">
        <w:t>th</w:t>
      </w:r>
      <w:r w:rsidR="00B013AD">
        <w:t>ose</w:t>
      </w:r>
      <w:r>
        <w:t xml:space="preserve"> revisions</w:t>
      </w:r>
      <w:r w:rsidR="00DE5D00">
        <w:t xml:space="preserve"> in</w:t>
      </w:r>
      <w:r w:rsidR="00401254">
        <w:t>to the OATT</w:t>
      </w:r>
      <w:r>
        <w:t>.</w:t>
      </w:r>
      <w:r>
        <w:rPr>
          <w:rStyle w:val="FootnoteReference"/>
        </w:rPr>
        <w:footnoteReference w:id="82"/>
      </w:r>
      <w:r>
        <w:t xml:space="preserve">    </w:t>
      </w:r>
    </w:p>
    <w:p w:rsidR="00FD6221" w:rsidRPr="00FD6221" w:rsidP="00B47054">
      <w:r w:rsidRPr="00FD6221">
        <w:rPr>
          <w:u w:val="single"/>
        </w:rPr>
        <w:t>The Commission orders</w:t>
      </w:r>
      <w:r w:rsidRPr="00FD6221">
        <w:t>:</w:t>
      </w:r>
    </w:p>
    <w:p w:rsidR="00FD6221" w:rsidRPr="00FD6221" w:rsidP="00B47054"/>
    <w:p w:rsidR="00D707AD" w:rsidRPr="00DE74F4" w:rsidP="00D707AD">
      <w:pPr>
        <w:pStyle w:val="ListParagraph"/>
        <w:numPr>
          <w:ilvl w:val="0"/>
          <w:numId w:val="23"/>
        </w:numPr>
        <w:spacing w:after="260"/>
        <w:contextualSpacing w:val="0"/>
      </w:pPr>
      <w:r>
        <w:t xml:space="preserve">NYISO’s proposed </w:t>
      </w:r>
      <w:r w:rsidR="00865487">
        <w:t xml:space="preserve">revisions to its </w:t>
      </w:r>
      <w:r>
        <w:t>OATT and Services Tariff are</w:t>
      </w:r>
      <w:r w:rsidRPr="00DE74F4">
        <w:t xml:space="preserve"> </w:t>
      </w:r>
      <w:r>
        <w:t xml:space="preserve">hereby </w:t>
      </w:r>
      <w:r w:rsidRPr="00DE74F4">
        <w:t>accepted</w:t>
      </w:r>
      <w:r w:rsidR="00B04357">
        <w:t xml:space="preserve">, </w:t>
      </w:r>
      <w:r w:rsidRPr="00DE74F4">
        <w:t xml:space="preserve">effective </w:t>
      </w:r>
      <w:r w:rsidR="00B04357">
        <w:t>March 16, 2026</w:t>
      </w:r>
      <w:r w:rsidRPr="00DE74F4">
        <w:t>.</w:t>
      </w:r>
    </w:p>
    <w:p w:rsidR="00D707AD" w:rsidP="00D707AD">
      <w:pPr>
        <w:pStyle w:val="ListParagraph"/>
        <w:numPr>
          <w:ilvl w:val="0"/>
          <w:numId w:val="23"/>
        </w:numPr>
        <w:spacing w:after="260"/>
        <w:contextualSpacing w:val="0"/>
      </w:pPr>
      <w:r>
        <w:t xml:space="preserve">NYISO is directed to </w:t>
      </w:r>
      <w:r w:rsidR="00C07618">
        <w:t>submit a compliance filing</w:t>
      </w:r>
      <w:r w:rsidR="002904EA">
        <w:t xml:space="preserve"> within </w:t>
      </w:r>
      <w:r w:rsidRPr="00655168" w:rsidR="002904EA">
        <w:t>30</w:t>
      </w:r>
      <w:r w:rsidR="002904EA">
        <w:t xml:space="preserve"> days of the date of this order, </w:t>
      </w:r>
      <w:r w:rsidRPr="00DE74F4">
        <w:t xml:space="preserve">as discussed in the body of this order.  </w:t>
      </w:r>
    </w:p>
    <w:p w:rsidR="00FD6221" w:rsidRPr="00FD6221" w:rsidP="00B47054">
      <w:r w:rsidRPr="00FD6221">
        <w:t>By the Commission.</w:t>
      </w:r>
    </w:p>
    <w:p w:rsidR="00FD6221" w:rsidP="00B47054"/>
    <w:p w:rsidR="00D07A5C" w:rsidP="00D07A5C">
      <w:pPr>
        <w:widowControl/>
      </w:pPr>
      <w:r w:rsidRPr="00D07A5C">
        <w:t>( S E A L )</w:t>
      </w:r>
    </w:p>
    <w:p w:rsidR="00D07A5C" w:rsidRPr="00D07A5C" w:rsidP="00BF007B">
      <w:pPr>
        <w:widowControl/>
      </w:pPr>
    </w:p>
    <w:p w:rsidR="00D07A5C" w:rsidRPr="00FD6221" w:rsidP="00B47054"/>
    <w:p w:rsidR="00D07A5C">
      <w:pPr>
        <w:widowControl/>
        <w:spacing w:after="160" w:line="259" w:lineRule="auto"/>
      </w:pPr>
    </w:p>
    <w:p w:rsidR="00D07A5C" w:rsidRPr="00D07A5C" w:rsidP="00BF007B">
      <w:pPr>
        <w:widowControl/>
        <w:ind w:firstLine="2606"/>
        <w:jc w:val="center"/>
      </w:pPr>
      <w:r w:rsidRPr="00D07A5C">
        <w:t>Debbie-Anne A. Reese,</w:t>
      </w:r>
    </w:p>
    <w:p w:rsidR="00D07A5C" w:rsidRPr="00D07A5C" w:rsidP="00BF007B">
      <w:pPr>
        <w:widowControl/>
        <w:ind w:firstLine="2606"/>
        <w:jc w:val="center"/>
      </w:pPr>
      <w:r w:rsidRPr="00D07A5C">
        <w:t>Secretary.</w:t>
      </w:r>
    </w:p>
    <w:p w:rsidR="00D07A5C">
      <w:pPr>
        <w:widowControl/>
        <w:spacing w:after="160" w:line="259" w:lineRule="auto"/>
      </w:pPr>
    </w:p>
    <w:p w:rsidR="003209BA">
      <w:pPr>
        <w:widowControl/>
        <w:spacing w:after="160" w:line="259" w:lineRule="auto"/>
      </w:pPr>
      <w:r>
        <w:br w:type="page"/>
      </w:r>
    </w:p>
    <w:p w:rsidR="00601B96" w:rsidRPr="00601B96" w:rsidP="00CC7F09">
      <w:pPr>
        <w:jc w:val="center"/>
        <w:rPr>
          <w:b/>
          <w:bCs/>
        </w:rPr>
      </w:pPr>
      <w:r w:rsidRPr="00601B96">
        <w:rPr>
          <w:b/>
          <w:bCs/>
        </w:rPr>
        <w:t>Appendix – Tariff Record</w:t>
      </w:r>
    </w:p>
    <w:p w:rsidR="00601B96" w:rsidP="008F2670">
      <w:pPr>
        <w:jc w:val="center"/>
        <w:rPr>
          <w:b/>
          <w:bCs/>
        </w:rPr>
      </w:pPr>
    </w:p>
    <w:p w:rsidR="00DF2E1A" w:rsidRPr="00601B96" w:rsidP="00DF2E1A">
      <w:pPr>
        <w:rPr>
          <w:b/>
          <w:bCs/>
        </w:rPr>
      </w:pPr>
      <w:r>
        <w:rPr>
          <w:b/>
          <w:bCs/>
        </w:rPr>
        <w:t>ER26-570-000</w:t>
      </w:r>
    </w:p>
    <w:p w:rsidR="006B4A95" w:rsidRPr="006B4A95" w:rsidP="006B4A95">
      <w:pPr>
        <w:jc w:val="center"/>
      </w:pPr>
      <w:r w:rsidRPr="006B4A95">
        <w:t>New York Independent System Operator, Inc.</w:t>
      </w:r>
    </w:p>
    <w:p w:rsidR="006B4A95" w:rsidP="006B4A95">
      <w:pPr>
        <w:jc w:val="center"/>
      </w:pPr>
      <w:r w:rsidRPr="006B4A95">
        <w:t>NYISO Tariffs</w:t>
      </w:r>
    </w:p>
    <w:p w:rsidR="002917ED" w:rsidRPr="006B4A95" w:rsidP="006B4A95">
      <w:pPr>
        <w:jc w:val="center"/>
      </w:pPr>
    </w:p>
    <w:p w:rsidR="00DF2E1A" w:rsidRPr="00DF2E1A" w:rsidP="00CC7F09">
      <w:pPr>
        <w:pStyle w:val="ListParagraph"/>
        <w:numPr>
          <w:ilvl w:val="0"/>
          <w:numId w:val="31"/>
        </w:numPr>
      </w:pPr>
      <w:hyperlink r:id="rId11" w:history="1">
        <w:r w:rsidRPr="00DF2E1A">
          <w:rPr>
            <w:rStyle w:val="Hyperlink"/>
          </w:rPr>
          <w:t>NYISO OATT, 2.4 OATT Open Access Same Time Information System - OASIS (1.0.0)</w:t>
        </w:r>
      </w:hyperlink>
    </w:p>
    <w:p w:rsidR="00DF2E1A" w:rsidRPr="00DF2E1A" w:rsidP="00CC7F09">
      <w:pPr>
        <w:pStyle w:val="ListParagraph"/>
        <w:numPr>
          <w:ilvl w:val="0"/>
          <w:numId w:val="31"/>
        </w:numPr>
      </w:pPr>
      <w:hyperlink r:id="rId12" w:history="1">
        <w:r w:rsidRPr="00DF2E1A">
          <w:rPr>
            <w:rStyle w:val="Hyperlink"/>
          </w:rPr>
          <w:t>NYISO OATT, 3 OATT Point-To-Point Transmission Service (4.0.0)</w:t>
        </w:r>
      </w:hyperlink>
      <w:r w:rsidRPr="00DF2E1A">
        <w:tab/>
      </w:r>
    </w:p>
    <w:p w:rsidR="00DF2E1A" w:rsidRPr="00DF2E1A" w:rsidP="00CC7F09">
      <w:pPr>
        <w:pStyle w:val="ListParagraph"/>
        <w:numPr>
          <w:ilvl w:val="0"/>
          <w:numId w:val="31"/>
        </w:numPr>
      </w:pPr>
      <w:hyperlink r:id="rId13" w:history="1">
        <w:r w:rsidRPr="00DF2E1A">
          <w:rPr>
            <w:rStyle w:val="Hyperlink"/>
          </w:rPr>
          <w:t>NYISO OATT, 3.1 OATT Nature of Firm Point To Point Transmission Service (6.0.0)</w:t>
        </w:r>
      </w:hyperlink>
      <w:r w:rsidRPr="00DF2E1A">
        <w:tab/>
      </w:r>
    </w:p>
    <w:p w:rsidR="00DF2E1A" w:rsidRPr="00DF2E1A" w:rsidP="00CC7F09">
      <w:pPr>
        <w:pStyle w:val="ListParagraph"/>
        <w:numPr>
          <w:ilvl w:val="0"/>
          <w:numId w:val="31"/>
        </w:numPr>
      </w:pPr>
      <w:hyperlink r:id="rId14" w:history="1">
        <w:r w:rsidRPr="00DF2E1A">
          <w:rPr>
            <w:rStyle w:val="Hyperlink"/>
          </w:rPr>
          <w:t>NYISO OATT, 9 OATT Attachment C - Methodology To Assess Available Transf (6.0.0)</w:t>
        </w:r>
      </w:hyperlink>
    </w:p>
    <w:p w:rsidR="00DF2E1A" w:rsidRPr="00DF2E1A" w:rsidP="00CC7F09">
      <w:pPr>
        <w:pStyle w:val="ListParagraph"/>
        <w:numPr>
          <w:ilvl w:val="0"/>
          <w:numId w:val="31"/>
        </w:numPr>
      </w:pPr>
      <w:hyperlink r:id="rId15" w:history="1">
        <w:r w:rsidRPr="00DF2E1A">
          <w:rPr>
            <w:rStyle w:val="Hyperlink"/>
          </w:rPr>
          <w:t>NYISO OATT, 12.4 OATT Att F Treatment Of Confidential And Transmission S (10.0.0)</w:t>
        </w:r>
      </w:hyperlink>
      <w:r w:rsidRPr="00DF2E1A">
        <w:tab/>
      </w:r>
    </w:p>
    <w:p w:rsidR="00DF2E1A" w:rsidRPr="00DF2E1A" w:rsidP="00CC7F09">
      <w:pPr>
        <w:pStyle w:val="ListParagraph"/>
        <w:numPr>
          <w:ilvl w:val="0"/>
          <w:numId w:val="31"/>
        </w:numPr>
      </w:pPr>
      <w:hyperlink r:id="rId16" w:history="1">
        <w:r w:rsidRPr="00DF2E1A">
          <w:rPr>
            <w:rStyle w:val="Hyperlink"/>
          </w:rPr>
          <w:t>NYISO OATT, 16.3 OATT Att J Transmission Service, Schedules And Curtailm (14.0.0)</w:t>
        </w:r>
      </w:hyperlink>
    </w:p>
    <w:p w:rsidR="00DF2E1A" w:rsidRPr="00DF2E1A" w:rsidP="00CC7F09">
      <w:pPr>
        <w:pStyle w:val="ListParagraph"/>
        <w:numPr>
          <w:ilvl w:val="0"/>
          <w:numId w:val="31"/>
        </w:numPr>
      </w:pPr>
      <w:hyperlink r:id="rId17" w:history="1">
        <w:r w:rsidRPr="00DF2E1A">
          <w:rPr>
            <w:rStyle w:val="Hyperlink"/>
          </w:rPr>
          <w:t>NYISO OATT, 19.2 OATT Att M Award of TCCs Other Than Through TCC Auction (13.0.0)</w:t>
        </w:r>
      </w:hyperlink>
      <w:r w:rsidRPr="00DF2E1A">
        <w:tab/>
      </w:r>
    </w:p>
    <w:p w:rsidR="00DF2E1A" w:rsidRPr="00DF2E1A" w:rsidP="00CC7F09">
      <w:pPr>
        <w:pStyle w:val="ListParagraph"/>
        <w:numPr>
          <w:ilvl w:val="0"/>
          <w:numId w:val="31"/>
        </w:numPr>
      </w:pPr>
      <w:hyperlink r:id="rId18" w:history="1">
        <w:r w:rsidRPr="00DF2E1A">
          <w:rPr>
            <w:rStyle w:val="Hyperlink"/>
          </w:rPr>
          <w:t>NYISO OATT, 19.8 OATT Att M Auctions for TCCs (10.0.0)</w:t>
        </w:r>
      </w:hyperlink>
      <w:r w:rsidRPr="00DF2E1A">
        <w:tab/>
      </w:r>
    </w:p>
    <w:p w:rsidR="00DF2E1A" w:rsidRPr="00DF2E1A" w:rsidP="00CC7F09">
      <w:pPr>
        <w:pStyle w:val="ListParagraph"/>
        <w:numPr>
          <w:ilvl w:val="0"/>
          <w:numId w:val="31"/>
        </w:numPr>
      </w:pPr>
      <w:hyperlink r:id="rId19" w:history="1">
        <w:r w:rsidRPr="00DF2E1A">
          <w:rPr>
            <w:rStyle w:val="Hyperlink"/>
          </w:rPr>
          <w:t>NYISO OATT, 19.9 OATT Att M Procedures for Sales of TCCs in Each Auction (10.0.0)</w:t>
        </w:r>
      </w:hyperlink>
      <w:r w:rsidRPr="00DF2E1A">
        <w:tab/>
      </w:r>
    </w:p>
    <w:p w:rsidR="00DF2E1A" w:rsidRPr="00DF2E1A" w:rsidP="00CC7F09">
      <w:pPr>
        <w:pStyle w:val="ListParagraph"/>
        <w:numPr>
          <w:ilvl w:val="0"/>
          <w:numId w:val="31"/>
        </w:numPr>
      </w:pPr>
      <w:hyperlink r:id="rId20" w:history="1">
        <w:r w:rsidRPr="00DF2E1A">
          <w:rPr>
            <w:rStyle w:val="Hyperlink"/>
          </w:rPr>
          <w:t>NYISO OATT, 35.23 OATT Att CC Schedule D - M2M Coordination (11.0.0)</w:t>
        </w:r>
      </w:hyperlink>
      <w:r w:rsidRPr="00DF2E1A">
        <w:tab/>
      </w:r>
    </w:p>
    <w:p w:rsidR="00DF2E1A" w:rsidRPr="00DF2E1A" w:rsidP="00CC7F09">
      <w:pPr>
        <w:pStyle w:val="ListParagraph"/>
        <w:numPr>
          <w:ilvl w:val="0"/>
          <w:numId w:val="31"/>
        </w:numPr>
      </w:pPr>
      <w:hyperlink r:id="rId21" w:history="1">
        <w:r w:rsidRPr="00DF2E1A">
          <w:rPr>
            <w:rStyle w:val="Hyperlink"/>
          </w:rPr>
          <w:t>NYISO OATT, 41 OATT Att II - Champlain Hudson Power Express Merchant T (0.0.0)</w:t>
        </w:r>
      </w:hyperlink>
      <w:r w:rsidRPr="00DF2E1A">
        <w:tab/>
      </w:r>
    </w:p>
    <w:p w:rsidR="00DF2E1A" w:rsidRPr="00DF2E1A" w:rsidP="00CC7F09">
      <w:pPr>
        <w:pStyle w:val="ListParagraph"/>
        <w:numPr>
          <w:ilvl w:val="0"/>
          <w:numId w:val="31"/>
        </w:numPr>
      </w:pPr>
      <w:hyperlink r:id="rId22" w:history="1">
        <w:r w:rsidRPr="00DF2E1A">
          <w:rPr>
            <w:rStyle w:val="Hyperlink"/>
          </w:rPr>
          <w:t>NYISO MST, 4.2 MST Day-Ahead Markets and Schedules (38.0.0)</w:t>
        </w:r>
      </w:hyperlink>
      <w:r w:rsidRPr="00DF2E1A">
        <w:tab/>
      </w:r>
    </w:p>
    <w:p w:rsidR="00DF2E1A" w:rsidRPr="00DF2E1A" w:rsidP="00CC7F09">
      <w:pPr>
        <w:pStyle w:val="ListParagraph"/>
        <w:numPr>
          <w:ilvl w:val="0"/>
          <w:numId w:val="31"/>
        </w:numPr>
      </w:pPr>
      <w:hyperlink r:id="rId23" w:history="1">
        <w:r w:rsidRPr="00DF2E1A">
          <w:rPr>
            <w:rStyle w:val="Hyperlink"/>
          </w:rPr>
          <w:t>NYISO MST, 4.4 MST Real-Time Markets and Schedules (54.0.0)</w:t>
        </w:r>
      </w:hyperlink>
      <w:r w:rsidRPr="00DF2E1A">
        <w:tab/>
      </w:r>
    </w:p>
    <w:p w:rsidR="00DF2E1A" w:rsidRPr="00DF2E1A" w:rsidP="00CC7F09">
      <w:pPr>
        <w:pStyle w:val="ListParagraph"/>
        <w:numPr>
          <w:ilvl w:val="0"/>
          <w:numId w:val="31"/>
        </w:numPr>
      </w:pPr>
      <w:hyperlink r:id="rId24" w:history="1">
        <w:r w:rsidRPr="00DF2E1A">
          <w:rPr>
            <w:rStyle w:val="Hyperlink"/>
          </w:rPr>
          <w:t>NYISO MST, 17.1 MST Att B LBMP Calculation (43.0.0)</w:t>
        </w:r>
      </w:hyperlink>
      <w:r w:rsidRPr="00DF2E1A">
        <w:tab/>
      </w:r>
    </w:p>
    <w:p w:rsidR="00DF2E1A" w:rsidRPr="00DF2E1A" w:rsidP="00CC7F09">
      <w:pPr>
        <w:pStyle w:val="ListParagraph"/>
        <w:numPr>
          <w:ilvl w:val="0"/>
          <w:numId w:val="31"/>
        </w:numPr>
      </w:pPr>
      <w:hyperlink r:id="rId25" w:history="1">
        <w:r w:rsidRPr="00DF2E1A">
          <w:rPr>
            <w:rStyle w:val="Hyperlink"/>
          </w:rPr>
          <w:t>NYISO MST, 23.2 MST Att H Conduct Warranting Mitigation (56.0.0)</w:t>
        </w:r>
      </w:hyperlink>
      <w:r w:rsidRPr="00DF2E1A">
        <w:tab/>
      </w:r>
    </w:p>
    <w:p w:rsidR="00FF32A1" w:rsidP="008F2670">
      <w:pPr>
        <w:pStyle w:val="ListParagraph"/>
        <w:numPr>
          <w:ilvl w:val="0"/>
          <w:numId w:val="31"/>
        </w:numPr>
      </w:pPr>
      <w:hyperlink r:id="rId26" w:history="1">
        <w:r w:rsidRPr="00DF2E1A">
          <w:rPr>
            <w:rStyle w:val="Hyperlink"/>
          </w:rPr>
          <w:t>NYISO MST, 29 MST Attachment N - External Transactions at the Prxy Gnr (2.0.0)</w:t>
        </w:r>
      </w:hyperlink>
      <w:r w:rsidRPr="00DF2E1A">
        <w:tab/>
      </w:r>
    </w:p>
    <w:p w:rsidR="00DF2E1A" w:rsidP="008F2670">
      <w:pPr>
        <w:rPr>
          <w:b/>
          <w:bCs/>
        </w:rPr>
      </w:pPr>
    </w:p>
    <w:p w:rsidR="00DF2E1A" w:rsidRPr="00CC7F09" w:rsidP="00CC7F09">
      <w:pPr>
        <w:rPr>
          <w:b/>
          <w:bCs/>
        </w:rPr>
      </w:pPr>
      <w:r w:rsidRPr="00CC7F09">
        <w:rPr>
          <w:b/>
          <w:bCs/>
        </w:rPr>
        <w:t>ER26-570-00</w:t>
      </w:r>
      <w:r>
        <w:rPr>
          <w:b/>
          <w:bCs/>
        </w:rPr>
        <w:t>1</w:t>
      </w:r>
    </w:p>
    <w:p w:rsidR="00DF2E1A" w:rsidRPr="006B4A95" w:rsidP="00DF2E1A">
      <w:pPr>
        <w:jc w:val="center"/>
      </w:pPr>
      <w:r w:rsidRPr="006B4A95">
        <w:t>New York Independent System Operator, Inc.</w:t>
      </w:r>
    </w:p>
    <w:p w:rsidR="00DF2E1A" w:rsidP="00DF2E1A">
      <w:pPr>
        <w:jc w:val="center"/>
      </w:pPr>
      <w:r w:rsidRPr="006B4A95">
        <w:t>NYISO Tariffs</w:t>
      </w:r>
    </w:p>
    <w:p w:rsidR="002917ED" w:rsidRPr="006B4A95" w:rsidP="00DF2E1A">
      <w:pPr>
        <w:jc w:val="center"/>
      </w:pPr>
    </w:p>
    <w:p w:rsidR="002917ED" w:rsidRPr="002917ED" w:rsidP="00CC7F09">
      <w:pPr>
        <w:pStyle w:val="ListParagraph"/>
        <w:numPr>
          <w:ilvl w:val="0"/>
          <w:numId w:val="32"/>
        </w:numPr>
      </w:pPr>
      <w:hyperlink r:id="rId27" w:history="1">
        <w:r w:rsidRPr="002917ED">
          <w:rPr>
            <w:rStyle w:val="Hyperlink"/>
          </w:rPr>
          <w:t>NYISO OATT, 1.3 OATT Definitions - C (16.0.0)</w:t>
        </w:r>
      </w:hyperlink>
      <w:r w:rsidRPr="002917ED">
        <w:tab/>
      </w:r>
    </w:p>
    <w:p w:rsidR="002917ED" w:rsidRPr="002917ED" w:rsidP="00CC7F09">
      <w:pPr>
        <w:pStyle w:val="ListParagraph"/>
        <w:numPr>
          <w:ilvl w:val="0"/>
          <w:numId w:val="32"/>
        </w:numPr>
      </w:pPr>
      <w:hyperlink r:id="rId28" w:history="1">
        <w:r w:rsidRPr="002917ED">
          <w:rPr>
            <w:rStyle w:val="Hyperlink"/>
          </w:rPr>
          <w:t>NYISO OATT, 1.13 OATT Definitions - M (12.0.0)</w:t>
        </w:r>
      </w:hyperlink>
      <w:r w:rsidRPr="002917ED">
        <w:tab/>
      </w:r>
    </w:p>
    <w:p w:rsidR="002917ED" w:rsidRPr="002917ED" w:rsidP="00CC7F09">
      <w:pPr>
        <w:pStyle w:val="ListParagraph"/>
        <w:numPr>
          <w:ilvl w:val="0"/>
          <w:numId w:val="32"/>
        </w:numPr>
      </w:pPr>
      <w:hyperlink r:id="rId29" w:history="1">
        <w:r w:rsidRPr="002917ED">
          <w:rPr>
            <w:rStyle w:val="Hyperlink"/>
          </w:rPr>
          <w:t>NYISO OATT, 1.17 OATT Definitions - Q (4.0.0)</w:t>
        </w:r>
      </w:hyperlink>
      <w:r w:rsidRPr="002917ED">
        <w:tab/>
      </w:r>
    </w:p>
    <w:p w:rsidR="002917ED" w:rsidRPr="002917ED" w:rsidP="00CC7F09">
      <w:pPr>
        <w:pStyle w:val="ListParagraph"/>
        <w:numPr>
          <w:ilvl w:val="0"/>
          <w:numId w:val="32"/>
        </w:numPr>
      </w:pPr>
      <w:hyperlink r:id="rId30" w:history="1">
        <w:r w:rsidRPr="002917ED">
          <w:rPr>
            <w:rStyle w:val="Hyperlink"/>
          </w:rPr>
          <w:t>NYISO OATT, 1.18 OATT Definitions - R (16.0.0)</w:t>
        </w:r>
      </w:hyperlink>
      <w:r w:rsidRPr="002917ED">
        <w:tab/>
      </w:r>
    </w:p>
    <w:p w:rsidR="002917ED" w:rsidRPr="002917ED" w:rsidP="00CC7F09">
      <w:pPr>
        <w:pStyle w:val="ListParagraph"/>
        <w:numPr>
          <w:ilvl w:val="0"/>
          <w:numId w:val="32"/>
        </w:numPr>
      </w:pPr>
      <w:hyperlink r:id="rId31" w:history="1">
        <w:r w:rsidRPr="002917ED">
          <w:rPr>
            <w:rStyle w:val="Hyperlink"/>
          </w:rPr>
          <w:t>NYISO MST, 2.3 MST Definitions - C (38.0.0)</w:t>
        </w:r>
      </w:hyperlink>
      <w:r w:rsidRPr="002917ED">
        <w:tab/>
      </w:r>
    </w:p>
    <w:p w:rsidR="002917ED" w:rsidRPr="002917ED" w:rsidP="00CC7F09">
      <w:pPr>
        <w:pStyle w:val="ListParagraph"/>
        <w:numPr>
          <w:ilvl w:val="0"/>
          <w:numId w:val="32"/>
        </w:numPr>
      </w:pPr>
      <w:hyperlink r:id="rId32" w:history="1">
        <w:r w:rsidRPr="002917ED">
          <w:rPr>
            <w:rStyle w:val="Hyperlink"/>
          </w:rPr>
          <w:t>NYISO MST, 2.13 MST Definitions - M (34.0.0)</w:t>
        </w:r>
      </w:hyperlink>
      <w:r w:rsidRPr="002917ED">
        <w:tab/>
      </w:r>
    </w:p>
    <w:p w:rsidR="002917ED" w:rsidRPr="002917ED" w:rsidP="00CC7F09">
      <w:pPr>
        <w:pStyle w:val="ListParagraph"/>
        <w:numPr>
          <w:ilvl w:val="0"/>
          <w:numId w:val="32"/>
        </w:numPr>
      </w:pPr>
      <w:hyperlink r:id="rId33" w:history="1">
        <w:r w:rsidRPr="002917ED">
          <w:rPr>
            <w:rStyle w:val="Hyperlink"/>
          </w:rPr>
          <w:t>NYISO MST, 2.17 MST Definitions - Q (5.0.0)</w:t>
        </w:r>
      </w:hyperlink>
      <w:r w:rsidRPr="002917ED">
        <w:tab/>
      </w:r>
    </w:p>
    <w:p w:rsidR="002917ED" w:rsidRPr="002917ED" w:rsidP="00CC7F09">
      <w:pPr>
        <w:pStyle w:val="ListParagraph"/>
        <w:numPr>
          <w:ilvl w:val="0"/>
          <w:numId w:val="32"/>
        </w:numPr>
      </w:pPr>
      <w:hyperlink r:id="rId34" w:history="1">
        <w:r w:rsidRPr="002917ED">
          <w:rPr>
            <w:rStyle w:val="Hyperlink"/>
          </w:rPr>
          <w:t>NYISO MST, 2.18 MST Definitions - R (37.0.0)</w:t>
        </w:r>
      </w:hyperlink>
      <w:r w:rsidRPr="002917ED">
        <w:tab/>
      </w:r>
    </w:p>
    <w:p w:rsidR="00FF32A1" w:rsidRPr="00FD6221" w:rsidP="00DF2E1A"/>
    <w:sectPr w:rsidSect="00FD6221">
      <w:headerReference w:type="even" r:id="rId35"/>
      <w:headerReference w:type="default" r:id="rId36"/>
      <w:footerReference w:type="default" r:id="rId37"/>
      <w:headerReference w:type="first" r:id="rId3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532" w:rsidP="0048020B">
      <w:r>
        <w:separator/>
      </w:r>
    </w:p>
  </w:endnote>
  <w:endnote w:type="continuationSeparator" w:id="1">
    <w:p w:rsidR="00957532"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ゴシック">
    <w:panose1 w:val="00000000000000000000"/>
    <w:charset w:val="80"/>
    <w:family w:val="auto"/>
    <w:pitch w:val="default"/>
    <w:sig w:usb0="00000000" w:usb1="00000000" w:usb2="00000000" w:usb3="00000000" w:csb0="00000000" w:csb1="00000000"/>
  </w:font>
  <w:font w:name="Cambria Math">
    <w:panose1 w:val="00000000000000000000"/>
    <w:charset w:val="0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532" w:rsidP="0048020B">
      <w:r>
        <w:separator/>
      </w:r>
    </w:p>
  </w:footnote>
  <w:footnote w:type="continuationSeparator" w:id="1">
    <w:p w:rsidR="00957532" w:rsidP="0048020B">
      <w:r>
        <w:continuationSeparator/>
      </w:r>
    </w:p>
  </w:footnote>
  <w:footnote w:type="continuationNotice" w:id="2">
    <w:p w:rsidR="00957532" w:rsidRPr="00BB69A5" w:rsidP="00BB69A5">
      <w:pPr>
        <w:spacing w:line="20" w:lineRule="exact"/>
        <w:rPr>
          <w:sz w:val="2"/>
        </w:rPr>
      </w:pPr>
    </w:p>
  </w:footnote>
  <w:footnote w:id="3">
    <w:p w:rsidR="00FD6221" w:rsidP="00FD6221">
      <w:pPr>
        <w:pStyle w:val="FootnoteText"/>
      </w:pPr>
      <w:r>
        <w:rPr>
          <w:rStyle w:val="FootnoteReference"/>
        </w:rPr>
        <w:footnoteRef/>
      </w:r>
      <w:r>
        <w:t xml:space="preserve"> </w:t>
      </w:r>
      <w:r w:rsidRPr="00057A27">
        <w:t>16 U.S.C. § 824d.</w:t>
      </w:r>
    </w:p>
  </w:footnote>
  <w:footnote w:id="4">
    <w:p w:rsidR="00FD6221" w:rsidP="00FD6221">
      <w:pPr>
        <w:pStyle w:val="FootnoteText"/>
      </w:pPr>
      <w:r>
        <w:rPr>
          <w:rStyle w:val="FootnoteReference"/>
        </w:rPr>
        <w:footnoteRef/>
      </w:r>
      <w:r>
        <w:t xml:space="preserve"> </w:t>
      </w:r>
      <w:r w:rsidRPr="00057A27">
        <w:t>18 C.F.R. pt. 35 (202</w:t>
      </w:r>
      <w:r>
        <w:t>5</w:t>
      </w:r>
      <w:r w:rsidRPr="00057A27">
        <w:t>).</w:t>
      </w:r>
    </w:p>
  </w:footnote>
  <w:footnote w:id="5">
    <w:p w:rsidR="006C0852">
      <w:pPr>
        <w:pStyle w:val="FootnoteText"/>
      </w:pPr>
      <w:r>
        <w:rPr>
          <w:rStyle w:val="FootnoteReference"/>
        </w:rPr>
        <w:footnoteRef/>
      </w:r>
      <w:r>
        <w:t xml:space="preserve"> </w:t>
      </w:r>
      <w:r w:rsidRPr="00BF007B" w:rsidR="003209BA">
        <w:t>See</w:t>
      </w:r>
      <w:r w:rsidRPr="003209BA" w:rsidR="003209BA">
        <w:t xml:space="preserve"> Appendix for tariff record accepted in this order.</w:t>
      </w:r>
    </w:p>
  </w:footnote>
  <w:footnote w:id="6">
    <w:p w:rsidR="00BD5FBF">
      <w:pPr>
        <w:pStyle w:val="FootnoteText"/>
      </w:pPr>
      <w:r>
        <w:rPr>
          <w:rStyle w:val="FootnoteReference"/>
        </w:rPr>
        <w:footnoteRef/>
      </w:r>
      <w:r>
        <w:t xml:space="preserve"> </w:t>
      </w:r>
      <w:r w:rsidRPr="006D79AF">
        <w:t>Capitalized terms used but not defined herein are defined in the OATT</w:t>
      </w:r>
      <w:r>
        <w:t xml:space="preserve"> and/or Services Tariff.</w:t>
      </w:r>
    </w:p>
  </w:footnote>
  <w:footnote w:id="7">
    <w:p w:rsidR="00C3196F" w:rsidP="00C3196F">
      <w:pPr>
        <w:pStyle w:val="FootnoteText"/>
      </w:pPr>
      <w:r>
        <w:rPr>
          <w:rStyle w:val="FootnoteReference"/>
        </w:rPr>
        <w:footnoteRef/>
      </w:r>
      <w:r>
        <w:t xml:space="preserve"> Filing, Transmittal </w:t>
      </w:r>
      <w:r w:rsidR="006319E9">
        <w:t xml:space="preserve">Letter </w:t>
      </w:r>
      <w:r>
        <w:t xml:space="preserve">at 1. </w:t>
      </w:r>
    </w:p>
  </w:footnote>
  <w:footnote w:id="8">
    <w:p w:rsidR="00AC1ED3">
      <w:pPr>
        <w:pStyle w:val="FootnoteText"/>
      </w:pPr>
      <w:r>
        <w:rPr>
          <w:rStyle w:val="FootnoteReference"/>
        </w:rPr>
        <w:footnoteRef/>
      </w:r>
      <w:r>
        <w:t xml:space="preserve"> </w:t>
      </w:r>
      <w:r w:rsidRPr="007B7C07">
        <w:rPr>
          <w:i/>
          <w:iCs/>
        </w:rPr>
        <w:t>CHPE, LLC</w:t>
      </w:r>
      <w:r w:rsidRPr="004A43BE">
        <w:t>, 171 FERC ¶ 61,186, at P</w:t>
      </w:r>
      <w:r w:rsidR="009037F0">
        <w:t xml:space="preserve"> 2 </w:t>
      </w:r>
      <w:r w:rsidRPr="004A43BE">
        <w:t>(2020) (Negotiated Rate Order).</w:t>
      </w:r>
    </w:p>
  </w:footnote>
  <w:footnote w:id="9">
    <w:p w:rsidR="005D18D7" w:rsidP="005D18D7">
      <w:pPr>
        <w:ind w:firstLine="720"/>
      </w:pPr>
      <w:r>
        <w:rPr>
          <w:rStyle w:val="FootnoteReference"/>
        </w:rPr>
        <w:footnoteRef/>
      </w:r>
      <w:r>
        <w:t xml:space="preserve"> </w:t>
      </w:r>
      <w:r w:rsidR="003D5D82">
        <w:rPr>
          <w:i/>
          <w:iCs/>
        </w:rPr>
        <w:t>Id.</w:t>
      </w:r>
      <w:r>
        <w:rPr>
          <w:i/>
        </w:rPr>
        <w:t xml:space="preserve"> </w:t>
      </w:r>
      <w:r w:rsidRPr="004A43BE">
        <w:t>PP 1, 8.</w:t>
      </w:r>
      <w:r w:rsidRPr="007B7C07">
        <w:rPr>
          <w:i/>
          <w:iCs/>
        </w:rPr>
        <w:t xml:space="preserve">  </w:t>
      </w:r>
      <w:r>
        <w:t xml:space="preserve">  </w:t>
      </w:r>
    </w:p>
    <w:p w:rsidR="002B27A8" w:rsidRPr="00994C67" w:rsidP="005D18D7">
      <w:pPr>
        <w:ind w:firstLine="720"/>
      </w:pPr>
    </w:p>
  </w:footnote>
  <w:footnote w:id="10">
    <w:p w:rsidR="00625709">
      <w:pPr>
        <w:pStyle w:val="FootnoteText"/>
      </w:pPr>
      <w:r>
        <w:rPr>
          <w:rStyle w:val="FootnoteReference"/>
        </w:rPr>
        <w:footnoteRef/>
      </w:r>
      <w:r w:rsidR="00C409F0">
        <w:t xml:space="preserve"> </w:t>
      </w:r>
      <w:r w:rsidR="00170BFF">
        <w:t xml:space="preserve">Filing, </w:t>
      </w:r>
      <w:r w:rsidR="00C409F0">
        <w:t xml:space="preserve">Transmittal </w:t>
      </w:r>
      <w:r w:rsidR="00170BFF">
        <w:t xml:space="preserve">Letter </w:t>
      </w:r>
      <w:r w:rsidR="00C409F0">
        <w:t>at 3.</w:t>
      </w:r>
    </w:p>
  </w:footnote>
  <w:footnote w:id="11">
    <w:p w:rsidR="0012083D" w:rsidP="0012083D">
      <w:pPr>
        <w:pStyle w:val="FootnoteText"/>
      </w:pPr>
      <w:r>
        <w:rPr>
          <w:rStyle w:val="FootnoteReference"/>
        </w:rPr>
        <w:footnoteRef/>
      </w:r>
      <w:r w:rsidR="00904C7E">
        <w:t xml:space="preserve"> </w:t>
      </w:r>
      <w:r w:rsidR="00C409F0">
        <w:t>Negotiated Rate Order, 171 FERC ¶ 61,186 at</w:t>
      </w:r>
      <w:r w:rsidR="002B27A8">
        <w:rPr>
          <w:i/>
          <w:iCs/>
        </w:rPr>
        <w:t xml:space="preserve"> </w:t>
      </w:r>
      <w:r w:rsidR="002B27A8">
        <w:t>P 19.</w:t>
      </w:r>
    </w:p>
  </w:footnote>
  <w:footnote w:id="12">
    <w:p w:rsidR="009059DB" w:rsidRPr="005F24D2">
      <w:pPr>
        <w:pStyle w:val="FootnoteText"/>
      </w:pPr>
      <w:r>
        <w:rPr>
          <w:rStyle w:val="FootnoteReference"/>
        </w:rPr>
        <w:footnoteRef/>
      </w:r>
      <w:r>
        <w:t xml:space="preserve"> </w:t>
      </w:r>
      <w:r w:rsidR="00D01ADF">
        <w:t xml:space="preserve">Filing, </w:t>
      </w:r>
      <w:r w:rsidR="005F24D2">
        <w:t xml:space="preserve">Transmittal </w:t>
      </w:r>
      <w:r w:rsidR="00D01ADF">
        <w:t xml:space="preserve">Letter </w:t>
      </w:r>
      <w:r w:rsidR="005F24D2">
        <w:t xml:space="preserve">at 8; </w:t>
      </w:r>
      <w:r w:rsidR="005F24D2">
        <w:rPr>
          <w:i/>
          <w:iCs/>
        </w:rPr>
        <w:t>see CHPE, LLC</w:t>
      </w:r>
      <w:r w:rsidR="005F24D2">
        <w:t xml:space="preserve">, </w:t>
      </w:r>
      <w:r w:rsidR="009F519A">
        <w:t>Docket No. ER</w:t>
      </w:r>
      <w:r w:rsidR="007B5E5C">
        <w:t>20-1214-002</w:t>
      </w:r>
      <w:r w:rsidR="00564818">
        <w:t xml:space="preserve"> (</w:t>
      </w:r>
      <w:r w:rsidR="000C672A">
        <w:t>Feb. 8, 2022) (delegated order).</w:t>
      </w:r>
    </w:p>
  </w:footnote>
  <w:footnote w:id="13">
    <w:p w:rsidR="00102D0E">
      <w:pPr>
        <w:pStyle w:val="FootnoteText"/>
      </w:pPr>
      <w:r>
        <w:rPr>
          <w:rStyle w:val="FootnoteReference"/>
        </w:rPr>
        <w:footnoteRef/>
      </w:r>
      <w:r>
        <w:t xml:space="preserve"> </w:t>
      </w:r>
      <w:r w:rsidR="002E2A8B">
        <w:t>Filing,</w:t>
      </w:r>
      <w:r>
        <w:t xml:space="preserve"> Transmittal </w:t>
      </w:r>
      <w:r w:rsidR="002E2A8B">
        <w:t xml:space="preserve">Letter </w:t>
      </w:r>
      <w:r>
        <w:t xml:space="preserve">at 3. </w:t>
      </w:r>
    </w:p>
  </w:footnote>
  <w:footnote w:id="14">
    <w:p w:rsidR="0012083D" w:rsidP="0012083D">
      <w:pPr>
        <w:pStyle w:val="FootnoteText"/>
      </w:pPr>
      <w:r>
        <w:rPr>
          <w:rStyle w:val="FootnoteReference"/>
        </w:rPr>
        <w:footnoteRef/>
      </w:r>
      <w:r>
        <w:t xml:space="preserve"> </w:t>
      </w:r>
      <w:r w:rsidR="002B27A8">
        <w:rPr>
          <w:i/>
          <w:iCs/>
        </w:rPr>
        <w:t xml:space="preserve">Id. </w:t>
      </w:r>
      <w:r w:rsidR="002B27A8">
        <w:t>at 1 (citing Negotiated Rate Order, 171 FERC ¶ 61,186</w:t>
      </w:r>
      <w:r w:rsidR="0006419C">
        <w:t xml:space="preserve"> at P 19).</w:t>
      </w:r>
    </w:p>
  </w:footnote>
  <w:footnote w:id="15">
    <w:p w:rsidR="00856902">
      <w:pPr>
        <w:pStyle w:val="FootnoteText"/>
      </w:pPr>
      <w:r>
        <w:rPr>
          <w:rStyle w:val="FootnoteReference"/>
        </w:rPr>
        <w:footnoteRef/>
      </w:r>
      <w:r>
        <w:t xml:space="preserve"> </w:t>
      </w:r>
      <w:r>
        <w:rPr>
          <w:i/>
          <w:iCs/>
        </w:rPr>
        <w:t xml:space="preserve">Id. </w:t>
      </w:r>
      <w:r>
        <w:t>at 4.</w:t>
      </w:r>
    </w:p>
  </w:footnote>
  <w:footnote w:id="16">
    <w:p w:rsidR="005928F9" w:rsidRPr="00A97D61" w:rsidP="005928F9">
      <w:pPr>
        <w:pStyle w:val="FootnoteText"/>
      </w:pPr>
      <w:r>
        <w:rPr>
          <w:rStyle w:val="FootnoteReference"/>
        </w:rPr>
        <w:footnoteRef/>
      </w:r>
      <w:r>
        <w:t xml:space="preserve"> </w:t>
      </w:r>
      <w:r>
        <w:rPr>
          <w:i/>
          <w:iCs/>
        </w:rPr>
        <w:t xml:space="preserve">Id. </w:t>
      </w:r>
      <w:r>
        <w:t>at 4-5.</w:t>
      </w:r>
    </w:p>
  </w:footnote>
  <w:footnote w:id="17">
    <w:p w:rsidR="004A5483" w:rsidRPr="00B42813">
      <w:pPr>
        <w:pStyle w:val="FootnoteText"/>
      </w:pPr>
      <w:r>
        <w:rPr>
          <w:rStyle w:val="FootnoteReference"/>
        </w:rPr>
        <w:footnoteRef/>
      </w:r>
      <w:r>
        <w:t xml:space="preserve"> </w:t>
      </w:r>
      <w:r w:rsidR="00B42813">
        <w:rPr>
          <w:i/>
          <w:iCs/>
        </w:rPr>
        <w:t xml:space="preserve">Id. </w:t>
      </w:r>
      <w:r w:rsidR="00B42813">
        <w:t>at 5-6.</w:t>
      </w:r>
    </w:p>
  </w:footnote>
  <w:footnote w:id="18">
    <w:p w:rsidR="00803589" w:rsidP="00803589">
      <w:pPr>
        <w:pStyle w:val="FootnoteText"/>
      </w:pPr>
      <w:r w:rsidRPr="00803589">
        <w:rPr>
          <w:rStyle w:val="FootnoteReference"/>
        </w:rPr>
        <w:footnoteRef/>
      </w:r>
      <w:r w:rsidRPr="00803589">
        <w:t xml:space="preserve"> </w:t>
      </w:r>
      <w:r w:rsidR="00C409F0">
        <w:rPr>
          <w:i/>
          <w:iCs/>
        </w:rPr>
        <w:t>Id.</w:t>
      </w:r>
      <w:r>
        <w:t xml:space="preserve"> at 5.</w:t>
      </w:r>
      <w:r w:rsidR="00003B09">
        <w:t xml:space="preserve">  NYISO adds that </w:t>
      </w:r>
      <w:r w:rsidR="00EB085E">
        <w:t xml:space="preserve">CHPE will execute a </w:t>
      </w:r>
      <w:r w:rsidR="00EB085E">
        <w:rPr>
          <w:i/>
          <w:iCs/>
        </w:rPr>
        <w:t xml:space="preserve">pro forma </w:t>
      </w:r>
      <w:r w:rsidR="00EB085E">
        <w:t xml:space="preserve">operating agreement to become a non-incumbent transmission owner in New York.  </w:t>
      </w:r>
      <w:r w:rsidR="00EB085E">
        <w:rPr>
          <w:i/>
          <w:iCs/>
        </w:rPr>
        <w:t xml:space="preserve">Id. </w:t>
      </w:r>
      <w:r w:rsidR="00EB085E">
        <w:t>at 2.</w:t>
      </w:r>
      <w:r>
        <w:t xml:space="preserve"> </w:t>
      </w:r>
    </w:p>
  </w:footnote>
  <w:footnote w:id="19">
    <w:p w:rsidR="001C4234" w:rsidP="001C4234">
      <w:pPr>
        <w:pStyle w:val="FootnoteText"/>
      </w:pPr>
      <w:r>
        <w:rPr>
          <w:rStyle w:val="FootnoteReference"/>
        </w:rPr>
        <w:footnoteRef/>
      </w:r>
      <w:r>
        <w:t xml:space="preserve"> NYISO’s OATT defines an Import as a</w:t>
      </w:r>
      <w:r w:rsidRPr="00FA60E2">
        <w:t xml:space="preserve"> Bilateral Transaction or sale to the LBMP Market where Energy is delivered to a NYCA Interconnection from another Control Area.</w:t>
      </w:r>
      <w:r>
        <w:t xml:space="preserve"> </w:t>
      </w:r>
      <w:r w:rsidRPr="00FA60E2">
        <w:t xml:space="preserve"> </w:t>
      </w:r>
      <w:r w:rsidRPr="003B3548" w:rsidR="003B3548">
        <w:t>NYISO, OATT, § 1.9 (Definitions I) (2.0.0)</w:t>
      </w:r>
      <w:r>
        <w:t>.</w:t>
      </w:r>
      <w:r w:rsidRPr="006C1B13">
        <w:t xml:space="preserve"> </w:t>
      </w:r>
    </w:p>
  </w:footnote>
  <w:footnote w:id="20">
    <w:p w:rsidR="007C5B8C" w:rsidRPr="007C5B8C">
      <w:pPr>
        <w:pStyle w:val="FootnoteText"/>
      </w:pPr>
      <w:r>
        <w:rPr>
          <w:rStyle w:val="FootnoteReference"/>
        </w:rPr>
        <w:footnoteRef/>
      </w:r>
      <w:r>
        <w:t xml:space="preserve"> </w:t>
      </w:r>
      <w:r w:rsidR="0051222B">
        <w:t xml:space="preserve">Filing, Transmittal Letter </w:t>
      </w:r>
      <w:r>
        <w:t>at 5.</w:t>
      </w:r>
    </w:p>
  </w:footnote>
  <w:footnote w:id="21">
    <w:p w:rsidR="00B23B98" w:rsidP="00B23B98">
      <w:pPr>
        <w:pStyle w:val="FootnoteText"/>
      </w:pPr>
      <w:r>
        <w:rPr>
          <w:rStyle w:val="FootnoteReference"/>
        </w:rPr>
        <w:footnoteRef/>
      </w:r>
      <w:r>
        <w:t xml:space="preserve"> </w:t>
      </w:r>
      <w:r>
        <w:rPr>
          <w:i/>
          <w:iCs/>
        </w:rPr>
        <w:t>Id.</w:t>
      </w:r>
      <w:r>
        <w:t xml:space="preserve"> at 5-6 (“[R]equests for transmission service will be granted, limited, or denied by . . . NYISO.”). </w:t>
      </w:r>
    </w:p>
  </w:footnote>
  <w:footnote w:id="22">
    <w:p w:rsidR="00B6429B">
      <w:pPr>
        <w:pStyle w:val="FootnoteText"/>
      </w:pPr>
      <w:r>
        <w:rPr>
          <w:rStyle w:val="FootnoteReference"/>
        </w:rPr>
        <w:footnoteRef/>
      </w:r>
      <w:r>
        <w:t xml:space="preserve"> </w:t>
      </w:r>
      <w:r w:rsidR="00936934">
        <w:rPr>
          <w:i/>
          <w:iCs/>
        </w:rPr>
        <w:t>Id.</w:t>
      </w:r>
      <w:r w:rsidR="00160C58">
        <w:t xml:space="preserve"> at 2</w:t>
      </w:r>
      <w:r w:rsidR="00B53643">
        <w:t>, 7</w:t>
      </w:r>
      <w:r w:rsidR="000F2F05">
        <w:t>, 9</w:t>
      </w:r>
      <w:r w:rsidR="00651297">
        <w:t>, 21-24</w:t>
      </w:r>
      <w:r w:rsidR="00693568">
        <w:t>,</w:t>
      </w:r>
      <w:r w:rsidR="008B4C39">
        <w:t xml:space="preserve"> </w:t>
      </w:r>
      <w:r w:rsidR="003B3548">
        <w:t>attach</w:t>
      </w:r>
      <w:r w:rsidR="003F7AA8">
        <w:t>. II (</w:t>
      </w:r>
      <w:r w:rsidR="00E21C5D">
        <w:t xml:space="preserve">redlined version of </w:t>
      </w:r>
      <w:r w:rsidR="00BB2D1A">
        <w:t xml:space="preserve">proposed </w:t>
      </w:r>
      <w:r w:rsidR="003E2783">
        <w:t>Attachment II to Section 41 of the OATT).</w:t>
      </w:r>
    </w:p>
  </w:footnote>
  <w:footnote w:id="23">
    <w:p w:rsidR="000A3698">
      <w:pPr>
        <w:pStyle w:val="FootnoteText"/>
      </w:pPr>
      <w:r>
        <w:rPr>
          <w:rStyle w:val="FootnoteReference"/>
        </w:rPr>
        <w:footnoteRef/>
      </w:r>
      <w:r>
        <w:t xml:space="preserve"> </w:t>
      </w:r>
      <w:r w:rsidR="0050060A">
        <w:t>Proposed</w:t>
      </w:r>
      <w:r>
        <w:t xml:space="preserve"> </w:t>
      </w:r>
      <w:r w:rsidR="00F61430">
        <w:t xml:space="preserve">OATT </w:t>
      </w:r>
      <w:r>
        <w:rPr>
          <w:szCs w:val="26"/>
        </w:rPr>
        <w:t>Section</w:t>
      </w:r>
      <w:r w:rsidRPr="00513E42">
        <w:rPr>
          <w:szCs w:val="26"/>
        </w:rPr>
        <w:t xml:space="preserve"> 41.3.1.1 </w:t>
      </w:r>
      <w:r>
        <w:rPr>
          <w:szCs w:val="26"/>
        </w:rPr>
        <w:t>(defining</w:t>
      </w:r>
      <w:r w:rsidRPr="00513E42">
        <w:rPr>
          <w:szCs w:val="26"/>
        </w:rPr>
        <w:t xml:space="preserve"> an MTF Reservation</w:t>
      </w:r>
      <w:r>
        <w:rPr>
          <w:szCs w:val="26"/>
        </w:rPr>
        <w:t xml:space="preserve"> as</w:t>
      </w:r>
      <w:r w:rsidRPr="00513E42">
        <w:rPr>
          <w:szCs w:val="26"/>
        </w:rPr>
        <w:t xml:space="preserve"> “a right to receive firm transmission service from the </w:t>
      </w:r>
      <w:r w:rsidR="005D0148">
        <w:rPr>
          <w:szCs w:val="26"/>
        </w:rPr>
        <w:t>[Project’s]</w:t>
      </w:r>
      <w:r w:rsidRPr="00513E42" w:rsidR="005D0148">
        <w:rPr>
          <w:szCs w:val="26"/>
        </w:rPr>
        <w:t xml:space="preserve"> </w:t>
      </w:r>
      <w:r w:rsidRPr="00513E42">
        <w:rPr>
          <w:szCs w:val="26"/>
        </w:rPr>
        <w:t>Point of Receipt</w:t>
      </w:r>
      <w:r>
        <w:rPr>
          <w:szCs w:val="26"/>
        </w:rPr>
        <w:t xml:space="preserve"> [at the US-Canada border]</w:t>
      </w:r>
      <w:r w:rsidRPr="00513E42">
        <w:rPr>
          <w:szCs w:val="26"/>
        </w:rPr>
        <w:t xml:space="preserve"> to its Point of Delivery </w:t>
      </w:r>
      <w:r>
        <w:rPr>
          <w:szCs w:val="26"/>
        </w:rPr>
        <w:t xml:space="preserve">[at the Astoria Annex Substation] </w:t>
      </w:r>
      <w:r w:rsidRPr="00513E42">
        <w:rPr>
          <w:szCs w:val="26"/>
        </w:rPr>
        <w:t>in accordance with this Attachment II and the MTF Provider Business Practices”</w:t>
      </w:r>
      <w:r>
        <w:rPr>
          <w:szCs w:val="26"/>
        </w:rPr>
        <w:t>).</w:t>
      </w:r>
    </w:p>
  </w:footnote>
  <w:footnote w:id="24">
    <w:p w:rsidR="00F57A5B" w:rsidP="00F57A5B">
      <w:pPr>
        <w:pStyle w:val="FootnoteText"/>
      </w:pPr>
      <w:r>
        <w:rPr>
          <w:rStyle w:val="FootnoteReference"/>
        </w:rPr>
        <w:footnoteRef/>
      </w:r>
      <w:r>
        <w:t xml:space="preserve"> </w:t>
      </w:r>
      <w:r w:rsidR="009F6FFF">
        <w:t xml:space="preserve">Filing, </w:t>
      </w:r>
      <w:r>
        <w:t xml:space="preserve">Transmittal </w:t>
      </w:r>
      <w:r w:rsidR="009F6FFF">
        <w:t xml:space="preserve">Letter </w:t>
      </w:r>
      <w:r>
        <w:t>at 2, 5</w:t>
      </w:r>
      <w:r w:rsidR="00EF114B">
        <w:t>, 11-20</w:t>
      </w:r>
      <w:r>
        <w:t xml:space="preserve">. </w:t>
      </w:r>
    </w:p>
  </w:footnote>
  <w:footnote w:id="25">
    <w:p w:rsidR="003F5088" w:rsidP="003F5088">
      <w:pPr>
        <w:pStyle w:val="FootnoteText"/>
      </w:pPr>
      <w:r>
        <w:rPr>
          <w:rStyle w:val="FootnoteReference"/>
        </w:rPr>
        <w:footnoteRef/>
      </w:r>
      <w:r>
        <w:t xml:space="preserve"> </w:t>
      </w:r>
      <w:r w:rsidRPr="003B3548" w:rsidR="003B3548">
        <w:t>NYISO, Proposed OATT, attach 2, § 41 (0.0.0),§ 41.1.</w:t>
      </w:r>
    </w:p>
  </w:footnote>
  <w:footnote w:id="26">
    <w:p w:rsidR="0000196A">
      <w:pPr>
        <w:pStyle w:val="FootnoteText"/>
      </w:pPr>
      <w:r>
        <w:rPr>
          <w:rStyle w:val="FootnoteReference"/>
        </w:rPr>
        <w:footnoteRef/>
      </w:r>
      <w:r>
        <w:t xml:space="preserve"> </w:t>
      </w:r>
      <w:r w:rsidR="00E838B6">
        <w:t xml:space="preserve">Filing, Transmittal Letter </w:t>
      </w:r>
      <w:r w:rsidR="00664972">
        <w:t xml:space="preserve">at 7. </w:t>
      </w:r>
    </w:p>
  </w:footnote>
  <w:footnote w:id="27">
    <w:p w:rsidR="007F1EAA" w:rsidP="007F1EAA">
      <w:pPr>
        <w:pStyle w:val="FootnoteText"/>
      </w:pPr>
      <w:r>
        <w:rPr>
          <w:rStyle w:val="FootnoteReference"/>
        </w:rPr>
        <w:footnoteRef/>
      </w:r>
      <w:r>
        <w:t xml:space="preserve"> NYISO’s OASIS posting information is listed in </w:t>
      </w:r>
      <w:r w:rsidR="009366EF">
        <w:t>s</w:t>
      </w:r>
      <w:r>
        <w:t xml:space="preserve">ection 2.4 of the NYISO OATT.  </w:t>
      </w:r>
    </w:p>
  </w:footnote>
  <w:footnote w:id="28">
    <w:p w:rsidR="00AA3437">
      <w:pPr>
        <w:pStyle w:val="FootnoteText"/>
      </w:pPr>
      <w:r>
        <w:rPr>
          <w:rStyle w:val="FootnoteReference"/>
        </w:rPr>
        <w:footnoteRef/>
      </w:r>
      <w:r>
        <w:t xml:space="preserve"> </w:t>
      </w:r>
      <w:r w:rsidR="00310613">
        <w:t>Filing,</w:t>
      </w:r>
      <w:r>
        <w:t xml:space="preserve"> </w:t>
      </w:r>
      <w:r w:rsidR="00877BAE">
        <w:t xml:space="preserve">Transmittal </w:t>
      </w:r>
      <w:r w:rsidR="00310613">
        <w:t xml:space="preserve">Letter </w:t>
      </w:r>
      <w:r w:rsidR="00877BAE">
        <w:t xml:space="preserve">at 7 &amp; n.18. </w:t>
      </w:r>
    </w:p>
  </w:footnote>
  <w:footnote w:id="29">
    <w:p w:rsidR="000C5489">
      <w:pPr>
        <w:pStyle w:val="FootnoteText"/>
      </w:pPr>
      <w:r>
        <w:rPr>
          <w:rStyle w:val="FootnoteReference"/>
        </w:rPr>
        <w:footnoteRef/>
      </w:r>
      <w:r>
        <w:t xml:space="preserve"> </w:t>
      </w:r>
      <w:r w:rsidR="00351988">
        <w:t xml:space="preserve">Cross-Sound Cable is a merchant transmission facility connecting </w:t>
      </w:r>
      <w:r w:rsidR="00430AEE">
        <w:t>ISO-NE (in Connecticut) and NYISO (in Long Island).</w:t>
      </w:r>
    </w:p>
  </w:footnote>
  <w:footnote w:id="30">
    <w:p w:rsidR="007F1EAA" w:rsidP="007F1EAA">
      <w:pPr>
        <w:pStyle w:val="FootnoteText"/>
      </w:pPr>
      <w:r>
        <w:rPr>
          <w:rStyle w:val="FootnoteReference"/>
        </w:rPr>
        <w:footnoteRef/>
      </w:r>
      <w:r>
        <w:t xml:space="preserve"> </w:t>
      </w:r>
      <w:r w:rsidR="006144F9">
        <w:rPr>
          <w:i/>
          <w:iCs/>
        </w:rPr>
        <w:t>Id.</w:t>
      </w:r>
      <w:r>
        <w:t xml:space="preserve"> at 7. </w:t>
      </w:r>
    </w:p>
  </w:footnote>
  <w:footnote w:id="31">
    <w:p w:rsidR="001A3BA6" w:rsidRPr="001A3BA6">
      <w:pPr>
        <w:pStyle w:val="FootnoteText"/>
      </w:pPr>
      <w:r>
        <w:rPr>
          <w:rStyle w:val="FootnoteReference"/>
        </w:rPr>
        <w:footnoteRef/>
      </w:r>
      <w:r>
        <w:t xml:space="preserve"> </w:t>
      </w:r>
      <w:r>
        <w:rPr>
          <w:i/>
          <w:iCs/>
        </w:rPr>
        <w:t xml:space="preserve">Id. </w:t>
      </w:r>
      <w:r>
        <w:t xml:space="preserve">at 9. </w:t>
      </w:r>
    </w:p>
  </w:footnote>
  <w:footnote w:id="32">
    <w:p w:rsidR="00410FC1">
      <w:pPr>
        <w:pStyle w:val="FootnoteText"/>
      </w:pPr>
      <w:r>
        <w:rPr>
          <w:rStyle w:val="FootnoteReference"/>
        </w:rPr>
        <w:footnoteRef/>
      </w:r>
      <w:r>
        <w:t xml:space="preserve"> </w:t>
      </w:r>
      <w:r w:rsidR="00AC5184">
        <w:rPr>
          <w:i/>
          <w:iCs/>
        </w:rPr>
        <w:t>Id.</w:t>
      </w:r>
      <w:r>
        <w:rPr>
          <w:i/>
        </w:rPr>
        <w:t xml:space="preserve"> </w:t>
      </w:r>
      <w:r>
        <w:t xml:space="preserve">at 8-9. </w:t>
      </w:r>
    </w:p>
  </w:footnote>
  <w:footnote w:id="33">
    <w:p w:rsidR="00253E25" w:rsidRPr="00F65F63" w:rsidP="00253E25">
      <w:pPr>
        <w:spacing w:before="240" w:after="240"/>
        <w:ind w:firstLine="720"/>
        <w:rPr>
          <w:sz w:val="24"/>
        </w:rPr>
      </w:pPr>
      <w:r>
        <w:rPr>
          <w:rStyle w:val="FootnoteReference"/>
        </w:rPr>
        <w:footnoteRef/>
      </w:r>
      <w:r>
        <w:t xml:space="preserve"> NYISO’s OATT defines External as “[a]n entity (</w:t>
      </w:r>
      <w:r>
        <w:rPr>
          <w:u w:val="single"/>
        </w:rPr>
        <w:t>e.g.</w:t>
      </w:r>
      <w:r>
        <w:t>, Supplier, Transmission Customer) or facility (</w:t>
      </w:r>
      <w:r>
        <w:rPr>
          <w:u w:val="single"/>
        </w:rPr>
        <w:t>e.g.</w:t>
      </w:r>
      <w:r>
        <w:t xml:space="preserve">, Generator, Interface) located outside the Control Area being referenced or between two or more Control Areas.” </w:t>
      </w:r>
      <w:r w:rsidR="003B3548">
        <w:t xml:space="preserve"> NYISO, OATT, § </w:t>
      </w:r>
      <w:r w:rsidRPr="00977B89" w:rsidR="003B3548">
        <w:t>1.3</w:t>
      </w:r>
      <w:r w:rsidR="003B3548">
        <w:t xml:space="preserve"> (Definitions – C) (15.0.0)</w:t>
      </w:r>
      <w:r>
        <w:t xml:space="preserve">. </w:t>
      </w:r>
    </w:p>
  </w:footnote>
  <w:footnote w:id="34">
    <w:p w:rsidR="00253E25" w:rsidP="00253E25">
      <w:pPr>
        <w:pStyle w:val="FootnoteText"/>
      </w:pPr>
      <w:r>
        <w:rPr>
          <w:rStyle w:val="FootnoteReference"/>
        </w:rPr>
        <w:footnoteRef/>
      </w:r>
      <w:r>
        <w:t xml:space="preserve"> </w:t>
      </w:r>
      <w:r w:rsidR="00EB180D">
        <w:rPr>
          <w:i/>
          <w:iCs/>
        </w:rPr>
        <w:t xml:space="preserve">See </w:t>
      </w:r>
      <w:r w:rsidR="00F81778">
        <w:t xml:space="preserve">NYISO, Proposed OATT, § 41 (0.0.0), § </w:t>
      </w:r>
      <w:r w:rsidRPr="009B247E">
        <w:t>41.14.1</w:t>
      </w:r>
      <w:r>
        <w:t>.</w:t>
      </w:r>
    </w:p>
  </w:footnote>
  <w:footnote w:id="35">
    <w:p w:rsidR="00253E25" w:rsidP="00253E25">
      <w:pPr>
        <w:pStyle w:val="FootnoteText"/>
      </w:pPr>
      <w:r>
        <w:rPr>
          <w:rStyle w:val="FootnoteReference"/>
        </w:rPr>
        <w:footnoteRef/>
      </w:r>
      <w:r w:rsidRPr="00A86EA3">
        <w:t xml:space="preserve"> OATT</w:t>
      </w:r>
      <w:r>
        <w:t xml:space="preserve"> Section 2.4</w:t>
      </w:r>
      <w:r w:rsidRPr="00A86EA3">
        <w:t>.</w:t>
      </w:r>
      <w:r w:rsidRPr="009B698C">
        <w:t xml:space="preserve"> </w:t>
      </w:r>
    </w:p>
  </w:footnote>
  <w:footnote w:id="36">
    <w:p w:rsidR="00253E25">
      <w:pPr>
        <w:pStyle w:val="FootnoteText"/>
      </w:pPr>
      <w:r>
        <w:rPr>
          <w:rStyle w:val="FootnoteReference"/>
        </w:rPr>
        <w:footnoteRef/>
      </w:r>
      <w:r>
        <w:t xml:space="preserve"> </w:t>
      </w:r>
      <w:r w:rsidR="00DB777F">
        <w:t>Filing,</w:t>
      </w:r>
      <w:r>
        <w:t xml:space="preserve"> </w:t>
      </w:r>
      <w:r w:rsidR="00E95275">
        <w:t xml:space="preserve">Transmittal </w:t>
      </w:r>
      <w:r w:rsidR="00DB777F">
        <w:t xml:space="preserve">Letter </w:t>
      </w:r>
      <w:r w:rsidR="00E95275">
        <w:t xml:space="preserve">at </w:t>
      </w:r>
      <w:r w:rsidR="000736A1">
        <w:t xml:space="preserve">2, n.4, </w:t>
      </w:r>
      <w:r w:rsidR="0031226A">
        <w:t>4-6.</w:t>
      </w:r>
    </w:p>
  </w:footnote>
  <w:footnote w:id="37">
    <w:p w:rsidR="000D40BE" w:rsidRPr="000D40BE">
      <w:pPr>
        <w:pStyle w:val="FootnoteText"/>
      </w:pPr>
      <w:r>
        <w:rPr>
          <w:rStyle w:val="FootnoteReference"/>
        </w:rPr>
        <w:footnoteRef/>
      </w:r>
      <w:r>
        <w:t xml:space="preserve"> </w:t>
      </w:r>
      <w:r>
        <w:rPr>
          <w:i/>
          <w:iCs/>
        </w:rPr>
        <w:t xml:space="preserve">Id. </w:t>
      </w:r>
      <w:r>
        <w:t xml:space="preserve">at 17; </w:t>
      </w:r>
      <w:r>
        <w:rPr>
          <w:i/>
          <w:iCs/>
        </w:rPr>
        <w:t xml:space="preserve">see </w:t>
      </w:r>
      <w:r w:rsidRPr="00776E82" w:rsidR="00F81778">
        <w:t>NYISO,</w:t>
      </w:r>
      <w:r w:rsidR="00F81778">
        <w:t xml:space="preserve"> </w:t>
      </w:r>
      <w:r>
        <w:t xml:space="preserve">Proposed </w:t>
      </w:r>
      <w:r w:rsidR="00CB313F">
        <w:t>OATT</w:t>
      </w:r>
      <w:r w:rsidRPr="00F81778" w:rsidR="00F81778">
        <w:t>, §</w:t>
      </w:r>
      <w:r w:rsidR="00E97BFB">
        <w:t xml:space="preserve"> 41.14</w:t>
      </w:r>
    </w:p>
  </w:footnote>
  <w:footnote w:id="38">
    <w:p w:rsidR="003E3974" w:rsidP="003E3974">
      <w:pPr>
        <w:pStyle w:val="FootnoteText"/>
      </w:pPr>
      <w:r>
        <w:rPr>
          <w:rStyle w:val="FootnoteReference"/>
        </w:rPr>
        <w:footnoteRef/>
      </w:r>
      <w:r>
        <w:t xml:space="preserve"> Filing, Transmittal </w:t>
      </w:r>
      <w:r w:rsidR="000C46E0">
        <w:t xml:space="preserve">Letter </w:t>
      </w:r>
      <w:r>
        <w:t>at 16</w:t>
      </w:r>
      <w:r w:rsidR="007C3A9C">
        <w:t>, 18</w:t>
      </w:r>
      <w:r>
        <w:t xml:space="preserve">. </w:t>
      </w:r>
    </w:p>
  </w:footnote>
  <w:footnote w:id="39">
    <w:p w:rsidR="003E3974" w:rsidP="003E3974">
      <w:pPr>
        <w:pStyle w:val="FootnoteText"/>
      </w:pPr>
      <w:r>
        <w:rPr>
          <w:rStyle w:val="FootnoteReference"/>
        </w:rPr>
        <w:footnoteRef/>
      </w:r>
      <w:r>
        <w:t xml:space="preserve"> </w:t>
      </w:r>
      <w:r w:rsidRPr="004770C0">
        <w:rPr>
          <w:i/>
          <w:iCs/>
        </w:rPr>
        <w:t>Id</w:t>
      </w:r>
      <w:r>
        <w:t>.</w:t>
      </w:r>
      <w:r w:rsidR="009A4CED">
        <w:t xml:space="preserve"> (</w:t>
      </w:r>
      <w:r>
        <w:t xml:space="preserve">citing </w:t>
      </w:r>
      <w:r w:rsidRPr="00706633" w:rsidR="00F81778">
        <w:t>NYISO,</w:t>
      </w:r>
      <w:r w:rsidR="00F81778">
        <w:t xml:space="preserve"> </w:t>
      </w:r>
      <w:r w:rsidR="009A4CED">
        <w:t>P</w:t>
      </w:r>
      <w:r w:rsidRPr="00AA2FE2">
        <w:t xml:space="preserve">roposed </w:t>
      </w:r>
      <w:r w:rsidR="00FD3344">
        <w:t>OATT</w:t>
      </w:r>
      <w:r w:rsidRPr="00F81778" w:rsidR="00F81778">
        <w:t>,</w:t>
      </w:r>
      <w:r w:rsidR="00F81778">
        <w:t xml:space="preserve"> §</w:t>
      </w:r>
      <w:r w:rsidRPr="00F81778" w:rsidR="00F81778">
        <w:t>§</w:t>
      </w:r>
      <w:r w:rsidRPr="00AA2FE2">
        <w:t xml:space="preserve"> 41.8.1, 41.8.3, 41.18.4</w:t>
      </w:r>
      <w:r w:rsidR="009A4CED">
        <w:t>)</w:t>
      </w:r>
      <w:r>
        <w:t>.</w:t>
      </w:r>
    </w:p>
  </w:footnote>
  <w:footnote w:id="40">
    <w:p w:rsidR="009264DA" w:rsidRPr="009264DA">
      <w:pPr>
        <w:pStyle w:val="FootnoteText"/>
      </w:pPr>
      <w:r>
        <w:rPr>
          <w:rStyle w:val="FootnoteReference"/>
        </w:rPr>
        <w:footnoteRef/>
      </w:r>
      <w:r>
        <w:t xml:space="preserve"> </w:t>
      </w:r>
      <w:r>
        <w:rPr>
          <w:i/>
          <w:iCs/>
        </w:rPr>
        <w:t xml:space="preserve">Id. </w:t>
      </w:r>
      <w:r>
        <w:t xml:space="preserve">at 10. </w:t>
      </w:r>
    </w:p>
  </w:footnote>
  <w:footnote w:id="41">
    <w:p w:rsidR="009C5CC4" w:rsidP="009C5CC4">
      <w:pPr>
        <w:pStyle w:val="FootnoteText"/>
      </w:pPr>
      <w:r>
        <w:rPr>
          <w:rStyle w:val="FootnoteReference"/>
        </w:rPr>
        <w:footnoteRef/>
      </w:r>
      <w:r>
        <w:t xml:space="preserve"> </w:t>
      </w:r>
      <w:r w:rsidRPr="006B7EF3">
        <w:rPr>
          <w:i/>
        </w:rPr>
        <w:t>Id</w:t>
      </w:r>
      <w:r w:rsidRPr="0055353E">
        <w:rPr>
          <w:i/>
        </w:rPr>
        <w:t>.</w:t>
      </w:r>
      <w:r w:rsidRPr="0055353E">
        <w:t xml:space="preserve"> at </w:t>
      </w:r>
      <w:r w:rsidRPr="0077134E">
        <w:t>11</w:t>
      </w:r>
      <w:r w:rsidRPr="0055353E">
        <w:t>.</w:t>
      </w:r>
    </w:p>
  </w:footnote>
  <w:footnote w:id="42">
    <w:p w:rsidR="0012083D" w:rsidRPr="009F6DC5" w:rsidP="0012083D">
      <w:pPr>
        <w:pStyle w:val="FootnoteText"/>
      </w:pPr>
      <w:r>
        <w:rPr>
          <w:rStyle w:val="FootnoteReference"/>
        </w:rPr>
        <w:footnoteRef/>
      </w:r>
      <w:r>
        <w:t xml:space="preserve"> Deficiency Letter at 2-3 (citing </w:t>
      </w:r>
      <w:r w:rsidRPr="000C5A61">
        <w:rPr>
          <w:i/>
          <w:iCs/>
        </w:rPr>
        <w:t>Promoting Wholesale Competition Through Open-Access Non-discriminatory Transmission Ser</w:t>
      </w:r>
      <w:r>
        <w:rPr>
          <w:i/>
          <w:iCs/>
        </w:rPr>
        <w:t>v</w:t>
      </w:r>
      <w:r w:rsidRPr="000C5A61">
        <w:rPr>
          <w:i/>
          <w:iCs/>
        </w:rPr>
        <w:t>s</w:t>
      </w:r>
      <w:r>
        <w:rPr>
          <w:i/>
          <w:iCs/>
        </w:rPr>
        <w:t>.</w:t>
      </w:r>
      <w:r w:rsidRPr="000C5A61">
        <w:rPr>
          <w:i/>
          <w:iCs/>
        </w:rPr>
        <w:t xml:space="preserve"> by Pu</w:t>
      </w:r>
      <w:r>
        <w:rPr>
          <w:i/>
          <w:iCs/>
        </w:rPr>
        <w:t>b.</w:t>
      </w:r>
      <w:r w:rsidRPr="000C5A61">
        <w:rPr>
          <w:i/>
          <w:iCs/>
        </w:rPr>
        <w:t xml:space="preserve"> Uti</w:t>
      </w:r>
      <w:r>
        <w:rPr>
          <w:i/>
          <w:iCs/>
        </w:rPr>
        <w:t>l</w:t>
      </w:r>
      <w:r w:rsidRPr="000C5A61">
        <w:rPr>
          <w:i/>
          <w:iCs/>
        </w:rPr>
        <w:t>s</w:t>
      </w:r>
      <w:r>
        <w:rPr>
          <w:i/>
          <w:iCs/>
        </w:rPr>
        <w:t>.</w:t>
      </w:r>
      <w:r w:rsidRPr="000C5A61">
        <w:rPr>
          <w:i/>
          <w:iCs/>
        </w:rPr>
        <w:t>; Recovery of Stranded Costs by Pub</w:t>
      </w:r>
      <w:r>
        <w:rPr>
          <w:i/>
          <w:iCs/>
        </w:rPr>
        <w:t>.</w:t>
      </w:r>
      <w:r w:rsidRPr="000C5A61">
        <w:rPr>
          <w:i/>
          <w:iCs/>
        </w:rPr>
        <w:t xml:space="preserve"> Utils</w:t>
      </w:r>
      <w:r>
        <w:rPr>
          <w:i/>
          <w:iCs/>
        </w:rPr>
        <w:t xml:space="preserve">. </w:t>
      </w:r>
      <w:r w:rsidRPr="00C32BA5">
        <w:rPr>
          <w:i/>
        </w:rPr>
        <w:t>&amp;</w:t>
      </w:r>
      <w:r w:rsidRPr="000C5A61">
        <w:rPr>
          <w:i/>
          <w:iCs/>
        </w:rPr>
        <w:t xml:space="preserve"> Transmitting Utils</w:t>
      </w:r>
      <w:r>
        <w:rPr>
          <w:i/>
          <w:iCs/>
        </w:rPr>
        <w:t>.</w:t>
      </w:r>
      <w:r>
        <w:t xml:space="preserve">, </w:t>
      </w:r>
      <w:r w:rsidRPr="007135E6">
        <w:rPr>
          <w:szCs w:val="26"/>
        </w:rPr>
        <w:t>Order No. 888, FERC Stats. &amp; Regs. ¶ 31,036</w:t>
      </w:r>
      <w:r>
        <w:rPr>
          <w:szCs w:val="26"/>
        </w:rPr>
        <w:t>,</w:t>
      </w:r>
      <w:r w:rsidRPr="007135E6">
        <w:rPr>
          <w:szCs w:val="26"/>
        </w:rPr>
        <w:t xml:space="preserve"> at </w:t>
      </w:r>
      <w:r>
        <w:rPr>
          <w:szCs w:val="26"/>
        </w:rPr>
        <w:t>n.434 (1996)</w:t>
      </w:r>
      <w:r w:rsidR="009D7ACF">
        <w:rPr>
          <w:szCs w:val="26"/>
        </w:rPr>
        <w:t xml:space="preserve"> </w:t>
      </w:r>
      <w:r w:rsidRPr="009D7ACF" w:rsidR="009D7ACF">
        <w:rPr>
          <w:szCs w:val="26"/>
        </w:rPr>
        <w:t xml:space="preserve">(cross-referenced at 75 FERC ¶ 61,080), </w:t>
      </w:r>
      <w:r w:rsidRPr="009D7ACF" w:rsidR="009D7ACF">
        <w:rPr>
          <w:i/>
          <w:szCs w:val="26"/>
        </w:rPr>
        <w:t>order on reh’g</w:t>
      </w:r>
      <w:r w:rsidRPr="009D7ACF" w:rsidR="009D7ACF">
        <w:rPr>
          <w:szCs w:val="26"/>
        </w:rPr>
        <w:t xml:space="preserve">, Order No. 888-A, FERC Stats. &amp; Regs. ¶ 31,048 (cross-referenced at 78 FERC ¶ 61,220), </w:t>
      </w:r>
      <w:r w:rsidRPr="009D7ACF" w:rsidR="009D7ACF">
        <w:rPr>
          <w:i/>
          <w:szCs w:val="26"/>
        </w:rPr>
        <w:t>order on reh’g</w:t>
      </w:r>
      <w:r w:rsidRPr="009D7ACF" w:rsidR="009D7ACF">
        <w:rPr>
          <w:szCs w:val="26"/>
        </w:rPr>
        <w:t xml:space="preserve">, Order No. 888-B, 81 FERC ¶ 61,248 (1997), </w:t>
      </w:r>
      <w:r w:rsidRPr="009D7ACF" w:rsidR="009D7ACF">
        <w:rPr>
          <w:i/>
          <w:szCs w:val="26"/>
        </w:rPr>
        <w:t>order on reh’g</w:t>
      </w:r>
      <w:r w:rsidRPr="009D7ACF" w:rsidR="009D7ACF">
        <w:rPr>
          <w:szCs w:val="26"/>
        </w:rPr>
        <w:t xml:space="preserve">, Order </w:t>
      </w:r>
      <w:r w:rsidR="0013507F">
        <w:rPr>
          <w:szCs w:val="26"/>
        </w:rPr>
        <w:t xml:space="preserve">      </w:t>
      </w:r>
      <w:r w:rsidRPr="009D7ACF" w:rsidR="009D7ACF">
        <w:rPr>
          <w:szCs w:val="26"/>
        </w:rPr>
        <w:t xml:space="preserve">No. 888-C, 82 </w:t>
      </w:r>
      <w:r w:rsidRPr="00864A78" w:rsidR="009D7ACF">
        <w:rPr>
          <w:szCs w:val="26"/>
        </w:rPr>
        <w:t>FERC ¶ 61,046</w:t>
      </w:r>
      <w:r w:rsidRPr="009D7ACF" w:rsidR="009D7ACF">
        <w:rPr>
          <w:szCs w:val="26"/>
        </w:rPr>
        <w:t xml:space="preserve"> (1998), </w:t>
      </w:r>
      <w:r w:rsidRPr="009D7ACF" w:rsidR="009D7ACF">
        <w:rPr>
          <w:i/>
          <w:szCs w:val="26"/>
        </w:rPr>
        <w:t>aff’d in relevant part sub nom. Transmission Access Pol’y Study Grp. v. FERC</w:t>
      </w:r>
      <w:r w:rsidRPr="009D7ACF" w:rsidR="009D7ACF">
        <w:rPr>
          <w:szCs w:val="26"/>
        </w:rPr>
        <w:t xml:space="preserve">, 225 F.3d 667 (D.C. Cir. 2000), </w:t>
      </w:r>
      <w:r w:rsidRPr="009D7ACF" w:rsidR="009D7ACF">
        <w:rPr>
          <w:i/>
          <w:szCs w:val="26"/>
        </w:rPr>
        <w:t xml:space="preserve">aff’d sub nom. </w:t>
      </w:r>
      <w:r w:rsidR="0013507F">
        <w:rPr>
          <w:i/>
          <w:szCs w:val="26"/>
        </w:rPr>
        <w:t xml:space="preserve">       </w:t>
      </w:r>
      <w:r w:rsidRPr="009D7ACF" w:rsidR="009D7ACF">
        <w:rPr>
          <w:i/>
          <w:szCs w:val="26"/>
        </w:rPr>
        <w:t>New York v. FERC</w:t>
      </w:r>
      <w:r w:rsidRPr="009D7ACF" w:rsidR="009D7ACF">
        <w:rPr>
          <w:szCs w:val="26"/>
        </w:rPr>
        <w:t>, 535 U.S. 1 (2002)</w:t>
      </w:r>
      <w:r>
        <w:rPr>
          <w:szCs w:val="26"/>
        </w:rPr>
        <w:t xml:space="preserve">; </w:t>
      </w:r>
      <w:r w:rsidRPr="00CC5AFA">
        <w:rPr>
          <w:i/>
          <w:iCs/>
          <w:szCs w:val="26"/>
        </w:rPr>
        <w:t>Open-Access Same-Time Information Sys</w:t>
      </w:r>
      <w:r>
        <w:rPr>
          <w:i/>
          <w:iCs/>
          <w:szCs w:val="26"/>
        </w:rPr>
        <w:t>.</w:t>
      </w:r>
      <w:r w:rsidRPr="00CC5AFA">
        <w:rPr>
          <w:i/>
          <w:iCs/>
          <w:szCs w:val="26"/>
        </w:rPr>
        <w:t xml:space="preserve"> </w:t>
      </w:r>
      <w:r>
        <w:rPr>
          <w:i/>
          <w:iCs/>
          <w:szCs w:val="26"/>
        </w:rPr>
        <w:t>&amp; Standards</w:t>
      </w:r>
      <w:r w:rsidRPr="00CC5AFA">
        <w:rPr>
          <w:i/>
          <w:iCs/>
          <w:szCs w:val="26"/>
        </w:rPr>
        <w:t xml:space="preserve"> of Conduct</w:t>
      </w:r>
      <w:r>
        <w:rPr>
          <w:szCs w:val="26"/>
        </w:rPr>
        <w:t>, Order No. 889, FERC Stats. &amp;</w:t>
      </w:r>
      <w:r w:rsidR="008F5C10">
        <w:rPr>
          <w:szCs w:val="26"/>
        </w:rPr>
        <w:t xml:space="preserve"> </w:t>
      </w:r>
      <w:r>
        <w:rPr>
          <w:szCs w:val="26"/>
        </w:rPr>
        <w:t>Regs. ¶ 31,035 (1996)</w:t>
      </w:r>
      <w:r w:rsidR="00C57716">
        <w:rPr>
          <w:szCs w:val="26"/>
        </w:rPr>
        <w:t xml:space="preserve"> </w:t>
      </w:r>
      <w:r w:rsidRPr="00C57716" w:rsidR="00C57716">
        <w:rPr>
          <w:szCs w:val="26"/>
        </w:rPr>
        <w:t xml:space="preserve">(cross-referenced at 75 FERC ¶ 61,078), </w:t>
      </w:r>
      <w:r w:rsidRPr="00C57716" w:rsidR="00C57716">
        <w:rPr>
          <w:i/>
          <w:szCs w:val="26"/>
        </w:rPr>
        <w:t>order on reh’g</w:t>
      </w:r>
      <w:r w:rsidRPr="00C57716" w:rsidR="00C57716">
        <w:rPr>
          <w:szCs w:val="26"/>
        </w:rPr>
        <w:t xml:space="preserve">, Order No. 889-A, FERC Stats &amp; Regs. ¶ 31,049 (cross-referenced at 78 FERC ¶ 61,221), </w:t>
      </w:r>
      <w:r w:rsidRPr="00C57716" w:rsidR="00C57716">
        <w:rPr>
          <w:i/>
          <w:szCs w:val="26"/>
        </w:rPr>
        <w:t>reh’g denied</w:t>
      </w:r>
      <w:r w:rsidRPr="00C57716" w:rsidR="00C57716">
        <w:rPr>
          <w:szCs w:val="26"/>
        </w:rPr>
        <w:t xml:space="preserve">, Order No. 889-B, </w:t>
      </w:r>
      <w:r w:rsidR="0013507F">
        <w:rPr>
          <w:szCs w:val="26"/>
        </w:rPr>
        <w:t xml:space="preserve">         </w:t>
      </w:r>
      <w:r w:rsidRPr="00C57716" w:rsidR="00C57716">
        <w:rPr>
          <w:szCs w:val="26"/>
        </w:rPr>
        <w:t xml:space="preserve">81 FERC ¶ 61,253 (1997), </w:t>
      </w:r>
      <w:r w:rsidRPr="00C57716" w:rsidR="00C57716">
        <w:rPr>
          <w:i/>
          <w:iCs/>
          <w:szCs w:val="26"/>
        </w:rPr>
        <w:t>aff’d in relevant part sub nom. Transmission Access Pol’y Study Grp. v. FERC</w:t>
      </w:r>
      <w:r w:rsidRPr="00C57716" w:rsidR="00C57716">
        <w:rPr>
          <w:szCs w:val="26"/>
        </w:rPr>
        <w:t>, 225 F.3d 667 (D.C. Cir. 2000</w:t>
      </w:r>
      <w:r>
        <w:rPr>
          <w:szCs w:val="26"/>
        </w:rPr>
        <w:t xml:space="preserve">); </w:t>
      </w:r>
      <w:r w:rsidRPr="00C32BA5">
        <w:rPr>
          <w:i/>
        </w:rPr>
        <w:t>Preventing Undue Discrimination &amp; Preference in Transmission Serv.</w:t>
      </w:r>
      <w:r w:rsidRPr="00C32BA5">
        <w:t>,</w:t>
      </w:r>
      <w:r w:rsidRPr="006E2EB8">
        <w:rPr>
          <w:i/>
          <w:iCs/>
        </w:rPr>
        <w:t xml:space="preserve"> </w:t>
      </w:r>
      <w:r w:rsidRPr="00C32BA5">
        <w:t>Order No. 890,</w:t>
      </w:r>
      <w:r>
        <w:t xml:space="preserve"> 118 FERC ¶ 61,119,</w:t>
      </w:r>
      <w:r w:rsidRPr="00C32BA5">
        <w:t xml:space="preserve"> at P</w:t>
      </w:r>
      <w:r>
        <w:t>P</w:t>
      </w:r>
      <w:r w:rsidRPr="00C32BA5">
        <w:t xml:space="preserve"> 109</w:t>
      </w:r>
      <w:r>
        <w:t>, 373-377</w:t>
      </w:r>
      <w:r w:rsidR="006C4350">
        <w:t>,</w:t>
      </w:r>
      <w:r w:rsidRPr="00C32BA5">
        <w:t xml:space="preserve"> </w:t>
      </w:r>
      <w:r w:rsidRPr="006C4350" w:rsidR="006C4350">
        <w:rPr>
          <w:i/>
          <w:iCs/>
        </w:rPr>
        <w:t>order on reh’g</w:t>
      </w:r>
      <w:r w:rsidRPr="006C4350" w:rsidR="006C4350">
        <w:t xml:space="preserve">, Order No. 890-A, 121 FERC ¶ 61,297 (2007), </w:t>
      </w:r>
      <w:r w:rsidRPr="006C4350" w:rsidR="006C4350">
        <w:rPr>
          <w:i/>
          <w:iCs/>
        </w:rPr>
        <w:t>order on reh’g</w:t>
      </w:r>
      <w:r w:rsidRPr="006C4350" w:rsidR="006C4350">
        <w:t>, Order No. 890-B, 123 FERC ¶ 61,299 (2008),</w:t>
      </w:r>
      <w:r w:rsidRPr="006C4350" w:rsidR="006C4350">
        <w:rPr>
          <w:i/>
        </w:rPr>
        <w:t xml:space="preserve"> order on reh’g</w:t>
      </w:r>
      <w:r w:rsidRPr="006C4350" w:rsidR="006C4350">
        <w:t xml:space="preserve">, Order No. 890-C, 126 FERC ¶ 61,228, </w:t>
      </w:r>
      <w:r w:rsidRPr="006C4350" w:rsidR="006C4350">
        <w:rPr>
          <w:i/>
        </w:rPr>
        <w:t>order on clarification</w:t>
      </w:r>
      <w:r w:rsidRPr="006C4350" w:rsidR="006C4350">
        <w:t>, Order No. 890-D, 129 FERC ¶ 61,126 (2009)</w:t>
      </w:r>
      <w:r w:rsidRPr="00C32BA5">
        <w:t>; 18 C.F.R. pts. 37, 38</w:t>
      </w:r>
      <w:r>
        <w:t>)</w:t>
      </w:r>
      <w:r w:rsidRPr="00C32BA5">
        <w:t>.</w:t>
      </w:r>
      <w:r>
        <w:rPr>
          <w:u w:val="single"/>
        </w:rPr>
        <w:t xml:space="preserve"> </w:t>
      </w:r>
    </w:p>
  </w:footnote>
  <w:footnote w:id="43">
    <w:p w:rsidR="0012083D" w:rsidP="0012083D">
      <w:pPr>
        <w:pStyle w:val="FootnoteText"/>
      </w:pPr>
      <w:r>
        <w:rPr>
          <w:rStyle w:val="FootnoteReference"/>
        </w:rPr>
        <w:footnoteRef/>
      </w:r>
      <w:r>
        <w:t xml:space="preserve"> Deficiency Response at 1</w:t>
      </w:r>
      <w:r w:rsidR="00BE4296">
        <w:t>, 18</w:t>
      </w:r>
      <w:r>
        <w:t>.</w:t>
      </w:r>
      <w:r w:rsidR="00BE4296">
        <w:t xml:space="preserve"> </w:t>
      </w:r>
      <w:r w:rsidR="00CA3336">
        <w:t xml:space="preserve"> </w:t>
      </w:r>
      <w:r w:rsidR="00BE4296">
        <w:t>NYISO also proposed amendments to the November 21 Filing to include two definitions that were inadvertently omitted from the November 21 Filing:  the definition of “Champlain Hudson Power Express Merchant Transmission” and “MTF Reservation.”</w:t>
      </w:r>
      <w:r>
        <w:t xml:space="preserve"> </w:t>
      </w:r>
    </w:p>
  </w:footnote>
  <w:footnote w:id="44">
    <w:p w:rsidR="005C12B2">
      <w:pPr>
        <w:pStyle w:val="FootnoteText"/>
      </w:pPr>
      <w:r>
        <w:rPr>
          <w:rStyle w:val="FootnoteReference"/>
        </w:rPr>
        <w:footnoteRef/>
      </w:r>
      <w:r>
        <w:t xml:space="preserve"> </w:t>
      </w:r>
      <w:r w:rsidR="00923639">
        <w:rPr>
          <w:i/>
          <w:iCs/>
        </w:rPr>
        <w:t xml:space="preserve">Id. </w:t>
      </w:r>
      <w:r w:rsidR="00923639">
        <w:t>at 14</w:t>
      </w:r>
    </w:p>
  </w:footnote>
  <w:footnote w:id="45">
    <w:p w:rsidR="009C13A2" w:rsidRPr="00F073B3" w:rsidP="009C13A2">
      <w:pPr>
        <w:pStyle w:val="FootnoteText"/>
      </w:pPr>
      <w:r>
        <w:rPr>
          <w:rStyle w:val="FootnoteReference"/>
        </w:rPr>
        <w:footnoteRef/>
      </w:r>
      <w:r>
        <w:t xml:space="preserve"> </w:t>
      </w:r>
      <w:r>
        <w:rPr>
          <w:i/>
          <w:iCs/>
        </w:rPr>
        <w:t xml:space="preserve">Id. </w:t>
      </w:r>
      <w:r>
        <w:t>at 17-18.</w:t>
      </w:r>
    </w:p>
  </w:footnote>
  <w:footnote w:id="46">
    <w:p w:rsidR="00181904">
      <w:pPr>
        <w:pStyle w:val="FootnoteText"/>
      </w:pPr>
      <w:r>
        <w:rPr>
          <w:rStyle w:val="FootnoteReference"/>
        </w:rPr>
        <w:footnoteRef/>
      </w:r>
      <w:r>
        <w:t xml:space="preserve"> </w:t>
      </w:r>
      <w:r w:rsidR="007A7CEB">
        <w:rPr>
          <w:i/>
          <w:iCs/>
        </w:rPr>
        <w:t xml:space="preserve">Id. </w:t>
      </w:r>
      <w:r w:rsidR="007A7CEB">
        <w:t xml:space="preserve">at 19 (citing 18 C.F.R. § 35.11). </w:t>
      </w:r>
    </w:p>
  </w:footnote>
  <w:footnote w:id="47">
    <w:p w:rsidR="0012083D" w:rsidP="0012083D">
      <w:pPr>
        <w:pStyle w:val="FootnoteText"/>
      </w:pPr>
      <w:r>
        <w:rPr>
          <w:rStyle w:val="FootnoteReference"/>
        </w:rPr>
        <w:footnoteRef/>
      </w:r>
      <w:r>
        <w:t xml:space="preserve"> </w:t>
      </w:r>
      <w:r w:rsidR="007C6F60">
        <w:rPr>
          <w:i/>
          <w:iCs/>
        </w:rPr>
        <w:t xml:space="preserve">Id. </w:t>
      </w:r>
      <w:r w:rsidR="007C6F60">
        <w:t>at 2</w:t>
      </w:r>
    </w:p>
  </w:footnote>
  <w:footnote w:id="48">
    <w:p w:rsidR="0012083D" w:rsidP="0012083D">
      <w:pPr>
        <w:pStyle w:val="FootnoteText"/>
      </w:pPr>
      <w:r>
        <w:rPr>
          <w:rStyle w:val="FootnoteReference"/>
        </w:rPr>
        <w:footnoteRef/>
      </w:r>
      <w:r>
        <w:t xml:space="preserve"> </w:t>
      </w:r>
      <w:r w:rsidR="001F70B7">
        <w:rPr>
          <w:i/>
          <w:iCs/>
        </w:rPr>
        <w:t xml:space="preserve">Id. </w:t>
      </w:r>
      <w:r w:rsidR="001F70B7">
        <w:t>at</w:t>
      </w:r>
      <w:r>
        <w:t xml:space="preserve"> 4-6. </w:t>
      </w:r>
    </w:p>
  </w:footnote>
  <w:footnote w:id="49">
    <w:p w:rsidR="00616137" w:rsidP="00616137">
      <w:pPr>
        <w:pStyle w:val="FootnoteText"/>
      </w:pPr>
      <w:r>
        <w:rPr>
          <w:rStyle w:val="FootnoteReference"/>
        </w:rPr>
        <w:footnoteRef/>
      </w:r>
      <w:r>
        <w:t xml:space="preserve"> </w:t>
      </w:r>
      <w:r>
        <w:rPr>
          <w:i/>
          <w:iCs/>
        </w:rPr>
        <w:t>Id.</w:t>
      </w:r>
      <w:r>
        <w:t xml:space="preserve"> at 10.</w:t>
      </w:r>
    </w:p>
  </w:footnote>
  <w:footnote w:id="50">
    <w:p w:rsidR="0012083D" w:rsidP="0012083D">
      <w:pPr>
        <w:pStyle w:val="FootnoteText"/>
      </w:pPr>
      <w:r>
        <w:rPr>
          <w:rStyle w:val="FootnoteReference"/>
        </w:rPr>
        <w:footnoteRef/>
      </w:r>
      <w:r>
        <w:t xml:space="preserve"> </w:t>
      </w:r>
      <w:r w:rsidR="00E17068">
        <w:rPr>
          <w:i/>
          <w:iCs/>
        </w:rPr>
        <w:t>Id.</w:t>
      </w:r>
      <w:r>
        <w:t xml:space="preserve"> (citing </w:t>
      </w:r>
      <w:r w:rsidRPr="00CC4979">
        <w:t>18 C.F.R. § 37.5(a)</w:t>
      </w:r>
      <w:r>
        <w:t>).</w:t>
      </w:r>
    </w:p>
  </w:footnote>
  <w:footnote w:id="51">
    <w:p w:rsidR="0012083D" w:rsidP="0012083D">
      <w:pPr>
        <w:pStyle w:val="FootnoteText"/>
      </w:pPr>
      <w:r>
        <w:rPr>
          <w:rStyle w:val="FootnoteReference"/>
        </w:rPr>
        <w:footnoteRef/>
      </w:r>
      <w:r>
        <w:t xml:space="preserve"> </w:t>
      </w:r>
      <w:r w:rsidR="009666F3">
        <w:rPr>
          <w:i/>
          <w:iCs/>
        </w:rPr>
        <w:t>Id.</w:t>
      </w:r>
      <w:r w:rsidR="006139F7">
        <w:t xml:space="preserve"> </w:t>
      </w:r>
      <w:r>
        <w:t xml:space="preserve">at 10-11 (citing </w:t>
      </w:r>
      <w:r w:rsidRPr="00706633" w:rsidR="00F81778">
        <w:t>NYISO,</w:t>
      </w:r>
      <w:r w:rsidR="00F81778">
        <w:t xml:space="preserve"> </w:t>
      </w:r>
      <w:r w:rsidR="009666F3">
        <w:t>Proposed</w:t>
      </w:r>
      <w:r w:rsidRPr="005E7F6B">
        <w:t xml:space="preserve"> </w:t>
      </w:r>
      <w:r w:rsidR="00531154">
        <w:t>OATT</w:t>
      </w:r>
      <w:r w:rsidR="00F81778">
        <w:t>,</w:t>
      </w:r>
      <w:r w:rsidR="00531154">
        <w:t xml:space="preserve"> </w:t>
      </w:r>
      <w:r w:rsidRPr="00F81778" w:rsidR="00F81778">
        <w:t>§§</w:t>
      </w:r>
      <w:r w:rsidRPr="005E7F6B">
        <w:t xml:space="preserve"> 41.5.9, 41.6, 41.15, 41.16</w:t>
      </w:r>
      <w:r>
        <w:t>).</w:t>
      </w:r>
    </w:p>
  </w:footnote>
  <w:footnote w:id="52">
    <w:p w:rsidR="00D67A2D" w:rsidP="00D67A2D">
      <w:pPr>
        <w:pStyle w:val="FootnoteText"/>
      </w:pPr>
      <w:r>
        <w:rPr>
          <w:rStyle w:val="FootnoteReference"/>
        </w:rPr>
        <w:footnoteRef/>
      </w:r>
      <w:r>
        <w:t xml:space="preserve"> </w:t>
      </w:r>
      <w:r w:rsidRPr="005D6F5A" w:rsidR="00301840">
        <w:rPr>
          <w:i/>
          <w:iCs/>
        </w:rPr>
        <w:t>Id</w:t>
      </w:r>
      <w:r w:rsidR="00301840">
        <w:t>.</w:t>
      </w:r>
      <w:r>
        <w:t xml:space="preserve"> at 7. </w:t>
      </w:r>
    </w:p>
  </w:footnote>
  <w:footnote w:id="53">
    <w:p w:rsidR="0012083D" w:rsidP="0012083D">
      <w:pPr>
        <w:pStyle w:val="FootnoteText"/>
      </w:pPr>
      <w:r>
        <w:rPr>
          <w:rStyle w:val="FootnoteReference"/>
        </w:rPr>
        <w:footnoteRef/>
      </w:r>
      <w:r>
        <w:t xml:space="preserve"> </w:t>
      </w:r>
      <w:r w:rsidR="009666F3">
        <w:rPr>
          <w:i/>
          <w:iCs/>
        </w:rPr>
        <w:t>Id.</w:t>
      </w:r>
      <w:r w:rsidR="006139F7">
        <w:t xml:space="preserve"> </w:t>
      </w:r>
      <w:r>
        <w:t>at 12.</w:t>
      </w:r>
    </w:p>
  </w:footnote>
  <w:footnote w:id="54">
    <w:p w:rsidR="009666F3" w:rsidRPr="003B30D6">
      <w:pPr>
        <w:pStyle w:val="FootnoteText"/>
      </w:pPr>
      <w:r>
        <w:rPr>
          <w:rStyle w:val="FootnoteReference"/>
        </w:rPr>
        <w:footnoteRef/>
      </w:r>
      <w:r>
        <w:t xml:space="preserve"> </w:t>
      </w:r>
      <w:r w:rsidR="003B30D6">
        <w:rPr>
          <w:i/>
          <w:iCs/>
        </w:rPr>
        <w:t xml:space="preserve">Id. </w:t>
      </w:r>
    </w:p>
  </w:footnote>
  <w:footnote w:id="55">
    <w:p w:rsidR="0012083D" w:rsidP="0012083D">
      <w:pPr>
        <w:pStyle w:val="FootnoteText"/>
      </w:pPr>
      <w:r>
        <w:rPr>
          <w:rStyle w:val="FootnoteReference"/>
        </w:rPr>
        <w:footnoteRef/>
      </w:r>
      <w:r>
        <w:t xml:space="preserve"> </w:t>
      </w:r>
      <w:r w:rsidR="0008374C">
        <w:rPr>
          <w:i/>
          <w:iCs/>
        </w:rPr>
        <w:t>Id.</w:t>
      </w:r>
      <w:r w:rsidR="006139F7">
        <w:t xml:space="preserve"> </w:t>
      </w:r>
      <w:r>
        <w:t>at 13 (citing</w:t>
      </w:r>
      <w:r w:rsidR="0056327A">
        <w:t xml:space="preserve"> </w:t>
      </w:r>
      <w:r w:rsidR="0056327A">
        <w:rPr>
          <w:i/>
          <w:iCs/>
        </w:rPr>
        <w:t>St</w:t>
      </w:r>
      <w:r w:rsidR="002C1C5A">
        <w:rPr>
          <w:i/>
          <w:iCs/>
        </w:rPr>
        <w:t>andards</w:t>
      </w:r>
      <w:r w:rsidR="0056327A">
        <w:rPr>
          <w:i/>
          <w:iCs/>
        </w:rPr>
        <w:t xml:space="preserve"> </w:t>
      </w:r>
      <w:r w:rsidR="002C1C5A">
        <w:rPr>
          <w:i/>
          <w:iCs/>
        </w:rPr>
        <w:t>f</w:t>
      </w:r>
      <w:r w:rsidR="0056327A">
        <w:rPr>
          <w:i/>
          <w:iCs/>
        </w:rPr>
        <w:t>or Bus. Pracs. &amp; Comm</w:t>
      </w:r>
      <w:r w:rsidR="002C1C5A">
        <w:rPr>
          <w:i/>
          <w:iCs/>
        </w:rPr>
        <w:t>c’n</w:t>
      </w:r>
      <w:r w:rsidR="0056327A">
        <w:rPr>
          <w:i/>
          <w:iCs/>
        </w:rPr>
        <w:t xml:space="preserve"> Protocols for Pub. Utils.</w:t>
      </w:r>
      <w:r w:rsidR="0056327A">
        <w:t>,</w:t>
      </w:r>
      <w:r>
        <w:t xml:space="preserve"> </w:t>
      </w:r>
      <w:r w:rsidRPr="003868E9">
        <w:t>Order No. 676-H, 151 FERC ¶ 61,046</w:t>
      </w:r>
      <w:r w:rsidR="0008374C">
        <w:t>,</w:t>
      </w:r>
      <w:r w:rsidRPr="003868E9">
        <w:t xml:space="preserve"> at P 20 (2015)</w:t>
      </w:r>
      <w:r>
        <w:t>).</w:t>
      </w:r>
    </w:p>
  </w:footnote>
  <w:footnote w:id="56">
    <w:p w:rsidR="0012083D" w:rsidP="0012083D">
      <w:pPr>
        <w:pStyle w:val="FootnoteText"/>
      </w:pPr>
      <w:r>
        <w:rPr>
          <w:rStyle w:val="FootnoteReference"/>
        </w:rPr>
        <w:footnoteRef/>
      </w:r>
      <w:r>
        <w:t xml:space="preserve"> </w:t>
      </w:r>
      <w:r w:rsidRPr="005D6F5A" w:rsidR="00584B09">
        <w:rPr>
          <w:i/>
          <w:iCs/>
        </w:rPr>
        <w:t>Id</w:t>
      </w:r>
      <w:r w:rsidR="00584B09">
        <w:t>.</w:t>
      </w:r>
      <w:r>
        <w:t xml:space="preserve"> at 14 (quoting </w:t>
      </w:r>
      <w:r w:rsidRPr="00387137">
        <w:rPr>
          <w:i/>
        </w:rPr>
        <w:t xml:space="preserve">Standards for </w:t>
      </w:r>
      <w:r w:rsidR="00533584">
        <w:rPr>
          <w:i/>
          <w:iCs/>
        </w:rPr>
        <w:t>Bus. Pracs. &amp; Commc’n</w:t>
      </w:r>
      <w:r w:rsidRPr="00387137">
        <w:rPr>
          <w:i/>
        </w:rPr>
        <w:t xml:space="preserve"> Protocols for </w:t>
      </w:r>
      <w:r w:rsidR="00533584">
        <w:rPr>
          <w:i/>
          <w:iCs/>
        </w:rPr>
        <w:t>Pub. Utils.</w:t>
      </w:r>
      <w:r>
        <w:t xml:space="preserve">, </w:t>
      </w:r>
      <w:r w:rsidR="00F81778">
        <w:t xml:space="preserve">Order No. 676, </w:t>
      </w:r>
      <w:r w:rsidRPr="00FB26F6">
        <w:t>115 FERC ¶ 61,102</w:t>
      </w:r>
      <w:r w:rsidR="00A6324E">
        <w:t>,</w:t>
      </w:r>
      <w:r w:rsidRPr="00FB26F6">
        <w:t xml:space="preserve"> at P 83 (2006)</w:t>
      </w:r>
      <w:r>
        <w:t xml:space="preserve">). </w:t>
      </w:r>
    </w:p>
  </w:footnote>
  <w:footnote w:id="57">
    <w:p w:rsidR="009E6714">
      <w:pPr>
        <w:pStyle w:val="FootnoteText"/>
      </w:pPr>
      <w:r>
        <w:rPr>
          <w:rStyle w:val="FootnoteReference"/>
        </w:rPr>
        <w:footnoteRef/>
      </w:r>
      <w:r>
        <w:t xml:space="preserve"> </w:t>
      </w:r>
      <w:r w:rsidRPr="005D6F5A" w:rsidR="00411120">
        <w:rPr>
          <w:i/>
          <w:iCs/>
        </w:rPr>
        <w:t>Id</w:t>
      </w:r>
      <w:r w:rsidR="00411120">
        <w:t>.</w:t>
      </w:r>
      <w:r w:rsidR="00CD0D24">
        <w:t xml:space="preserve"> at 8</w:t>
      </w:r>
      <w:r w:rsidR="00411120">
        <w:t>.</w:t>
      </w:r>
    </w:p>
  </w:footnote>
  <w:footnote w:id="58">
    <w:p w:rsidR="00A0753F" w:rsidP="00A0753F">
      <w:pPr>
        <w:pStyle w:val="FootnoteText"/>
      </w:pPr>
      <w:r>
        <w:rPr>
          <w:rStyle w:val="FootnoteReference"/>
        </w:rPr>
        <w:footnoteRef/>
      </w:r>
      <w:r>
        <w:t xml:space="preserve"> </w:t>
      </w:r>
      <w:r w:rsidRPr="005D6F5A" w:rsidR="00411120">
        <w:rPr>
          <w:i/>
          <w:iCs/>
        </w:rPr>
        <w:t>Id</w:t>
      </w:r>
      <w:r w:rsidR="00411120">
        <w:t>.</w:t>
      </w:r>
      <w:r>
        <w:t xml:space="preserve"> at 7-9 </w:t>
      </w:r>
      <w:r w:rsidR="00533584">
        <w:t>(</w:t>
      </w:r>
      <w:r w:rsidR="00411120">
        <w:t>referencing</w:t>
      </w:r>
      <w:r>
        <w:t xml:space="preserve"> </w:t>
      </w:r>
      <w:r w:rsidRPr="00DD7AA2">
        <w:rPr>
          <w:i/>
          <w:iCs/>
        </w:rPr>
        <w:t>NRG Power Mktg., LLC v. FERC</w:t>
      </w:r>
      <w:r>
        <w:t>, 862 F.3d 108</w:t>
      </w:r>
      <w:r w:rsidR="00C84120">
        <w:t>,</w:t>
      </w:r>
      <w:r>
        <w:t xml:space="preserve"> at 114-15 (D.C. Cir. 2017) (</w:t>
      </w:r>
      <w:r w:rsidRPr="00735589">
        <w:rPr>
          <w:i/>
        </w:rPr>
        <w:t>NRG</w:t>
      </w:r>
      <w:r>
        <w:t>)</w:t>
      </w:r>
      <w:r w:rsidR="00533584">
        <w:t>).</w:t>
      </w:r>
    </w:p>
  </w:footnote>
  <w:footnote w:id="59">
    <w:p w:rsidR="008929FD" w:rsidP="008929FD">
      <w:pPr>
        <w:pStyle w:val="FootnoteText"/>
      </w:pPr>
      <w:r>
        <w:rPr>
          <w:rStyle w:val="FootnoteReference"/>
        </w:rPr>
        <w:footnoteRef/>
      </w:r>
      <w:r>
        <w:t xml:space="preserve"> </w:t>
      </w:r>
      <w:r>
        <w:rPr>
          <w:i/>
          <w:iCs/>
        </w:rPr>
        <w:t>I</w:t>
      </w:r>
      <w:r w:rsidRPr="001208B0">
        <w:rPr>
          <w:i/>
          <w:iCs/>
        </w:rPr>
        <w:t>d</w:t>
      </w:r>
      <w:r>
        <w:rPr>
          <w:i/>
          <w:iCs/>
        </w:rPr>
        <w:t>.</w:t>
      </w:r>
      <w:r>
        <w:t xml:space="preserve"> at 8-9 (citing </w:t>
      </w:r>
      <w:r w:rsidRPr="00C7366A">
        <w:rPr>
          <w:i/>
          <w:iCs/>
        </w:rPr>
        <w:t>NRG</w:t>
      </w:r>
      <w:r w:rsidRPr="00C7366A">
        <w:t>, 862 F.3d at 114-15</w:t>
      </w:r>
      <w:r>
        <w:t>).</w:t>
      </w:r>
    </w:p>
  </w:footnote>
  <w:footnote w:id="60">
    <w:p w:rsidR="008929FD" w:rsidP="008929FD">
      <w:pPr>
        <w:pStyle w:val="FootnoteText"/>
      </w:pPr>
      <w:r>
        <w:rPr>
          <w:rStyle w:val="FootnoteReference"/>
        </w:rPr>
        <w:footnoteRef/>
      </w:r>
      <w:r>
        <w:t xml:space="preserve"> </w:t>
      </w:r>
      <w:r>
        <w:rPr>
          <w:i/>
          <w:iCs/>
        </w:rPr>
        <w:t>I</w:t>
      </w:r>
      <w:r w:rsidRPr="001208B0">
        <w:rPr>
          <w:i/>
          <w:iCs/>
        </w:rPr>
        <w:t>d</w:t>
      </w:r>
      <w:r>
        <w:rPr>
          <w:i/>
          <w:iCs/>
        </w:rPr>
        <w:t>.</w:t>
      </w:r>
      <w:r>
        <w:t xml:space="preserve"> at 9. </w:t>
      </w:r>
    </w:p>
  </w:footnote>
  <w:footnote w:id="61">
    <w:p w:rsidR="00692BE8" w:rsidP="00692BE8">
      <w:pPr>
        <w:pStyle w:val="FootnoteText"/>
      </w:pPr>
      <w:r>
        <w:rPr>
          <w:rStyle w:val="FootnoteReference"/>
        </w:rPr>
        <w:footnoteRef/>
      </w:r>
      <w:r>
        <w:t xml:space="preserve"> </w:t>
      </w:r>
      <w:r w:rsidR="008021FA">
        <w:rPr>
          <w:i/>
          <w:iCs/>
        </w:rPr>
        <w:t>I</w:t>
      </w:r>
      <w:r w:rsidRPr="001208B0" w:rsidR="008021FA">
        <w:rPr>
          <w:i/>
          <w:iCs/>
        </w:rPr>
        <w:t>d</w:t>
      </w:r>
      <w:r w:rsidR="008021FA">
        <w:rPr>
          <w:i/>
          <w:iCs/>
        </w:rPr>
        <w:t>.</w:t>
      </w:r>
      <w:r>
        <w:t xml:space="preserve"> at 1.</w:t>
      </w:r>
    </w:p>
  </w:footnote>
  <w:footnote w:id="62">
    <w:p w:rsidR="00692BE8" w:rsidP="00692BE8">
      <w:pPr>
        <w:pStyle w:val="FootnoteText"/>
      </w:pPr>
      <w:r>
        <w:rPr>
          <w:rStyle w:val="FootnoteReference"/>
        </w:rPr>
        <w:footnoteRef/>
      </w:r>
      <w:r>
        <w:t xml:space="preserve"> </w:t>
      </w:r>
      <w:r w:rsidR="00C026A8">
        <w:rPr>
          <w:i/>
          <w:iCs/>
        </w:rPr>
        <w:t>Id.</w:t>
      </w:r>
      <w:r>
        <w:t xml:space="preserve"> at 16. </w:t>
      </w:r>
    </w:p>
  </w:footnote>
  <w:footnote w:id="63">
    <w:p w:rsidR="00CC2F30">
      <w:pPr>
        <w:pStyle w:val="FootnoteText"/>
      </w:pPr>
      <w:r>
        <w:rPr>
          <w:rStyle w:val="FootnoteReference"/>
        </w:rPr>
        <w:footnoteRef/>
      </w:r>
      <w:r>
        <w:t xml:space="preserve"> </w:t>
      </w:r>
      <w:r>
        <w:rPr>
          <w:i/>
          <w:iCs/>
        </w:rPr>
        <w:t>Id.</w:t>
      </w:r>
      <w:r>
        <w:t xml:space="preserve"> at </w:t>
      </w:r>
      <w:r w:rsidR="00CC0EF2">
        <w:t>4, 15, 18.</w:t>
      </w:r>
    </w:p>
  </w:footnote>
  <w:footnote w:id="64">
    <w:p w:rsidR="00947685">
      <w:pPr>
        <w:pStyle w:val="FootnoteText"/>
      </w:pPr>
      <w:r w:rsidRPr="00931A59">
        <w:rPr>
          <w:rStyle w:val="FootnoteReference"/>
        </w:rPr>
        <w:footnoteRef/>
      </w:r>
      <w:r w:rsidRPr="00931A59">
        <w:t xml:space="preserve"> </w:t>
      </w:r>
      <w:r w:rsidRPr="006137B8" w:rsidR="006137B8">
        <w:t>New York Transmission Owners include:  Central Hudson Gas &amp; Electric Corporation; Consolidated Edison Company of New York, Inc.; Long Island Power Authority; New York Power Authority; New York State Electric &amp; Gas Corporation; Niagara Mohawk Power Corporation; Orange and Rockland Utilities, Inc.; and Rochester Gas and Electric Corporation.</w:t>
      </w:r>
    </w:p>
  </w:footnote>
  <w:footnote w:id="65">
    <w:p w:rsidR="00A95CF9" w:rsidP="00A95CF9">
      <w:pPr>
        <w:pStyle w:val="FootnoteText"/>
      </w:pPr>
      <w:r>
        <w:rPr>
          <w:rStyle w:val="FootnoteReference"/>
        </w:rPr>
        <w:footnoteRef/>
      </w:r>
      <w:r>
        <w:t xml:space="preserve"> CHPE </w:t>
      </w:r>
      <w:r w:rsidR="006E09EF">
        <w:t>December 12</w:t>
      </w:r>
      <w:r w:rsidR="006137B8">
        <w:t>, 2025</w:t>
      </w:r>
      <w:r w:rsidR="006E09EF">
        <w:t xml:space="preserve"> C</w:t>
      </w:r>
      <w:r>
        <w:t>omments at 4</w:t>
      </w:r>
      <w:r w:rsidR="00267779">
        <w:t>;</w:t>
      </w:r>
      <w:r>
        <w:t xml:space="preserve"> HQUS </w:t>
      </w:r>
      <w:r w:rsidR="00136C70">
        <w:t>December 12</w:t>
      </w:r>
      <w:r w:rsidR="006137B8">
        <w:t>, 2025</w:t>
      </w:r>
      <w:r w:rsidR="00136C70">
        <w:t xml:space="preserve"> C</w:t>
      </w:r>
      <w:r>
        <w:t xml:space="preserve">omments at 3, n.3 (citing </w:t>
      </w:r>
      <w:r w:rsidRPr="0038401A">
        <w:rPr>
          <w:i/>
        </w:rPr>
        <w:t>NECEC Transmission LLC</w:t>
      </w:r>
      <w:r w:rsidRPr="00293F56">
        <w:t>, 192 FERC ¶ 61,221 (2025)</w:t>
      </w:r>
      <w:r>
        <w:t>)</w:t>
      </w:r>
      <w:r w:rsidR="003358EB">
        <w:t>.</w:t>
      </w:r>
      <w:r>
        <w:t xml:space="preserve"> </w:t>
      </w:r>
    </w:p>
  </w:footnote>
  <w:footnote w:id="66">
    <w:p w:rsidR="00A95CF9" w:rsidP="00A95CF9">
      <w:pPr>
        <w:pStyle w:val="FootnoteText"/>
      </w:pPr>
      <w:r>
        <w:rPr>
          <w:rStyle w:val="FootnoteReference"/>
        </w:rPr>
        <w:footnoteRef/>
      </w:r>
      <w:r>
        <w:t xml:space="preserve"> HQUS </w:t>
      </w:r>
      <w:r w:rsidR="00136C70">
        <w:t>December 12</w:t>
      </w:r>
      <w:r w:rsidR="00C66F8A">
        <w:t>, 2025</w:t>
      </w:r>
      <w:r w:rsidR="00136C70">
        <w:t xml:space="preserve"> C</w:t>
      </w:r>
      <w:r>
        <w:t xml:space="preserve">omments at 3, n.4 (citing </w:t>
      </w:r>
      <w:r w:rsidR="00C66F8A">
        <w:rPr>
          <w:i/>
          <w:iCs/>
        </w:rPr>
        <w:t xml:space="preserve">pro forma </w:t>
      </w:r>
      <w:r w:rsidR="00C66F8A">
        <w:t>OATT Sections</w:t>
      </w:r>
      <w:r w:rsidRPr="00AA3B4B">
        <w:t xml:space="preserve"> 23.1(a), 23.3</w:t>
      </w:r>
      <w:r>
        <w:t>)</w:t>
      </w:r>
      <w:r w:rsidR="00197314">
        <w:t>.</w:t>
      </w:r>
    </w:p>
  </w:footnote>
  <w:footnote w:id="67">
    <w:p w:rsidR="00721F32">
      <w:pPr>
        <w:pStyle w:val="FootnoteText"/>
      </w:pPr>
      <w:r>
        <w:rPr>
          <w:rStyle w:val="FootnoteReference"/>
        </w:rPr>
        <w:footnoteRef/>
      </w:r>
      <w:r>
        <w:t xml:space="preserve"> </w:t>
      </w:r>
      <w:r w:rsidR="0040378F">
        <w:t>CHPE February 13, 2026 Comments at 3</w:t>
      </w:r>
      <w:r w:rsidR="00E840ED">
        <w:t>.</w:t>
      </w:r>
    </w:p>
  </w:footnote>
  <w:footnote w:id="68">
    <w:p w:rsidR="0013507F" w:rsidP="005210DE">
      <w:pPr>
        <w:pStyle w:val="FootnoteText"/>
      </w:pPr>
      <w:r>
        <w:rPr>
          <w:rStyle w:val="FootnoteReference"/>
        </w:rPr>
        <w:footnoteRef/>
      </w:r>
      <w:r>
        <w:t xml:space="preserve"> The United States Court of Appeals for the District of Columbia Circuit has held that, in certain circumstances, the Commission has “authority to propose modifications to </w:t>
      </w:r>
    </w:p>
    <w:p w:rsidR="005210DE" w:rsidP="00BF007B">
      <w:pPr>
        <w:pStyle w:val="FootnoteText"/>
        <w:ind w:firstLine="0"/>
      </w:pPr>
      <w:r>
        <w:t xml:space="preserve">a utility’s [FPA section 205] proposal </w:t>
      </w:r>
      <w:r w:rsidRPr="00C124EE">
        <w:rPr>
          <w:i/>
          <w:iCs/>
        </w:rPr>
        <w:t>if the utility consents to the modifications</w:t>
      </w:r>
      <w:r>
        <w:t xml:space="preserve">.”  </w:t>
      </w:r>
      <w:r w:rsidRPr="00C124EE">
        <w:rPr>
          <w:i/>
          <w:iCs/>
        </w:rPr>
        <w:t>NRG</w:t>
      </w:r>
      <w:r>
        <w:t xml:space="preserve">, 862 F.3d </w:t>
      </w:r>
      <w:r w:rsidR="00CD69E4">
        <w:t>at</w:t>
      </w:r>
      <w:r>
        <w:t xml:space="preserve"> 114-15 </w:t>
      </w:r>
      <w:r w:rsidR="008D310E">
        <w:t>(emphasis added)</w:t>
      </w:r>
      <w:r>
        <w:t xml:space="preserve">.  </w:t>
      </w:r>
    </w:p>
  </w:footnote>
  <w:footnote w:id="69">
    <w:p w:rsidR="00046CEE" w:rsidP="005609BA">
      <w:pPr>
        <w:pStyle w:val="FootnoteText"/>
      </w:pPr>
      <w:r>
        <w:rPr>
          <w:rStyle w:val="FootnoteReference"/>
        </w:rPr>
        <w:footnoteRef/>
      </w:r>
      <w:r>
        <w:t xml:space="preserve"> </w:t>
      </w:r>
      <w:r w:rsidRPr="00DF003F">
        <w:rPr>
          <w:i/>
        </w:rPr>
        <w:t xml:space="preserve">Promoting Wholesale Competition Through Open Access Non-discriminatory Transmission </w:t>
      </w:r>
      <w:r w:rsidRPr="00DF003F">
        <w:rPr>
          <w:i/>
          <w:iCs/>
        </w:rPr>
        <w:t>Servs</w:t>
      </w:r>
      <w:r>
        <w:rPr>
          <w:i/>
          <w:iCs/>
        </w:rPr>
        <w:t>.</w:t>
      </w:r>
      <w:r w:rsidRPr="00DF003F">
        <w:rPr>
          <w:i/>
        </w:rPr>
        <w:t xml:space="preserve"> </w:t>
      </w:r>
      <w:r w:rsidRPr="00DF003F">
        <w:rPr>
          <w:i/>
          <w:iCs/>
        </w:rPr>
        <w:t>by Pub</w:t>
      </w:r>
      <w:r>
        <w:rPr>
          <w:i/>
          <w:iCs/>
        </w:rPr>
        <w:t>.</w:t>
      </w:r>
      <w:r w:rsidRPr="00DF003F">
        <w:rPr>
          <w:i/>
          <w:iCs/>
        </w:rPr>
        <w:t xml:space="preserve"> Util</w:t>
      </w:r>
      <w:r>
        <w:rPr>
          <w:i/>
          <w:iCs/>
        </w:rPr>
        <w:t>s.</w:t>
      </w:r>
      <w:r w:rsidRPr="00DF003F">
        <w:rPr>
          <w:i/>
          <w:iCs/>
        </w:rPr>
        <w:t>;</w:t>
      </w:r>
      <w:r w:rsidRPr="00DF003F">
        <w:rPr>
          <w:i/>
        </w:rPr>
        <w:t xml:space="preserve"> Recovery of Stranded Costs by </w:t>
      </w:r>
      <w:r w:rsidRPr="00DF003F">
        <w:rPr>
          <w:i/>
          <w:iCs/>
        </w:rPr>
        <w:t>Pub</w:t>
      </w:r>
      <w:r>
        <w:rPr>
          <w:i/>
          <w:iCs/>
        </w:rPr>
        <w:t>.</w:t>
      </w:r>
      <w:r w:rsidRPr="00DF003F">
        <w:rPr>
          <w:i/>
          <w:iCs/>
        </w:rPr>
        <w:t xml:space="preserve"> Util</w:t>
      </w:r>
      <w:r>
        <w:rPr>
          <w:i/>
          <w:iCs/>
        </w:rPr>
        <w:t>s.</w:t>
      </w:r>
      <w:r w:rsidRPr="00DF003F">
        <w:rPr>
          <w:i/>
        </w:rPr>
        <w:t xml:space="preserve"> and Transmitting </w:t>
      </w:r>
      <w:r w:rsidRPr="00DF003F">
        <w:rPr>
          <w:i/>
          <w:iCs/>
        </w:rPr>
        <w:t>Util</w:t>
      </w:r>
      <w:r>
        <w:rPr>
          <w:i/>
          <w:iCs/>
        </w:rPr>
        <w:t>s.</w:t>
      </w:r>
      <w:r w:rsidRPr="0051704A">
        <w:t xml:space="preserve">, </w:t>
      </w:r>
      <w:r w:rsidRPr="005609BA" w:rsidR="005609BA">
        <w:t xml:space="preserve">Order No. 888, FERC Stats. &amp; Regs. ¶ 31,036 at 31,636-55, 31,694, 31,697-98, 31,719, 3,1859, 31,927, 31,934-35, </w:t>
      </w:r>
      <w:r w:rsidRPr="005609BA" w:rsidR="005609BA">
        <w:rPr>
          <w:i/>
          <w:iCs/>
        </w:rPr>
        <w:t>order on reh’g</w:t>
      </w:r>
      <w:r w:rsidRPr="005609BA" w:rsidR="005609BA">
        <w:t xml:space="preserve">, Order No. 888-A, FERC Stats. &amp; Regs. ¶ 31,048 at 30,180, 30,220-22, 30,225, 30,237, 30,274-76, 30,301, 30,232, </w:t>
      </w:r>
      <w:r w:rsidRPr="005609BA" w:rsidR="005609BA">
        <w:rPr>
          <w:i/>
          <w:iCs/>
        </w:rPr>
        <w:t>order on reh’g</w:t>
      </w:r>
      <w:r w:rsidRPr="005609BA" w:rsidR="005609BA">
        <w:t xml:space="preserve">, Order No. 888-B at 62,074-75, </w:t>
      </w:r>
      <w:r w:rsidRPr="005609BA" w:rsidR="005609BA">
        <w:rPr>
          <w:i/>
          <w:iCs/>
        </w:rPr>
        <w:t>order on reh’g</w:t>
      </w:r>
      <w:r w:rsidRPr="005609BA" w:rsidR="005609BA">
        <w:t xml:space="preserve">, Order No. 888-C, 82 FERC ¶ 61,046, </w:t>
      </w:r>
      <w:r w:rsidRPr="005609BA" w:rsidR="005609BA">
        <w:rPr>
          <w:i/>
          <w:iCs/>
        </w:rPr>
        <w:t>aff’d in relevant part sub nom. Transmission Access Pol’y Study Grp. v. FERC</w:t>
      </w:r>
      <w:r w:rsidRPr="005609BA" w:rsidR="005609BA">
        <w:t xml:space="preserve">, 225 F.3d 667 (D.C. Cir. 2000), </w:t>
      </w:r>
      <w:r w:rsidRPr="005609BA" w:rsidR="005609BA">
        <w:rPr>
          <w:i/>
          <w:iCs/>
        </w:rPr>
        <w:t>aff’d sub nom. N. Y. v. FERC</w:t>
      </w:r>
      <w:r w:rsidRPr="005609BA" w:rsidR="005609BA">
        <w:t xml:space="preserve">, 535 U.S. 1 (2002); Order No. 889, FERC Stats. &amp; Regs. ¶ 31,035 at 31,596-05, 31,607-12, 31,615, 31,619, </w:t>
      </w:r>
      <w:r w:rsidRPr="005609BA" w:rsidR="005609BA">
        <w:rPr>
          <w:i/>
          <w:iCs/>
        </w:rPr>
        <w:t>order on reh’g</w:t>
      </w:r>
      <w:r w:rsidRPr="005609BA" w:rsidR="005609BA">
        <w:t xml:space="preserve">, Order No. 889-A, FERC Stats &amp; Regs. ¶ 31,049 at 30,548-49, 30,550-51, 30,558-59, 30,561-62, 30,563-65, 30,567-69, 30,571-72, </w:t>
      </w:r>
      <w:r w:rsidRPr="005609BA" w:rsidR="005609BA">
        <w:rPr>
          <w:i/>
          <w:iCs/>
        </w:rPr>
        <w:t>reh’g denied</w:t>
      </w:r>
      <w:r w:rsidRPr="005609BA" w:rsidR="005609BA">
        <w:t xml:space="preserve">, 81 FERC at 62,174-76; </w:t>
      </w:r>
      <w:r w:rsidRPr="005609BA" w:rsidR="005609BA">
        <w:rPr>
          <w:i/>
          <w:iCs/>
        </w:rPr>
        <w:t>see also</w:t>
      </w:r>
      <w:r w:rsidRPr="005609BA" w:rsidR="005609BA">
        <w:t xml:space="preserve"> 18 C.F.R. §§ 37.2(a)-(b).</w:t>
      </w:r>
    </w:p>
  </w:footnote>
  <w:footnote w:id="70">
    <w:p w:rsidR="002B741A" w:rsidRPr="000B247B" w:rsidP="00CC7F09">
      <w:pPr>
        <w:pStyle w:val="FootnoteText"/>
        <w:rPr>
          <w:szCs w:val="26"/>
        </w:rPr>
      </w:pPr>
      <w:r w:rsidRPr="000B247B">
        <w:rPr>
          <w:rStyle w:val="FootnoteReference"/>
        </w:rPr>
        <w:footnoteRef/>
      </w:r>
      <w:r w:rsidRPr="000B247B">
        <w:rPr>
          <w:szCs w:val="26"/>
        </w:rPr>
        <w:t xml:space="preserve"> </w:t>
      </w:r>
      <w:r>
        <w:rPr>
          <w:i/>
          <w:iCs/>
          <w:szCs w:val="26"/>
        </w:rPr>
        <w:t>See</w:t>
      </w:r>
      <w:r>
        <w:rPr>
          <w:i/>
          <w:szCs w:val="26"/>
        </w:rPr>
        <w:t xml:space="preserve"> </w:t>
      </w:r>
      <w:r w:rsidRPr="00551B7D">
        <w:rPr>
          <w:i/>
        </w:rPr>
        <w:t>Lucky Corridor, LLC</w:t>
      </w:r>
      <w:r w:rsidRPr="00551B7D">
        <w:t>, 18</w:t>
      </w:r>
      <w:r>
        <w:t>1</w:t>
      </w:r>
      <w:r w:rsidRPr="00551B7D">
        <w:t xml:space="preserve"> FERC ¶ 61,004, at P</w:t>
      </w:r>
      <w:r w:rsidR="000B3212">
        <w:t>P</w:t>
      </w:r>
      <w:r w:rsidRPr="00551B7D">
        <w:rPr>
          <w:i/>
          <w:szCs w:val="26"/>
        </w:rPr>
        <w:t xml:space="preserve"> </w:t>
      </w:r>
      <w:r w:rsidR="006D329D">
        <w:rPr>
          <w:szCs w:val="26"/>
        </w:rPr>
        <w:t>12, 16, 18-19</w:t>
      </w:r>
      <w:r w:rsidRPr="00551B7D">
        <w:rPr>
          <w:szCs w:val="26"/>
        </w:rPr>
        <w:t xml:space="preserve"> (2022)</w:t>
      </w:r>
      <w:r w:rsidR="000E4A30">
        <w:rPr>
          <w:szCs w:val="26"/>
        </w:rPr>
        <w:t xml:space="preserve"> </w:t>
      </w:r>
      <w:r w:rsidRPr="00551B7D">
        <w:rPr>
          <w:szCs w:val="26"/>
        </w:rPr>
        <w:t>(citing</w:t>
      </w:r>
      <w:r>
        <w:rPr>
          <w:szCs w:val="26"/>
        </w:rPr>
        <w:t xml:space="preserve"> </w:t>
      </w:r>
      <w:r>
        <w:rPr>
          <w:i/>
          <w:iCs/>
          <w:szCs w:val="26"/>
        </w:rPr>
        <w:t>Mont. Alberta Tie, Ltd.</w:t>
      </w:r>
      <w:r w:rsidRPr="00551B7D">
        <w:rPr>
          <w:szCs w:val="26"/>
        </w:rPr>
        <w:t>, 116 FERC ¶ 61,071</w:t>
      </w:r>
      <w:r>
        <w:rPr>
          <w:iCs/>
          <w:szCs w:val="26"/>
        </w:rPr>
        <w:t>,</w:t>
      </w:r>
      <w:r w:rsidRPr="00551B7D">
        <w:rPr>
          <w:szCs w:val="26"/>
        </w:rPr>
        <w:t xml:space="preserve"> at P 60</w:t>
      </w:r>
      <w:r>
        <w:rPr>
          <w:szCs w:val="26"/>
        </w:rPr>
        <w:t xml:space="preserve"> (2006)</w:t>
      </w:r>
      <w:r w:rsidR="009E00AA">
        <w:rPr>
          <w:szCs w:val="26"/>
        </w:rPr>
        <w:t xml:space="preserve">) (approving the omission of certain </w:t>
      </w:r>
      <w:r w:rsidR="009E00AA">
        <w:rPr>
          <w:i/>
          <w:iCs/>
          <w:szCs w:val="26"/>
        </w:rPr>
        <w:t xml:space="preserve">pro forma </w:t>
      </w:r>
      <w:r w:rsidR="009E00AA">
        <w:rPr>
          <w:szCs w:val="26"/>
        </w:rPr>
        <w:t>OATT provisions because they were inapplicable to Lucky Corridor’s merchant transmission projects)</w:t>
      </w:r>
      <w:r w:rsidR="000B3674">
        <w:rPr>
          <w:szCs w:val="26"/>
        </w:rPr>
        <w:t>;</w:t>
      </w:r>
      <w:r>
        <w:rPr>
          <w:i/>
          <w:iCs/>
          <w:szCs w:val="26"/>
        </w:rPr>
        <w:t xml:space="preserve"> </w:t>
      </w:r>
      <w:r w:rsidR="00080A61">
        <w:rPr>
          <w:i/>
          <w:iCs/>
          <w:szCs w:val="26"/>
        </w:rPr>
        <w:t xml:space="preserve">see also </w:t>
      </w:r>
      <w:r>
        <w:rPr>
          <w:i/>
          <w:szCs w:val="26"/>
        </w:rPr>
        <w:t>ISO New England Inc.</w:t>
      </w:r>
      <w:r>
        <w:rPr>
          <w:iCs/>
          <w:szCs w:val="26"/>
        </w:rPr>
        <w:t>, 125 FERC ¶ 61,201, at PP 13-14</w:t>
      </w:r>
      <w:r>
        <w:rPr>
          <w:szCs w:val="26"/>
        </w:rPr>
        <w:t xml:space="preserve"> </w:t>
      </w:r>
      <w:r>
        <w:rPr>
          <w:iCs/>
          <w:szCs w:val="26"/>
        </w:rPr>
        <w:t>(2008)</w:t>
      </w:r>
      <w:r>
        <w:rPr>
          <w:szCs w:val="26"/>
        </w:rPr>
        <w:t xml:space="preserve"> </w:t>
      </w:r>
      <w:r>
        <w:rPr>
          <w:iCs/>
          <w:szCs w:val="26"/>
        </w:rPr>
        <w:t>(waiving certain WEQ standards because they were inapplicable to ISO-NE’s business model)</w:t>
      </w:r>
      <w:r>
        <w:rPr>
          <w:szCs w:val="26"/>
        </w:rPr>
        <w:t xml:space="preserve">. </w:t>
      </w:r>
    </w:p>
  </w:footnote>
  <w:footnote w:id="71">
    <w:p w:rsidR="00071C1F">
      <w:pPr>
        <w:pStyle w:val="FootnoteText"/>
      </w:pPr>
      <w:r>
        <w:rPr>
          <w:rStyle w:val="FootnoteReference"/>
        </w:rPr>
        <w:footnoteRef/>
      </w:r>
      <w:r>
        <w:t xml:space="preserve"> 18 C.F.R § 37.5(a)</w:t>
      </w:r>
      <w:r w:rsidR="006E69FB">
        <w:t>.</w:t>
      </w:r>
    </w:p>
  </w:footnote>
  <w:footnote w:id="72">
    <w:p w:rsidR="00DB75C3" w:rsidRPr="000568F0" w:rsidP="00DB75C3">
      <w:pPr>
        <w:pStyle w:val="FootnoteText"/>
      </w:pPr>
      <w:r>
        <w:rPr>
          <w:rStyle w:val="FootnoteReference"/>
        </w:rPr>
        <w:footnoteRef/>
      </w:r>
      <w:r>
        <w:t xml:space="preserve"> </w:t>
      </w:r>
      <w:r>
        <w:rPr>
          <w:i/>
          <w:iCs/>
        </w:rPr>
        <w:t xml:space="preserve">Id. </w:t>
      </w:r>
      <w:r>
        <w:t xml:space="preserve">§§ 37.2(a)-(b). </w:t>
      </w:r>
    </w:p>
  </w:footnote>
  <w:footnote w:id="73">
    <w:p w:rsidR="00DB75C3" w:rsidRPr="00AB0489" w:rsidP="00DB75C3">
      <w:pPr>
        <w:pStyle w:val="FootnoteText"/>
      </w:pPr>
      <w:r>
        <w:rPr>
          <w:rStyle w:val="FootnoteReference"/>
        </w:rPr>
        <w:footnoteRef/>
      </w:r>
      <w:r>
        <w:t xml:space="preserve"> </w:t>
      </w:r>
      <w:r>
        <w:rPr>
          <w:i/>
          <w:iCs/>
        </w:rPr>
        <w:t>Id.</w:t>
      </w:r>
      <w:r w:rsidRPr="00A20A7D">
        <w:t xml:space="preserve"> § 37.5(a).  </w:t>
      </w:r>
    </w:p>
  </w:footnote>
  <w:footnote w:id="74">
    <w:p w:rsidR="00CE3DF3" w:rsidP="00CE3DF3">
      <w:pPr>
        <w:pStyle w:val="FootnoteText"/>
      </w:pPr>
      <w:r>
        <w:rPr>
          <w:rStyle w:val="FootnoteReference"/>
        </w:rPr>
        <w:footnoteRef/>
      </w:r>
      <w:r>
        <w:t xml:space="preserve"> Deficiency Response, </w:t>
      </w:r>
      <w:r w:rsidR="00F81778">
        <w:t>a</w:t>
      </w:r>
      <w:r>
        <w:t>ttach</w:t>
      </w:r>
      <w:r w:rsidR="00F81778">
        <w:t>.</w:t>
      </w:r>
      <w:r>
        <w:t xml:space="preserve"> II.  For example, NYISO notes that proposed OATT </w:t>
      </w:r>
      <w:r w:rsidR="00386FA0">
        <w:t>S</w:t>
      </w:r>
      <w:r>
        <w:t xml:space="preserve">ection 41.1 provides for transmission customers to post, view, and download information from the CHPE OASIS regarding available products and services, </w:t>
      </w:r>
      <w:r w:rsidR="00253B47">
        <w:t>which is consistent with the</w:t>
      </w:r>
      <w:r>
        <w:t xml:space="preserve"> Commission’s OASIS requirements in 18 C.F.R. § 37.5(f).  NYISO explains that its proposal </w:t>
      </w:r>
      <w:r w:rsidRPr="004A43BE">
        <w:t xml:space="preserve">ties the CHPE OASIS posting requirements to the timing of NYISO’s Day-Ahead and Real-Time </w:t>
      </w:r>
      <w:r>
        <w:t>M</w:t>
      </w:r>
      <w:r w:rsidRPr="004A43BE">
        <w:t>arkets</w:t>
      </w:r>
      <w:r>
        <w:t>, and thus is superior to</w:t>
      </w:r>
      <w:r w:rsidRPr="004A43BE">
        <w:t xml:space="preserve"> the Commission’s OASIS requirements in 18 C.F.R. § 37.6(b)(3)(i)(C)(1)</w:t>
      </w:r>
      <w:r>
        <w:t xml:space="preserve"> </w:t>
      </w:r>
      <w:r w:rsidRPr="004A43BE">
        <w:t>regarding updating posted information for constrained paths</w:t>
      </w:r>
      <w:r>
        <w:t xml:space="preserve">.  Additionally, NYISO explains that </w:t>
      </w:r>
      <w:r w:rsidRPr="004A43BE">
        <w:t>CHPE will not need to post on the CHPE OASIS the ancillary service-related information required to be posted under 18 C.F.R § 37.6(a)(1)</w:t>
      </w:r>
      <w:r>
        <w:t xml:space="preserve"> because CHPE will not sell ancillary services</w:t>
      </w:r>
      <w:r w:rsidRPr="004A43BE">
        <w:t>.</w:t>
      </w:r>
      <w:r w:rsidRPr="00C362BB">
        <w:t xml:space="preserve"> </w:t>
      </w:r>
      <w:r w:rsidR="00A01C3F">
        <w:t xml:space="preserve"> </w:t>
      </w:r>
      <w:r>
        <w:t xml:space="preserve">Pursuant to </w:t>
      </w:r>
      <w:r w:rsidRPr="004A43BE">
        <w:t>OASIS requirements in 18 C.F.R. § 37.6(e)(2)</w:t>
      </w:r>
      <w:r>
        <w:t>, NYISO states that CHPE will</w:t>
      </w:r>
      <w:r w:rsidRPr="004A43BE">
        <w:t xml:space="preserve"> post when a request for transmission service is denied by stating that CHPE will post the denials and the information about the reason for denial, to the extent the denials occur within CHPE’s area of </w:t>
      </w:r>
      <w:r w:rsidRPr="00950C4E">
        <w:t xml:space="preserve">responsibility.  </w:t>
      </w:r>
    </w:p>
  </w:footnote>
  <w:footnote w:id="75">
    <w:p w:rsidR="00DB75C3" w:rsidP="00DB75C3">
      <w:pPr>
        <w:pStyle w:val="FootnoteText"/>
      </w:pPr>
      <w:r>
        <w:rPr>
          <w:rStyle w:val="FootnoteReference"/>
        </w:rPr>
        <w:footnoteRef/>
      </w:r>
      <w:r>
        <w:t xml:space="preserve"> Deficiency Response, </w:t>
      </w:r>
      <w:r w:rsidR="00F81778">
        <w:t>attach</w:t>
      </w:r>
      <w:r>
        <w:t xml:space="preserve">. II (explaining why 18 C.F.R. §§ </w:t>
      </w:r>
      <w:r w:rsidRPr="00862444">
        <w:t>37.6(b)(3)(iv)</w:t>
      </w:r>
      <w:r>
        <w:t xml:space="preserve"> and </w:t>
      </w:r>
      <w:r w:rsidRPr="00EF4A47">
        <w:t>37.6(j)</w:t>
      </w:r>
      <w:r>
        <w:t xml:space="preserve"> are inapplicable to the CHPE merchant transmission facility).</w:t>
      </w:r>
    </w:p>
  </w:footnote>
  <w:footnote w:id="76">
    <w:p w:rsidR="00416A01" w:rsidP="00416A01">
      <w:pPr>
        <w:pStyle w:val="FootnoteText"/>
      </w:pPr>
      <w:r>
        <w:rPr>
          <w:rStyle w:val="FootnoteReference"/>
        </w:rPr>
        <w:footnoteRef/>
      </w:r>
      <w:r>
        <w:t xml:space="preserve"> </w:t>
      </w:r>
      <w:r w:rsidR="00005533">
        <w:rPr>
          <w:i/>
          <w:iCs/>
        </w:rPr>
        <w:t xml:space="preserve">Supra </w:t>
      </w:r>
      <w:r w:rsidRPr="00BB4716" w:rsidR="00005533">
        <w:t>n</w:t>
      </w:r>
      <w:r w:rsidR="00F81778">
        <w:t xml:space="preserve">ote </w:t>
      </w:r>
      <w:r w:rsidR="00314B3D">
        <w:t>68</w:t>
      </w:r>
      <w:r w:rsidR="00005533">
        <w:t>;</w:t>
      </w:r>
      <w:r w:rsidRPr="005D6AE5" w:rsidR="005D6AE5">
        <w:rPr>
          <w:i/>
          <w:iCs/>
        </w:rPr>
        <w:t xml:space="preserve"> </w:t>
      </w:r>
      <w:r w:rsidR="00005533">
        <w:rPr>
          <w:i/>
          <w:iCs/>
        </w:rPr>
        <w:t>s</w:t>
      </w:r>
      <w:r w:rsidRPr="003069BB" w:rsidR="005D6AE5">
        <w:rPr>
          <w:i/>
          <w:iCs/>
        </w:rPr>
        <w:t>ee, e.g</w:t>
      </w:r>
      <w:r w:rsidR="005D6AE5">
        <w:t xml:space="preserve">., </w:t>
      </w:r>
      <w:r w:rsidR="005D6AE5">
        <w:rPr>
          <w:i/>
          <w:iCs/>
        </w:rPr>
        <w:t>N.Y.</w:t>
      </w:r>
      <w:r w:rsidRPr="004C59FE" w:rsidR="005D6AE5">
        <w:rPr>
          <w:i/>
          <w:iCs/>
        </w:rPr>
        <w:t xml:space="preserve"> Indep. Sys. Operator, Inc</w:t>
      </w:r>
      <w:r w:rsidR="005D6AE5">
        <w:t>., 133 FERC ¶ 61,208 (2010) (granting NYSIO’s request for waiver of certain OASIS posting requirements under Part 37 of the Commission’s regulations because they are rules for physical reservation systems and therefore are not applicable to NYISO’s financial transmission reservation system)</w:t>
      </w:r>
      <w:r w:rsidR="00005533">
        <w:t>.</w:t>
      </w:r>
      <w:r w:rsidR="00F72F90">
        <w:t xml:space="preserve">  </w:t>
      </w:r>
      <w:r w:rsidRPr="0069673A" w:rsidR="00F72F90">
        <w:t xml:space="preserve">In accepting NYISO’s proposal and finding some of the requirements under Part 37 of the Commission’s regulations inapplicable, we are not waiving CHPE’s obligation to comply with applicable requirements under Part 37.  For example, NYISO states that </w:t>
      </w:r>
      <w:r w:rsidRPr="007142CC" w:rsidR="00F72F90">
        <w:t>proposed</w:t>
      </w:r>
      <w:r w:rsidRPr="00157A6E" w:rsidR="00F72F90">
        <w:t xml:space="preserve"> NYISO OATT </w:t>
      </w:r>
      <w:r w:rsidR="00F72F90">
        <w:t>S</w:t>
      </w:r>
      <w:r w:rsidRPr="00157A6E" w:rsidR="00F72F90">
        <w:t xml:space="preserve">ection 41 does not expressly address </w:t>
      </w:r>
      <w:r w:rsidR="00F72F90">
        <w:t>CHPE’s</w:t>
      </w:r>
      <w:r w:rsidRPr="00157A6E" w:rsidR="00F72F90">
        <w:t xml:space="preserve"> data retention obligation</w:t>
      </w:r>
      <w:r w:rsidR="00F72F90">
        <w:t xml:space="preserve"> under s</w:t>
      </w:r>
      <w:r w:rsidRPr="00821FB6" w:rsidR="00F72F90">
        <w:t>ection 37.6(a)(5)</w:t>
      </w:r>
      <w:r w:rsidR="00F72F90">
        <w:t xml:space="preserve"> of the Commission’s regulations</w:t>
      </w:r>
      <w:r w:rsidRPr="00157A6E" w:rsidR="00F72F90">
        <w:t xml:space="preserve">.  </w:t>
      </w:r>
      <w:r w:rsidR="00F72F90">
        <w:t>In its Deficiency Response, NYISO states that</w:t>
      </w:r>
      <w:r w:rsidRPr="00157A6E" w:rsidR="00F72F90">
        <w:t xml:space="preserve">, as a Transmission Provider, </w:t>
      </w:r>
      <w:r w:rsidR="00F72F90">
        <w:t>CHPE</w:t>
      </w:r>
      <w:r w:rsidRPr="00157A6E" w:rsidR="00F72F90">
        <w:t xml:space="preserve"> will be subject to applicable Commission data retention requirements, including those </w:t>
      </w:r>
      <w:r w:rsidRPr="00386FA0" w:rsidR="00F72F90">
        <w:t>imposed by this subsection, and CHPE has confirmed to NYISO that it will comply with these requirements</w:t>
      </w:r>
      <w:r w:rsidRPr="0069673A" w:rsidR="00F72F90">
        <w:t>.</w:t>
      </w:r>
      <w:r w:rsidR="00F72F90">
        <w:t xml:space="preserve">  </w:t>
      </w:r>
    </w:p>
  </w:footnote>
  <w:footnote w:id="77">
    <w:p w:rsidR="00AD7A4C" w:rsidP="00AD7A4C">
      <w:pPr>
        <w:pStyle w:val="FootnoteText"/>
      </w:pPr>
      <w:r>
        <w:rPr>
          <w:rStyle w:val="FootnoteReference"/>
        </w:rPr>
        <w:footnoteRef/>
      </w:r>
      <w:r>
        <w:t xml:space="preserve"> </w:t>
      </w:r>
      <w:r w:rsidRPr="007135E6">
        <w:rPr>
          <w:szCs w:val="26"/>
        </w:rPr>
        <w:t xml:space="preserve">Order No. 888, FERC Stats. &amp; Regs. ¶ 31,036 at </w:t>
      </w:r>
      <w:r w:rsidR="00071D25">
        <w:rPr>
          <w:szCs w:val="26"/>
        </w:rPr>
        <w:t>31,694-</w:t>
      </w:r>
      <w:r w:rsidR="00A129D9">
        <w:rPr>
          <w:szCs w:val="26"/>
        </w:rPr>
        <w:t>9</w:t>
      </w:r>
      <w:r w:rsidR="00071D25">
        <w:rPr>
          <w:szCs w:val="26"/>
        </w:rPr>
        <w:t>8.</w:t>
      </w:r>
    </w:p>
  </w:footnote>
  <w:footnote w:id="78">
    <w:p w:rsidR="009E19BE">
      <w:pPr>
        <w:pStyle w:val="FootnoteText"/>
      </w:pPr>
      <w:r>
        <w:rPr>
          <w:rStyle w:val="FootnoteReference"/>
        </w:rPr>
        <w:footnoteRef/>
      </w:r>
      <w:r>
        <w:t xml:space="preserve"> </w:t>
      </w:r>
      <w:r w:rsidRPr="00C32BA5" w:rsidR="00CC7DF2">
        <w:t>Order No. 890,</w:t>
      </w:r>
      <w:r w:rsidR="00CC7DF2">
        <w:t xml:space="preserve"> 118 FERC ¶ 61,119</w:t>
      </w:r>
      <w:r w:rsidRPr="00C32BA5" w:rsidR="00CC7DF2">
        <w:t xml:space="preserve"> at </w:t>
      </w:r>
      <w:r w:rsidRPr="00C32BA5">
        <w:t>P</w:t>
      </w:r>
      <w:r>
        <w:t>P</w:t>
      </w:r>
      <w:r w:rsidRPr="00C32BA5">
        <w:t xml:space="preserve"> </w:t>
      </w:r>
      <w:r>
        <w:t xml:space="preserve">815-824. </w:t>
      </w:r>
    </w:p>
  </w:footnote>
  <w:footnote w:id="79">
    <w:p w:rsidR="002E33CD">
      <w:pPr>
        <w:pStyle w:val="FootnoteText"/>
      </w:pPr>
      <w:r>
        <w:rPr>
          <w:rStyle w:val="FootnoteReference"/>
        </w:rPr>
        <w:footnoteRef/>
      </w:r>
      <w:r>
        <w:t xml:space="preserve"> </w:t>
      </w:r>
      <w:r w:rsidRPr="002A3107">
        <w:rPr>
          <w:i/>
        </w:rPr>
        <w:t>See</w:t>
      </w:r>
      <w:r>
        <w:t xml:space="preserve"> Proposed OATT </w:t>
      </w:r>
      <w:r w:rsidR="00906A8A">
        <w:t>Sections 41.8.1 and</w:t>
      </w:r>
      <w:r>
        <w:t xml:space="preserve"> 41.8.3</w:t>
      </w:r>
      <w:r w:rsidR="00906A8A">
        <w:t xml:space="preserve">; </w:t>
      </w:r>
      <w:r w:rsidRPr="007135E6" w:rsidR="004C20DA">
        <w:rPr>
          <w:szCs w:val="26"/>
        </w:rPr>
        <w:t xml:space="preserve">Order No. 888, FERC Stats. &amp; Regs. ¶ 31,036 at </w:t>
      </w:r>
      <w:r w:rsidR="004C20DA">
        <w:rPr>
          <w:szCs w:val="26"/>
        </w:rPr>
        <w:t>31,694</w:t>
      </w:r>
      <w:r w:rsidR="00F81778">
        <w:rPr>
          <w:szCs w:val="26"/>
        </w:rPr>
        <w:t>-</w:t>
      </w:r>
      <w:r w:rsidR="004C20DA">
        <w:rPr>
          <w:szCs w:val="26"/>
        </w:rPr>
        <w:t xml:space="preserve">98; </w:t>
      </w:r>
      <w:r w:rsidRPr="00C32BA5" w:rsidR="004C20DA">
        <w:t>Order No. 890,</w:t>
      </w:r>
      <w:r w:rsidR="004C20DA">
        <w:t xml:space="preserve"> 118 FERC ¶ 61,119</w:t>
      </w:r>
      <w:r w:rsidRPr="00C32BA5" w:rsidR="004C20DA">
        <w:t xml:space="preserve"> at P</w:t>
      </w:r>
      <w:r w:rsidR="004C20DA">
        <w:t>P</w:t>
      </w:r>
      <w:r w:rsidRPr="00C32BA5" w:rsidR="004C20DA">
        <w:t xml:space="preserve"> </w:t>
      </w:r>
      <w:r w:rsidR="004C20DA">
        <w:t>808-824.</w:t>
      </w:r>
    </w:p>
  </w:footnote>
  <w:footnote w:id="80">
    <w:p w:rsidR="004775AB" w:rsidP="004775AB">
      <w:pPr>
        <w:pStyle w:val="FootnoteText"/>
      </w:pPr>
      <w:r>
        <w:rPr>
          <w:rStyle w:val="FootnoteReference"/>
        </w:rPr>
        <w:footnoteRef/>
      </w:r>
      <w:r>
        <w:t xml:space="preserve"> </w:t>
      </w:r>
      <w:r w:rsidR="000F2D8C">
        <w:t>Deficiency Response</w:t>
      </w:r>
      <w:r>
        <w:t xml:space="preserve"> at 10-11 (citing </w:t>
      </w:r>
      <w:r w:rsidR="00F81778">
        <w:t>NYISO, Proposed</w:t>
      </w:r>
      <w:r w:rsidRPr="00F757E4" w:rsidR="00F81778">
        <w:t xml:space="preserve"> </w:t>
      </w:r>
      <w:r w:rsidR="00F81778">
        <w:t>OATT, §§</w:t>
      </w:r>
      <w:r w:rsidRPr="005E7F6B" w:rsidR="00F81778">
        <w:t xml:space="preserve"> </w:t>
      </w:r>
      <w:r w:rsidRPr="005E7F6B">
        <w:t>41.5.9, 41.6, 41.15, 41.16</w:t>
      </w:r>
      <w:r>
        <w:t>).</w:t>
      </w:r>
    </w:p>
  </w:footnote>
  <w:footnote w:id="81">
    <w:p w:rsidR="0093197D">
      <w:pPr>
        <w:pStyle w:val="FootnoteText"/>
      </w:pPr>
      <w:r>
        <w:rPr>
          <w:rStyle w:val="FootnoteReference"/>
        </w:rPr>
        <w:footnoteRef/>
      </w:r>
      <w:r w:rsidR="0063768B">
        <w:t xml:space="preserve"> </w:t>
      </w:r>
      <w:r w:rsidR="000F2D8C">
        <w:rPr>
          <w:i/>
          <w:iCs/>
        </w:rPr>
        <w:t>Id.</w:t>
      </w:r>
      <w:r w:rsidR="0063768B">
        <w:t xml:space="preserve"> at </w:t>
      </w:r>
      <w:r w:rsidR="00940E4E">
        <w:t>12-15</w:t>
      </w:r>
      <w:r w:rsidR="0063768B">
        <w:t>.</w:t>
      </w:r>
    </w:p>
  </w:footnote>
  <w:footnote w:id="82">
    <w:p w:rsidR="00D70FDD" w:rsidP="00D70FDD">
      <w:pPr>
        <w:pStyle w:val="FootnoteText"/>
      </w:pPr>
      <w:r>
        <w:rPr>
          <w:rStyle w:val="FootnoteReference"/>
        </w:rPr>
        <w:footnoteRef/>
      </w:r>
      <w:r>
        <w:t xml:space="preserve"> </w:t>
      </w:r>
      <w:r>
        <w:rPr>
          <w:i/>
          <w:iCs/>
        </w:rPr>
        <w:t>See, e.g., N.Y. Indep. Sys. Operator</w:t>
      </w:r>
      <w:r w:rsidRPr="007142CC">
        <w:rPr>
          <w:i/>
          <w:iCs/>
        </w:rPr>
        <w:t>, Inc.</w:t>
      </w:r>
      <w:r w:rsidRPr="007142CC">
        <w:t xml:space="preserve">, 191 FERC ¶ 61,030, at PP 21, 43-44 (2025) (directing compliance where NYISO consented to certain tariff revisions); </w:t>
      </w:r>
      <w:r w:rsidRPr="007142CC">
        <w:rPr>
          <w:i/>
          <w:iCs/>
        </w:rPr>
        <w:t>Sw. Power Pool, Inc.</w:t>
      </w:r>
      <w:r w:rsidRPr="007142CC">
        <w:t>, 184 FERC ¶ 61,073 (2023) (directing SPP to file a compliance filing implementing clarifications SPP proposed in its response to a deficiency letter).</w:t>
      </w:r>
      <w:r w:rsidRPr="007142CC" w:rsidR="00A86AB2">
        <w:t xml:space="preserve">  </w:t>
      </w:r>
      <w:r w:rsidRPr="00386FA0" w:rsidR="008C560B">
        <w:t>Additionally</w:t>
      </w:r>
      <w:r w:rsidRPr="00386FA0" w:rsidR="00A86AB2">
        <w:t>, we remind NYISO to include a web page link to the CHPE provider</w:t>
      </w:r>
      <w:r w:rsidR="00A86AB2">
        <w:t xml:space="preserve"> OASIS web page on the NYISO OASIS pursuant to the Commission’s OASIS requirement that “Transmission Providers must provide a link to all of the rules, standards, and practices that relate to transmission services posted on the Transmission Provider’s public Web sites.”  </w:t>
      </w:r>
      <w:r w:rsidRPr="00F16B69" w:rsidR="00A86AB2">
        <w:rPr>
          <w:i/>
          <w:iCs/>
        </w:rPr>
        <w:t>See</w:t>
      </w:r>
      <w:r w:rsidR="00A86AB2">
        <w:t xml:space="preserve"> 18 C.F.R. § 37.6(c)(2).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D6221">
    <w:pPr>
      <w:pStyle w:val="Header"/>
      <w:tabs>
        <w:tab w:val="clear" w:pos="4680"/>
      </w:tabs>
      <w:spacing w:after="240"/>
    </w:pPr>
    <w:r>
      <w:t>Docket Nos. ER26-570-000 and ER26-570-001</w:t>
      <w:tab/>
    </w:r>
    <w:r>
      <w:fldChar w:fldCharType="begin"/>
    </w:r>
    <w:r>
      <w:instrText xml:space="preserve"> PAGE  \* MERGEFORMAT </w:instrText>
    </w:r>
    <w:r>
      <w:fldChar w:fldCharType="separate"/>
    </w:r>
    <w:r>
      <w:rPr>
        <w:noProof/>
      </w:rPr>
      <w:t>- 19 -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F99301"/>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5">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1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5012CF"/>
    <w:multiLevelType w:val="hybridMultilevel"/>
    <w:tmpl w:val="895E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2AFF7A1F"/>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E0D6DE8"/>
    <w:multiLevelType w:val="hybridMultilevel"/>
    <w:tmpl w:val="6B24B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31343F"/>
    <w:multiLevelType w:val="multilevel"/>
    <w:tmpl w:val="2E3A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25D455"/>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6502FF"/>
    <w:multiLevelType w:val="multilevel"/>
    <w:tmpl w:val="895873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4">
    <w:nsid w:val="5DFD0517"/>
    <w:multiLevelType w:val="hybridMultilevel"/>
    <w:tmpl w:val="CE866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99A092E"/>
    <w:multiLevelType w:val="hybridMultilevel"/>
    <w:tmpl w:val="D8DAC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8">
    <w:nsid w:val="7D3B09D3"/>
    <w:multiLevelType w:val="hybridMultilevel"/>
    <w:tmpl w:val="DFA0B062"/>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8"/>
  </w:num>
  <w:num w:numId="12">
    <w:abstractNumId w:val="25"/>
  </w:num>
  <w:num w:numId="13">
    <w:abstractNumId w:val="15"/>
  </w:num>
  <w:num w:numId="14">
    <w:abstractNumId w:val="27"/>
  </w:num>
  <w:num w:numId="15">
    <w:abstractNumId w:val="2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16"/>
  </w:num>
  <w:num w:numId="20">
    <w:abstractNumId w:val="13"/>
  </w:num>
  <w:num w:numId="21">
    <w:abstractNumId w:val="29"/>
  </w:num>
  <w:num w:numId="22">
    <w:abstractNumId w:val="20"/>
  </w:num>
  <w:num w:numId="23">
    <w:abstractNumId w:val="22"/>
  </w:num>
  <w:num w:numId="24">
    <w:abstractNumId w:val="18"/>
  </w:num>
  <w:num w:numId="25">
    <w:abstractNumId w:val="29"/>
    <w:lvlOverride w:ilvl="0">
      <w:startOverride w:val="1"/>
    </w:lvlOverride>
  </w:num>
  <w:num w:numId="26">
    <w:abstractNumId w:val="21"/>
  </w:num>
  <w:num w:numId="27">
    <w:abstractNumId w:val="17"/>
  </w:num>
  <w:num w:numId="28">
    <w:abstractNumId w:val="14"/>
  </w:num>
  <w:num w:numId="29">
    <w:abstractNumId w:val="0"/>
  </w:num>
  <w:num w:numId="30">
    <w:abstractNumId w:val="19"/>
  </w:num>
  <w:num w:numId="31">
    <w:abstractNumId w:val="24"/>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0E68"/>
    <w:rsid w:val="000010E0"/>
    <w:rsid w:val="0000145D"/>
    <w:rsid w:val="0000196A"/>
    <w:rsid w:val="00001DDA"/>
    <w:rsid w:val="000021E0"/>
    <w:rsid w:val="00002320"/>
    <w:rsid w:val="00002767"/>
    <w:rsid w:val="00003340"/>
    <w:rsid w:val="000039EC"/>
    <w:rsid w:val="00003B09"/>
    <w:rsid w:val="00003E9C"/>
    <w:rsid w:val="000042DA"/>
    <w:rsid w:val="0000446F"/>
    <w:rsid w:val="00004485"/>
    <w:rsid w:val="000047F2"/>
    <w:rsid w:val="00005533"/>
    <w:rsid w:val="00005A34"/>
    <w:rsid w:val="00005DE6"/>
    <w:rsid w:val="00005ED2"/>
    <w:rsid w:val="00006618"/>
    <w:rsid w:val="00006CB8"/>
    <w:rsid w:val="0000731D"/>
    <w:rsid w:val="00007709"/>
    <w:rsid w:val="000100DC"/>
    <w:rsid w:val="00010180"/>
    <w:rsid w:val="000103E2"/>
    <w:rsid w:val="00010E35"/>
    <w:rsid w:val="00010ED9"/>
    <w:rsid w:val="00010FA6"/>
    <w:rsid w:val="000111E9"/>
    <w:rsid w:val="000115AC"/>
    <w:rsid w:val="00011731"/>
    <w:rsid w:val="000118C8"/>
    <w:rsid w:val="0001191E"/>
    <w:rsid w:val="000121F5"/>
    <w:rsid w:val="0001272C"/>
    <w:rsid w:val="00012CA1"/>
    <w:rsid w:val="0001328F"/>
    <w:rsid w:val="000135C4"/>
    <w:rsid w:val="00013C92"/>
    <w:rsid w:val="00013FE2"/>
    <w:rsid w:val="00014326"/>
    <w:rsid w:val="000143AA"/>
    <w:rsid w:val="00014B28"/>
    <w:rsid w:val="00015D3A"/>
    <w:rsid w:val="00015FF7"/>
    <w:rsid w:val="000167D5"/>
    <w:rsid w:val="000173D7"/>
    <w:rsid w:val="00017489"/>
    <w:rsid w:val="00017EBB"/>
    <w:rsid w:val="00020172"/>
    <w:rsid w:val="0002042F"/>
    <w:rsid w:val="000206BF"/>
    <w:rsid w:val="000210C8"/>
    <w:rsid w:val="00021A03"/>
    <w:rsid w:val="00021FD8"/>
    <w:rsid w:val="00022074"/>
    <w:rsid w:val="00022814"/>
    <w:rsid w:val="0002291B"/>
    <w:rsid w:val="00022A33"/>
    <w:rsid w:val="00022B15"/>
    <w:rsid w:val="00022CB4"/>
    <w:rsid w:val="00022EB1"/>
    <w:rsid w:val="0002355F"/>
    <w:rsid w:val="00023592"/>
    <w:rsid w:val="0002377C"/>
    <w:rsid w:val="00023C21"/>
    <w:rsid w:val="0002457E"/>
    <w:rsid w:val="00025099"/>
    <w:rsid w:val="00026815"/>
    <w:rsid w:val="000268F0"/>
    <w:rsid w:val="00026AFA"/>
    <w:rsid w:val="0002772E"/>
    <w:rsid w:val="00027885"/>
    <w:rsid w:val="00027C8D"/>
    <w:rsid w:val="00027F17"/>
    <w:rsid w:val="00030419"/>
    <w:rsid w:val="00031408"/>
    <w:rsid w:val="00031CCA"/>
    <w:rsid w:val="00032013"/>
    <w:rsid w:val="00032373"/>
    <w:rsid w:val="00033015"/>
    <w:rsid w:val="0003346C"/>
    <w:rsid w:val="00033553"/>
    <w:rsid w:val="0003382F"/>
    <w:rsid w:val="00034039"/>
    <w:rsid w:val="00034C5C"/>
    <w:rsid w:val="00035C36"/>
    <w:rsid w:val="0003731E"/>
    <w:rsid w:val="000400BF"/>
    <w:rsid w:val="0004017C"/>
    <w:rsid w:val="00040A17"/>
    <w:rsid w:val="00040A28"/>
    <w:rsid w:val="0004136E"/>
    <w:rsid w:val="00041724"/>
    <w:rsid w:val="00041AB3"/>
    <w:rsid w:val="00041EBA"/>
    <w:rsid w:val="00042102"/>
    <w:rsid w:val="000428C4"/>
    <w:rsid w:val="000432A0"/>
    <w:rsid w:val="00043563"/>
    <w:rsid w:val="00044084"/>
    <w:rsid w:val="0004426D"/>
    <w:rsid w:val="000446B9"/>
    <w:rsid w:val="0004482E"/>
    <w:rsid w:val="00044AD0"/>
    <w:rsid w:val="00044B64"/>
    <w:rsid w:val="0004522F"/>
    <w:rsid w:val="0004524A"/>
    <w:rsid w:val="000452F2"/>
    <w:rsid w:val="00045BD7"/>
    <w:rsid w:val="00045C12"/>
    <w:rsid w:val="00045E5A"/>
    <w:rsid w:val="0004615C"/>
    <w:rsid w:val="0004624A"/>
    <w:rsid w:val="000467C8"/>
    <w:rsid w:val="00046CEE"/>
    <w:rsid w:val="0005135D"/>
    <w:rsid w:val="000516DB"/>
    <w:rsid w:val="00051AD9"/>
    <w:rsid w:val="0005275E"/>
    <w:rsid w:val="000528EA"/>
    <w:rsid w:val="0005394A"/>
    <w:rsid w:val="00053DBF"/>
    <w:rsid w:val="000544CB"/>
    <w:rsid w:val="000550DC"/>
    <w:rsid w:val="000558C9"/>
    <w:rsid w:val="00055E9F"/>
    <w:rsid w:val="00055F5F"/>
    <w:rsid w:val="00056314"/>
    <w:rsid w:val="000564F5"/>
    <w:rsid w:val="000565FD"/>
    <w:rsid w:val="000568F0"/>
    <w:rsid w:val="00056C09"/>
    <w:rsid w:val="00057A27"/>
    <w:rsid w:val="00057BC6"/>
    <w:rsid w:val="000604D8"/>
    <w:rsid w:val="0006117F"/>
    <w:rsid w:val="000624E7"/>
    <w:rsid w:val="00062732"/>
    <w:rsid w:val="00062C1A"/>
    <w:rsid w:val="0006419C"/>
    <w:rsid w:val="000642A5"/>
    <w:rsid w:val="00064D23"/>
    <w:rsid w:val="00065023"/>
    <w:rsid w:val="000658C4"/>
    <w:rsid w:val="00066394"/>
    <w:rsid w:val="00066663"/>
    <w:rsid w:val="00066FAC"/>
    <w:rsid w:val="00067197"/>
    <w:rsid w:val="000678FC"/>
    <w:rsid w:val="00067A05"/>
    <w:rsid w:val="00067E5B"/>
    <w:rsid w:val="0007019E"/>
    <w:rsid w:val="00070857"/>
    <w:rsid w:val="00070FDC"/>
    <w:rsid w:val="00071C0A"/>
    <w:rsid w:val="00071C1F"/>
    <w:rsid w:val="00071C5B"/>
    <w:rsid w:val="00071D25"/>
    <w:rsid w:val="00072E91"/>
    <w:rsid w:val="00073607"/>
    <w:rsid w:val="000736A1"/>
    <w:rsid w:val="0007377C"/>
    <w:rsid w:val="00073A66"/>
    <w:rsid w:val="00073EAF"/>
    <w:rsid w:val="00075024"/>
    <w:rsid w:val="0007508E"/>
    <w:rsid w:val="000753A0"/>
    <w:rsid w:val="00075DB6"/>
    <w:rsid w:val="0007636C"/>
    <w:rsid w:val="000764F9"/>
    <w:rsid w:val="00076847"/>
    <w:rsid w:val="00076AD2"/>
    <w:rsid w:val="00076D9D"/>
    <w:rsid w:val="00077A15"/>
    <w:rsid w:val="00080866"/>
    <w:rsid w:val="00080A61"/>
    <w:rsid w:val="00080D45"/>
    <w:rsid w:val="000811A5"/>
    <w:rsid w:val="000816B5"/>
    <w:rsid w:val="000818F9"/>
    <w:rsid w:val="000820CD"/>
    <w:rsid w:val="000828C4"/>
    <w:rsid w:val="00082AF7"/>
    <w:rsid w:val="00082AFC"/>
    <w:rsid w:val="00083108"/>
    <w:rsid w:val="0008335B"/>
    <w:rsid w:val="0008374C"/>
    <w:rsid w:val="00084754"/>
    <w:rsid w:val="0008478C"/>
    <w:rsid w:val="00084A31"/>
    <w:rsid w:val="00084E3A"/>
    <w:rsid w:val="00084FF1"/>
    <w:rsid w:val="00086D98"/>
    <w:rsid w:val="0008757F"/>
    <w:rsid w:val="0008778D"/>
    <w:rsid w:val="000877BF"/>
    <w:rsid w:val="00090162"/>
    <w:rsid w:val="00090A96"/>
    <w:rsid w:val="00090F4A"/>
    <w:rsid w:val="0009195F"/>
    <w:rsid w:val="00091D1B"/>
    <w:rsid w:val="00091E78"/>
    <w:rsid w:val="00091EA0"/>
    <w:rsid w:val="00092634"/>
    <w:rsid w:val="00092F84"/>
    <w:rsid w:val="0009343F"/>
    <w:rsid w:val="000944FE"/>
    <w:rsid w:val="000947E7"/>
    <w:rsid w:val="00094F54"/>
    <w:rsid w:val="00095E1B"/>
    <w:rsid w:val="00095FF0"/>
    <w:rsid w:val="00096534"/>
    <w:rsid w:val="00096741"/>
    <w:rsid w:val="00096DF1"/>
    <w:rsid w:val="00096EE6"/>
    <w:rsid w:val="00097128"/>
    <w:rsid w:val="00097C05"/>
    <w:rsid w:val="000A099E"/>
    <w:rsid w:val="000A1300"/>
    <w:rsid w:val="000A2554"/>
    <w:rsid w:val="000A2C73"/>
    <w:rsid w:val="000A335A"/>
    <w:rsid w:val="000A34A7"/>
    <w:rsid w:val="000A3698"/>
    <w:rsid w:val="000A383A"/>
    <w:rsid w:val="000A39DC"/>
    <w:rsid w:val="000A3D2F"/>
    <w:rsid w:val="000A41B0"/>
    <w:rsid w:val="000A4ADF"/>
    <w:rsid w:val="000A52FE"/>
    <w:rsid w:val="000A61D5"/>
    <w:rsid w:val="000A65F4"/>
    <w:rsid w:val="000A6835"/>
    <w:rsid w:val="000A69B1"/>
    <w:rsid w:val="000A6C08"/>
    <w:rsid w:val="000A6F1D"/>
    <w:rsid w:val="000A7184"/>
    <w:rsid w:val="000A75FD"/>
    <w:rsid w:val="000A764E"/>
    <w:rsid w:val="000A7BBC"/>
    <w:rsid w:val="000A7E00"/>
    <w:rsid w:val="000B00B6"/>
    <w:rsid w:val="000B0118"/>
    <w:rsid w:val="000B03FD"/>
    <w:rsid w:val="000B1290"/>
    <w:rsid w:val="000B247B"/>
    <w:rsid w:val="000B24EF"/>
    <w:rsid w:val="000B2847"/>
    <w:rsid w:val="000B3212"/>
    <w:rsid w:val="000B3674"/>
    <w:rsid w:val="000B3E4D"/>
    <w:rsid w:val="000B3F33"/>
    <w:rsid w:val="000B4124"/>
    <w:rsid w:val="000B462C"/>
    <w:rsid w:val="000B464D"/>
    <w:rsid w:val="000B4B6E"/>
    <w:rsid w:val="000B5150"/>
    <w:rsid w:val="000B51A1"/>
    <w:rsid w:val="000B6EED"/>
    <w:rsid w:val="000B792C"/>
    <w:rsid w:val="000B7A07"/>
    <w:rsid w:val="000B7DD8"/>
    <w:rsid w:val="000B7E62"/>
    <w:rsid w:val="000C0253"/>
    <w:rsid w:val="000C1169"/>
    <w:rsid w:val="000C13D6"/>
    <w:rsid w:val="000C13EF"/>
    <w:rsid w:val="000C1709"/>
    <w:rsid w:val="000C1FCA"/>
    <w:rsid w:val="000C2F28"/>
    <w:rsid w:val="000C4269"/>
    <w:rsid w:val="000C46E0"/>
    <w:rsid w:val="000C4A0B"/>
    <w:rsid w:val="000C5489"/>
    <w:rsid w:val="000C5A61"/>
    <w:rsid w:val="000C5AB9"/>
    <w:rsid w:val="000C5F31"/>
    <w:rsid w:val="000C6054"/>
    <w:rsid w:val="000C64D9"/>
    <w:rsid w:val="000C672A"/>
    <w:rsid w:val="000C6869"/>
    <w:rsid w:val="000C6F74"/>
    <w:rsid w:val="000D0ED4"/>
    <w:rsid w:val="000D0EE6"/>
    <w:rsid w:val="000D1D07"/>
    <w:rsid w:val="000D1D4B"/>
    <w:rsid w:val="000D1FB6"/>
    <w:rsid w:val="000D33ED"/>
    <w:rsid w:val="000D40BE"/>
    <w:rsid w:val="000D4221"/>
    <w:rsid w:val="000D4F6F"/>
    <w:rsid w:val="000D52BC"/>
    <w:rsid w:val="000D5907"/>
    <w:rsid w:val="000D5E95"/>
    <w:rsid w:val="000D6527"/>
    <w:rsid w:val="000D7289"/>
    <w:rsid w:val="000D739B"/>
    <w:rsid w:val="000D76A0"/>
    <w:rsid w:val="000D7961"/>
    <w:rsid w:val="000D7DD4"/>
    <w:rsid w:val="000D7E4E"/>
    <w:rsid w:val="000D7E96"/>
    <w:rsid w:val="000E0156"/>
    <w:rsid w:val="000E065C"/>
    <w:rsid w:val="000E0857"/>
    <w:rsid w:val="000E0A14"/>
    <w:rsid w:val="000E0FB3"/>
    <w:rsid w:val="000E11AC"/>
    <w:rsid w:val="000E1A6C"/>
    <w:rsid w:val="000E2420"/>
    <w:rsid w:val="000E293E"/>
    <w:rsid w:val="000E2BFA"/>
    <w:rsid w:val="000E3A3B"/>
    <w:rsid w:val="000E4911"/>
    <w:rsid w:val="000E4A30"/>
    <w:rsid w:val="000E5650"/>
    <w:rsid w:val="000E58CC"/>
    <w:rsid w:val="000E65A3"/>
    <w:rsid w:val="000E7C78"/>
    <w:rsid w:val="000F0832"/>
    <w:rsid w:val="000F204A"/>
    <w:rsid w:val="000F2148"/>
    <w:rsid w:val="000F22E6"/>
    <w:rsid w:val="000F2389"/>
    <w:rsid w:val="000F26A0"/>
    <w:rsid w:val="000F26E5"/>
    <w:rsid w:val="000F2D8C"/>
    <w:rsid w:val="000F2DC1"/>
    <w:rsid w:val="000F2E84"/>
    <w:rsid w:val="000F2F05"/>
    <w:rsid w:val="000F372C"/>
    <w:rsid w:val="000F377E"/>
    <w:rsid w:val="000F3789"/>
    <w:rsid w:val="000F45C5"/>
    <w:rsid w:val="000F4DE7"/>
    <w:rsid w:val="000F4E7D"/>
    <w:rsid w:val="000F4F7A"/>
    <w:rsid w:val="000F5F5A"/>
    <w:rsid w:val="000F6034"/>
    <w:rsid w:val="000F603B"/>
    <w:rsid w:val="000F6403"/>
    <w:rsid w:val="000F6B09"/>
    <w:rsid w:val="000F6C7F"/>
    <w:rsid w:val="000F7572"/>
    <w:rsid w:val="000F7A93"/>
    <w:rsid w:val="001003E7"/>
    <w:rsid w:val="00100A68"/>
    <w:rsid w:val="00100E1B"/>
    <w:rsid w:val="00100EE6"/>
    <w:rsid w:val="0010100F"/>
    <w:rsid w:val="00101107"/>
    <w:rsid w:val="00101523"/>
    <w:rsid w:val="00101C77"/>
    <w:rsid w:val="00101CB4"/>
    <w:rsid w:val="00102736"/>
    <w:rsid w:val="0010290F"/>
    <w:rsid w:val="00102A68"/>
    <w:rsid w:val="00102D0E"/>
    <w:rsid w:val="001034B6"/>
    <w:rsid w:val="00103884"/>
    <w:rsid w:val="00103BE8"/>
    <w:rsid w:val="001043AE"/>
    <w:rsid w:val="00104480"/>
    <w:rsid w:val="00104552"/>
    <w:rsid w:val="0010458B"/>
    <w:rsid w:val="00104F76"/>
    <w:rsid w:val="00106C37"/>
    <w:rsid w:val="00107E22"/>
    <w:rsid w:val="00110060"/>
    <w:rsid w:val="00110D4A"/>
    <w:rsid w:val="0011194C"/>
    <w:rsid w:val="00111CEF"/>
    <w:rsid w:val="0011281D"/>
    <w:rsid w:val="00113053"/>
    <w:rsid w:val="00113527"/>
    <w:rsid w:val="00113676"/>
    <w:rsid w:val="00113760"/>
    <w:rsid w:val="001138CA"/>
    <w:rsid w:val="00113C10"/>
    <w:rsid w:val="00113E11"/>
    <w:rsid w:val="00113F67"/>
    <w:rsid w:val="00114001"/>
    <w:rsid w:val="001142A1"/>
    <w:rsid w:val="001162B3"/>
    <w:rsid w:val="00116474"/>
    <w:rsid w:val="001164D7"/>
    <w:rsid w:val="001170DA"/>
    <w:rsid w:val="001173B1"/>
    <w:rsid w:val="001173CC"/>
    <w:rsid w:val="00117579"/>
    <w:rsid w:val="0011796B"/>
    <w:rsid w:val="001201A8"/>
    <w:rsid w:val="00120603"/>
    <w:rsid w:val="0012083D"/>
    <w:rsid w:val="001208A2"/>
    <w:rsid w:val="001208B0"/>
    <w:rsid w:val="001209EF"/>
    <w:rsid w:val="00120A6F"/>
    <w:rsid w:val="0012119E"/>
    <w:rsid w:val="001212AB"/>
    <w:rsid w:val="001220B5"/>
    <w:rsid w:val="001228E0"/>
    <w:rsid w:val="00122A34"/>
    <w:rsid w:val="001236E4"/>
    <w:rsid w:val="00123D76"/>
    <w:rsid w:val="00124495"/>
    <w:rsid w:val="0012458B"/>
    <w:rsid w:val="00124C66"/>
    <w:rsid w:val="00124F65"/>
    <w:rsid w:val="001254D1"/>
    <w:rsid w:val="00125798"/>
    <w:rsid w:val="00126205"/>
    <w:rsid w:val="00126E20"/>
    <w:rsid w:val="001270E7"/>
    <w:rsid w:val="0012713F"/>
    <w:rsid w:val="00127478"/>
    <w:rsid w:val="001279B9"/>
    <w:rsid w:val="00127F08"/>
    <w:rsid w:val="0013052C"/>
    <w:rsid w:val="00130CCE"/>
    <w:rsid w:val="0013152C"/>
    <w:rsid w:val="001315FD"/>
    <w:rsid w:val="00131982"/>
    <w:rsid w:val="00132D57"/>
    <w:rsid w:val="0013379E"/>
    <w:rsid w:val="0013401E"/>
    <w:rsid w:val="001347FC"/>
    <w:rsid w:val="00134B52"/>
    <w:rsid w:val="00134E18"/>
    <w:rsid w:val="0013507F"/>
    <w:rsid w:val="001356B5"/>
    <w:rsid w:val="00135C2A"/>
    <w:rsid w:val="00135E7D"/>
    <w:rsid w:val="00136C1D"/>
    <w:rsid w:val="00136C70"/>
    <w:rsid w:val="00137783"/>
    <w:rsid w:val="001378FF"/>
    <w:rsid w:val="00137BF7"/>
    <w:rsid w:val="00137CFF"/>
    <w:rsid w:val="00137FC8"/>
    <w:rsid w:val="0014016C"/>
    <w:rsid w:val="00140E10"/>
    <w:rsid w:val="001421AA"/>
    <w:rsid w:val="001424CC"/>
    <w:rsid w:val="00142A3B"/>
    <w:rsid w:val="00142F05"/>
    <w:rsid w:val="001430FD"/>
    <w:rsid w:val="001438A6"/>
    <w:rsid w:val="00143CB8"/>
    <w:rsid w:val="00145024"/>
    <w:rsid w:val="001453D9"/>
    <w:rsid w:val="001455D3"/>
    <w:rsid w:val="00145DB9"/>
    <w:rsid w:val="00146074"/>
    <w:rsid w:val="00146A50"/>
    <w:rsid w:val="0014714F"/>
    <w:rsid w:val="00147684"/>
    <w:rsid w:val="00147EF6"/>
    <w:rsid w:val="0015012C"/>
    <w:rsid w:val="00150461"/>
    <w:rsid w:val="0015087D"/>
    <w:rsid w:val="00150D67"/>
    <w:rsid w:val="001512A7"/>
    <w:rsid w:val="001513A3"/>
    <w:rsid w:val="0015159A"/>
    <w:rsid w:val="001520D4"/>
    <w:rsid w:val="00152C2F"/>
    <w:rsid w:val="00152E7C"/>
    <w:rsid w:val="00153A42"/>
    <w:rsid w:val="00153D37"/>
    <w:rsid w:val="00154134"/>
    <w:rsid w:val="001542C0"/>
    <w:rsid w:val="001548AE"/>
    <w:rsid w:val="001549DE"/>
    <w:rsid w:val="00154C7A"/>
    <w:rsid w:val="00154F42"/>
    <w:rsid w:val="0015507F"/>
    <w:rsid w:val="00156845"/>
    <w:rsid w:val="001568CB"/>
    <w:rsid w:val="00156C59"/>
    <w:rsid w:val="00156CD7"/>
    <w:rsid w:val="00157185"/>
    <w:rsid w:val="00157A6E"/>
    <w:rsid w:val="00157C44"/>
    <w:rsid w:val="0016065C"/>
    <w:rsid w:val="00160C15"/>
    <w:rsid w:val="00160C58"/>
    <w:rsid w:val="00161F26"/>
    <w:rsid w:val="00161F7C"/>
    <w:rsid w:val="00162B7D"/>
    <w:rsid w:val="00164169"/>
    <w:rsid w:val="00164640"/>
    <w:rsid w:val="001650E4"/>
    <w:rsid w:val="0016531B"/>
    <w:rsid w:val="0016546C"/>
    <w:rsid w:val="00165C2D"/>
    <w:rsid w:val="0016606E"/>
    <w:rsid w:val="00166391"/>
    <w:rsid w:val="00167239"/>
    <w:rsid w:val="001674B0"/>
    <w:rsid w:val="00167656"/>
    <w:rsid w:val="00170091"/>
    <w:rsid w:val="001703A7"/>
    <w:rsid w:val="00170BFF"/>
    <w:rsid w:val="00170D9E"/>
    <w:rsid w:val="00171EED"/>
    <w:rsid w:val="001723C2"/>
    <w:rsid w:val="001724E3"/>
    <w:rsid w:val="0017264E"/>
    <w:rsid w:val="00172A24"/>
    <w:rsid w:val="00172B27"/>
    <w:rsid w:val="00172D76"/>
    <w:rsid w:val="001733F8"/>
    <w:rsid w:val="00173530"/>
    <w:rsid w:val="001736D4"/>
    <w:rsid w:val="00173B9C"/>
    <w:rsid w:val="00173CAF"/>
    <w:rsid w:val="001752BA"/>
    <w:rsid w:val="001755F5"/>
    <w:rsid w:val="001763CE"/>
    <w:rsid w:val="001768A7"/>
    <w:rsid w:val="0017696A"/>
    <w:rsid w:val="00176B04"/>
    <w:rsid w:val="0017701D"/>
    <w:rsid w:val="00177192"/>
    <w:rsid w:val="00177316"/>
    <w:rsid w:val="00177D98"/>
    <w:rsid w:val="0018000E"/>
    <w:rsid w:val="001805CF"/>
    <w:rsid w:val="0018071D"/>
    <w:rsid w:val="00180C3C"/>
    <w:rsid w:val="00180E9E"/>
    <w:rsid w:val="00181793"/>
    <w:rsid w:val="00181904"/>
    <w:rsid w:val="00181ED4"/>
    <w:rsid w:val="0018211D"/>
    <w:rsid w:val="001824E1"/>
    <w:rsid w:val="00182944"/>
    <w:rsid w:val="001835B4"/>
    <w:rsid w:val="00184591"/>
    <w:rsid w:val="00185D93"/>
    <w:rsid w:val="00186CB2"/>
    <w:rsid w:val="00187107"/>
    <w:rsid w:val="00187540"/>
    <w:rsid w:val="0018758C"/>
    <w:rsid w:val="0019075B"/>
    <w:rsid w:val="00191617"/>
    <w:rsid w:val="00191850"/>
    <w:rsid w:val="00192784"/>
    <w:rsid w:val="0019292E"/>
    <w:rsid w:val="00192ED6"/>
    <w:rsid w:val="00193685"/>
    <w:rsid w:val="00193918"/>
    <w:rsid w:val="00194C8C"/>
    <w:rsid w:val="00195285"/>
    <w:rsid w:val="0019583F"/>
    <w:rsid w:val="00195922"/>
    <w:rsid w:val="001960DD"/>
    <w:rsid w:val="00196115"/>
    <w:rsid w:val="0019642B"/>
    <w:rsid w:val="001970C0"/>
    <w:rsid w:val="0019717A"/>
    <w:rsid w:val="00197314"/>
    <w:rsid w:val="001973BC"/>
    <w:rsid w:val="00197CB4"/>
    <w:rsid w:val="00197ECF"/>
    <w:rsid w:val="001A045F"/>
    <w:rsid w:val="001A0717"/>
    <w:rsid w:val="001A0779"/>
    <w:rsid w:val="001A15A7"/>
    <w:rsid w:val="001A18B0"/>
    <w:rsid w:val="001A1ADB"/>
    <w:rsid w:val="001A1C71"/>
    <w:rsid w:val="001A2AF1"/>
    <w:rsid w:val="001A2C25"/>
    <w:rsid w:val="001A3209"/>
    <w:rsid w:val="001A33D6"/>
    <w:rsid w:val="001A36AD"/>
    <w:rsid w:val="001A3BA6"/>
    <w:rsid w:val="001A422B"/>
    <w:rsid w:val="001A4874"/>
    <w:rsid w:val="001A499F"/>
    <w:rsid w:val="001A4D95"/>
    <w:rsid w:val="001A4F45"/>
    <w:rsid w:val="001A511C"/>
    <w:rsid w:val="001A563A"/>
    <w:rsid w:val="001A651D"/>
    <w:rsid w:val="001A6570"/>
    <w:rsid w:val="001A67D8"/>
    <w:rsid w:val="001A6ACC"/>
    <w:rsid w:val="001A6B8A"/>
    <w:rsid w:val="001A70DB"/>
    <w:rsid w:val="001A768D"/>
    <w:rsid w:val="001A79A9"/>
    <w:rsid w:val="001B02B7"/>
    <w:rsid w:val="001B042B"/>
    <w:rsid w:val="001B0587"/>
    <w:rsid w:val="001B067B"/>
    <w:rsid w:val="001B0DCD"/>
    <w:rsid w:val="001B1DFA"/>
    <w:rsid w:val="001B1FE9"/>
    <w:rsid w:val="001B2B47"/>
    <w:rsid w:val="001B2C6D"/>
    <w:rsid w:val="001B2DCA"/>
    <w:rsid w:val="001B2DF9"/>
    <w:rsid w:val="001B326B"/>
    <w:rsid w:val="001B35A3"/>
    <w:rsid w:val="001B362D"/>
    <w:rsid w:val="001B3873"/>
    <w:rsid w:val="001B49D7"/>
    <w:rsid w:val="001B4FB2"/>
    <w:rsid w:val="001B5A1A"/>
    <w:rsid w:val="001B5F77"/>
    <w:rsid w:val="001B603C"/>
    <w:rsid w:val="001B654B"/>
    <w:rsid w:val="001B6A9A"/>
    <w:rsid w:val="001B6B02"/>
    <w:rsid w:val="001B6C49"/>
    <w:rsid w:val="001B6DEF"/>
    <w:rsid w:val="001B7377"/>
    <w:rsid w:val="001B7AB2"/>
    <w:rsid w:val="001B7D28"/>
    <w:rsid w:val="001C0151"/>
    <w:rsid w:val="001C0313"/>
    <w:rsid w:val="001C07B8"/>
    <w:rsid w:val="001C0A3C"/>
    <w:rsid w:val="001C0D2F"/>
    <w:rsid w:val="001C0E4F"/>
    <w:rsid w:val="001C1162"/>
    <w:rsid w:val="001C1604"/>
    <w:rsid w:val="001C1AAE"/>
    <w:rsid w:val="001C1E3E"/>
    <w:rsid w:val="001C24B8"/>
    <w:rsid w:val="001C2BDD"/>
    <w:rsid w:val="001C2C10"/>
    <w:rsid w:val="001C2C5E"/>
    <w:rsid w:val="001C2FBB"/>
    <w:rsid w:val="001C391F"/>
    <w:rsid w:val="001C3D36"/>
    <w:rsid w:val="001C4234"/>
    <w:rsid w:val="001C43F2"/>
    <w:rsid w:val="001C44FE"/>
    <w:rsid w:val="001C4B8D"/>
    <w:rsid w:val="001C5266"/>
    <w:rsid w:val="001C7314"/>
    <w:rsid w:val="001C7419"/>
    <w:rsid w:val="001C7431"/>
    <w:rsid w:val="001D035C"/>
    <w:rsid w:val="001D0667"/>
    <w:rsid w:val="001D0A8D"/>
    <w:rsid w:val="001D0BF6"/>
    <w:rsid w:val="001D1B1C"/>
    <w:rsid w:val="001D264B"/>
    <w:rsid w:val="001D3B0D"/>
    <w:rsid w:val="001D46E3"/>
    <w:rsid w:val="001D5B4E"/>
    <w:rsid w:val="001D619B"/>
    <w:rsid w:val="001D6B11"/>
    <w:rsid w:val="001D6E46"/>
    <w:rsid w:val="001D6ECD"/>
    <w:rsid w:val="001D70AC"/>
    <w:rsid w:val="001D7387"/>
    <w:rsid w:val="001D7927"/>
    <w:rsid w:val="001D7941"/>
    <w:rsid w:val="001E00E4"/>
    <w:rsid w:val="001E09FE"/>
    <w:rsid w:val="001E0D88"/>
    <w:rsid w:val="001E1174"/>
    <w:rsid w:val="001E140A"/>
    <w:rsid w:val="001E19C1"/>
    <w:rsid w:val="001E3727"/>
    <w:rsid w:val="001E3E54"/>
    <w:rsid w:val="001E4328"/>
    <w:rsid w:val="001E590F"/>
    <w:rsid w:val="001E59F9"/>
    <w:rsid w:val="001E60D9"/>
    <w:rsid w:val="001E6465"/>
    <w:rsid w:val="001E64EF"/>
    <w:rsid w:val="001E65A5"/>
    <w:rsid w:val="001E67BD"/>
    <w:rsid w:val="001E6DD9"/>
    <w:rsid w:val="001E77C9"/>
    <w:rsid w:val="001E7A8F"/>
    <w:rsid w:val="001E7B85"/>
    <w:rsid w:val="001E7D05"/>
    <w:rsid w:val="001F01DC"/>
    <w:rsid w:val="001F0963"/>
    <w:rsid w:val="001F0A8C"/>
    <w:rsid w:val="001F20FD"/>
    <w:rsid w:val="001F27B4"/>
    <w:rsid w:val="001F33EF"/>
    <w:rsid w:val="001F34E9"/>
    <w:rsid w:val="001F40DD"/>
    <w:rsid w:val="001F4650"/>
    <w:rsid w:val="001F4B89"/>
    <w:rsid w:val="001F4BB2"/>
    <w:rsid w:val="001F4EC6"/>
    <w:rsid w:val="001F5152"/>
    <w:rsid w:val="001F51A0"/>
    <w:rsid w:val="001F5516"/>
    <w:rsid w:val="001F5CC6"/>
    <w:rsid w:val="001F6637"/>
    <w:rsid w:val="001F66D3"/>
    <w:rsid w:val="001F6D5C"/>
    <w:rsid w:val="001F6D75"/>
    <w:rsid w:val="001F70B7"/>
    <w:rsid w:val="001F77A7"/>
    <w:rsid w:val="001F783E"/>
    <w:rsid w:val="0020110B"/>
    <w:rsid w:val="0020110C"/>
    <w:rsid w:val="00201186"/>
    <w:rsid w:val="0020239E"/>
    <w:rsid w:val="00202BC3"/>
    <w:rsid w:val="00202E08"/>
    <w:rsid w:val="002034D4"/>
    <w:rsid w:val="0020383B"/>
    <w:rsid w:val="00203911"/>
    <w:rsid w:val="002041F4"/>
    <w:rsid w:val="002043BA"/>
    <w:rsid w:val="00204876"/>
    <w:rsid w:val="00206259"/>
    <w:rsid w:val="002072CF"/>
    <w:rsid w:val="00210A6F"/>
    <w:rsid w:val="00210F4B"/>
    <w:rsid w:val="002111DA"/>
    <w:rsid w:val="00211529"/>
    <w:rsid w:val="00211765"/>
    <w:rsid w:val="00212712"/>
    <w:rsid w:val="00212C3F"/>
    <w:rsid w:val="00213331"/>
    <w:rsid w:val="002136E7"/>
    <w:rsid w:val="00213CE3"/>
    <w:rsid w:val="00214B7D"/>
    <w:rsid w:val="00214E34"/>
    <w:rsid w:val="0021533B"/>
    <w:rsid w:val="00215A9D"/>
    <w:rsid w:val="00215E70"/>
    <w:rsid w:val="00215EE4"/>
    <w:rsid w:val="0021665F"/>
    <w:rsid w:val="00220635"/>
    <w:rsid w:val="002206DB"/>
    <w:rsid w:val="00220858"/>
    <w:rsid w:val="00220DE4"/>
    <w:rsid w:val="0022182D"/>
    <w:rsid w:val="00222117"/>
    <w:rsid w:val="00224859"/>
    <w:rsid w:val="002248C0"/>
    <w:rsid w:val="00225A12"/>
    <w:rsid w:val="002261B3"/>
    <w:rsid w:val="0022666F"/>
    <w:rsid w:val="00226A38"/>
    <w:rsid w:val="00230B76"/>
    <w:rsid w:val="00230BC7"/>
    <w:rsid w:val="00230CCB"/>
    <w:rsid w:val="002318B6"/>
    <w:rsid w:val="00231A7B"/>
    <w:rsid w:val="00231AB4"/>
    <w:rsid w:val="00231FBB"/>
    <w:rsid w:val="00232395"/>
    <w:rsid w:val="0023250F"/>
    <w:rsid w:val="0023377B"/>
    <w:rsid w:val="00233C29"/>
    <w:rsid w:val="00233CEF"/>
    <w:rsid w:val="00233FD0"/>
    <w:rsid w:val="00234917"/>
    <w:rsid w:val="00234C0A"/>
    <w:rsid w:val="00235210"/>
    <w:rsid w:val="0023527F"/>
    <w:rsid w:val="002352B0"/>
    <w:rsid w:val="002354E4"/>
    <w:rsid w:val="002367A7"/>
    <w:rsid w:val="00236F53"/>
    <w:rsid w:val="00237192"/>
    <w:rsid w:val="002374B9"/>
    <w:rsid w:val="0023760D"/>
    <w:rsid w:val="00237651"/>
    <w:rsid w:val="002378DF"/>
    <w:rsid w:val="00240493"/>
    <w:rsid w:val="002408FA"/>
    <w:rsid w:val="00241852"/>
    <w:rsid w:val="002421AB"/>
    <w:rsid w:val="002424DB"/>
    <w:rsid w:val="00242A11"/>
    <w:rsid w:val="00242A92"/>
    <w:rsid w:val="00242BCF"/>
    <w:rsid w:val="00242FCA"/>
    <w:rsid w:val="00243074"/>
    <w:rsid w:val="00243579"/>
    <w:rsid w:val="002435AC"/>
    <w:rsid w:val="00243942"/>
    <w:rsid w:val="00244257"/>
    <w:rsid w:val="0024431D"/>
    <w:rsid w:val="0024449C"/>
    <w:rsid w:val="002451AB"/>
    <w:rsid w:val="00245766"/>
    <w:rsid w:val="00245BD7"/>
    <w:rsid w:val="00245F41"/>
    <w:rsid w:val="002460AF"/>
    <w:rsid w:val="002464E8"/>
    <w:rsid w:val="00246A03"/>
    <w:rsid w:val="0024710C"/>
    <w:rsid w:val="00247434"/>
    <w:rsid w:val="002477C3"/>
    <w:rsid w:val="00247B74"/>
    <w:rsid w:val="00247F33"/>
    <w:rsid w:val="00250340"/>
    <w:rsid w:val="002503DC"/>
    <w:rsid w:val="002504AA"/>
    <w:rsid w:val="00250FC3"/>
    <w:rsid w:val="00251676"/>
    <w:rsid w:val="00252197"/>
    <w:rsid w:val="0025246D"/>
    <w:rsid w:val="002531D8"/>
    <w:rsid w:val="00253350"/>
    <w:rsid w:val="002534D1"/>
    <w:rsid w:val="00253776"/>
    <w:rsid w:val="00253B47"/>
    <w:rsid w:val="00253E25"/>
    <w:rsid w:val="00254A51"/>
    <w:rsid w:val="00254AF0"/>
    <w:rsid w:val="00254F3A"/>
    <w:rsid w:val="00255417"/>
    <w:rsid w:val="002561B4"/>
    <w:rsid w:val="00256EAE"/>
    <w:rsid w:val="002573D2"/>
    <w:rsid w:val="00257849"/>
    <w:rsid w:val="0025784F"/>
    <w:rsid w:val="00257989"/>
    <w:rsid w:val="00260517"/>
    <w:rsid w:val="002610AA"/>
    <w:rsid w:val="0026179D"/>
    <w:rsid w:val="00261906"/>
    <w:rsid w:val="00261F98"/>
    <w:rsid w:val="00262380"/>
    <w:rsid w:val="0026294A"/>
    <w:rsid w:val="00262C0C"/>
    <w:rsid w:val="00262C38"/>
    <w:rsid w:val="00262DF6"/>
    <w:rsid w:val="00262F8E"/>
    <w:rsid w:val="00262FED"/>
    <w:rsid w:val="002632BF"/>
    <w:rsid w:val="00263314"/>
    <w:rsid w:val="002642C7"/>
    <w:rsid w:val="00264C45"/>
    <w:rsid w:val="00265F0F"/>
    <w:rsid w:val="00265F89"/>
    <w:rsid w:val="00266CF5"/>
    <w:rsid w:val="00267328"/>
    <w:rsid w:val="00267779"/>
    <w:rsid w:val="002677E0"/>
    <w:rsid w:val="002702EF"/>
    <w:rsid w:val="002704F0"/>
    <w:rsid w:val="0027198A"/>
    <w:rsid w:val="00271BDB"/>
    <w:rsid w:val="00271D24"/>
    <w:rsid w:val="00273567"/>
    <w:rsid w:val="002747AD"/>
    <w:rsid w:val="00274963"/>
    <w:rsid w:val="00274C08"/>
    <w:rsid w:val="002751AD"/>
    <w:rsid w:val="00275484"/>
    <w:rsid w:val="00275651"/>
    <w:rsid w:val="00276FAC"/>
    <w:rsid w:val="00277267"/>
    <w:rsid w:val="00277863"/>
    <w:rsid w:val="0028081E"/>
    <w:rsid w:val="002809A7"/>
    <w:rsid w:val="00280BE7"/>
    <w:rsid w:val="00280E13"/>
    <w:rsid w:val="002812F1"/>
    <w:rsid w:val="002817A5"/>
    <w:rsid w:val="002817CE"/>
    <w:rsid w:val="002818C2"/>
    <w:rsid w:val="0028194F"/>
    <w:rsid w:val="00281AF4"/>
    <w:rsid w:val="00281EFD"/>
    <w:rsid w:val="00281FE0"/>
    <w:rsid w:val="00282403"/>
    <w:rsid w:val="00282814"/>
    <w:rsid w:val="00282B8F"/>
    <w:rsid w:val="00283AA6"/>
    <w:rsid w:val="00283FC5"/>
    <w:rsid w:val="0028432C"/>
    <w:rsid w:val="00284E46"/>
    <w:rsid w:val="0028525A"/>
    <w:rsid w:val="0028527D"/>
    <w:rsid w:val="002857E2"/>
    <w:rsid w:val="0028639C"/>
    <w:rsid w:val="002870A9"/>
    <w:rsid w:val="002873FD"/>
    <w:rsid w:val="002877D4"/>
    <w:rsid w:val="00287A13"/>
    <w:rsid w:val="002904EA"/>
    <w:rsid w:val="0029073E"/>
    <w:rsid w:val="00290ABD"/>
    <w:rsid w:val="0029153A"/>
    <w:rsid w:val="002917ED"/>
    <w:rsid w:val="0029181C"/>
    <w:rsid w:val="0029196B"/>
    <w:rsid w:val="00292644"/>
    <w:rsid w:val="00292DAB"/>
    <w:rsid w:val="0029352C"/>
    <w:rsid w:val="00293E05"/>
    <w:rsid w:val="00293F56"/>
    <w:rsid w:val="00294872"/>
    <w:rsid w:val="0029492F"/>
    <w:rsid w:val="002949DC"/>
    <w:rsid w:val="002949FB"/>
    <w:rsid w:val="0029614F"/>
    <w:rsid w:val="00296492"/>
    <w:rsid w:val="0029697C"/>
    <w:rsid w:val="00296F9C"/>
    <w:rsid w:val="002A0B4A"/>
    <w:rsid w:val="002A1291"/>
    <w:rsid w:val="002A1493"/>
    <w:rsid w:val="002A155E"/>
    <w:rsid w:val="002A1EBC"/>
    <w:rsid w:val="002A2670"/>
    <w:rsid w:val="002A26DB"/>
    <w:rsid w:val="002A2E00"/>
    <w:rsid w:val="002A3107"/>
    <w:rsid w:val="002A31CF"/>
    <w:rsid w:val="002A34C1"/>
    <w:rsid w:val="002A3C63"/>
    <w:rsid w:val="002A429A"/>
    <w:rsid w:val="002A4477"/>
    <w:rsid w:val="002A4675"/>
    <w:rsid w:val="002A4CAA"/>
    <w:rsid w:val="002A517D"/>
    <w:rsid w:val="002A53A7"/>
    <w:rsid w:val="002A5C43"/>
    <w:rsid w:val="002A6267"/>
    <w:rsid w:val="002A729E"/>
    <w:rsid w:val="002A7CB4"/>
    <w:rsid w:val="002A7CC8"/>
    <w:rsid w:val="002A7FB5"/>
    <w:rsid w:val="002B05AC"/>
    <w:rsid w:val="002B0B85"/>
    <w:rsid w:val="002B1472"/>
    <w:rsid w:val="002B15C2"/>
    <w:rsid w:val="002B1DC7"/>
    <w:rsid w:val="002B262D"/>
    <w:rsid w:val="002B27A8"/>
    <w:rsid w:val="002B293D"/>
    <w:rsid w:val="002B35F2"/>
    <w:rsid w:val="002B4166"/>
    <w:rsid w:val="002B6001"/>
    <w:rsid w:val="002B6125"/>
    <w:rsid w:val="002B686C"/>
    <w:rsid w:val="002B7157"/>
    <w:rsid w:val="002B7355"/>
    <w:rsid w:val="002B741A"/>
    <w:rsid w:val="002C100F"/>
    <w:rsid w:val="002C1064"/>
    <w:rsid w:val="002C112D"/>
    <w:rsid w:val="002C1146"/>
    <w:rsid w:val="002C12AF"/>
    <w:rsid w:val="002C13E5"/>
    <w:rsid w:val="002C1C5A"/>
    <w:rsid w:val="002C1F57"/>
    <w:rsid w:val="002C2C7F"/>
    <w:rsid w:val="002C3A6B"/>
    <w:rsid w:val="002C3BA8"/>
    <w:rsid w:val="002C3C4F"/>
    <w:rsid w:val="002C412C"/>
    <w:rsid w:val="002C486F"/>
    <w:rsid w:val="002C4CFA"/>
    <w:rsid w:val="002C57E5"/>
    <w:rsid w:val="002C6489"/>
    <w:rsid w:val="002C7111"/>
    <w:rsid w:val="002C71CA"/>
    <w:rsid w:val="002C7704"/>
    <w:rsid w:val="002C7A75"/>
    <w:rsid w:val="002C7DCC"/>
    <w:rsid w:val="002C7F13"/>
    <w:rsid w:val="002D00CC"/>
    <w:rsid w:val="002D1528"/>
    <w:rsid w:val="002D206A"/>
    <w:rsid w:val="002D2070"/>
    <w:rsid w:val="002D20CF"/>
    <w:rsid w:val="002D228E"/>
    <w:rsid w:val="002D242E"/>
    <w:rsid w:val="002D2C35"/>
    <w:rsid w:val="002D2DC3"/>
    <w:rsid w:val="002D2DFF"/>
    <w:rsid w:val="002D358E"/>
    <w:rsid w:val="002D49C0"/>
    <w:rsid w:val="002D58DD"/>
    <w:rsid w:val="002D643C"/>
    <w:rsid w:val="002D64FC"/>
    <w:rsid w:val="002D65B3"/>
    <w:rsid w:val="002D7766"/>
    <w:rsid w:val="002D7D6B"/>
    <w:rsid w:val="002D7FA0"/>
    <w:rsid w:val="002E0590"/>
    <w:rsid w:val="002E08A8"/>
    <w:rsid w:val="002E0DEC"/>
    <w:rsid w:val="002E18D1"/>
    <w:rsid w:val="002E2082"/>
    <w:rsid w:val="002E216A"/>
    <w:rsid w:val="002E2247"/>
    <w:rsid w:val="002E2A8B"/>
    <w:rsid w:val="002E33CD"/>
    <w:rsid w:val="002E38B6"/>
    <w:rsid w:val="002E4E8A"/>
    <w:rsid w:val="002E512E"/>
    <w:rsid w:val="002E51A7"/>
    <w:rsid w:val="002E5617"/>
    <w:rsid w:val="002E5962"/>
    <w:rsid w:val="002E5A07"/>
    <w:rsid w:val="002E5C54"/>
    <w:rsid w:val="002E69E4"/>
    <w:rsid w:val="002E6A45"/>
    <w:rsid w:val="002E6E87"/>
    <w:rsid w:val="002E6FCB"/>
    <w:rsid w:val="002E7C5D"/>
    <w:rsid w:val="002E7E47"/>
    <w:rsid w:val="002F08DF"/>
    <w:rsid w:val="002F0ABC"/>
    <w:rsid w:val="002F1019"/>
    <w:rsid w:val="002F15A6"/>
    <w:rsid w:val="002F1A36"/>
    <w:rsid w:val="002F1BA0"/>
    <w:rsid w:val="002F1BD0"/>
    <w:rsid w:val="002F1F7E"/>
    <w:rsid w:val="002F21B5"/>
    <w:rsid w:val="002F29FC"/>
    <w:rsid w:val="002F2FDE"/>
    <w:rsid w:val="002F30E1"/>
    <w:rsid w:val="002F31C5"/>
    <w:rsid w:val="002F3709"/>
    <w:rsid w:val="002F3DC4"/>
    <w:rsid w:val="002F48B2"/>
    <w:rsid w:val="002F48FB"/>
    <w:rsid w:val="002F503B"/>
    <w:rsid w:val="002F521F"/>
    <w:rsid w:val="002F5283"/>
    <w:rsid w:val="002F52A9"/>
    <w:rsid w:val="002F541A"/>
    <w:rsid w:val="002F56EF"/>
    <w:rsid w:val="002F5713"/>
    <w:rsid w:val="002F612B"/>
    <w:rsid w:val="00300D7B"/>
    <w:rsid w:val="00301112"/>
    <w:rsid w:val="00301840"/>
    <w:rsid w:val="00301D68"/>
    <w:rsid w:val="003031DA"/>
    <w:rsid w:val="0030379D"/>
    <w:rsid w:val="0030398A"/>
    <w:rsid w:val="00303BE4"/>
    <w:rsid w:val="00304D60"/>
    <w:rsid w:val="00305099"/>
    <w:rsid w:val="00305492"/>
    <w:rsid w:val="0030585D"/>
    <w:rsid w:val="00305C6E"/>
    <w:rsid w:val="003060F8"/>
    <w:rsid w:val="00306745"/>
    <w:rsid w:val="003069BB"/>
    <w:rsid w:val="00307552"/>
    <w:rsid w:val="00307806"/>
    <w:rsid w:val="00307D47"/>
    <w:rsid w:val="00307DE7"/>
    <w:rsid w:val="00310613"/>
    <w:rsid w:val="003107F7"/>
    <w:rsid w:val="00310CD2"/>
    <w:rsid w:val="00311229"/>
    <w:rsid w:val="0031185D"/>
    <w:rsid w:val="00311FF7"/>
    <w:rsid w:val="0031226A"/>
    <w:rsid w:val="00312651"/>
    <w:rsid w:val="0031266E"/>
    <w:rsid w:val="0031315D"/>
    <w:rsid w:val="00313634"/>
    <w:rsid w:val="00313C10"/>
    <w:rsid w:val="00313E29"/>
    <w:rsid w:val="00313FF1"/>
    <w:rsid w:val="00314B3D"/>
    <w:rsid w:val="00316F88"/>
    <w:rsid w:val="003201C0"/>
    <w:rsid w:val="00320619"/>
    <w:rsid w:val="003206F3"/>
    <w:rsid w:val="003208C6"/>
    <w:rsid w:val="003209BA"/>
    <w:rsid w:val="00320AB1"/>
    <w:rsid w:val="00321018"/>
    <w:rsid w:val="0032131C"/>
    <w:rsid w:val="00322F05"/>
    <w:rsid w:val="00323190"/>
    <w:rsid w:val="0032354C"/>
    <w:rsid w:val="00323998"/>
    <w:rsid w:val="003241AC"/>
    <w:rsid w:val="003245EA"/>
    <w:rsid w:val="00324BD6"/>
    <w:rsid w:val="00324F79"/>
    <w:rsid w:val="0032527A"/>
    <w:rsid w:val="00325D19"/>
    <w:rsid w:val="00325D64"/>
    <w:rsid w:val="0032609F"/>
    <w:rsid w:val="003266C1"/>
    <w:rsid w:val="00326828"/>
    <w:rsid w:val="003269E6"/>
    <w:rsid w:val="00326C2A"/>
    <w:rsid w:val="00327401"/>
    <w:rsid w:val="00327CDD"/>
    <w:rsid w:val="00330A0C"/>
    <w:rsid w:val="00330F5D"/>
    <w:rsid w:val="00332E7B"/>
    <w:rsid w:val="00333A73"/>
    <w:rsid w:val="003342CD"/>
    <w:rsid w:val="0033468F"/>
    <w:rsid w:val="003346EB"/>
    <w:rsid w:val="00334839"/>
    <w:rsid w:val="003350E1"/>
    <w:rsid w:val="003358EB"/>
    <w:rsid w:val="00335933"/>
    <w:rsid w:val="00335FBF"/>
    <w:rsid w:val="003370E4"/>
    <w:rsid w:val="0033712E"/>
    <w:rsid w:val="0033783E"/>
    <w:rsid w:val="003379B0"/>
    <w:rsid w:val="00337F61"/>
    <w:rsid w:val="003420C9"/>
    <w:rsid w:val="003437BD"/>
    <w:rsid w:val="00343D67"/>
    <w:rsid w:val="00344241"/>
    <w:rsid w:val="00344393"/>
    <w:rsid w:val="00344D65"/>
    <w:rsid w:val="003453A1"/>
    <w:rsid w:val="00345551"/>
    <w:rsid w:val="003456F4"/>
    <w:rsid w:val="003457ED"/>
    <w:rsid w:val="00345C5F"/>
    <w:rsid w:val="00345D68"/>
    <w:rsid w:val="003462C7"/>
    <w:rsid w:val="003464EF"/>
    <w:rsid w:val="003466A1"/>
    <w:rsid w:val="00346F88"/>
    <w:rsid w:val="003478CF"/>
    <w:rsid w:val="00347BFD"/>
    <w:rsid w:val="00350A90"/>
    <w:rsid w:val="00350E98"/>
    <w:rsid w:val="00350FC8"/>
    <w:rsid w:val="00351741"/>
    <w:rsid w:val="00351988"/>
    <w:rsid w:val="00351DB8"/>
    <w:rsid w:val="00351FFC"/>
    <w:rsid w:val="003520AD"/>
    <w:rsid w:val="003523AE"/>
    <w:rsid w:val="00352962"/>
    <w:rsid w:val="00352A34"/>
    <w:rsid w:val="00353E0F"/>
    <w:rsid w:val="0035448F"/>
    <w:rsid w:val="00354CE9"/>
    <w:rsid w:val="003555B3"/>
    <w:rsid w:val="00356733"/>
    <w:rsid w:val="00357D18"/>
    <w:rsid w:val="00357E9C"/>
    <w:rsid w:val="00360211"/>
    <w:rsid w:val="003604B2"/>
    <w:rsid w:val="00360588"/>
    <w:rsid w:val="0036072B"/>
    <w:rsid w:val="003608E7"/>
    <w:rsid w:val="00360AA1"/>
    <w:rsid w:val="0036131F"/>
    <w:rsid w:val="00361672"/>
    <w:rsid w:val="00361797"/>
    <w:rsid w:val="00362268"/>
    <w:rsid w:val="0036231B"/>
    <w:rsid w:val="00362FB1"/>
    <w:rsid w:val="00363498"/>
    <w:rsid w:val="00363A90"/>
    <w:rsid w:val="00364144"/>
    <w:rsid w:val="003649CA"/>
    <w:rsid w:val="00364E6F"/>
    <w:rsid w:val="00364F81"/>
    <w:rsid w:val="0036500A"/>
    <w:rsid w:val="003658DE"/>
    <w:rsid w:val="00366814"/>
    <w:rsid w:val="003669EE"/>
    <w:rsid w:val="00367473"/>
    <w:rsid w:val="003679ED"/>
    <w:rsid w:val="00371057"/>
    <w:rsid w:val="0037209A"/>
    <w:rsid w:val="003725AD"/>
    <w:rsid w:val="003726F6"/>
    <w:rsid w:val="00372A42"/>
    <w:rsid w:val="0037350B"/>
    <w:rsid w:val="00374001"/>
    <w:rsid w:val="00374532"/>
    <w:rsid w:val="0037469F"/>
    <w:rsid w:val="00374868"/>
    <w:rsid w:val="003749B0"/>
    <w:rsid w:val="00374C6C"/>
    <w:rsid w:val="00375147"/>
    <w:rsid w:val="003752A9"/>
    <w:rsid w:val="00375661"/>
    <w:rsid w:val="00375BB1"/>
    <w:rsid w:val="00375DF4"/>
    <w:rsid w:val="00375FBC"/>
    <w:rsid w:val="00376265"/>
    <w:rsid w:val="003762B9"/>
    <w:rsid w:val="00376313"/>
    <w:rsid w:val="0037682C"/>
    <w:rsid w:val="003778FD"/>
    <w:rsid w:val="00377C55"/>
    <w:rsid w:val="00380143"/>
    <w:rsid w:val="003801F3"/>
    <w:rsid w:val="00380455"/>
    <w:rsid w:val="00380744"/>
    <w:rsid w:val="00380866"/>
    <w:rsid w:val="0038110C"/>
    <w:rsid w:val="00381279"/>
    <w:rsid w:val="00381D25"/>
    <w:rsid w:val="00382239"/>
    <w:rsid w:val="00383004"/>
    <w:rsid w:val="003830CE"/>
    <w:rsid w:val="00383A4E"/>
    <w:rsid w:val="00383B9E"/>
    <w:rsid w:val="00383E45"/>
    <w:rsid w:val="0038401A"/>
    <w:rsid w:val="00384AED"/>
    <w:rsid w:val="00384C85"/>
    <w:rsid w:val="00385E2D"/>
    <w:rsid w:val="003868E9"/>
    <w:rsid w:val="00386C25"/>
    <w:rsid w:val="00386FA0"/>
    <w:rsid w:val="00387137"/>
    <w:rsid w:val="00387195"/>
    <w:rsid w:val="00387314"/>
    <w:rsid w:val="00387E6B"/>
    <w:rsid w:val="00390051"/>
    <w:rsid w:val="00392202"/>
    <w:rsid w:val="003923A5"/>
    <w:rsid w:val="0039262E"/>
    <w:rsid w:val="0039285B"/>
    <w:rsid w:val="00392CBF"/>
    <w:rsid w:val="00392E2C"/>
    <w:rsid w:val="003937F3"/>
    <w:rsid w:val="00393C17"/>
    <w:rsid w:val="003944A8"/>
    <w:rsid w:val="00395962"/>
    <w:rsid w:val="00395A5C"/>
    <w:rsid w:val="00395FA2"/>
    <w:rsid w:val="00395FD2"/>
    <w:rsid w:val="00396089"/>
    <w:rsid w:val="00396C01"/>
    <w:rsid w:val="00397267"/>
    <w:rsid w:val="00397868"/>
    <w:rsid w:val="003978E6"/>
    <w:rsid w:val="003A0770"/>
    <w:rsid w:val="003A1578"/>
    <w:rsid w:val="003A15D6"/>
    <w:rsid w:val="003A16ED"/>
    <w:rsid w:val="003A1FA2"/>
    <w:rsid w:val="003A28DB"/>
    <w:rsid w:val="003A2E77"/>
    <w:rsid w:val="003A34D3"/>
    <w:rsid w:val="003A3882"/>
    <w:rsid w:val="003A3AEF"/>
    <w:rsid w:val="003A3DDD"/>
    <w:rsid w:val="003A4509"/>
    <w:rsid w:val="003A4F85"/>
    <w:rsid w:val="003A5145"/>
    <w:rsid w:val="003A5A10"/>
    <w:rsid w:val="003A5DF8"/>
    <w:rsid w:val="003A6837"/>
    <w:rsid w:val="003A6DF7"/>
    <w:rsid w:val="003A6F34"/>
    <w:rsid w:val="003A7349"/>
    <w:rsid w:val="003A743B"/>
    <w:rsid w:val="003A7840"/>
    <w:rsid w:val="003A79CC"/>
    <w:rsid w:val="003B010E"/>
    <w:rsid w:val="003B13AF"/>
    <w:rsid w:val="003B172A"/>
    <w:rsid w:val="003B2341"/>
    <w:rsid w:val="003B2445"/>
    <w:rsid w:val="003B2816"/>
    <w:rsid w:val="003B30D6"/>
    <w:rsid w:val="003B3548"/>
    <w:rsid w:val="003B415C"/>
    <w:rsid w:val="003B48C4"/>
    <w:rsid w:val="003B4928"/>
    <w:rsid w:val="003B4E1A"/>
    <w:rsid w:val="003B562C"/>
    <w:rsid w:val="003B5D44"/>
    <w:rsid w:val="003B5E7D"/>
    <w:rsid w:val="003B642A"/>
    <w:rsid w:val="003B689A"/>
    <w:rsid w:val="003B68CC"/>
    <w:rsid w:val="003B6A5F"/>
    <w:rsid w:val="003B6B2C"/>
    <w:rsid w:val="003B73D2"/>
    <w:rsid w:val="003B7684"/>
    <w:rsid w:val="003B7C7F"/>
    <w:rsid w:val="003B7E9A"/>
    <w:rsid w:val="003B7F05"/>
    <w:rsid w:val="003C0E71"/>
    <w:rsid w:val="003C1074"/>
    <w:rsid w:val="003C224D"/>
    <w:rsid w:val="003C23F3"/>
    <w:rsid w:val="003C28AD"/>
    <w:rsid w:val="003C3A1E"/>
    <w:rsid w:val="003C4A42"/>
    <w:rsid w:val="003C505B"/>
    <w:rsid w:val="003C589B"/>
    <w:rsid w:val="003C60B3"/>
    <w:rsid w:val="003C697F"/>
    <w:rsid w:val="003C69B3"/>
    <w:rsid w:val="003C6F0F"/>
    <w:rsid w:val="003C6F59"/>
    <w:rsid w:val="003C70C4"/>
    <w:rsid w:val="003C71CF"/>
    <w:rsid w:val="003C748E"/>
    <w:rsid w:val="003C789D"/>
    <w:rsid w:val="003C7ED2"/>
    <w:rsid w:val="003D0398"/>
    <w:rsid w:val="003D0C12"/>
    <w:rsid w:val="003D0C2A"/>
    <w:rsid w:val="003D0F70"/>
    <w:rsid w:val="003D2318"/>
    <w:rsid w:val="003D251B"/>
    <w:rsid w:val="003D379C"/>
    <w:rsid w:val="003D4948"/>
    <w:rsid w:val="003D4A56"/>
    <w:rsid w:val="003D5827"/>
    <w:rsid w:val="003D5D82"/>
    <w:rsid w:val="003D628D"/>
    <w:rsid w:val="003D6552"/>
    <w:rsid w:val="003D6A99"/>
    <w:rsid w:val="003D6C82"/>
    <w:rsid w:val="003D6CDD"/>
    <w:rsid w:val="003D6EBF"/>
    <w:rsid w:val="003D7068"/>
    <w:rsid w:val="003D70EE"/>
    <w:rsid w:val="003D79C9"/>
    <w:rsid w:val="003D7B2C"/>
    <w:rsid w:val="003E089B"/>
    <w:rsid w:val="003E1917"/>
    <w:rsid w:val="003E194B"/>
    <w:rsid w:val="003E1E5A"/>
    <w:rsid w:val="003E1F23"/>
    <w:rsid w:val="003E259A"/>
    <w:rsid w:val="003E2626"/>
    <w:rsid w:val="003E268A"/>
    <w:rsid w:val="003E2783"/>
    <w:rsid w:val="003E281A"/>
    <w:rsid w:val="003E317E"/>
    <w:rsid w:val="003E3974"/>
    <w:rsid w:val="003E3D7A"/>
    <w:rsid w:val="003E3EB1"/>
    <w:rsid w:val="003E45B2"/>
    <w:rsid w:val="003E5211"/>
    <w:rsid w:val="003E565E"/>
    <w:rsid w:val="003E58EF"/>
    <w:rsid w:val="003E5CA0"/>
    <w:rsid w:val="003E66F6"/>
    <w:rsid w:val="003E6F9B"/>
    <w:rsid w:val="003E7957"/>
    <w:rsid w:val="003E7BCA"/>
    <w:rsid w:val="003F0189"/>
    <w:rsid w:val="003F0A33"/>
    <w:rsid w:val="003F0F94"/>
    <w:rsid w:val="003F1553"/>
    <w:rsid w:val="003F19FF"/>
    <w:rsid w:val="003F1EB8"/>
    <w:rsid w:val="003F25C0"/>
    <w:rsid w:val="003F25E4"/>
    <w:rsid w:val="003F31D2"/>
    <w:rsid w:val="003F3311"/>
    <w:rsid w:val="003F3716"/>
    <w:rsid w:val="003F3CF4"/>
    <w:rsid w:val="003F3DC0"/>
    <w:rsid w:val="003F3F24"/>
    <w:rsid w:val="003F4845"/>
    <w:rsid w:val="003F4DBE"/>
    <w:rsid w:val="003F5088"/>
    <w:rsid w:val="003F51BD"/>
    <w:rsid w:val="003F557E"/>
    <w:rsid w:val="003F5B1C"/>
    <w:rsid w:val="003F5B79"/>
    <w:rsid w:val="003F6540"/>
    <w:rsid w:val="003F670D"/>
    <w:rsid w:val="003F6A0C"/>
    <w:rsid w:val="003F7698"/>
    <w:rsid w:val="003F7AA8"/>
    <w:rsid w:val="003F7B9A"/>
    <w:rsid w:val="003F7CC5"/>
    <w:rsid w:val="00400D68"/>
    <w:rsid w:val="00401254"/>
    <w:rsid w:val="004012F3"/>
    <w:rsid w:val="00401779"/>
    <w:rsid w:val="00401801"/>
    <w:rsid w:val="00401933"/>
    <w:rsid w:val="00401A63"/>
    <w:rsid w:val="00401D7F"/>
    <w:rsid w:val="00402BE2"/>
    <w:rsid w:val="004033EE"/>
    <w:rsid w:val="004036CB"/>
    <w:rsid w:val="004036D9"/>
    <w:rsid w:val="0040378F"/>
    <w:rsid w:val="00404AF0"/>
    <w:rsid w:val="00405B71"/>
    <w:rsid w:val="00405CE9"/>
    <w:rsid w:val="0040638A"/>
    <w:rsid w:val="00406417"/>
    <w:rsid w:val="0040653D"/>
    <w:rsid w:val="004067AD"/>
    <w:rsid w:val="00406FE4"/>
    <w:rsid w:val="00407626"/>
    <w:rsid w:val="00407C92"/>
    <w:rsid w:val="00407EE0"/>
    <w:rsid w:val="004108A3"/>
    <w:rsid w:val="00410BD8"/>
    <w:rsid w:val="00410F5A"/>
    <w:rsid w:val="00410FC1"/>
    <w:rsid w:val="004110F2"/>
    <w:rsid w:val="00411120"/>
    <w:rsid w:val="0041113A"/>
    <w:rsid w:val="00412CFF"/>
    <w:rsid w:val="004145EF"/>
    <w:rsid w:val="00414806"/>
    <w:rsid w:val="00414CEF"/>
    <w:rsid w:val="00414DEE"/>
    <w:rsid w:val="00415B6F"/>
    <w:rsid w:val="00416A01"/>
    <w:rsid w:val="00416BEB"/>
    <w:rsid w:val="00416CD3"/>
    <w:rsid w:val="0041712D"/>
    <w:rsid w:val="00417737"/>
    <w:rsid w:val="00417C5F"/>
    <w:rsid w:val="00417FA5"/>
    <w:rsid w:val="0042023F"/>
    <w:rsid w:val="004203BD"/>
    <w:rsid w:val="00420452"/>
    <w:rsid w:val="00421472"/>
    <w:rsid w:val="004220EB"/>
    <w:rsid w:val="004222D9"/>
    <w:rsid w:val="0042233C"/>
    <w:rsid w:val="004228B8"/>
    <w:rsid w:val="00422A7E"/>
    <w:rsid w:val="00422E4E"/>
    <w:rsid w:val="0042416E"/>
    <w:rsid w:val="00424B78"/>
    <w:rsid w:val="00424EEE"/>
    <w:rsid w:val="004251A6"/>
    <w:rsid w:val="0042527A"/>
    <w:rsid w:val="00425953"/>
    <w:rsid w:val="00425A16"/>
    <w:rsid w:val="00426E83"/>
    <w:rsid w:val="00426F5D"/>
    <w:rsid w:val="004270C8"/>
    <w:rsid w:val="00427395"/>
    <w:rsid w:val="00430269"/>
    <w:rsid w:val="0043030A"/>
    <w:rsid w:val="00430AEE"/>
    <w:rsid w:val="00430BB0"/>
    <w:rsid w:val="004310BB"/>
    <w:rsid w:val="00431627"/>
    <w:rsid w:val="00431BFD"/>
    <w:rsid w:val="00432340"/>
    <w:rsid w:val="004332E9"/>
    <w:rsid w:val="004335E8"/>
    <w:rsid w:val="0043370B"/>
    <w:rsid w:val="00433F97"/>
    <w:rsid w:val="004349C6"/>
    <w:rsid w:val="00435410"/>
    <w:rsid w:val="00435589"/>
    <w:rsid w:val="00435820"/>
    <w:rsid w:val="00435D4C"/>
    <w:rsid w:val="00435F6F"/>
    <w:rsid w:val="00436458"/>
    <w:rsid w:val="0043675E"/>
    <w:rsid w:val="00436A3E"/>
    <w:rsid w:val="004372F5"/>
    <w:rsid w:val="00437AF1"/>
    <w:rsid w:val="00437AFE"/>
    <w:rsid w:val="00440344"/>
    <w:rsid w:val="00440445"/>
    <w:rsid w:val="00440671"/>
    <w:rsid w:val="00440D78"/>
    <w:rsid w:val="0044166E"/>
    <w:rsid w:val="00441A2A"/>
    <w:rsid w:val="00441C22"/>
    <w:rsid w:val="004420F6"/>
    <w:rsid w:val="00442281"/>
    <w:rsid w:val="0044269D"/>
    <w:rsid w:val="00442A41"/>
    <w:rsid w:val="00442C0C"/>
    <w:rsid w:val="004433C9"/>
    <w:rsid w:val="0044359A"/>
    <w:rsid w:val="00443757"/>
    <w:rsid w:val="0044422D"/>
    <w:rsid w:val="004445CF"/>
    <w:rsid w:val="004446DC"/>
    <w:rsid w:val="00444F65"/>
    <w:rsid w:val="00445A2E"/>
    <w:rsid w:val="004462EF"/>
    <w:rsid w:val="0044632B"/>
    <w:rsid w:val="00446720"/>
    <w:rsid w:val="0044674E"/>
    <w:rsid w:val="00446F52"/>
    <w:rsid w:val="004471E3"/>
    <w:rsid w:val="00447618"/>
    <w:rsid w:val="004476C6"/>
    <w:rsid w:val="00450115"/>
    <w:rsid w:val="00450F6E"/>
    <w:rsid w:val="004511A7"/>
    <w:rsid w:val="0045130C"/>
    <w:rsid w:val="004522C4"/>
    <w:rsid w:val="004526C0"/>
    <w:rsid w:val="00452916"/>
    <w:rsid w:val="00452A12"/>
    <w:rsid w:val="00453578"/>
    <w:rsid w:val="00453BA2"/>
    <w:rsid w:val="00453C94"/>
    <w:rsid w:val="004544D3"/>
    <w:rsid w:val="00454A58"/>
    <w:rsid w:val="00454BDA"/>
    <w:rsid w:val="00455214"/>
    <w:rsid w:val="0045547E"/>
    <w:rsid w:val="00455495"/>
    <w:rsid w:val="00456136"/>
    <w:rsid w:val="0045660C"/>
    <w:rsid w:val="00456D5A"/>
    <w:rsid w:val="00456F4E"/>
    <w:rsid w:val="004601C9"/>
    <w:rsid w:val="00461124"/>
    <w:rsid w:val="00461168"/>
    <w:rsid w:val="0046133D"/>
    <w:rsid w:val="0046189F"/>
    <w:rsid w:val="00461AA6"/>
    <w:rsid w:val="004628B2"/>
    <w:rsid w:val="0046290A"/>
    <w:rsid w:val="00463932"/>
    <w:rsid w:val="00463D81"/>
    <w:rsid w:val="00463E18"/>
    <w:rsid w:val="00463FA1"/>
    <w:rsid w:val="00464328"/>
    <w:rsid w:val="00465ADB"/>
    <w:rsid w:val="00465D0C"/>
    <w:rsid w:val="00465F16"/>
    <w:rsid w:val="00465F9D"/>
    <w:rsid w:val="004668AD"/>
    <w:rsid w:val="00467747"/>
    <w:rsid w:val="004679D2"/>
    <w:rsid w:val="00467C30"/>
    <w:rsid w:val="00470A9C"/>
    <w:rsid w:val="00470BB8"/>
    <w:rsid w:val="00470C5F"/>
    <w:rsid w:val="00470E80"/>
    <w:rsid w:val="004711B0"/>
    <w:rsid w:val="00472456"/>
    <w:rsid w:val="00472B98"/>
    <w:rsid w:val="00472C9B"/>
    <w:rsid w:val="00473084"/>
    <w:rsid w:val="00473355"/>
    <w:rsid w:val="00473505"/>
    <w:rsid w:val="0047396B"/>
    <w:rsid w:val="00473A5E"/>
    <w:rsid w:val="0047400F"/>
    <w:rsid w:val="00474C96"/>
    <w:rsid w:val="00475086"/>
    <w:rsid w:val="00475367"/>
    <w:rsid w:val="0047568B"/>
    <w:rsid w:val="004756A1"/>
    <w:rsid w:val="004758A9"/>
    <w:rsid w:val="00475963"/>
    <w:rsid w:val="00475CF0"/>
    <w:rsid w:val="00476273"/>
    <w:rsid w:val="00476446"/>
    <w:rsid w:val="004770C0"/>
    <w:rsid w:val="0047721B"/>
    <w:rsid w:val="00477399"/>
    <w:rsid w:val="004775AB"/>
    <w:rsid w:val="00477C2F"/>
    <w:rsid w:val="00477C55"/>
    <w:rsid w:val="00477CA1"/>
    <w:rsid w:val="0048017C"/>
    <w:rsid w:val="0048020B"/>
    <w:rsid w:val="00480895"/>
    <w:rsid w:val="00480CC0"/>
    <w:rsid w:val="00482483"/>
    <w:rsid w:val="00482B22"/>
    <w:rsid w:val="0048478D"/>
    <w:rsid w:val="00484D7A"/>
    <w:rsid w:val="004850B1"/>
    <w:rsid w:val="004864DA"/>
    <w:rsid w:val="004867D4"/>
    <w:rsid w:val="0048697D"/>
    <w:rsid w:val="004869F9"/>
    <w:rsid w:val="00486B3A"/>
    <w:rsid w:val="00486CA3"/>
    <w:rsid w:val="004872BC"/>
    <w:rsid w:val="004874A4"/>
    <w:rsid w:val="004876A2"/>
    <w:rsid w:val="00487B6D"/>
    <w:rsid w:val="00487C5A"/>
    <w:rsid w:val="00487D53"/>
    <w:rsid w:val="00490326"/>
    <w:rsid w:val="00490B68"/>
    <w:rsid w:val="0049150B"/>
    <w:rsid w:val="004916CD"/>
    <w:rsid w:val="00491C74"/>
    <w:rsid w:val="00492B9A"/>
    <w:rsid w:val="004937E7"/>
    <w:rsid w:val="00494355"/>
    <w:rsid w:val="00494945"/>
    <w:rsid w:val="00494ACA"/>
    <w:rsid w:val="00494BE2"/>
    <w:rsid w:val="004955DA"/>
    <w:rsid w:val="00495825"/>
    <w:rsid w:val="00495AB8"/>
    <w:rsid w:val="00495E07"/>
    <w:rsid w:val="00496273"/>
    <w:rsid w:val="004966C7"/>
    <w:rsid w:val="00497A84"/>
    <w:rsid w:val="00497F70"/>
    <w:rsid w:val="004A0262"/>
    <w:rsid w:val="004A03E5"/>
    <w:rsid w:val="004A0F80"/>
    <w:rsid w:val="004A1404"/>
    <w:rsid w:val="004A1998"/>
    <w:rsid w:val="004A2001"/>
    <w:rsid w:val="004A2064"/>
    <w:rsid w:val="004A23CC"/>
    <w:rsid w:val="004A2A3B"/>
    <w:rsid w:val="004A39EA"/>
    <w:rsid w:val="004A41DB"/>
    <w:rsid w:val="004A43BE"/>
    <w:rsid w:val="004A4501"/>
    <w:rsid w:val="004A48D5"/>
    <w:rsid w:val="004A503D"/>
    <w:rsid w:val="004A5483"/>
    <w:rsid w:val="004A5C60"/>
    <w:rsid w:val="004A686E"/>
    <w:rsid w:val="004A6A30"/>
    <w:rsid w:val="004A7065"/>
    <w:rsid w:val="004A718E"/>
    <w:rsid w:val="004A79B0"/>
    <w:rsid w:val="004A7D6D"/>
    <w:rsid w:val="004A7DA6"/>
    <w:rsid w:val="004B05F3"/>
    <w:rsid w:val="004B0A60"/>
    <w:rsid w:val="004B1284"/>
    <w:rsid w:val="004B141F"/>
    <w:rsid w:val="004B20A0"/>
    <w:rsid w:val="004B2781"/>
    <w:rsid w:val="004B3356"/>
    <w:rsid w:val="004B43B6"/>
    <w:rsid w:val="004B4A8D"/>
    <w:rsid w:val="004B4AFE"/>
    <w:rsid w:val="004B4D54"/>
    <w:rsid w:val="004B4DA7"/>
    <w:rsid w:val="004B5CCD"/>
    <w:rsid w:val="004B6098"/>
    <w:rsid w:val="004B62EB"/>
    <w:rsid w:val="004B6734"/>
    <w:rsid w:val="004B695E"/>
    <w:rsid w:val="004B7215"/>
    <w:rsid w:val="004B74A1"/>
    <w:rsid w:val="004B774F"/>
    <w:rsid w:val="004C0221"/>
    <w:rsid w:val="004C0A15"/>
    <w:rsid w:val="004C0ACA"/>
    <w:rsid w:val="004C0DA5"/>
    <w:rsid w:val="004C0E28"/>
    <w:rsid w:val="004C0E38"/>
    <w:rsid w:val="004C17EB"/>
    <w:rsid w:val="004C190E"/>
    <w:rsid w:val="004C20DA"/>
    <w:rsid w:val="004C26B3"/>
    <w:rsid w:val="004C3167"/>
    <w:rsid w:val="004C368D"/>
    <w:rsid w:val="004C3D99"/>
    <w:rsid w:val="004C40AC"/>
    <w:rsid w:val="004C43F8"/>
    <w:rsid w:val="004C456B"/>
    <w:rsid w:val="004C468C"/>
    <w:rsid w:val="004C4762"/>
    <w:rsid w:val="004C4D13"/>
    <w:rsid w:val="004C4D5F"/>
    <w:rsid w:val="004C5496"/>
    <w:rsid w:val="004C59FE"/>
    <w:rsid w:val="004C6CA9"/>
    <w:rsid w:val="004C71BB"/>
    <w:rsid w:val="004C71FE"/>
    <w:rsid w:val="004C799C"/>
    <w:rsid w:val="004C7A0E"/>
    <w:rsid w:val="004D0788"/>
    <w:rsid w:val="004D0A6D"/>
    <w:rsid w:val="004D0ED4"/>
    <w:rsid w:val="004D2400"/>
    <w:rsid w:val="004D2500"/>
    <w:rsid w:val="004D28CA"/>
    <w:rsid w:val="004D33E4"/>
    <w:rsid w:val="004D3466"/>
    <w:rsid w:val="004D35E8"/>
    <w:rsid w:val="004D3A57"/>
    <w:rsid w:val="004D3BDB"/>
    <w:rsid w:val="004D4A7A"/>
    <w:rsid w:val="004D59C9"/>
    <w:rsid w:val="004D614C"/>
    <w:rsid w:val="004D63AC"/>
    <w:rsid w:val="004D71BA"/>
    <w:rsid w:val="004D71F5"/>
    <w:rsid w:val="004D7C83"/>
    <w:rsid w:val="004E0A80"/>
    <w:rsid w:val="004E1944"/>
    <w:rsid w:val="004E1B8F"/>
    <w:rsid w:val="004E1DAE"/>
    <w:rsid w:val="004E24E6"/>
    <w:rsid w:val="004E25A6"/>
    <w:rsid w:val="004E3718"/>
    <w:rsid w:val="004E4414"/>
    <w:rsid w:val="004E5CDF"/>
    <w:rsid w:val="004E5F39"/>
    <w:rsid w:val="004E6197"/>
    <w:rsid w:val="004E65C6"/>
    <w:rsid w:val="004E7D73"/>
    <w:rsid w:val="004F067F"/>
    <w:rsid w:val="004F13C1"/>
    <w:rsid w:val="004F14CF"/>
    <w:rsid w:val="004F2BDA"/>
    <w:rsid w:val="004F30A5"/>
    <w:rsid w:val="004F3270"/>
    <w:rsid w:val="004F498E"/>
    <w:rsid w:val="004F4AB0"/>
    <w:rsid w:val="004F4B0B"/>
    <w:rsid w:val="004F5180"/>
    <w:rsid w:val="004F518C"/>
    <w:rsid w:val="004F5759"/>
    <w:rsid w:val="004F5C64"/>
    <w:rsid w:val="004F5F94"/>
    <w:rsid w:val="004F6475"/>
    <w:rsid w:val="004F6817"/>
    <w:rsid w:val="004F6CE1"/>
    <w:rsid w:val="004F6F2F"/>
    <w:rsid w:val="004F7405"/>
    <w:rsid w:val="004F764C"/>
    <w:rsid w:val="0050001C"/>
    <w:rsid w:val="00500094"/>
    <w:rsid w:val="0050060A"/>
    <w:rsid w:val="005010FA"/>
    <w:rsid w:val="00503751"/>
    <w:rsid w:val="0050466B"/>
    <w:rsid w:val="005046B8"/>
    <w:rsid w:val="005047DF"/>
    <w:rsid w:val="005055EA"/>
    <w:rsid w:val="00505AC5"/>
    <w:rsid w:val="00505E79"/>
    <w:rsid w:val="00505E85"/>
    <w:rsid w:val="00506271"/>
    <w:rsid w:val="005063C7"/>
    <w:rsid w:val="00506723"/>
    <w:rsid w:val="00506D06"/>
    <w:rsid w:val="00507D30"/>
    <w:rsid w:val="005104F6"/>
    <w:rsid w:val="00510840"/>
    <w:rsid w:val="005119E6"/>
    <w:rsid w:val="0051222B"/>
    <w:rsid w:val="00512B03"/>
    <w:rsid w:val="00512D5C"/>
    <w:rsid w:val="005131C0"/>
    <w:rsid w:val="00513316"/>
    <w:rsid w:val="00513722"/>
    <w:rsid w:val="00513E14"/>
    <w:rsid w:val="00513E42"/>
    <w:rsid w:val="005143D9"/>
    <w:rsid w:val="00514C95"/>
    <w:rsid w:val="005154C1"/>
    <w:rsid w:val="00515F37"/>
    <w:rsid w:val="005162AB"/>
    <w:rsid w:val="0051670B"/>
    <w:rsid w:val="00516FFA"/>
    <w:rsid w:val="0051704A"/>
    <w:rsid w:val="00517C8E"/>
    <w:rsid w:val="00517E82"/>
    <w:rsid w:val="005208DD"/>
    <w:rsid w:val="00520ADC"/>
    <w:rsid w:val="005210DE"/>
    <w:rsid w:val="00521122"/>
    <w:rsid w:val="005226DC"/>
    <w:rsid w:val="0052271A"/>
    <w:rsid w:val="00522CED"/>
    <w:rsid w:val="00522F05"/>
    <w:rsid w:val="00523161"/>
    <w:rsid w:val="0052351B"/>
    <w:rsid w:val="005243C5"/>
    <w:rsid w:val="00525E43"/>
    <w:rsid w:val="005261C3"/>
    <w:rsid w:val="0052632A"/>
    <w:rsid w:val="005270E3"/>
    <w:rsid w:val="00527236"/>
    <w:rsid w:val="0052781B"/>
    <w:rsid w:val="00527857"/>
    <w:rsid w:val="00530C59"/>
    <w:rsid w:val="00531154"/>
    <w:rsid w:val="00531C0E"/>
    <w:rsid w:val="00531C28"/>
    <w:rsid w:val="00531EFE"/>
    <w:rsid w:val="005321BC"/>
    <w:rsid w:val="005329BE"/>
    <w:rsid w:val="00532AAE"/>
    <w:rsid w:val="00533001"/>
    <w:rsid w:val="00533584"/>
    <w:rsid w:val="005335C0"/>
    <w:rsid w:val="0053363E"/>
    <w:rsid w:val="0053390F"/>
    <w:rsid w:val="0053423B"/>
    <w:rsid w:val="005342C1"/>
    <w:rsid w:val="00535ED5"/>
    <w:rsid w:val="005369FC"/>
    <w:rsid w:val="005376AE"/>
    <w:rsid w:val="005378C3"/>
    <w:rsid w:val="0054019D"/>
    <w:rsid w:val="00540800"/>
    <w:rsid w:val="00540B99"/>
    <w:rsid w:val="00540D61"/>
    <w:rsid w:val="00541146"/>
    <w:rsid w:val="005413A2"/>
    <w:rsid w:val="00542814"/>
    <w:rsid w:val="00543116"/>
    <w:rsid w:val="005443F1"/>
    <w:rsid w:val="005443F9"/>
    <w:rsid w:val="00544435"/>
    <w:rsid w:val="00544AAF"/>
    <w:rsid w:val="00544B95"/>
    <w:rsid w:val="00544EDA"/>
    <w:rsid w:val="00545CC2"/>
    <w:rsid w:val="00545D28"/>
    <w:rsid w:val="00546238"/>
    <w:rsid w:val="0054717B"/>
    <w:rsid w:val="00547BC7"/>
    <w:rsid w:val="00547D3F"/>
    <w:rsid w:val="00547EB2"/>
    <w:rsid w:val="00550011"/>
    <w:rsid w:val="005500EE"/>
    <w:rsid w:val="005517EA"/>
    <w:rsid w:val="00551A52"/>
    <w:rsid w:val="00551B7D"/>
    <w:rsid w:val="00551F84"/>
    <w:rsid w:val="005520A1"/>
    <w:rsid w:val="00552271"/>
    <w:rsid w:val="005524D6"/>
    <w:rsid w:val="00552A11"/>
    <w:rsid w:val="00552BDD"/>
    <w:rsid w:val="00552DFC"/>
    <w:rsid w:val="0055353E"/>
    <w:rsid w:val="005544C5"/>
    <w:rsid w:val="00554A28"/>
    <w:rsid w:val="00554B2A"/>
    <w:rsid w:val="00554C95"/>
    <w:rsid w:val="00554F67"/>
    <w:rsid w:val="00556053"/>
    <w:rsid w:val="005577D9"/>
    <w:rsid w:val="00557E43"/>
    <w:rsid w:val="00560859"/>
    <w:rsid w:val="005609BA"/>
    <w:rsid w:val="00561274"/>
    <w:rsid w:val="0056148A"/>
    <w:rsid w:val="00561DA8"/>
    <w:rsid w:val="005625BE"/>
    <w:rsid w:val="00562CB2"/>
    <w:rsid w:val="0056327A"/>
    <w:rsid w:val="005635F0"/>
    <w:rsid w:val="00564818"/>
    <w:rsid w:val="005649C4"/>
    <w:rsid w:val="00564D2E"/>
    <w:rsid w:val="00565543"/>
    <w:rsid w:val="005665E7"/>
    <w:rsid w:val="005668C3"/>
    <w:rsid w:val="005676C4"/>
    <w:rsid w:val="005676E6"/>
    <w:rsid w:val="00567C59"/>
    <w:rsid w:val="00567FF5"/>
    <w:rsid w:val="00570878"/>
    <w:rsid w:val="00571844"/>
    <w:rsid w:val="00571D6D"/>
    <w:rsid w:val="00571E8E"/>
    <w:rsid w:val="00571EF7"/>
    <w:rsid w:val="0057212F"/>
    <w:rsid w:val="0057237A"/>
    <w:rsid w:val="0057249C"/>
    <w:rsid w:val="00572F46"/>
    <w:rsid w:val="00573F5C"/>
    <w:rsid w:val="00574340"/>
    <w:rsid w:val="00574636"/>
    <w:rsid w:val="005748F9"/>
    <w:rsid w:val="00574A02"/>
    <w:rsid w:val="0057504E"/>
    <w:rsid w:val="00575370"/>
    <w:rsid w:val="0057582C"/>
    <w:rsid w:val="00575E6F"/>
    <w:rsid w:val="00576143"/>
    <w:rsid w:val="005762B5"/>
    <w:rsid w:val="00576921"/>
    <w:rsid w:val="00576A54"/>
    <w:rsid w:val="00576EDC"/>
    <w:rsid w:val="00577252"/>
    <w:rsid w:val="005772E6"/>
    <w:rsid w:val="00577DC6"/>
    <w:rsid w:val="00580BBD"/>
    <w:rsid w:val="00580DCF"/>
    <w:rsid w:val="005810A6"/>
    <w:rsid w:val="00581631"/>
    <w:rsid w:val="005816F4"/>
    <w:rsid w:val="00581BDF"/>
    <w:rsid w:val="00581F45"/>
    <w:rsid w:val="00582AB9"/>
    <w:rsid w:val="00583257"/>
    <w:rsid w:val="005832BD"/>
    <w:rsid w:val="0058381C"/>
    <w:rsid w:val="00583BDE"/>
    <w:rsid w:val="0058485E"/>
    <w:rsid w:val="00584B09"/>
    <w:rsid w:val="00585174"/>
    <w:rsid w:val="0058535F"/>
    <w:rsid w:val="00585A5F"/>
    <w:rsid w:val="0058651E"/>
    <w:rsid w:val="00586746"/>
    <w:rsid w:val="0058702B"/>
    <w:rsid w:val="00587B48"/>
    <w:rsid w:val="00590148"/>
    <w:rsid w:val="0059038C"/>
    <w:rsid w:val="00590A25"/>
    <w:rsid w:val="00590C15"/>
    <w:rsid w:val="005910A0"/>
    <w:rsid w:val="005910A3"/>
    <w:rsid w:val="0059121A"/>
    <w:rsid w:val="00591533"/>
    <w:rsid w:val="005921E2"/>
    <w:rsid w:val="005928F9"/>
    <w:rsid w:val="0059385A"/>
    <w:rsid w:val="00593A4B"/>
    <w:rsid w:val="00593D4F"/>
    <w:rsid w:val="00594E87"/>
    <w:rsid w:val="005950E4"/>
    <w:rsid w:val="005950E5"/>
    <w:rsid w:val="005952E8"/>
    <w:rsid w:val="00595D62"/>
    <w:rsid w:val="0059605B"/>
    <w:rsid w:val="00596075"/>
    <w:rsid w:val="005960DC"/>
    <w:rsid w:val="00597309"/>
    <w:rsid w:val="00597404"/>
    <w:rsid w:val="005976E3"/>
    <w:rsid w:val="00597DD9"/>
    <w:rsid w:val="005A0296"/>
    <w:rsid w:val="005A1180"/>
    <w:rsid w:val="005A1772"/>
    <w:rsid w:val="005A19F8"/>
    <w:rsid w:val="005A1EE3"/>
    <w:rsid w:val="005A3ED2"/>
    <w:rsid w:val="005A4CD3"/>
    <w:rsid w:val="005A4CFB"/>
    <w:rsid w:val="005A59BA"/>
    <w:rsid w:val="005A648E"/>
    <w:rsid w:val="005A6591"/>
    <w:rsid w:val="005A668D"/>
    <w:rsid w:val="005A6D21"/>
    <w:rsid w:val="005A6D7F"/>
    <w:rsid w:val="005A6F7C"/>
    <w:rsid w:val="005A7742"/>
    <w:rsid w:val="005A7BA5"/>
    <w:rsid w:val="005A7FD5"/>
    <w:rsid w:val="005B00C8"/>
    <w:rsid w:val="005B0711"/>
    <w:rsid w:val="005B0765"/>
    <w:rsid w:val="005B132F"/>
    <w:rsid w:val="005B15EB"/>
    <w:rsid w:val="005B18B2"/>
    <w:rsid w:val="005B18E0"/>
    <w:rsid w:val="005B19DE"/>
    <w:rsid w:val="005B1AF6"/>
    <w:rsid w:val="005B1D46"/>
    <w:rsid w:val="005B1E51"/>
    <w:rsid w:val="005B200F"/>
    <w:rsid w:val="005B265E"/>
    <w:rsid w:val="005B2BF8"/>
    <w:rsid w:val="005B360B"/>
    <w:rsid w:val="005B38E7"/>
    <w:rsid w:val="005B40A6"/>
    <w:rsid w:val="005B454C"/>
    <w:rsid w:val="005B4D79"/>
    <w:rsid w:val="005B4E60"/>
    <w:rsid w:val="005B591F"/>
    <w:rsid w:val="005B5B4E"/>
    <w:rsid w:val="005B66DB"/>
    <w:rsid w:val="005B7608"/>
    <w:rsid w:val="005B79F3"/>
    <w:rsid w:val="005C0025"/>
    <w:rsid w:val="005C0180"/>
    <w:rsid w:val="005C01B7"/>
    <w:rsid w:val="005C0829"/>
    <w:rsid w:val="005C0BE4"/>
    <w:rsid w:val="005C0CB3"/>
    <w:rsid w:val="005C0E0F"/>
    <w:rsid w:val="005C125C"/>
    <w:rsid w:val="005C1291"/>
    <w:rsid w:val="005C12B2"/>
    <w:rsid w:val="005C14BD"/>
    <w:rsid w:val="005C1E8B"/>
    <w:rsid w:val="005C2F69"/>
    <w:rsid w:val="005C313B"/>
    <w:rsid w:val="005C33AF"/>
    <w:rsid w:val="005C3574"/>
    <w:rsid w:val="005C35D4"/>
    <w:rsid w:val="005C4B63"/>
    <w:rsid w:val="005C4C60"/>
    <w:rsid w:val="005C53CD"/>
    <w:rsid w:val="005C542E"/>
    <w:rsid w:val="005C55DE"/>
    <w:rsid w:val="005C5FD1"/>
    <w:rsid w:val="005C7E7B"/>
    <w:rsid w:val="005D0148"/>
    <w:rsid w:val="005D0984"/>
    <w:rsid w:val="005D0F84"/>
    <w:rsid w:val="005D1627"/>
    <w:rsid w:val="005D18D7"/>
    <w:rsid w:val="005D2A79"/>
    <w:rsid w:val="005D2D77"/>
    <w:rsid w:val="005D3004"/>
    <w:rsid w:val="005D35DE"/>
    <w:rsid w:val="005D3866"/>
    <w:rsid w:val="005D39BD"/>
    <w:rsid w:val="005D3D39"/>
    <w:rsid w:val="005D3DF4"/>
    <w:rsid w:val="005D4228"/>
    <w:rsid w:val="005D46AD"/>
    <w:rsid w:val="005D61CD"/>
    <w:rsid w:val="005D668D"/>
    <w:rsid w:val="005D6AE5"/>
    <w:rsid w:val="005D6F5A"/>
    <w:rsid w:val="005D711C"/>
    <w:rsid w:val="005D787E"/>
    <w:rsid w:val="005D7C39"/>
    <w:rsid w:val="005E13DF"/>
    <w:rsid w:val="005E18A2"/>
    <w:rsid w:val="005E1ABE"/>
    <w:rsid w:val="005E1CDC"/>
    <w:rsid w:val="005E1F1F"/>
    <w:rsid w:val="005E2002"/>
    <w:rsid w:val="005E2F87"/>
    <w:rsid w:val="005E3019"/>
    <w:rsid w:val="005E387D"/>
    <w:rsid w:val="005E3A97"/>
    <w:rsid w:val="005E3B75"/>
    <w:rsid w:val="005E3D15"/>
    <w:rsid w:val="005E42F8"/>
    <w:rsid w:val="005E4C65"/>
    <w:rsid w:val="005E6A7A"/>
    <w:rsid w:val="005E7B18"/>
    <w:rsid w:val="005E7F6B"/>
    <w:rsid w:val="005F0E27"/>
    <w:rsid w:val="005F1125"/>
    <w:rsid w:val="005F1686"/>
    <w:rsid w:val="005F1901"/>
    <w:rsid w:val="005F24D2"/>
    <w:rsid w:val="005F2946"/>
    <w:rsid w:val="005F2957"/>
    <w:rsid w:val="005F2FE4"/>
    <w:rsid w:val="005F34C6"/>
    <w:rsid w:val="005F3604"/>
    <w:rsid w:val="005F39BE"/>
    <w:rsid w:val="005F4318"/>
    <w:rsid w:val="005F4974"/>
    <w:rsid w:val="005F4BCF"/>
    <w:rsid w:val="005F4F8E"/>
    <w:rsid w:val="005F501A"/>
    <w:rsid w:val="005F54A4"/>
    <w:rsid w:val="005F71D1"/>
    <w:rsid w:val="006001E4"/>
    <w:rsid w:val="0060035F"/>
    <w:rsid w:val="00600394"/>
    <w:rsid w:val="0060059A"/>
    <w:rsid w:val="00600ACE"/>
    <w:rsid w:val="0060112F"/>
    <w:rsid w:val="0060173A"/>
    <w:rsid w:val="00601942"/>
    <w:rsid w:val="00601B96"/>
    <w:rsid w:val="0060348D"/>
    <w:rsid w:val="00604D95"/>
    <w:rsid w:val="00604E6C"/>
    <w:rsid w:val="006053D2"/>
    <w:rsid w:val="006056B5"/>
    <w:rsid w:val="00606C17"/>
    <w:rsid w:val="00606EBC"/>
    <w:rsid w:val="00606FE9"/>
    <w:rsid w:val="0060701F"/>
    <w:rsid w:val="00607205"/>
    <w:rsid w:val="006074E4"/>
    <w:rsid w:val="00607C2B"/>
    <w:rsid w:val="00607FA6"/>
    <w:rsid w:val="006112D1"/>
    <w:rsid w:val="006112F5"/>
    <w:rsid w:val="006112FA"/>
    <w:rsid w:val="0061166A"/>
    <w:rsid w:val="006117B7"/>
    <w:rsid w:val="00611937"/>
    <w:rsid w:val="00611A4B"/>
    <w:rsid w:val="00611C88"/>
    <w:rsid w:val="00612C45"/>
    <w:rsid w:val="006137B8"/>
    <w:rsid w:val="006139F7"/>
    <w:rsid w:val="00613D92"/>
    <w:rsid w:val="00613EC5"/>
    <w:rsid w:val="006141C3"/>
    <w:rsid w:val="006144F9"/>
    <w:rsid w:val="006153B7"/>
    <w:rsid w:val="00615F8E"/>
    <w:rsid w:val="00616137"/>
    <w:rsid w:val="006166AB"/>
    <w:rsid w:val="00616C86"/>
    <w:rsid w:val="00617261"/>
    <w:rsid w:val="0061768F"/>
    <w:rsid w:val="006177F8"/>
    <w:rsid w:val="00617B70"/>
    <w:rsid w:val="00617ECF"/>
    <w:rsid w:val="00620185"/>
    <w:rsid w:val="00620205"/>
    <w:rsid w:val="00620344"/>
    <w:rsid w:val="006207E0"/>
    <w:rsid w:val="00621014"/>
    <w:rsid w:val="00621B06"/>
    <w:rsid w:val="006226F7"/>
    <w:rsid w:val="0062284F"/>
    <w:rsid w:val="00622CA0"/>
    <w:rsid w:val="00622D42"/>
    <w:rsid w:val="00622EED"/>
    <w:rsid w:val="00622F63"/>
    <w:rsid w:val="00623402"/>
    <w:rsid w:val="006235AF"/>
    <w:rsid w:val="0062368B"/>
    <w:rsid w:val="00623AC2"/>
    <w:rsid w:val="006245ED"/>
    <w:rsid w:val="006245FD"/>
    <w:rsid w:val="00624B34"/>
    <w:rsid w:val="00625109"/>
    <w:rsid w:val="00625380"/>
    <w:rsid w:val="00625709"/>
    <w:rsid w:val="00625B93"/>
    <w:rsid w:val="00626AD6"/>
    <w:rsid w:val="00626E28"/>
    <w:rsid w:val="00627169"/>
    <w:rsid w:val="006271BF"/>
    <w:rsid w:val="00627F3D"/>
    <w:rsid w:val="006307C4"/>
    <w:rsid w:val="006308E9"/>
    <w:rsid w:val="00630A30"/>
    <w:rsid w:val="00630A37"/>
    <w:rsid w:val="0063102C"/>
    <w:rsid w:val="00631242"/>
    <w:rsid w:val="006312ED"/>
    <w:rsid w:val="0063177B"/>
    <w:rsid w:val="00631957"/>
    <w:rsid w:val="006319E9"/>
    <w:rsid w:val="0063310E"/>
    <w:rsid w:val="00633563"/>
    <w:rsid w:val="006338BF"/>
    <w:rsid w:val="0063392A"/>
    <w:rsid w:val="00633B1A"/>
    <w:rsid w:val="00633BAB"/>
    <w:rsid w:val="00633BB2"/>
    <w:rsid w:val="00634089"/>
    <w:rsid w:val="00636271"/>
    <w:rsid w:val="006369E5"/>
    <w:rsid w:val="0063704E"/>
    <w:rsid w:val="0063768B"/>
    <w:rsid w:val="006376E8"/>
    <w:rsid w:val="00637C47"/>
    <w:rsid w:val="00637E81"/>
    <w:rsid w:val="00637EA4"/>
    <w:rsid w:val="006406D3"/>
    <w:rsid w:val="0064147D"/>
    <w:rsid w:val="00641D9A"/>
    <w:rsid w:val="00642931"/>
    <w:rsid w:val="00642CA2"/>
    <w:rsid w:val="00643C5A"/>
    <w:rsid w:val="0064421A"/>
    <w:rsid w:val="00644A11"/>
    <w:rsid w:val="00644BA8"/>
    <w:rsid w:val="006450A5"/>
    <w:rsid w:val="006453FC"/>
    <w:rsid w:val="00646749"/>
    <w:rsid w:val="00646EF3"/>
    <w:rsid w:val="00647275"/>
    <w:rsid w:val="00650267"/>
    <w:rsid w:val="006502FA"/>
    <w:rsid w:val="006504FC"/>
    <w:rsid w:val="00651297"/>
    <w:rsid w:val="0065164E"/>
    <w:rsid w:val="00651B98"/>
    <w:rsid w:val="00652672"/>
    <w:rsid w:val="00652DB2"/>
    <w:rsid w:val="00653D8D"/>
    <w:rsid w:val="00654187"/>
    <w:rsid w:val="0065424B"/>
    <w:rsid w:val="00654556"/>
    <w:rsid w:val="00654F74"/>
    <w:rsid w:val="00655168"/>
    <w:rsid w:val="006556C7"/>
    <w:rsid w:val="0065580C"/>
    <w:rsid w:val="006558ED"/>
    <w:rsid w:val="00655A79"/>
    <w:rsid w:val="00655F3A"/>
    <w:rsid w:val="0065664C"/>
    <w:rsid w:val="006569FD"/>
    <w:rsid w:val="00656B63"/>
    <w:rsid w:val="0065773A"/>
    <w:rsid w:val="00657E12"/>
    <w:rsid w:val="00657E69"/>
    <w:rsid w:val="006609D8"/>
    <w:rsid w:val="00660B54"/>
    <w:rsid w:val="00661209"/>
    <w:rsid w:val="0066151C"/>
    <w:rsid w:val="00661527"/>
    <w:rsid w:val="00661989"/>
    <w:rsid w:val="006625C3"/>
    <w:rsid w:val="006626F0"/>
    <w:rsid w:val="006628BF"/>
    <w:rsid w:val="00662BC9"/>
    <w:rsid w:val="00662D5F"/>
    <w:rsid w:val="00662E16"/>
    <w:rsid w:val="00663CBB"/>
    <w:rsid w:val="006640A0"/>
    <w:rsid w:val="00664280"/>
    <w:rsid w:val="00664972"/>
    <w:rsid w:val="006652C0"/>
    <w:rsid w:val="00665300"/>
    <w:rsid w:val="0066688E"/>
    <w:rsid w:val="00666DD8"/>
    <w:rsid w:val="0066768C"/>
    <w:rsid w:val="00667B22"/>
    <w:rsid w:val="00667D4A"/>
    <w:rsid w:val="006701B1"/>
    <w:rsid w:val="006710C1"/>
    <w:rsid w:val="00671218"/>
    <w:rsid w:val="00672BA3"/>
    <w:rsid w:val="00672CC5"/>
    <w:rsid w:val="00672E3D"/>
    <w:rsid w:val="0067304E"/>
    <w:rsid w:val="00673BF8"/>
    <w:rsid w:val="006745E5"/>
    <w:rsid w:val="00674756"/>
    <w:rsid w:val="00674914"/>
    <w:rsid w:val="006751C7"/>
    <w:rsid w:val="006761B9"/>
    <w:rsid w:val="00676A47"/>
    <w:rsid w:val="00676BF6"/>
    <w:rsid w:val="006779EF"/>
    <w:rsid w:val="00677A0E"/>
    <w:rsid w:val="006809B6"/>
    <w:rsid w:val="00681181"/>
    <w:rsid w:val="0068128F"/>
    <w:rsid w:val="006817A0"/>
    <w:rsid w:val="006819AC"/>
    <w:rsid w:val="00682099"/>
    <w:rsid w:val="00683063"/>
    <w:rsid w:val="0068325B"/>
    <w:rsid w:val="006834E9"/>
    <w:rsid w:val="00683B1C"/>
    <w:rsid w:val="0068463A"/>
    <w:rsid w:val="006846AD"/>
    <w:rsid w:val="006849ED"/>
    <w:rsid w:val="00685A22"/>
    <w:rsid w:val="00685DB3"/>
    <w:rsid w:val="00686648"/>
    <w:rsid w:val="00686C10"/>
    <w:rsid w:val="00686E58"/>
    <w:rsid w:val="0068753E"/>
    <w:rsid w:val="00687D1D"/>
    <w:rsid w:val="0069017C"/>
    <w:rsid w:val="00690380"/>
    <w:rsid w:val="00690B66"/>
    <w:rsid w:val="00690DC8"/>
    <w:rsid w:val="00691460"/>
    <w:rsid w:val="0069173A"/>
    <w:rsid w:val="006926B1"/>
    <w:rsid w:val="00692BE8"/>
    <w:rsid w:val="00693568"/>
    <w:rsid w:val="0069376A"/>
    <w:rsid w:val="00693D64"/>
    <w:rsid w:val="00694365"/>
    <w:rsid w:val="0069439E"/>
    <w:rsid w:val="00694C30"/>
    <w:rsid w:val="00694DC3"/>
    <w:rsid w:val="00694DE0"/>
    <w:rsid w:val="00694F3D"/>
    <w:rsid w:val="00695282"/>
    <w:rsid w:val="0069673A"/>
    <w:rsid w:val="00696925"/>
    <w:rsid w:val="00696B8E"/>
    <w:rsid w:val="00697208"/>
    <w:rsid w:val="006972AD"/>
    <w:rsid w:val="00697782"/>
    <w:rsid w:val="00697F6C"/>
    <w:rsid w:val="006A0161"/>
    <w:rsid w:val="006A01D7"/>
    <w:rsid w:val="006A03A9"/>
    <w:rsid w:val="006A18B6"/>
    <w:rsid w:val="006A18E9"/>
    <w:rsid w:val="006A1DDE"/>
    <w:rsid w:val="006A1EDC"/>
    <w:rsid w:val="006A232B"/>
    <w:rsid w:val="006A2A13"/>
    <w:rsid w:val="006A3105"/>
    <w:rsid w:val="006A4342"/>
    <w:rsid w:val="006A46A3"/>
    <w:rsid w:val="006A4BED"/>
    <w:rsid w:val="006A530F"/>
    <w:rsid w:val="006A5756"/>
    <w:rsid w:val="006A57B1"/>
    <w:rsid w:val="006A5B0F"/>
    <w:rsid w:val="006A5E9B"/>
    <w:rsid w:val="006A5ED6"/>
    <w:rsid w:val="006A5FF3"/>
    <w:rsid w:val="006A6061"/>
    <w:rsid w:val="006A689B"/>
    <w:rsid w:val="006A69B4"/>
    <w:rsid w:val="006A69BA"/>
    <w:rsid w:val="006A6EEC"/>
    <w:rsid w:val="006A7616"/>
    <w:rsid w:val="006A7F6E"/>
    <w:rsid w:val="006B01FA"/>
    <w:rsid w:val="006B02B4"/>
    <w:rsid w:val="006B0D06"/>
    <w:rsid w:val="006B1282"/>
    <w:rsid w:val="006B164F"/>
    <w:rsid w:val="006B1B00"/>
    <w:rsid w:val="006B1C39"/>
    <w:rsid w:val="006B1ECC"/>
    <w:rsid w:val="006B20EE"/>
    <w:rsid w:val="006B24FA"/>
    <w:rsid w:val="006B27B7"/>
    <w:rsid w:val="006B397B"/>
    <w:rsid w:val="006B3AEE"/>
    <w:rsid w:val="006B3DF6"/>
    <w:rsid w:val="006B3E9F"/>
    <w:rsid w:val="006B4043"/>
    <w:rsid w:val="006B40F3"/>
    <w:rsid w:val="006B480D"/>
    <w:rsid w:val="006B4826"/>
    <w:rsid w:val="006B490D"/>
    <w:rsid w:val="006B4A95"/>
    <w:rsid w:val="006B5361"/>
    <w:rsid w:val="006B5995"/>
    <w:rsid w:val="006B5B8D"/>
    <w:rsid w:val="006B5EA1"/>
    <w:rsid w:val="006B637E"/>
    <w:rsid w:val="006B640E"/>
    <w:rsid w:val="006B78CE"/>
    <w:rsid w:val="006B7A7E"/>
    <w:rsid w:val="006B7EF3"/>
    <w:rsid w:val="006C001A"/>
    <w:rsid w:val="006C0801"/>
    <w:rsid w:val="006C0852"/>
    <w:rsid w:val="006C0BDA"/>
    <w:rsid w:val="006C1614"/>
    <w:rsid w:val="006C1B13"/>
    <w:rsid w:val="006C1D8C"/>
    <w:rsid w:val="006C212C"/>
    <w:rsid w:val="006C2376"/>
    <w:rsid w:val="006C37F8"/>
    <w:rsid w:val="006C392E"/>
    <w:rsid w:val="006C3C55"/>
    <w:rsid w:val="006C4350"/>
    <w:rsid w:val="006C51D5"/>
    <w:rsid w:val="006C56F0"/>
    <w:rsid w:val="006C58D5"/>
    <w:rsid w:val="006C5CA5"/>
    <w:rsid w:val="006C5E28"/>
    <w:rsid w:val="006C5E86"/>
    <w:rsid w:val="006C6173"/>
    <w:rsid w:val="006C7340"/>
    <w:rsid w:val="006C7FCC"/>
    <w:rsid w:val="006D0098"/>
    <w:rsid w:val="006D0B19"/>
    <w:rsid w:val="006D0BFD"/>
    <w:rsid w:val="006D1375"/>
    <w:rsid w:val="006D17F1"/>
    <w:rsid w:val="006D1A7B"/>
    <w:rsid w:val="006D1E49"/>
    <w:rsid w:val="006D2034"/>
    <w:rsid w:val="006D2553"/>
    <w:rsid w:val="006D2CA7"/>
    <w:rsid w:val="006D30B6"/>
    <w:rsid w:val="006D329D"/>
    <w:rsid w:val="006D397E"/>
    <w:rsid w:val="006D3A18"/>
    <w:rsid w:val="006D4293"/>
    <w:rsid w:val="006D432E"/>
    <w:rsid w:val="006D469D"/>
    <w:rsid w:val="006D4DE9"/>
    <w:rsid w:val="006D4E13"/>
    <w:rsid w:val="006D4E70"/>
    <w:rsid w:val="006D51AD"/>
    <w:rsid w:val="006D5777"/>
    <w:rsid w:val="006D5B0E"/>
    <w:rsid w:val="006D5C00"/>
    <w:rsid w:val="006D5FC1"/>
    <w:rsid w:val="006D756E"/>
    <w:rsid w:val="006D76AE"/>
    <w:rsid w:val="006D79AF"/>
    <w:rsid w:val="006E0530"/>
    <w:rsid w:val="006E09EF"/>
    <w:rsid w:val="006E1CF4"/>
    <w:rsid w:val="006E2080"/>
    <w:rsid w:val="006E2D66"/>
    <w:rsid w:val="006E2DC0"/>
    <w:rsid w:val="006E2EB8"/>
    <w:rsid w:val="006E3285"/>
    <w:rsid w:val="006E36E4"/>
    <w:rsid w:val="006E4894"/>
    <w:rsid w:val="006E4E7C"/>
    <w:rsid w:val="006E566D"/>
    <w:rsid w:val="006E5BDC"/>
    <w:rsid w:val="006E6044"/>
    <w:rsid w:val="006E622D"/>
    <w:rsid w:val="006E69BB"/>
    <w:rsid w:val="006E69FB"/>
    <w:rsid w:val="006E6D4B"/>
    <w:rsid w:val="006E76D3"/>
    <w:rsid w:val="006F0AFA"/>
    <w:rsid w:val="006F12DF"/>
    <w:rsid w:val="006F1969"/>
    <w:rsid w:val="006F1B52"/>
    <w:rsid w:val="006F1CA4"/>
    <w:rsid w:val="006F22B5"/>
    <w:rsid w:val="006F25D8"/>
    <w:rsid w:val="006F27A6"/>
    <w:rsid w:val="006F34D0"/>
    <w:rsid w:val="006F356D"/>
    <w:rsid w:val="006F363F"/>
    <w:rsid w:val="006F3982"/>
    <w:rsid w:val="006F39A4"/>
    <w:rsid w:val="006F3A20"/>
    <w:rsid w:val="006F3F4A"/>
    <w:rsid w:val="006F4069"/>
    <w:rsid w:val="006F406A"/>
    <w:rsid w:val="006F4149"/>
    <w:rsid w:val="006F42DE"/>
    <w:rsid w:val="006F4575"/>
    <w:rsid w:val="006F4821"/>
    <w:rsid w:val="006F4C46"/>
    <w:rsid w:val="006F5680"/>
    <w:rsid w:val="006F5B9D"/>
    <w:rsid w:val="006F5D7D"/>
    <w:rsid w:val="006F755A"/>
    <w:rsid w:val="006F781C"/>
    <w:rsid w:val="006F788C"/>
    <w:rsid w:val="006F7DCA"/>
    <w:rsid w:val="00700075"/>
    <w:rsid w:val="00700307"/>
    <w:rsid w:val="00700CB3"/>
    <w:rsid w:val="007018E0"/>
    <w:rsid w:val="00701E06"/>
    <w:rsid w:val="007020B3"/>
    <w:rsid w:val="00702CB1"/>
    <w:rsid w:val="00702ED0"/>
    <w:rsid w:val="00703E11"/>
    <w:rsid w:val="00705B33"/>
    <w:rsid w:val="0070615E"/>
    <w:rsid w:val="0070628C"/>
    <w:rsid w:val="00706633"/>
    <w:rsid w:val="00706C4B"/>
    <w:rsid w:val="00707402"/>
    <w:rsid w:val="0070757F"/>
    <w:rsid w:val="00707B45"/>
    <w:rsid w:val="00707DDE"/>
    <w:rsid w:val="0071075A"/>
    <w:rsid w:val="00710A58"/>
    <w:rsid w:val="007111F9"/>
    <w:rsid w:val="007116AC"/>
    <w:rsid w:val="00712464"/>
    <w:rsid w:val="007124A2"/>
    <w:rsid w:val="00712ABE"/>
    <w:rsid w:val="00712D1B"/>
    <w:rsid w:val="00712D56"/>
    <w:rsid w:val="00713313"/>
    <w:rsid w:val="007133ED"/>
    <w:rsid w:val="007135E6"/>
    <w:rsid w:val="00714258"/>
    <w:rsid w:val="007142CC"/>
    <w:rsid w:val="00714703"/>
    <w:rsid w:val="00714D8B"/>
    <w:rsid w:val="00716051"/>
    <w:rsid w:val="00716834"/>
    <w:rsid w:val="00717ADE"/>
    <w:rsid w:val="00720BB3"/>
    <w:rsid w:val="00721509"/>
    <w:rsid w:val="007219F5"/>
    <w:rsid w:val="00721E70"/>
    <w:rsid w:val="00721F32"/>
    <w:rsid w:val="00722461"/>
    <w:rsid w:val="00722D29"/>
    <w:rsid w:val="007230D6"/>
    <w:rsid w:val="00723C04"/>
    <w:rsid w:val="00723D53"/>
    <w:rsid w:val="00723E4B"/>
    <w:rsid w:val="00724553"/>
    <w:rsid w:val="00724B49"/>
    <w:rsid w:val="00725165"/>
    <w:rsid w:val="007255EE"/>
    <w:rsid w:val="0072563F"/>
    <w:rsid w:val="0072628E"/>
    <w:rsid w:val="00726364"/>
    <w:rsid w:val="00726A44"/>
    <w:rsid w:val="007275B5"/>
    <w:rsid w:val="00727BA0"/>
    <w:rsid w:val="00730068"/>
    <w:rsid w:val="00730217"/>
    <w:rsid w:val="00730536"/>
    <w:rsid w:val="00730954"/>
    <w:rsid w:val="00731006"/>
    <w:rsid w:val="0073107A"/>
    <w:rsid w:val="00731381"/>
    <w:rsid w:val="00731AF8"/>
    <w:rsid w:val="00732413"/>
    <w:rsid w:val="00732CFA"/>
    <w:rsid w:val="00732E2C"/>
    <w:rsid w:val="00732FDE"/>
    <w:rsid w:val="00733398"/>
    <w:rsid w:val="00733B1E"/>
    <w:rsid w:val="00733BD6"/>
    <w:rsid w:val="00733E79"/>
    <w:rsid w:val="00734063"/>
    <w:rsid w:val="00734468"/>
    <w:rsid w:val="007349B5"/>
    <w:rsid w:val="00734C40"/>
    <w:rsid w:val="00735589"/>
    <w:rsid w:val="00735ECF"/>
    <w:rsid w:val="0073618C"/>
    <w:rsid w:val="007365E6"/>
    <w:rsid w:val="0073665A"/>
    <w:rsid w:val="007368A2"/>
    <w:rsid w:val="00736B08"/>
    <w:rsid w:val="00736DE9"/>
    <w:rsid w:val="00736FFA"/>
    <w:rsid w:val="00737E67"/>
    <w:rsid w:val="0074020B"/>
    <w:rsid w:val="0074173B"/>
    <w:rsid w:val="00741DA6"/>
    <w:rsid w:val="00741EAA"/>
    <w:rsid w:val="007420A8"/>
    <w:rsid w:val="00742351"/>
    <w:rsid w:val="00742439"/>
    <w:rsid w:val="007427AD"/>
    <w:rsid w:val="00742873"/>
    <w:rsid w:val="007428BA"/>
    <w:rsid w:val="00742C67"/>
    <w:rsid w:val="00743059"/>
    <w:rsid w:val="00743A10"/>
    <w:rsid w:val="00744447"/>
    <w:rsid w:val="00744638"/>
    <w:rsid w:val="0074488C"/>
    <w:rsid w:val="00744A69"/>
    <w:rsid w:val="00745632"/>
    <w:rsid w:val="0074642B"/>
    <w:rsid w:val="007465A9"/>
    <w:rsid w:val="0074665A"/>
    <w:rsid w:val="00750187"/>
    <w:rsid w:val="00750B54"/>
    <w:rsid w:val="007513B8"/>
    <w:rsid w:val="00751777"/>
    <w:rsid w:val="007517FF"/>
    <w:rsid w:val="00752163"/>
    <w:rsid w:val="0075227C"/>
    <w:rsid w:val="007537AA"/>
    <w:rsid w:val="00753A89"/>
    <w:rsid w:val="00753BE9"/>
    <w:rsid w:val="00753F78"/>
    <w:rsid w:val="00754A0D"/>
    <w:rsid w:val="007552C1"/>
    <w:rsid w:val="007553BB"/>
    <w:rsid w:val="007556AA"/>
    <w:rsid w:val="00756024"/>
    <w:rsid w:val="00756244"/>
    <w:rsid w:val="007562E2"/>
    <w:rsid w:val="0075655B"/>
    <w:rsid w:val="00756F41"/>
    <w:rsid w:val="007572BF"/>
    <w:rsid w:val="007577C2"/>
    <w:rsid w:val="0075793A"/>
    <w:rsid w:val="007579FF"/>
    <w:rsid w:val="0076152A"/>
    <w:rsid w:val="00761A5C"/>
    <w:rsid w:val="007628A4"/>
    <w:rsid w:val="00762F2B"/>
    <w:rsid w:val="007630B2"/>
    <w:rsid w:val="007630E4"/>
    <w:rsid w:val="0076328E"/>
    <w:rsid w:val="007633F1"/>
    <w:rsid w:val="00764776"/>
    <w:rsid w:val="007650DF"/>
    <w:rsid w:val="00765204"/>
    <w:rsid w:val="0076561E"/>
    <w:rsid w:val="007658EA"/>
    <w:rsid w:val="00765910"/>
    <w:rsid w:val="007661B0"/>
    <w:rsid w:val="00766D0A"/>
    <w:rsid w:val="007674AA"/>
    <w:rsid w:val="00767862"/>
    <w:rsid w:val="00770596"/>
    <w:rsid w:val="00770C9E"/>
    <w:rsid w:val="00770CCA"/>
    <w:rsid w:val="00770F52"/>
    <w:rsid w:val="007710D8"/>
    <w:rsid w:val="0077134E"/>
    <w:rsid w:val="007716B1"/>
    <w:rsid w:val="00772261"/>
    <w:rsid w:val="007722B8"/>
    <w:rsid w:val="00772C70"/>
    <w:rsid w:val="0077318F"/>
    <w:rsid w:val="00773353"/>
    <w:rsid w:val="00773367"/>
    <w:rsid w:val="00773676"/>
    <w:rsid w:val="00773BAC"/>
    <w:rsid w:val="00773D39"/>
    <w:rsid w:val="00774874"/>
    <w:rsid w:val="00774FFE"/>
    <w:rsid w:val="00775122"/>
    <w:rsid w:val="00775352"/>
    <w:rsid w:val="00775570"/>
    <w:rsid w:val="00775B76"/>
    <w:rsid w:val="00775D9D"/>
    <w:rsid w:val="007760C5"/>
    <w:rsid w:val="0077637B"/>
    <w:rsid w:val="007766BC"/>
    <w:rsid w:val="00776B32"/>
    <w:rsid w:val="00776BD1"/>
    <w:rsid w:val="00776E82"/>
    <w:rsid w:val="007770C0"/>
    <w:rsid w:val="00777D71"/>
    <w:rsid w:val="00780A45"/>
    <w:rsid w:val="00780FC0"/>
    <w:rsid w:val="007812A8"/>
    <w:rsid w:val="007829B3"/>
    <w:rsid w:val="00782C83"/>
    <w:rsid w:val="00782D3D"/>
    <w:rsid w:val="00782D8D"/>
    <w:rsid w:val="00782DA1"/>
    <w:rsid w:val="00783842"/>
    <w:rsid w:val="00783938"/>
    <w:rsid w:val="00783C84"/>
    <w:rsid w:val="00784988"/>
    <w:rsid w:val="00785568"/>
    <w:rsid w:val="0078573C"/>
    <w:rsid w:val="00785F33"/>
    <w:rsid w:val="007865BC"/>
    <w:rsid w:val="00786D8B"/>
    <w:rsid w:val="007871A6"/>
    <w:rsid w:val="007874D9"/>
    <w:rsid w:val="007876E3"/>
    <w:rsid w:val="00787753"/>
    <w:rsid w:val="00787D1D"/>
    <w:rsid w:val="007902B7"/>
    <w:rsid w:val="0079131C"/>
    <w:rsid w:val="00791817"/>
    <w:rsid w:val="00791B30"/>
    <w:rsid w:val="00791FBC"/>
    <w:rsid w:val="00792248"/>
    <w:rsid w:val="007928AD"/>
    <w:rsid w:val="00792969"/>
    <w:rsid w:val="0079346C"/>
    <w:rsid w:val="00793747"/>
    <w:rsid w:val="00793CF6"/>
    <w:rsid w:val="007944CF"/>
    <w:rsid w:val="00794724"/>
    <w:rsid w:val="0079516A"/>
    <w:rsid w:val="00795DCA"/>
    <w:rsid w:val="00797205"/>
    <w:rsid w:val="00797232"/>
    <w:rsid w:val="0079723F"/>
    <w:rsid w:val="0079745B"/>
    <w:rsid w:val="0079780F"/>
    <w:rsid w:val="007A0174"/>
    <w:rsid w:val="007A0188"/>
    <w:rsid w:val="007A02C0"/>
    <w:rsid w:val="007A0652"/>
    <w:rsid w:val="007A0A04"/>
    <w:rsid w:val="007A0BB2"/>
    <w:rsid w:val="007A16FF"/>
    <w:rsid w:val="007A22DE"/>
    <w:rsid w:val="007A2A57"/>
    <w:rsid w:val="007A455A"/>
    <w:rsid w:val="007A4DCE"/>
    <w:rsid w:val="007A4E5E"/>
    <w:rsid w:val="007A4F47"/>
    <w:rsid w:val="007A4FB9"/>
    <w:rsid w:val="007A5131"/>
    <w:rsid w:val="007A5276"/>
    <w:rsid w:val="007A56AD"/>
    <w:rsid w:val="007A6424"/>
    <w:rsid w:val="007A692C"/>
    <w:rsid w:val="007A6C67"/>
    <w:rsid w:val="007A6EFA"/>
    <w:rsid w:val="007A71A8"/>
    <w:rsid w:val="007A77FD"/>
    <w:rsid w:val="007A78A2"/>
    <w:rsid w:val="007A7CEB"/>
    <w:rsid w:val="007B0035"/>
    <w:rsid w:val="007B0ECB"/>
    <w:rsid w:val="007B0F8A"/>
    <w:rsid w:val="007B1C89"/>
    <w:rsid w:val="007B21EF"/>
    <w:rsid w:val="007B3030"/>
    <w:rsid w:val="007B3051"/>
    <w:rsid w:val="007B386F"/>
    <w:rsid w:val="007B4019"/>
    <w:rsid w:val="007B48FD"/>
    <w:rsid w:val="007B56B7"/>
    <w:rsid w:val="007B5E5C"/>
    <w:rsid w:val="007B66A0"/>
    <w:rsid w:val="007B684B"/>
    <w:rsid w:val="007B687D"/>
    <w:rsid w:val="007B6E4E"/>
    <w:rsid w:val="007B71E9"/>
    <w:rsid w:val="007B7416"/>
    <w:rsid w:val="007B7C07"/>
    <w:rsid w:val="007B7DBF"/>
    <w:rsid w:val="007B7DFA"/>
    <w:rsid w:val="007C03A9"/>
    <w:rsid w:val="007C0878"/>
    <w:rsid w:val="007C136C"/>
    <w:rsid w:val="007C151E"/>
    <w:rsid w:val="007C1553"/>
    <w:rsid w:val="007C1702"/>
    <w:rsid w:val="007C17BA"/>
    <w:rsid w:val="007C2C0E"/>
    <w:rsid w:val="007C2CBE"/>
    <w:rsid w:val="007C309F"/>
    <w:rsid w:val="007C318C"/>
    <w:rsid w:val="007C323D"/>
    <w:rsid w:val="007C39D6"/>
    <w:rsid w:val="007C3A9C"/>
    <w:rsid w:val="007C3C3D"/>
    <w:rsid w:val="007C3EE5"/>
    <w:rsid w:val="007C41D1"/>
    <w:rsid w:val="007C445F"/>
    <w:rsid w:val="007C459F"/>
    <w:rsid w:val="007C46F1"/>
    <w:rsid w:val="007C48C7"/>
    <w:rsid w:val="007C4AD7"/>
    <w:rsid w:val="007C4B99"/>
    <w:rsid w:val="007C4C8E"/>
    <w:rsid w:val="007C5B8C"/>
    <w:rsid w:val="007C6057"/>
    <w:rsid w:val="007C60F8"/>
    <w:rsid w:val="007C61E4"/>
    <w:rsid w:val="007C6375"/>
    <w:rsid w:val="007C67E2"/>
    <w:rsid w:val="007C69D6"/>
    <w:rsid w:val="007C6D56"/>
    <w:rsid w:val="007C6F60"/>
    <w:rsid w:val="007C7C5D"/>
    <w:rsid w:val="007C7EB7"/>
    <w:rsid w:val="007D03BE"/>
    <w:rsid w:val="007D03D7"/>
    <w:rsid w:val="007D0559"/>
    <w:rsid w:val="007D0D58"/>
    <w:rsid w:val="007D0EBB"/>
    <w:rsid w:val="007D0FF2"/>
    <w:rsid w:val="007D10FC"/>
    <w:rsid w:val="007D169E"/>
    <w:rsid w:val="007D1F86"/>
    <w:rsid w:val="007D2CEB"/>
    <w:rsid w:val="007D2E80"/>
    <w:rsid w:val="007D3591"/>
    <w:rsid w:val="007D3E0E"/>
    <w:rsid w:val="007D4434"/>
    <w:rsid w:val="007D60A7"/>
    <w:rsid w:val="007D6398"/>
    <w:rsid w:val="007D6546"/>
    <w:rsid w:val="007D657F"/>
    <w:rsid w:val="007D65AB"/>
    <w:rsid w:val="007D6683"/>
    <w:rsid w:val="007D6809"/>
    <w:rsid w:val="007E0E7A"/>
    <w:rsid w:val="007E1538"/>
    <w:rsid w:val="007E17CC"/>
    <w:rsid w:val="007E1AE3"/>
    <w:rsid w:val="007E1F25"/>
    <w:rsid w:val="007E2FB6"/>
    <w:rsid w:val="007E31F9"/>
    <w:rsid w:val="007E334B"/>
    <w:rsid w:val="007E3F7C"/>
    <w:rsid w:val="007E5629"/>
    <w:rsid w:val="007E5CDE"/>
    <w:rsid w:val="007E6167"/>
    <w:rsid w:val="007E6EF9"/>
    <w:rsid w:val="007E6FC5"/>
    <w:rsid w:val="007E710F"/>
    <w:rsid w:val="007E732F"/>
    <w:rsid w:val="007E74C5"/>
    <w:rsid w:val="007E76EA"/>
    <w:rsid w:val="007F09EB"/>
    <w:rsid w:val="007F0B2A"/>
    <w:rsid w:val="007F0E34"/>
    <w:rsid w:val="007F1751"/>
    <w:rsid w:val="007F1EAA"/>
    <w:rsid w:val="007F2944"/>
    <w:rsid w:val="007F32C6"/>
    <w:rsid w:val="007F364D"/>
    <w:rsid w:val="007F3D4B"/>
    <w:rsid w:val="007F4585"/>
    <w:rsid w:val="007F535D"/>
    <w:rsid w:val="007F5AC7"/>
    <w:rsid w:val="007F5EED"/>
    <w:rsid w:val="007F5F7B"/>
    <w:rsid w:val="007F628F"/>
    <w:rsid w:val="007F633B"/>
    <w:rsid w:val="007F6368"/>
    <w:rsid w:val="007F6690"/>
    <w:rsid w:val="007F6E02"/>
    <w:rsid w:val="007F766E"/>
    <w:rsid w:val="007F7B7F"/>
    <w:rsid w:val="007F7C3B"/>
    <w:rsid w:val="007F7DE7"/>
    <w:rsid w:val="007F7F43"/>
    <w:rsid w:val="00800EB5"/>
    <w:rsid w:val="0080143D"/>
    <w:rsid w:val="00801795"/>
    <w:rsid w:val="00801DE9"/>
    <w:rsid w:val="008021FA"/>
    <w:rsid w:val="00802E79"/>
    <w:rsid w:val="00802FB7"/>
    <w:rsid w:val="00803589"/>
    <w:rsid w:val="00803787"/>
    <w:rsid w:val="00803C3C"/>
    <w:rsid w:val="00803F67"/>
    <w:rsid w:val="008043DE"/>
    <w:rsid w:val="00804803"/>
    <w:rsid w:val="0080498D"/>
    <w:rsid w:val="00805D82"/>
    <w:rsid w:val="0080606A"/>
    <w:rsid w:val="008065F0"/>
    <w:rsid w:val="00806765"/>
    <w:rsid w:val="008068BB"/>
    <w:rsid w:val="00806A42"/>
    <w:rsid w:val="008071AB"/>
    <w:rsid w:val="00807AAB"/>
    <w:rsid w:val="00807C2F"/>
    <w:rsid w:val="00807F06"/>
    <w:rsid w:val="00810B67"/>
    <w:rsid w:val="008114F9"/>
    <w:rsid w:val="008115D7"/>
    <w:rsid w:val="00811866"/>
    <w:rsid w:val="008118BB"/>
    <w:rsid w:val="008129C6"/>
    <w:rsid w:val="00812C23"/>
    <w:rsid w:val="00812E0A"/>
    <w:rsid w:val="0081352B"/>
    <w:rsid w:val="008135A9"/>
    <w:rsid w:val="00813EC6"/>
    <w:rsid w:val="008140C1"/>
    <w:rsid w:val="00814514"/>
    <w:rsid w:val="00814CC5"/>
    <w:rsid w:val="00815167"/>
    <w:rsid w:val="008158D2"/>
    <w:rsid w:val="00815D77"/>
    <w:rsid w:val="00816539"/>
    <w:rsid w:val="0081657D"/>
    <w:rsid w:val="008166F3"/>
    <w:rsid w:val="00816C71"/>
    <w:rsid w:val="0081714D"/>
    <w:rsid w:val="00817D97"/>
    <w:rsid w:val="0082066A"/>
    <w:rsid w:val="00821F50"/>
    <w:rsid w:val="00821FB6"/>
    <w:rsid w:val="00822970"/>
    <w:rsid w:val="00822A24"/>
    <w:rsid w:val="00823027"/>
    <w:rsid w:val="00823307"/>
    <w:rsid w:val="0082342D"/>
    <w:rsid w:val="008237E2"/>
    <w:rsid w:val="008243C9"/>
    <w:rsid w:val="008244CE"/>
    <w:rsid w:val="00824640"/>
    <w:rsid w:val="00825200"/>
    <w:rsid w:val="008255E4"/>
    <w:rsid w:val="00825887"/>
    <w:rsid w:val="00825A0A"/>
    <w:rsid w:val="008260F2"/>
    <w:rsid w:val="00826782"/>
    <w:rsid w:val="00826B7F"/>
    <w:rsid w:val="00827186"/>
    <w:rsid w:val="008271A2"/>
    <w:rsid w:val="00827464"/>
    <w:rsid w:val="00827BAD"/>
    <w:rsid w:val="00827F72"/>
    <w:rsid w:val="00830639"/>
    <w:rsid w:val="008309C9"/>
    <w:rsid w:val="00830B71"/>
    <w:rsid w:val="00830BB8"/>
    <w:rsid w:val="00830BC7"/>
    <w:rsid w:val="00830FF8"/>
    <w:rsid w:val="0083115D"/>
    <w:rsid w:val="008313D1"/>
    <w:rsid w:val="00832425"/>
    <w:rsid w:val="00832805"/>
    <w:rsid w:val="0083285B"/>
    <w:rsid w:val="00833297"/>
    <w:rsid w:val="008335E3"/>
    <w:rsid w:val="008335FA"/>
    <w:rsid w:val="0083380E"/>
    <w:rsid w:val="0083486B"/>
    <w:rsid w:val="00834C91"/>
    <w:rsid w:val="00834DCB"/>
    <w:rsid w:val="00834E36"/>
    <w:rsid w:val="00835A6A"/>
    <w:rsid w:val="00835DB1"/>
    <w:rsid w:val="00835F25"/>
    <w:rsid w:val="00835F44"/>
    <w:rsid w:val="0083655E"/>
    <w:rsid w:val="00836673"/>
    <w:rsid w:val="008368EF"/>
    <w:rsid w:val="00836990"/>
    <w:rsid w:val="00836F70"/>
    <w:rsid w:val="00837281"/>
    <w:rsid w:val="0083768E"/>
    <w:rsid w:val="008376C3"/>
    <w:rsid w:val="00837766"/>
    <w:rsid w:val="00837885"/>
    <w:rsid w:val="00837953"/>
    <w:rsid w:val="00837FEB"/>
    <w:rsid w:val="00840967"/>
    <w:rsid w:val="00840C01"/>
    <w:rsid w:val="00840C42"/>
    <w:rsid w:val="00840D92"/>
    <w:rsid w:val="0084167C"/>
    <w:rsid w:val="00841A9E"/>
    <w:rsid w:val="00842209"/>
    <w:rsid w:val="008423F5"/>
    <w:rsid w:val="00842CE7"/>
    <w:rsid w:val="00843106"/>
    <w:rsid w:val="0084386D"/>
    <w:rsid w:val="008438DC"/>
    <w:rsid w:val="008443B1"/>
    <w:rsid w:val="00844F0F"/>
    <w:rsid w:val="00844F10"/>
    <w:rsid w:val="00845186"/>
    <w:rsid w:val="00845BBC"/>
    <w:rsid w:val="00845CF6"/>
    <w:rsid w:val="00846C73"/>
    <w:rsid w:val="008476BC"/>
    <w:rsid w:val="00847F2B"/>
    <w:rsid w:val="00850048"/>
    <w:rsid w:val="0085012B"/>
    <w:rsid w:val="008505FC"/>
    <w:rsid w:val="00850A0B"/>
    <w:rsid w:val="008513D8"/>
    <w:rsid w:val="00851902"/>
    <w:rsid w:val="00851C99"/>
    <w:rsid w:val="008520E3"/>
    <w:rsid w:val="00852363"/>
    <w:rsid w:val="00852421"/>
    <w:rsid w:val="00852BA0"/>
    <w:rsid w:val="00852C25"/>
    <w:rsid w:val="00853346"/>
    <w:rsid w:val="00853B4A"/>
    <w:rsid w:val="008542E3"/>
    <w:rsid w:val="00854568"/>
    <w:rsid w:val="00854B52"/>
    <w:rsid w:val="00855C6D"/>
    <w:rsid w:val="00855D43"/>
    <w:rsid w:val="00855DE8"/>
    <w:rsid w:val="008561D7"/>
    <w:rsid w:val="0085625C"/>
    <w:rsid w:val="00856902"/>
    <w:rsid w:val="00856A9E"/>
    <w:rsid w:val="008572CB"/>
    <w:rsid w:val="00857B9C"/>
    <w:rsid w:val="00857CBB"/>
    <w:rsid w:val="008607B4"/>
    <w:rsid w:val="00860B22"/>
    <w:rsid w:val="00861074"/>
    <w:rsid w:val="00861528"/>
    <w:rsid w:val="00861669"/>
    <w:rsid w:val="00861FCB"/>
    <w:rsid w:val="00862353"/>
    <w:rsid w:val="00862444"/>
    <w:rsid w:val="00862DEA"/>
    <w:rsid w:val="00863006"/>
    <w:rsid w:val="00863445"/>
    <w:rsid w:val="008636FC"/>
    <w:rsid w:val="00863DB6"/>
    <w:rsid w:val="00863FF2"/>
    <w:rsid w:val="00864407"/>
    <w:rsid w:val="00864A78"/>
    <w:rsid w:val="00864C1A"/>
    <w:rsid w:val="00864F9D"/>
    <w:rsid w:val="00865311"/>
    <w:rsid w:val="0086534F"/>
    <w:rsid w:val="00865487"/>
    <w:rsid w:val="0086579C"/>
    <w:rsid w:val="00865B86"/>
    <w:rsid w:val="00865DE8"/>
    <w:rsid w:val="00870368"/>
    <w:rsid w:val="00870BE0"/>
    <w:rsid w:val="00871164"/>
    <w:rsid w:val="0087151C"/>
    <w:rsid w:val="00871E25"/>
    <w:rsid w:val="008725A5"/>
    <w:rsid w:val="0087330B"/>
    <w:rsid w:val="008734D6"/>
    <w:rsid w:val="008736A5"/>
    <w:rsid w:val="00873BC6"/>
    <w:rsid w:val="00874D7D"/>
    <w:rsid w:val="00874FB1"/>
    <w:rsid w:val="008752F0"/>
    <w:rsid w:val="00875C02"/>
    <w:rsid w:val="0087643A"/>
    <w:rsid w:val="008764B7"/>
    <w:rsid w:val="008771F4"/>
    <w:rsid w:val="0087783F"/>
    <w:rsid w:val="00877B1C"/>
    <w:rsid w:val="00877BAE"/>
    <w:rsid w:val="00880430"/>
    <w:rsid w:val="008807E1"/>
    <w:rsid w:val="00880902"/>
    <w:rsid w:val="00880F6D"/>
    <w:rsid w:val="008817E6"/>
    <w:rsid w:val="00881E3C"/>
    <w:rsid w:val="00881EBD"/>
    <w:rsid w:val="00883425"/>
    <w:rsid w:val="0088434A"/>
    <w:rsid w:val="00885ABB"/>
    <w:rsid w:val="00885E2C"/>
    <w:rsid w:val="00885FC1"/>
    <w:rsid w:val="00886004"/>
    <w:rsid w:val="0088643A"/>
    <w:rsid w:val="0088740E"/>
    <w:rsid w:val="008874AF"/>
    <w:rsid w:val="00887C14"/>
    <w:rsid w:val="00887CA6"/>
    <w:rsid w:val="00887CCB"/>
    <w:rsid w:val="00887E13"/>
    <w:rsid w:val="00887E8A"/>
    <w:rsid w:val="008901B4"/>
    <w:rsid w:val="00892524"/>
    <w:rsid w:val="0089281B"/>
    <w:rsid w:val="008929C8"/>
    <w:rsid w:val="008929FD"/>
    <w:rsid w:val="00892A4E"/>
    <w:rsid w:val="008937DA"/>
    <w:rsid w:val="00893ACA"/>
    <w:rsid w:val="00893CA5"/>
    <w:rsid w:val="00893ED3"/>
    <w:rsid w:val="00894969"/>
    <w:rsid w:val="008949E5"/>
    <w:rsid w:val="00894A27"/>
    <w:rsid w:val="0089613D"/>
    <w:rsid w:val="00896205"/>
    <w:rsid w:val="008963AD"/>
    <w:rsid w:val="0089667F"/>
    <w:rsid w:val="00896A4C"/>
    <w:rsid w:val="00896A9D"/>
    <w:rsid w:val="00896AF9"/>
    <w:rsid w:val="00896B2A"/>
    <w:rsid w:val="00896EBA"/>
    <w:rsid w:val="008976D3"/>
    <w:rsid w:val="0089797F"/>
    <w:rsid w:val="008A0443"/>
    <w:rsid w:val="008A0884"/>
    <w:rsid w:val="008A0E3F"/>
    <w:rsid w:val="008A0F9E"/>
    <w:rsid w:val="008A122D"/>
    <w:rsid w:val="008A1A82"/>
    <w:rsid w:val="008A1C7C"/>
    <w:rsid w:val="008A23C9"/>
    <w:rsid w:val="008A266D"/>
    <w:rsid w:val="008A293C"/>
    <w:rsid w:val="008A2F6C"/>
    <w:rsid w:val="008A3071"/>
    <w:rsid w:val="008A3124"/>
    <w:rsid w:val="008A3267"/>
    <w:rsid w:val="008A367A"/>
    <w:rsid w:val="008A39F8"/>
    <w:rsid w:val="008A40EA"/>
    <w:rsid w:val="008A434E"/>
    <w:rsid w:val="008A48BB"/>
    <w:rsid w:val="008A5067"/>
    <w:rsid w:val="008A51A0"/>
    <w:rsid w:val="008A51BB"/>
    <w:rsid w:val="008A52EB"/>
    <w:rsid w:val="008A5F36"/>
    <w:rsid w:val="008A640F"/>
    <w:rsid w:val="008A6EA1"/>
    <w:rsid w:val="008A6EFE"/>
    <w:rsid w:val="008A7533"/>
    <w:rsid w:val="008B0B3A"/>
    <w:rsid w:val="008B0D37"/>
    <w:rsid w:val="008B1270"/>
    <w:rsid w:val="008B2012"/>
    <w:rsid w:val="008B2700"/>
    <w:rsid w:val="008B2ED7"/>
    <w:rsid w:val="008B32A9"/>
    <w:rsid w:val="008B3857"/>
    <w:rsid w:val="008B3900"/>
    <w:rsid w:val="008B39F3"/>
    <w:rsid w:val="008B3AC0"/>
    <w:rsid w:val="008B4C39"/>
    <w:rsid w:val="008B4DC8"/>
    <w:rsid w:val="008B5CBC"/>
    <w:rsid w:val="008B6223"/>
    <w:rsid w:val="008B6507"/>
    <w:rsid w:val="008B6781"/>
    <w:rsid w:val="008B6A54"/>
    <w:rsid w:val="008B75A9"/>
    <w:rsid w:val="008B7A9B"/>
    <w:rsid w:val="008B7DDF"/>
    <w:rsid w:val="008B7F64"/>
    <w:rsid w:val="008C0083"/>
    <w:rsid w:val="008C01CE"/>
    <w:rsid w:val="008C072F"/>
    <w:rsid w:val="008C0783"/>
    <w:rsid w:val="008C0884"/>
    <w:rsid w:val="008C0A26"/>
    <w:rsid w:val="008C0C87"/>
    <w:rsid w:val="008C17E0"/>
    <w:rsid w:val="008C1CC4"/>
    <w:rsid w:val="008C1FB4"/>
    <w:rsid w:val="008C2957"/>
    <w:rsid w:val="008C2EDB"/>
    <w:rsid w:val="008C3C54"/>
    <w:rsid w:val="008C512A"/>
    <w:rsid w:val="008C55EC"/>
    <w:rsid w:val="008C560B"/>
    <w:rsid w:val="008C59D8"/>
    <w:rsid w:val="008C6462"/>
    <w:rsid w:val="008C65C2"/>
    <w:rsid w:val="008C675F"/>
    <w:rsid w:val="008C6962"/>
    <w:rsid w:val="008C6A55"/>
    <w:rsid w:val="008C6A79"/>
    <w:rsid w:val="008C6C9A"/>
    <w:rsid w:val="008C701E"/>
    <w:rsid w:val="008C71B4"/>
    <w:rsid w:val="008C79A6"/>
    <w:rsid w:val="008D051B"/>
    <w:rsid w:val="008D0534"/>
    <w:rsid w:val="008D08AE"/>
    <w:rsid w:val="008D113E"/>
    <w:rsid w:val="008D13E2"/>
    <w:rsid w:val="008D15CF"/>
    <w:rsid w:val="008D1B64"/>
    <w:rsid w:val="008D1C88"/>
    <w:rsid w:val="008D1DC3"/>
    <w:rsid w:val="008D259E"/>
    <w:rsid w:val="008D310E"/>
    <w:rsid w:val="008D317D"/>
    <w:rsid w:val="008D331F"/>
    <w:rsid w:val="008D4162"/>
    <w:rsid w:val="008D43A5"/>
    <w:rsid w:val="008D4889"/>
    <w:rsid w:val="008D49B3"/>
    <w:rsid w:val="008D4C41"/>
    <w:rsid w:val="008D4DC5"/>
    <w:rsid w:val="008D4E54"/>
    <w:rsid w:val="008D5B46"/>
    <w:rsid w:val="008D6A75"/>
    <w:rsid w:val="008D73A6"/>
    <w:rsid w:val="008D7914"/>
    <w:rsid w:val="008D7997"/>
    <w:rsid w:val="008E02EC"/>
    <w:rsid w:val="008E05A7"/>
    <w:rsid w:val="008E136D"/>
    <w:rsid w:val="008E18C0"/>
    <w:rsid w:val="008E1A47"/>
    <w:rsid w:val="008E1F46"/>
    <w:rsid w:val="008E2D38"/>
    <w:rsid w:val="008E2DFF"/>
    <w:rsid w:val="008E4581"/>
    <w:rsid w:val="008E4C89"/>
    <w:rsid w:val="008E51AF"/>
    <w:rsid w:val="008E548A"/>
    <w:rsid w:val="008E621D"/>
    <w:rsid w:val="008E632B"/>
    <w:rsid w:val="008E65FA"/>
    <w:rsid w:val="008E6915"/>
    <w:rsid w:val="008E72D8"/>
    <w:rsid w:val="008E74A2"/>
    <w:rsid w:val="008E75A6"/>
    <w:rsid w:val="008E7F2B"/>
    <w:rsid w:val="008F0860"/>
    <w:rsid w:val="008F1013"/>
    <w:rsid w:val="008F11CB"/>
    <w:rsid w:val="008F1289"/>
    <w:rsid w:val="008F134E"/>
    <w:rsid w:val="008F142A"/>
    <w:rsid w:val="008F15AF"/>
    <w:rsid w:val="008F1AEC"/>
    <w:rsid w:val="008F226E"/>
    <w:rsid w:val="008F239B"/>
    <w:rsid w:val="008F2670"/>
    <w:rsid w:val="008F2E87"/>
    <w:rsid w:val="008F34DB"/>
    <w:rsid w:val="008F3B4A"/>
    <w:rsid w:val="008F3C55"/>
    <w:rsid w:val="008F3D9F"/>
    <w:rsid w:val="008F40AC"/>
    <w:rsid w:val="008F4B45"/>
    <w:rsid w:val="008F4B82"/>
    <w:rsid w:val="008F5C0E"/>
    <w:rsid w:val="008F5C10"/>
    <w:rsid w:val="008F5F60"/>
    <w:rsid w:val="008F6074"/>
    <w:rsid w:val="008F60BC"/>
    <w:rsid w:val="008F6F9C"/>
    <w:rsid w:val="008F72DA"/>
    <w:rsid w:val="008F747F"/>
    <w:rsid w:val="008F7828"/>
    <w:rsid w:val="008F7A3D"/>
    <w:rsid w:val="008F7C45"/>
    <w:rsid w:val="008F7F12"/>
    <w:rsid w:val="009006A6"/>
    <w:rsid w:val="009015BF"/>
    <w:rsid w:val="009016D7"/>
    <w:rsid w:val="00902704"/>
    <w:rsid w:val="00902735"/>
    <w:rsid w:val="009037F0"/>
    <w:rsid w:val="009039E7"/>
    <w:rsid w:val="00903A29"/>
    <w:rsid w:val="00903AC3"/>
    <w:rsid w:val="00903E69"/>
    <w:rsid w:val="0090412E"/>
    <w:rsid w:val="00904295"/>
    <w:rsid w:val="00904536"/>
    <w:rsid w:val="0090478A"/>
    <w:rsid w:val="00904C7E"/>
    <w:rsid w:val="00905065"/>
    <w:rsid w:val="00905581"/>
    <w:rsid w:val="009059DB"/>
    <w:rsid w:val="00906348"/>
    <w:rsid w:val="009063EB"/>
    <w:rsid w:val="00906A8A"/>
    <w:rsid w:val="00906D82"/>
    <w:rsid w:val="00906E95"/>
    <w:rsid w:val="00907386"/>
    <w:rsid w:val="00907E9E"/>
    <w:rsid w:val="009102A7"/>
    <w:rsid w:val="0091072D"/>
    <w:rsid w:val="0091090C"/>
    <w:rsid w:val="00910BAF"/>
    <w:rsid w:val="00911025"/>
    <w:rsid w:val="0091110A"/>
    <w:rsid w:val="00911BA4"/>
    <w:rsid w:val="00911D86"/>
    <w:rsid w:val="009123BE"/>
    <w:rsid w:val="009136ED"/>
    <w:rsid w:val="009144B5"/>
    <w:rsid w:val="009146F6"/>
    <w:rsid w:val="009155B1"/>
    <w:rsid w:val="00915863"/>
    <w:rsid w:val="0091596C"/>
    <w:rsid w:val="00915A4D"/>
    <w:rsid w:val="00915E92"/>
    <w:rsid w:val="009166DA"/>
    <w:rsid w:val="009168BD"/>
    <w:rsid w:val="009169E5"/>
    <w:rsid w:val="00916B53"/>
    <w:rsid w:val="00916ED7"/>
    <w:rsid w:val="0092027D"/>
    <w:rsid w:val="00920655"/>
    <w:rsid w:val="009207BD"/>
    <w:rsid w:val="009207FC"/>
    <w:rsid w:val="009208FA"/>
    <w:rsid w:val="00920C0B"/>
    <w:rsid w:val="00920D93"/>
    <w:rsid w:val="00920FBA"/>
    <w:rsid w:val="009212CF"/>
    <w:rsid w:val="00922D13"/>
    <w:rsid w:val="00922E70"/>
    <w:rsid w:val="00923639"/>
    <w:rsid w:val="0092373B"/>
    <w:rsid w:val="0092433E"/>
    <w:rsid w:val="009248E1"/>
    <w:rsid w:val="00925989"/>
    <w:rsid w:val="009264DA"/>
    <w:rsid w:val="00926E69"/>
    <w:rsid w:val="009273F5"/>
    <w:rsid w:val="00927667"/>
    <w:rsid w:val="009308DA"/>
    <w:rsid w:val="00930E12"/>
    <w:rsid w:val="00930EF7"/>
    <w:rsid w:val="0093125C"/>
    <w:rsid w:val="00931282"/>
    <w:rsid w:val="009314B9"/>
    <w:rsid w:val="009317B8"/>
    <w:rsid w:val="0093197D"/>
    <w:rsid w:val="00931A59"/>
    <w:rsid w:val="00932542"/>
    <w:rsid w:val="00932FA4"/>
    <w:rsid w:val="00933387"/>
    <w:rsid w:val="009334A9"/>
    <w:rsid w:val="0093399F"/>
    <w:rsid w:val="00933B94"/>
    <w:rsid w:val="00933CED"/>
    <w:rsid w:val="00934005"/>
    <w:rsid w:val="0093431E"/>
    <w:rsid w:val="0093476B"/>
    <w:rsid w:val="00934793"/>
    <w:rsid w:val="00934BA3"/>
    <w:rsid w:val="00934D85"/>
    <w:rsid w:val="00934E90"/>
    <w:rsid w:val="009359A8"/>
    <w:rsid w:val="009360D6"/>
    <w:rsid w:val="0093619B"/>
    <w:rsid w:val="00936282"/>
    <w:rsid w:val="009363A1"/>
    <w:rsid w:val="00936510"/>
    <w:rsid w:val="009365B9"/>
    <w:rsid w:val="009366EF"/>
    <w:rsid w:val="00936934"/>
    <w:rsid w:val="00936FB3"/>
    <w:rsid w:val="009377DB"/>
    <w:rsid w:val="009409E7"/>
    <w:rsid w:val="00940E4E"/>
    <w:rsid w:val="00941239"/>
    <w:rsid w:val="00941336"/>
    <w:rsid w:val="00941577"/>
    <w:rsid w:val="00941A4B"/>
    <w:rsid w:val="00941EE2"/>
    <w:rsid w:val="009420E9"/>
    <w:rsid w:val="00942B06"/>
    <w:rsid w:val="00942BBE"/>
    <w:rsid w:val="00942DEC"/>
    <w:rsid w:val="00943495"/>
    <w:rsid w:val="009435EB"/>
    <w:rsid w:val="009439B8"/>
    <w:rsid w:val="00943E9B"/>
    <w:rsid w:val="00943FA7"/>
    <w:rsid w:val="0094463D"/>
    <w:rsid w:val="00944A43"/>
    <w:rsid w:val="00944C68"/>
    <w:rsid w:val="00944DD0"/>
    <w:rsid w:val="00945383"/>
    <w:rsid w:val="009458DA"/>
    <w:rsid w:val="00945E92"/>
    <w:rsid w:val="00946328"/>
    <w:rsid w:val="009465A1"/>
    <w:rsid w:val="009466EE"/>
    <w:rsid w:val="0094698E"/>
    <w:rsid w:val="00947685"/>
    <w:rsid w:val="00947F9E"/>
    <w:rsid w:val="0095097B"/>
    <w:rsid w:val="00950C4E"/>
    <w:rsid w:val="00950EE9"/>
    <w:rsid w:val="00952349"/>
    <w:rsid w:val="00952411"/>
    <w:rsid w:val="00952911"/>
    <w:rsid w:val="00952A5A"/>
    <w:rsid w:val="00953B3B"/>
    <w:rsid w:val="00954E08"/>
    <w:rsid w:val="009551CD"/>
    <w:rsid w:val="009555E6"/>
    <w:rsid w:val="00955E67"/>
    <w:rsid w:val="0095646E"/>
    <w:rsid w:val="00957532"/>
    <w:rsid w:val="009575E1"/>
    <w:rsid w:val="009579A2"/>
    <w:rsid w:val="0096020C"/>
    <w:rsid w:val="0096076C"/>
    <w:rsid w:val="00960BC7"/>
    <w:rsid w:val="00960BDE"/>
    <w:rsid w:val="009612A9"/>
    <w:rsid w:val="0096174D"/>
    <w:rsid w:val="009619BF"/>
    <w:rsid w:val="00961ADB"/>
    <w:rsid w:val="00962129"/>
    <w:rsid w:val="009632C9"/>
    <w:rsid w:val="00964625"/>
    <w:rsid w:val="00964647"/>
    <w:rsid w:val="0096478D"/>
    <w:rsid w:val="00964B47"/>
    <w:rsid w:val="00964BE9"/>
    <w:rsid w:val="00965204"/>
    <w:rsid w:val="009654F2"/>
    <w:rsid w:val="00965C0D"/>
    <w:rsid w:val="00965F45"/>
    <w:rsid w:val="009666F3"/>
    <w:rsid w:val="00966797"/>
    <w:rsid w:val="009667EE"/>
    <w:rsid w:val="00966D08"/>
    <w:rsid w:val="00970961"/>
    <w:rsid w:val="00970F04"/>
    <w:rsid w:val="00971320"/>
    <w:rsid w:val="009718BD"/>
    <w:rsid w:val="00971BE5"/>
    <w:rsid w:val="009720B6"/>
    <w:rsid w:val="00972B4B"/>
    <w:rsid w:val="0097316B"/>
    <w:rsid w:val="0097354A"/>
    <w:rsid w:val="009736DD"/>
    <w:rsid w:val="00973E29"/>
    <w:rsid w:val="00973EC7"/>
    <w:rsid w:val="00974D4E"/>
    <w:rsid w:val="00974FAA"/>
    <w:rsid w:val="009762E2"/>
    <w:rsid w:val="00976CBA"/>
    <w:rsid w:val="00977184"/>
    <w:rsid w:val="0097718F"/>
    <w:rsid w:val="00977645"/>
    <w:rsid w:val="00977683"/>
    <w:rsid w:val="0097782E"/>
    <w:rsid w:val="00977B89"/>
    <w:rsid w:val="009802C9"/>
    <w:rsid w:val="0098047D"/>
    <w:rsid w:val="0098115C"/>
    <w:rsid w:val="00981E47"/>
    <w:rsid w:val="00982075"/>
    <w:rsid w:val="009821C7"/>
    <w:rsid w:val="00982456"/>
    <w:rsid w:val="0098318C"/>
    <w:rsid w:val="009833C6"/>
    <w:rsid w:val="009839F2"/>
    <w:rsid w:val="00983E64"/>
    <w:rsid w:val="0098428D"/>
    <w:rsid w:val="0098528C"/>
    <w:rsid w:val="0098539C"/>
    <w:rsid w:val="00985ABF"/>
    <w:rsid w:val="0098625B"/>
    <w:rsid w:val="009877DF"/>
    <w:rsid w:val="009908FD"/>
    <w:rsid w:val="00990CF7"/>
    <w:rsid w:val="009913AC"/>
    <w:rsid w:val="00991579"/>
    <w:rsid w:val="00991685"/>
    <w:rsid w:val="009916BA"/>
    <w:rsid w:val="00992166"/>
    <w:rsid w:val="009926E0"/>
    <w:rsid w:val="009927FA"/>
    <w:rsid w:val="00992EAE"/>
    <w:rsid w:val="00992EBA"/>
    <w:rsid w:val="0099387F"/>
    <w:rsid w:val="00993CD5"/>
    <w:rsid w:val="00993F6A"/>
    <w:rsid w:val="00994424"/>
    <w:rsid w:val="00994888"/>
    <w:rsid w:val="00994919"/>
    <w:rsid w:val="00994C67"/>
    <w:rsid w:val="00994DFE"/>
    <w:rsid w:val="009953FC"/>
    <w:rsid w:val="00995B14"/>
    <w:rsid w:val="00995F0D"/>
    <w:rsid w:val="009967F2"/>
    <w:rsid w:val="00996975"/>
    <w:rsid w:val="00997236"/>
    <w:rsid w:val="0099763A"/>
    <w:rsid w:val="00997790"/>
    <w:rsid w:val="00997C42"/>
    <w:rsid w:val="00997FCF"/>
    <w:rsid w:val="009A1544"/>
    <w:rsid w:val="009A15A4"/>
    <w:rsid w:val="009A1996"/>
    <w:rsid w:val="009A2169"/>
    <w:rsid w:val="009A2258"/>
    <w:rsid w:val="009A263E"/>
    <w:rsid w:val="009A26DC"/>
    <w:rsid w:val="009A29CD"/>
    <w:rsid w:val="009A2A76"/>
    <w:rsid w:val="009A3C9A"/>
    <w:rsid w:val="009A41FA"/>
    <w:rsid w:val="009A45B4"/>
    <w:rsid w:val="009A4C25"/>
    <w:rsid w:val="009A4CED"/>
    <w:rsid w:val="009A51E3"/>
    <w:rsid w:val="009A5429"/>
    <w:rsid w:val="009A66D0"/>
    <w:rsid w:val="009A68CB"/>
    <w:rsid w:val="009A6E37"/>
    <w:rsid w:val="009A7438"/>
    <w:rsid w:val="009A7A38"/>
    <w:rsid w:val="009B00C4"/>
    <w:rsid w:val="009B01FC"/>
    <w:rsid w:val="009B118F"/>
    <w:rsid w:val="009B1BFE"/>
    <w:rsid w:val="009B22FF"/>
    <w:rsid w:val="009B247E"/>
    <w:rsid w:val="009B24D1"/>
    <w:rsid w:val="009B2CFE"/>
    <w:rsid w:val="009B2D56"/>
    <w:rsid w:val="009B30B6"/>
    <w:rsid w:val="009B3118"/>
    <w:rsid w:val="009B447B"/>
    <w:rsid w:val="009B4832"/>
    <w:rsid w:val="009B4AEF"/>
    <w:rsid w:val="009B5230"/>
    <w:rsid w:val="009B6246"/>
    <w:rsid w:val="009B64ED"/>
    <w:rsid w:val="009B65B6"/>
    <w:rsid w:val="009B6942"/>
    <w:rsid w:val="009B698C"/>
    <w:rsid w:val="009B6DC1"/>
    <w:rsid w:val="009B7367"/>
    <w:rsid w:val="009B73EA"/>
    <w:rsid w:val="009C060A"/>
    <w:rsid w:val="009C072D"/>
    <w:rsid w:val="009C0CE3"/>
    <w:rsid w:val="009C1356"/>
    <w:rsid w:val="009C136F"/>
    <w:rsid w:val="009C13A2"/>
    <w:rsid w:val="009C14AB"/>
    <w:rsid w:val="009C2101"/>
    <w:rsid w:val="009C28D9"/>
    <w:rsid w:val="009C439A"/>
    <w:rsid w:val="009C4A93"/>
    <w:rsid w:val="009C5269"/>
    <w:rsid w:val="009C54C1"/>
    <w:rsid w:val="009C5CC4"/>
    <w:rsid w:val="009C6089"/>
    <w:rsid w:val="009C64B4"/>
    <w:rsid w:val="009C68E1"/>
    <w:rsid w:val="009C70E7"/>
    <w:rsid w:val="009C712D"/>
    <w:rsid w:val="009C7B27"/>
    <w:rsid w:val="009D02C8"/>
    <w:rsid w:val="009D04CE"/>
    <w:rsid w:val="009D0500"/>
    <w:rsid w:val="009D16F6"/>
    <w:rsid w:val="009D1DD8"/>
    <w:rsid w:val="009D206D"/>
    <w:rsid w:val="009D218D"/>
    <w:rsid w:val="009D2493"/>
    <w:rsid w:val="009D2663"/>
    <w:rsid w:val="009D3F76"/>
    <w:rsid w:val="009D4264"/>
    <w:rsid w:val="009D4477"/>
    <w:rsid w:val="009D4CF8"/>
    <w:rsid w:val="009D50A9"/>
    <w:rsid w:val="009D5A65"/>
    <w:rsid w:val="009D5C6C"/>
    <w:rsid w:val="009D6124"/>
    <w:rsid w:val="009D6859"/>
    <w:rsid w:val="009D6E40"/>
    <w:rsid w:val="009D79D1"/>
    <w:rsid w:val="009D7ACF"/>
    <w:rsid w:val="009D7C4B"/>
    <w:rsid w:val="009D7F88"/>
    <w:rsid w:val="009D7FBE"/>
    <w:rsid w:val="009E00AA"/>
    <w:rsid w:val="009E05DD"/>
    <w:rsid w:val="009E0EA2"/>
    <w:rsid w:val="009E17AC"/>
    <w:rsid w:val="009E19BE"/>
    <w:rsid w:val="009E214D"/>
    <w:rsid w:val="009E23C4"/>
    <w:rsid w:val="009E28A5"/>
    <w:rsid w:val="009E28EC"/>
    <w:rsid w:val="009E315A"/>
    <w:rsid w:val="009E3174"/>
    <w:rsid w:val="009E378E"/>
    <w:rsid w:val="009E396B"/>
    <w:rsid w:val="009E4841"/>
    <w:rsid w:val="009E4E66"/>
    <w:rsid w:val="009E58E4"/>
    <w:rsid w:val="009E5A3C"/>
    <w:rsid w:val="009E6397"/>
    <w:rsid w:val="009E65BB"/>
    <w:rsid w:val="009E6714"/>
    <w:rsid w:val="009E7151"/>
    <w:rsid w:val="009E78E7"/>
    <w:rsid w:val="009E7983"/>
    <w:rsid w:val="009E7FDF"/>
    <w:rsid w:val="009F0266"/>
    <w:rsid w:val="009F0719"/>
    <w:rsid w:val="009F1409"/>
    <w:rsid w:val="009F1EEE"/>
    <w:rsid w:val="009F2023"/>
    <w:rsid w:val="009F24CB"/>
    <w:rsid w:val="009F2586"/>
    <w:rsid w:val="009F27AB"/>
    <w:rsid w:val="009F2E31"/>
    <w:rsid w:val="009F38E9"/>
    <w:rsid w:val="009F3E58"/>
    <w:rsid w:val="009F3F1F"/>
    <w:rsid w:val="009F3FC5"/>
    <w:rsid w:val="009F413A"/>
    <w:rsid w:val="009F4A24"/>
    <w:rsid w:val="009F4CB6"/>
    <w:rsid w:val="009F4EBB"/>
    <w:rsid w:val="009F4FB3"/>
    <w:rsid w:val="009F519A"/>
    <w:rsid w:val="009F5B25"/>
    <w:rsid w:val="009F6159"/>
    <w:rsid w:val="009F6B82"/>
    <w:rsid w:val="009F6DA1"/>
    <w:rsid w:val="009F6DC5"/>
    <w:rsid w:val="009F6EF2"/>
    <w:rsid w:val="009F6FFF"/>
    <w:rsid w:val="009F71BF"/>
    <w:rsid w:val="009F71D1"/>
    <w:rsid w:val="009F7479"/>
    <w:rsid w:val="009F775B"/>
    <w:rsid w:val="009F7CB5"/>
    <w:rsid w:val="009F7CF7"/>
    <w:rsid w:val="00A004F5"/>
    <w:rsid w:val="00A0097F"/>
    <w:rsid w:val="00A00DD6"/>
    <w:rsid w:val="00A017BA"/>
    <w:rsid w:val="00A01B14"/>
    <w:rsid w:val="00A01B9C"/>
    <w:rsid w:val="00A01C3F"/>
    <w:rsid w:val="00A01EFD"/>
    <w:rsid w:val="00A01F78"/>
    <w:rsid w:val="00A021B1"/>
    <w:rsid w:val="00A022B2"/>
    <w:rsid w:val="00A025CA"/>
    <w:rsid w:val="00A025F5"/>
    <w:rsid w:val="00A02657"/>
    <w:rsid w:val="00A026DF"/>
    <w:rsid w:val="00A02D4A"/>
    <w:rsid w:val="00A03495"/>
    <w:rsid w:val="00A03A5F"/>
    <w:rsid w:val="00A04100"/>
    <w:rsid w:val="00A046D1"/>
    <w:rsid w:val="00A04CFB"/>
    <w:rsid w:val="00A066DE"/>
    <w:rsid w:val="00A06878"/>
    <w:rsid w:val="00A06E69"/>
    <w:rsid w:val="00A06FEE"/>
    <w:rsid w:val="00A0753F"/>
    <w:rsid w:val="00A075C8"/>
    <w:rsid w:val="00A07B5E"/>
    <w:rsid w:val="00A07CCA"/>
    <w:rsid w:val="00A10B65"/>
    <w:rsid w:val="00A10E33"/>
    <w:rsid w:val="00A10F7F"/>
    <w:rsid w:val="00A11546"/>
    <w:rsid w:val="00A11BC7"/>
    <w:rsid w:val="00A11C86"/>
    <w:rsid w:val="00A11D11"/>
    <w:rsid w:val="00A11EA1"/>
    <w:rsid w:val="00A12126"/>
    <w:rsid w:val="00A129D9"/>
    <w:rsid w:val="00A1329A"/>
    <w:rsid w:val="00A134F7"/>
    <w:rsid w:val="00A13639"/>
    <w:rsid w:val="00A141E5"/>
    <w:rsid w:val="00A1454A"/>
    <w:rsid w:val="00A14D02"/>
    <w:rsid w:val="00A15298"/>
    <w:rsid w:val="00A15524"/>
    <w:rsid w:val="00A15581"/>
    <w:rsid w:val="00A1593F"/>
    <w:rsid w:val="00A15B57"/>
    <w:rsid w:val="00A16CEF"/>
    <w:rsid w:val="00A16E96"/>
    <w:rsid w:val="00A2039D"/>
    <w:rsid w:val="00A20A35"/>
    <w:rsid w:val="00A20A7D"/>
    <w:rsid w:val="00A21F92"/>
    <w:rsid w:val="00A22EC1"/>
    <w:rsid w:val="00A22EED"/>
    <w:rsid w:val="00A23D3A"/>
    <w:rsid w:val="00A241FA"/>
    <w:rsid w:val="00A24683"/>
    <w:rsid w:val="00A2536F"/>
    <w:rsid w:val="00A257B3"/>
    <w:rsid w:val="00A2607F"/>
    <w:rsid w:val="00A263F4"/>
    <w:rsid w:val="00A26AF6"/>
    <w:rsid w:val="00A27093"/>
    <w:rsid w:val="00A27EFB"/>
    <w:rsid w:val="00A27F61"/>
    <w:rsid w:val="00A30AF9"/>
    <w:rsid w:val="00A30DB2"/>
    <w:rsid w:val="00A30DB3"/>
    <w:rsid w:val="00A31550"/>
    <w:rsid w:val="00A31B10"/>
    <w:rsid w:val="00A31FBD"/>
    <w:rsid w:val="00A3229C"/>
    <w:rsid w:val="00A32511"/>
    <w:rsid w:val="00A325F5"/>
    <w:rsid w:val="00A3393B"/>
    <w:rsid w:val="00A344A6"/>
    <w:rsid w:val="00A34945"/>
    <w:rsid w:val="00A34B18"/>
    <w:rsid w:val="00A35412"/>
    <w:rsid w:val="00A35637"/>
    <w:rsid w:val="00A35942"/>
    <w:rsid w:val="00A359AD"/>
    <w:rsid w:val="00A362F2"/>
    <w:rsid w:val="00A36F81"/>
    <w:rsid w:val="00A377B6"/>
    <w:rsid w:val="00A37929"/>
    <w:rsid w:val="00A37B51"/>
    <w:rsid w:val="00A37EEF"/>
    <w:rsid w:val="00A403E9"/>
    <w:rsid w:val="00A40502"/>
    <w:rsid w:val="00A406DC"/>
    <w:rsid w:val="00A41119"/>
    <w:rsid w:val="00A419A2"/>
    <w:rsid w:val="00A42213"/>
    <w:rsid w:val="00A42226"/>
    <w:rsid w:val="00A430D9"/>
    <w:rsid w:val="00A4347E"/>
    <w:rsid w:val="00A4381E"/>
    <w:rsid w:val="00A43D0E"/>
    <w:rsid w:val="00A453B0"/>
    <w:rsid w:val="00A457C8"/>
    <w:rsid w:val="00A45815"/>
    <w:rsid w:val="00A45BB6"/>
    <w:rsid w:val="00A4630E"/>
    <w:rsid w:val="00A46917"/>
    <w:rsid w:val="00A46CD6"/>
    <w:rsid w:val="00A47362"/>
    <w:rsid w:val="00A47DE3"/>
    <w:rsid w:val="00A506E4"/>
    <w:rsid w:val="00A510D9"/>
    <w:rsid w:val="00A513D7"/>
    <w:rsid w:val="00A51E63"/>
    <w:rsid w:val="00A5227A"/>
    <w:rsid w:val="00A52485"/>
    <w:rsid w:val="00A52DE8"/>
    <w:rsid w:val="00A53F63"/>
    <w:rsid w:val="00A556CC"/>
    <w:rsid w:val="00A55A48"/>
    <w:rsid w:val="00A55A52"/>
    <w:rsid w:val="00A55C92"/>
    <w:rsid w:val="00A55DE0"/>
    <w:rsid w:val="00A560E7"/>
    <w:rsid w:val="00A57D42"/>
    <w:rsid w:val="00A60BBB"/>
    <w:rsid w:val="00A60C83"/>
    <w:rsid w:val="00A615F0"/>
    <w:rsid w:val="00A6195B"/>
    <w:rsid w:val="00A61AE9"/>
    <w:rsid w:val="00A62741"/>
    <w:rsid w:val="00A63036"/>
    <w:rsid w:val="00A63075"/>
    <w:rsid w:val="00A631D0"/>
    <w:rsid w:val="00A6324E"/>
    <w:rsid w:val="00A633B4"/>
    <w:rsid w:val="00A63676"/>
    <w:rsid w:val="00A63A99"/>
    <w:rsid w:val="00A63AD3"/>
    <w:rsid w:val="00A63D2A"/>
    <w:rsid w:val="00A64392"/>
    <w:rsid w:val="00A64E01"/>
    <w:rsid w:val="00A65590"/>
    <w:rsid w:val="00A6591A"/>
    <w:rsid w:val="00A659DE"/>
    <w:rsid w:val="00A65D68"/>
    <w:rsid w:val="00A65F1E"/>
    <w:rsid w:val="00A66CE7"/>
    <w:rsid w:val="00A67B75"/>
    <w:rsid w:val="00A70B89"/>
    <w:rsid w:val="00A70F00"/>
    <w:rsid w:val="00A71815"/>
    <w:rsid w:val="00A72058"/>
    <w:rsid w:val="00A726FD"/>
    <w:rsid w:val="00A72753"/>
    <w:rsid w:val="00A739AD"/>
    <w:rsid w:val="00A73D88"/>
    <w:rsid w:val="00A741FA"/>
    <w:rsid w:val="00A77A18"/>
    <w:rsid w:val="00A77EC2"/>
    <w:rsid w:val="00A80964"/>
    <w:rsid w:val="00A80F8D"/>
    <w:rsid w:val="00A8173B"/>
    <w:rsid w:val="00A8192C"/>
    <w:rsid w:val="00A81A4A"/>
    <w:rsid w:val="00A81AEB"/>
    <w:rsid w:val="00A81BE2"/>
    <w:rsid w:val="00A8288D"/>
    <w:rsid w:val="00A83111"/>
    <w:rsid w:val="00A836C2"/>
    <w:rsid w:val="00A84047"/>
    <w:rsid w:val="00A8488D"/>
    <w:rsid w:val="00A84960"/>
    <w:rsid w:val="00A852D1"/>
    <w:rsid w:val="00A852E6"/>
    <w:rsid w:val="00A853D8"/>
    <w:rsid w:val="00A8553F"/>
    <w:rsid w:val="00A855AA"/>
    <w:rsid w:val="00A855FC"/>
    <w:rsid w:val="00A85982"/>
    <w:rsid w:val="00A86AB2"/>
    <w:rsid w:val="00A86D82"/>
    <w:rsid w:val="00A86DF9"/>
    <w:rsid w:val="00A86EA3"/>
    <w:rsid w:val="00A87BD4"/>
    <w:rsid w:val="00A90123"/>
    <w:rsid w:val="00A90773"/>
    <w:rsid w:val="00A9104D"/>
    <w:rsid w:val="00A9110F"/>
    <w:rsid w:val="00A9132B"/>
    <w:rsid w:val="00A92419"/>
    <w:rsid w:val="00A93371"/>
    <w:rsid w:val="00A93419"/>
    <w:rsid w:val="00A934C1"/>
    <w:rsid w:val="00A93ADA"/>
    <w:rsid w:val="00A94617"/>
    <w:rsid w:val="00A958DA"/>
    <w:rsid w:val="00A95CF9"/>
    <w:rsid w:val="00A95F8A"/>
    <w:rsid w:val="00A9645E"/>
    <w:rsid w:val="00A96DE8"/>
    <w:rsid w:val="00A972FF"/>
    <w:rsid w:val="00A9750B"/>
    <w:rsid w:val="00A975DE"/>
    <w:rsid w:val="00A97722"/>
    <w:rsid w:val="00A97D61"/>
    <w:rsid w:val="00AA00BC"/>
    <w:rsid w:val="00AA0D03"/>
    <w:rsid w:val="00AA11C3"/>
    <w:rsid w:val="00AA22FC"/>
    <w:rsid w:val="00AA26D0"/>
    <w:rsid w:val="00AA2FE2"/>
    <w:rsid w:val="00AA32CC"/>
    <w:rsid w:val="00AA3437"/>
    <w:rsid w:val="00AA34DA"/>
    <w:rsid w:val="00AA3B4B"/>
    <w:rsid w:val="00AA4462"/>
    <w:rsid w:val="00AA479C"/>
    <w:rsid w:val="00AA4DB5"/>
    <w:rsid w:val="00AA5161"/>
    <w:rsid w:val="00AA51D0"/>
    <w:rsid w:val="00AA54FD"/>
    <w:rsid w:val="00AA566F"/>
    <w:rsid w:val="00AA5978"/>
    <w:rsid w:val="00AA5A96"/>
    <w:rsid w:val="00AA5F1F"/>
    <w:rsid w:val="00AA61B3"/>
    <w:rsid w:val="00AA63AA"/>
    <w:rsid w:val="00AA6BFA"/>
    <w:rsid w:val="00AA6CB5"/>
    <w:rsid w:val="00AA75B1"/>
    <w:rsid w:val="00AB0489"/>
    <w:rsid w:val="00AB0683"/>
    <w:rsid w:val="00AB07A7"/>
    <w:rsid w:val="00AB15EB"/>
    <w:rsid w:val="00AB179B"/>
    <w:rsid w:val="00AB197C"/>
    <w:rsid w:val="00AB199E"/>
    <w:rsid w:val="00AB1ADF"/>
    <w:rsid w:val="00AB1BF4"/>
    <w:rsid w:val="00AB20B4"/>
    <w:rsid w:val="00AB2598"/>
    <w:rsid w:val="00AB2DA9"/>
    <w:rsid w:val="00AB31E2"/>
    <w:rsid w:val="00AB3E88"/>
    <w:rsid w:val="00AB4296"/>
    <w:rsid w:val="00AB4336"/>
    <w:rsid w:val="00AB43E2"/>
    <w:rsid w:val="00AB4944"/>
    <w:rsid w:val="00AB49AE"/>
    <w:rsid w:val="00AB4EF3"/>
    <w:rsid w:val="00AB5052"/>
    <w:rsid w:val="00AB5560"/>
    <w:rsid w:val="00AB55CB"/>
    <w:rsid w:val="00AB7008"/>
    <w:rsid w:val="00AC013E"/>
    <w:rsid w:val="00AC0771"/>
    <w:rsid w:val="00AC0A2A"/>
    <w:rsid w:val="00AC0F54"/>
    <w:rsid w:val="00AC12F1"/>
    <w:rsid w:val="00AC14B3"/>
    <w:rsid w:val="00AC1ED3"/>
    <w:rsid w:val="00AC1FD8"/>
    <w:rsid w:val="00AC24DC"/>
    <w:rsid w:val="00AC2778"/>
    <w:rsid w:val="00AC299F"/>
    <w:rsid w:val="00AC2A37"/>
    <w:rsid w:val="00AC2F1A"/>
    <w:rsid w:val="00AC325C"/>
    <w:rsid w:val="00AC384B"/>
    <w:rsid w:val="00AC5184"/>
    <w:rsid w:val="00AC579B"/>
    <w:rsid w:val="00AC58FC"/>
    <w:rsid w:val="00AC5A8F"/>
    <w:rsid w:val="00AC71B9"/>
    <w:rsid w:val="00AC7D76"/>
    <w:rsid w:val="00AD0200"/>
    <w:rsid w:val="00AD026B"/>
    <w:rsid w:val="00AD0599"/>
    <w:rsid w:val="00AD09B3"/>
    <w:rsid w:val="00AD13D5"/>
    <w:rsid w:val="00AD13E1"/>
    <w:rsid w:val="00AD1C5E"/>
    <w:rsid w:val="00AD2B78"/>
    <w:rsid w:val="00AD34A7"/>
    <w:rsid w:val="00AD3C4E"/>
    <w:rsid w:val="00AD4627"/>
    <w:rsid w:val="00AD48BE"/>
    <w:rsid w:val="00AD4A8E"/>
    <w:rsid w:val="00AD4AEF"/>
    <w:rsid w:val="00AD516D"/>
    <w:rsid w:val="00AD527B"/>
    <w:rsid w:val="00AD57A2"/>
    <w:rsid w:val="00AD57CD"/>
    <w:rsid w:val="00AD5D2E"/>
    <w:rsid w:val="00AD5E69"/>
    <w:rsid w:val="00AD7209"/>
    <w:rsid w:val="00AD7A4C"/>
    <w:rsid w:val="00AD7AA1"/>
    <w:rsid w:val="00AD7CD6"/>
    <w:rsid w:val="00AE0C99"/>
    <w:rsid w:val="00AE0D70"/>
    <w:rsid w:val="00AE12AE"/>
    <w:rsid w:val="00AE1352"/>
    <w:rsid w:val="00AE16EC"/>
    <w:rsid w:val="00AE1DD6"/>
    <w:rsid w:val="00AE3097"/>
    <w:rsid w:val="00AE33CF"/>
    <w:rsid w:val="00AE343D"/>
    <w:rsid w:val="00AE36AE"/>
    <w:rsid w:val="00AE49E8"/>
    <w:rsid w:val="00AE634C"/>
    <w:rsid w:val="00AE68EC"/>
    <w:rsid w:val="00AE7B86"/>
    <w:rsid w:val="00AF0275"/>
    <w:rsid w:val="00AF2210"/>
    <w:rsid w:val="00AF2305"/>
    <w:rsid w:val="00AF2A93"/>
    <w:rsid w:val="00AF2B05"/>
    <w:rsid w:val="00AF2B8D"/>
    <w:rsid w:val="00AF2E0C"/>
    <w:rsid w:val="00AF3832"/>
    <w:rsid w:val="00AF3853"/>
    <w:rsid w:val="00AF3C95"/>
    <w:rsid w:val="00AF3CDF"/>
    <w:rsid w:val="00AF4289"/>
    <w:rsid w:val="00AF46AA"/>
    <w:rsid w:val="00AF5AD1"/>
    <w:rsid w:val="00AF5D98"/>
    <w:rsid w:val="00AF6F6C"/>
    <w:rsid w:val="00AF713B"/>
    <w:rsid w:val="00AF716C"/>
    <w:rsid w:val="00AF7307"/>
    <w:rsid w:val="00AF7D05"/>
    <w:rsid w:val="00B013AD"/>
    <w:rsid w:val="00B01433"/>
    <w:rsid w:val="00B02BE1"/>
    <w:rsid w:val="00B0359F"/>
    <w:rsid w:val="00B03A57"/>
    <w:rsid w:val="00B03BE9"/>
    <w:rsid w:val="00B04357"/>
    <w:rsid w:val="00B043AB"/>
    <w:rsid w:val="00B044C6"/>
    <w:rsid w:val="00B0465F"/>
    <w:rsid w:val="00B054D6"/>
    <w:rsid w:val="00B05898"/>
    <w:rsid w:val="00B05D5C"/>
    <w:rsid w:val="00B067E1"/>
    <w:rsid w:val="00B06FF1"/>
    <w:rsid w:val="00B105C4"/>
    <w:rsid w:val="00B105E9"/>
    <w:rsid w:val="00B11895"/>
    <w:rsid w:val="00B11FF2"/>
    <w:rsid w:val="00B1220D"/>
    <w:rsid w:val="00B12328"/>
    <w:rsid w:val="00B12AAF"/>
    <w:rsid w:val="00B12AB2"/>
    <w:rsid w:val="00B133BF"/>
    <w:rsid w:val="00B13851"/>
    <w:rsid w:val="00B138FA"/>
    <w:rsid w:val="00B13D4B"/>
    <w:rsid w:val="00B15AD6"/>
    <w:rsid w:val="00B16F77"/>
    <w:rsid w:val="00B17322"/>
    <w:rsid w:val="00B1784E"/>
    <w:rsid w:val="00B17B37"/>
    <w:rsid w:val="00B17D73"/>
    <w:rsid w:val="00B20608"/>
    <w:rsid w:val="00B211BE"/>
    <w:rsid w:val="00B213B1"/>
    <w:rsid w:val="00B21929"/>
    <w:rsid w:val="00B21BEF"/>
    <w:rsid w:val="00B2222C"/>
    <w:rsid w:val="00B22F66"/>
    <w:rsid w:val="00B23B98"/>
    <w:rsid w:val="00B23ED1"/>
    <w:rsid w:val="00B24762"/>
    <w:rsid w:val="00B24DB9"/>
    <w:rsid w:val="00B25101"/>
    <w:rsid w:val="00B26221"/>
    <w:rsid w:val="00B26CAA"/>
    <w:rsid w:val="00B26F52"/>
    <w:rsid w:val="00B27154"/>
    <w:rsid w:val="00B27201"/>
    <w:rsid w:val="00B27307"/>
    <w:rsid w:val="00B27A34"/>
    <w:rsid w:val="00B27ECE"/>
    <w:rsid w:val="00B309FD"/>
    <w:rsid w:val="00B3147C"/>
    <w:rsid w:val="00B316D3"/>
    <w:rsid w:val="00B31AED"/>
    <w:rsid w:val="00B32D9D"/>
    <w:rsid w:val="00B32DC6"/>
    <w:rsid w:val="00B334D3"/>
    <w:rsid w:val="00B336E7"/>
    <w:rsid w:val="00B3372F"/>
    <w:rsid w:val="00B34043"/>
    <w:rsid w:val="00B34F63"/>
    <w:rsid w:val="00B352FA"/>
    <w:rsid w:val="00B3530D"/>
    <w:rsid w:val="00B35670"/>
    <w:rsid w:val="00B35CC3"/>
    <w:rsid w:val="00B3609B"/>
    <w:rsid w:val="00B362CF"/>
    <w:rsid w:val="00B3639D"/>
    <w:rsid w:val="00B364F8"/>
    <w:rsid w:val="00B36528"/>
    <w:rsid w:val="00B36D29"/>
    <w:rsid w:val="00B37215"/>
    <w:rsid w:val="00B4012B"/>
    <w:rsid w:val="00B40EDB"/>
    <w:rsid w:val="00B41379"/>
    <w:rsid w:val="00B41F7D"/>
    <w:rsid w:val="00B42278"/>
    <w:rsid w:val="00B42813"/>
    <w:rsid w:val="00B42B3F"/>
    <w:rsid w:val="00B42EA4"/>
    <w:rsid w:val="00B43126"/>
    <w:rsid w:val="00B4318B"/>
    <w:rsid w:val="00B4349B"/>
    <w:rsid w:val="00B43A19"/>
    <w:rsid w:val="00B444AE"/>
    <w:rsid w:val="00B447CB"/>
    <w:rsid w:val="00B45BCD"/>
    <w:rsid w:val="00B45F1C"/>
    <w:rsid w:val="00B46AC7"/>
    <w:rsid w:val="00B46BE5"/>
    <w:rsid w:val="00B46DD3"/>
    <w:rsid w:val="00B46E62"/>
    <w:rsid w:val="00B47054"/>
    <w:rsid w:val="00B478A0"/>
    <w:rsid w:val="00B506CB"/>
    <w:rsid w:val="00B51B31"/>
    <w:rsid w:val="00B5275C"/>
    <w:rsid w:val="00B53141"/>
    <w:rsid w:val="00B53643"/>
    <w:rsid w:val="00B53A21"/>
    <w:rsid w:val="00B53B49"/>
    <w:rsid w:val="00B544EA"/>
    <w:rsid w:val="00B548FA"/>
    <w:rsid w:val="00B54A0A"/>
    <w:rsid w:val="00B5522B"/>
    <w:rsid w:val="00B55386"/>
    <w:rsid w:val="00B55822"/>
    <w:rsid w:val="00B55C25"/>
    <w:rsid w:val="00B55E54"/>
    <w:rsid w:val="00B5691D"/>
    <w:rsid w:val="00B56FF3"/>
    <w:rsid w:val="00B5703B"/>
    <w:rsid w:val="00B57AFD"/>
    <w:rsid w:val="00B57C35"/>
    <w:rsid w:val="00B57EA9"/>
    <w:rsid w:val="00B607EA"/>
    <w:rsid w:val="00B60CF9"/>
    <w:rsid w:val="00B60DCA"/>
    <w:rsid w:val="00B60FCD"/>
    <w:rsid w:val="00B615BE"/>
    <w:rsid w:val="00B6231E"/>
    <w:rsid w:val="00B63815"/>
    <w:rsid w:val="00B63940"/>
    <w:rsid w:val="00B63E25"/>
    <w:rsid w:val="00B641F8"/>
    <w:rsid w:val="00B6429B"/>
    <w:rsid w:val="00B64399"/>
    <w:rsid w:val="00B644C8"/>
    <w:rsid w:val="00B64D19"/>
    <w:rsid w:val="00B65294"/>
    <w:rsid w:val="00B65C66"/>
    <w:rsid w:val="00B66246"/>
    <w:rsid w:val="00B6698C"/>
    <w:rsid w:val="00B67040"/>
    <w:rsid w:val="00B6715E"/>
    <w:rsid w:val="00B67203"/>
    <w:rsid w:val="00B67685"/>
    <w:rsid w:val="00B67856"/>
    <w:rsid w:val="00B67F43"/>
    <w:rsid w:val="00B70674"/>
    <w:rsid w:val="00B706CD"/>
    <w:rsid w:val="00B70CCB"/>
    <w:rsid w:val="00B710B6"/>
    <w:rsid w:val="00B71577"/>
    <w:rsid w:val="00B719BF"/>
    <w:rsid w:val="00B7228A"/>
    <w:rsid w:val="00B744CF"/>
    <w:rsid w:val="00B7471F"/>
    <w:rsid w:val="00B75CDF"/>
    <w:rsid w:val="00B765B0"/>
    <w:rsid w:val="00B7662E"/>
    <w:rsid w:val="00B773D7"/>
    <w:rsid w:val="00B77851"/>
    <w:rsid w:val="00B80620"/>
    <w:rsid w:val="00B80D5E"/>
    <w:rsid w:val="00B80E2B"/>
    <w:rsid w:val="00B81D1C"/>
    <w:rsid w:val="00B82086"/>
    <w:rsid w:val="00B82673"/>
    <w:rsid w:val="00B8337F"/>
    <w:rsid w:val="00B83903"/>
    <w:rsid w:val="00B84522"/>
    <w:rsid w:val="00B84A9D"/>
    <w:rsid w:val="00B84BE5"/>
    <w:rsid w:val="00B856EA"/>
    <w:rsid w:val="00B8578E"/>
    <w:rsid w:val="00B85E0F"/>
    <w:rsid w:val="00B85EEC"/>
    <w:rsid w:val="00B860BF"/>
    <w:rsid w:val="00B86540"/>
    <w:rsid w:val="00B875E5"/>
    <w:rsid w:val="00B8793F"/>
    <w:rsid w:val="00B87A8D"/>
    <w:rsid w:val="00B90A17"/>
    <w:rsid w:val="00B90CED"/>
    <w:rsid w:val="00B91263"/>
    <w:rsid w:val="00B91510"/>
    <w:rsid w:val="00B917DA"/>
    <w:rsid w:val="00B9186F"/>
    <w:rsid w:val="00B926F6"/>
    <w:rsid w:val="00B927E5"/>
    <w:rsid w:val="00B9294F"/>
    <w:rsid w:val="00B93682"/>
    <w:rsid w:val="00B937FB"/>
    <w:rsid w:val="00B93C58"/>
    <w:rsid w:val="00B94E42"/>
    <w:rsid w:val="00B94FF2"/>
    <w:rsid w:val="00B95123"/>
    <w:rsid w:val="00B95EBC"/>
    <w:rsid w:val="00B96446"/>
    <w:rsid w:val="00B969F5"/>
    <w:rsid w:val="00B96A23"/>
    <w:rsid w:val="00B96E25"/>
    <w:rsid w:val="00B975F3"/>
    <w:rsid w:val="00B97A01"/>
    <w:rsid w:val="00B97F1A"/>
    <w:rsid w:val="00BA05A8"/>
    <w:rsid w:val="00BA08B8"/>
    <w:rsid w:val="00BA1347"/>
    <w:rsid w:val="00BA1D99"/>
    <w:rsid w:val="00BA1E11"/>
    <w:rsid w:val="00BA2CBA"/>
    <w:rsid w:val="00BA2F03"/>
    <w:rsid w:val="00BA3CCC"/>
    <w:rsid w:val="00BA42E1"/>
    <w:rsid w:val="00BA4398"/>
    <w:rsid w:val="00BA4F93"/>
    <w:rsid w:val="00BA50BF"/>
    <w:rsid w:val="00BA533C"/>
    <w:rsid w:val="00BA545F"/>
    <w:rsid w:val="00BA60D1"/>
    <w:rsid w:val="00BA6724"/>
    <w:rsid w:val="00BA67FD"/>
    <w:rsid w:val="00BA7839"/>
    <w:rsid w:val="00BA7E25"/>
    <w:rsid w:val="00BB09C7"/>
    <w:rsid w:val="00BB1609"/>
    <w:rsid w:val="00BB1805"/>
    <w:rsid w:val="00BB1DFD"/>
    <w:rsid w:val="00BB28DE"/>
    <w:rsid w:val="00BB2D1A"/>
    <w:rsid w:val="00BB2FD1"/>
    <w:rsid w:val="00BB3890"/>
    <w:rsid w:val="00BB3B42"/>
    <w:rsid w:val="00BB4278"/>
    <w:rsid w:val="00BB4716"/>
    <w:rsid w:val="00BB4BE1"/>
    <w:rsid w:val="00BB5013"/>
    <w:rsid w:val="00BB5A48"/>
    <w:rsid w:val="00BB5DF3"/>
    <w:rsid w:val="00BB5FC8"/>
    <w:rsid w:val="00BB6379"/>
    <w:rsid w:val="00BB66E7"/>
    <w:rsid w:val="00BB6835"/>
    <w:rsid w:val="00BB69A5"/>
    <w:rsid w:val="00BB6CF3"/>
    <w:rsid w:val="00BB70B2"/>
    <w:rsid w:val="00BB71DC"/>
    <w:rsid w:val="00BB734B"/>
    <w:rsid w:val="00BB786A"/>
    <w:rsid w:val="00BB79E7"/>
    <w:rsid w:val="00BC0322"/>
    <w:rsid w:val="00BC0EFB"/>
    <w:rsid w:val="00BC10EB"/>
    <w:rsid w:val="00BC1D22"/>
    <w:rsid w:val="00BC1F8E"/>
    <w:rsid w:val="00BC21EE"/>
    <w:rsid w:val="00BC2662"/>
    <w:rsid w:val="00BC29BF"/>
    <w:rsid w:val="00BC3323"/>
    <w:rsid w:val="00BC3350"/>
    <w:rsid w:val="00BC33AC"/>
    <w:rsid w:val="00BC3B54"/>
    <w:rsid w:val="00BC3DE7"/>
    <w:rsid w:val="00BC4235"/>
    <w:rsid w:val="00BC4BED"/>
    <w:rsid w:val="00BC52D3"/>
    <w:rsid w:val="00BC65D8"/>
    <w:rsid w:val="00BC777B"/>
    <w:rsid w:val="00BD023B"/>
    <w:rsid w:val="00BD0CE8"/>
    <w:rsid w:val="00BD1415"/>
    <w:rsid w:val="00BD15C4"/>
    <w:rsid w:val="00BD1C11"/>
    <w:rsid w:val="00BD20F6"/>
    <w:rsid w:val="00BD300F"/>
    <w:rsid w:val="00BD316B"/>
    <w:rsid w:val="00BD3D29"/>
    <w:rsid w:val="00BD40A8"/>
    <w:rsid w:val="00BD4653"/>
    <w:rsid w:val="00BD477E"/>
    <w:rsid w:val="00BD560B"/>
    <w:rsid w:val="00BD5FBF"/>
    <w:rsid w:val="00BD6475"/>
    <w:rsid w:val="00BD6936"/>
    <w:rsid w:val="00BD69FC"/>
    <w:rsid w:val="00BD6E08"/>
    <w:rsid w:val="00BE0403"/>
    <w:rsid w:val="00BE12FB"/>
    <w:rsid w:val="00BE15E5"/>
    <w:rsid w:val="00BE1D54"/>
    <w:rsid w:val="00BE202C"/>
    <w:rsid w:val="00BE21B6"/>
    <w:rsid w:val="00BE2499"/>
    <w:rsid w:val="00BE24BF"/>
    <w:rsid w:val="00BE2B06"/>
    <w:rsid w:val="00BE31DE"/>
    <w:rsid w:val="00BE3293"/>
    <w:rsid w:val="00BE3A0A"/>
    <w:rsid w:val="00BE3C8A"/>
    <w:rsid w:val="00BE4296"/>
    <w:rsid w:val="00BE42F9"/>
    <w:rsid w:val="00BE4510"/>
    <w:rsid w:val="00BE477C"/>
    <w:rsid w:val="00BE5C95"/>
    <w:rsid w:val="00BE668B"/>
    <w:rsid w:val="00BE6721"/>
    <w:rsid w:val="00BE6780"/>
    <w:rsid w:val="00BE6958"/>
    <w:rsid w:val="00BE695C"/>
    <w:rsid w:val="00BE6A95"/>
    <w:rsid w:val="00BE6DEB"/>
    <w:rsid w:val="00BE7F2C"/>
    <w:rsid w:val="00BF007B"/>
    <w:rsid w:val="00BF0191"/>
    <w:rsid w:val="00BF019F"/>
    <w:rsid w:val="00BF0271"/>
    <w:rsid w:val="00BF06DD"/>
    <w:rsid w:val="00BF0BEB"/>
    <w:rsid w:val="00BF1198"/>
    <w:rsid w:val="00BF12C4"/>
    <w:rsid w:val="00BF12C5"/>
    <w:rsid w:val="00BF15F1"/>
    <w:rsid w:val="00BF1DB0"/>
    <w:rsid w:val="00BF2C0E"/>
    <w:rsid w:val="00BF2C8F"/>
    <w:rsid w:val="00BF3A90"/>
    <w:rsid w:val="00BF3F9F"/>
    <w:rsid w:val="00BF430E"/>
    <w:rsid w:val="00BF46BE"/>
    <w:rsid w:val="00BF4B28"/>
    <w:rsid w:val="00BF531F"/>
    <w:rsid w:val="00BF54E4"/>
    <w:rsid w:val="00BF57E2"/>
    <w:rsid w:val="00BF5E81"/>
    <w:rsid w:val="00BF5F05"/>
    <w:rsid w:val="00BF605B"/>
    <w:rsid w:val="00BF6322"/>
    <w:rsid w:val="00BF65CA"/>
    <w:rsid w:val="00BF6F83"/>
    <w:rsid w:val="00BF7968"/>
    <w:rsid w:val="00BF7A26"/>
    <w:rsid w:val="00BF7FD8"/>
    <w:rsid w:val="00BF7FDC"/>
    <w:rsid w:val="00C0015C"/>
    <w:rsid w:val="00C01123"/>
    <w:rsid w:val="00C0141B"/>
    <w:rsid w:val="00C0184C"/>
    <w:rsid w:val="00C01EE6"/>
    <w:rsid w:val="00C026A8"/>
    <w:rsid w:val="00C02840"/>
    <w:rsid w:val="00C02C0F"/>
    <w:rsid w:val="00C032D8"/>
    <w:rsid w:val="00C0340B"/>
    <w:rsid w:val="00C03440"/>
    <w:rsid w:val="00C034F2"/>
    <w:rsid w:val="00C03A44"/>
    <w:rsid w:val="00C03E1B"/>
    <w:rsid w:val="00C04CDE"/>
    <w:rsid w:val="00C053C3"/>
    <w:rsid w:val="00C05510"/>
    <w:rsid w:val="00C05940"/>
    <w:rsid w:val="00C06525"/>
    <w:rsid w:val="00C067E5"/>
    <w:rsid w:val="00C06B65"/>
    <w:rsid w:val="00C07182"/>
    <w:rsid w:val="00C07618"/>
    <w:rsid w:val="00C10B6C"/>
    <w:rsid w:val="00C1110D"/>
    <w:rsid w:val="00C1145D"/>
    <w:rsid w:val="00C11A50"/>
    <w:rsid w:val="00C12325"/>
    <w:rsid w:val="00C124EE"/>
    <w:rsid w:val="00C127B1"/>
    <w:rsid w:val="00C12905"/>
    <w:rsid w:val="00C133DA"/>
    <w:rsid w:val="00C134B7"/>
    <w:rsid w:val="00C13930"/>
    <w:rsid w:val="00C13BA2"/>
    <w:rsid w:val="00C14537"/>
    <w:rsid w:val="00C1468B"/>
    <w:rsid w:val="00C14E52"/>
    <w:rsid w:val="00C15C0F"/>
    <w:rsid w:val="00C15E87"/>
    <w:rsid w:val="00C170BD"/>
    <w:rsid w:val="00C172F1"/>
    <w:rsid w:val="00C175D0"/>
    <w:rsid w:val="00C20206"/>
    <w:rsid w:val="00C2096B"/>
    <w:rsid w:val="00C209A5"/>
    <w:rsid w:val="00C20B1D"/>
    <w:rsid w:val="00C217DF"/>
    <w:rsid w:val="00C21A8D"/>
    <w:rsid w:val="00C21E2C"/>
    <w:rsid w:val="00C222AB"/>
    <w:rsid w:val="00C22729"/>
    <w:rsid w:val="00C22907"/>
    <w:rsid w:val="00C22D8B"/>
    <w:rsid w:val="00C234AA"/>
    <w:rsid w:val="00C2496B"/>
    <w:rsid w:val="00C24DB0"/>
    <w:rsid w:val="00C267DB"/>
    <w:rsid w:val="00C26A75"/>
    <w:rsid w:val="00C26B1C"/>
    <w:rsid w:val="00C274AA"/>
    <w:rsid w:val="00C274F6"/>
    <w:rsid w:val="00C27E7A"/>
    <w:rsid w:val="00C3001F"/>
    <w:rsid w:val="00C3010E"/>
    <w:rsid w:val="00C30577"/>
    <w:rsid w:val="00C3131C"/>
    <w:rsid w:val="00C3196F"/>
    <w:rsid w:val="00C32449"/>
    <w:rsid w:val="00C32965"/>
    <w:rsid w:val="00C32BA5"/>
    <w:rsid w:val="00C33BCD"/>
    <w:rsid w:val="00C33C83"/>
    <w:rsid w:val="00C34005"/>
    <w:rsid w:val="00C3426D"/>
    <w:rsid w:val="00C34602"/>
    <w:rsid w:val="00C355DB"/>
    <w:rsid w:val="00C357C6"/>
    <w:rsid w:val="00C35804"/>
    <w:rsid w:val="00C362BB"/>
    <w:rsid w:val="00C365A4"/>
    <w:rsid w:val="00C371FB"/>
    <w:rsid w:val="00C375EE"/>
    <w:rsid w:val="00C40531"/>
    <w:rsid w:val="00C4053D"/>
    <w:rsid w:val="00C409F0"/>
    <w:rsid w:val="00C41260"/>
    <w:rsid w:val="00C41644"/>
    <w:rsid w:val="00C41B0E"/>
    <w:rsid w:val="00C41C7D"/>
    <w:rsid w:val="00C4240F"/>
    <w:rsid w:val="00C42AA0"/>
    <w:rsid w:val="00C43339"/>
    <w:rsid w:val="00C435BF"/>
    <w:rsid w:val="00C444B9"/>
    <w:rsid w:val="00C44ADA"/>
    <w:rsid w:val="00C4508E"/>
    <w:rsid w:val="00C45A57"/>
    <w:rsid w:val="00C46039"/>
    <w:rsid w:val="00C46060"/>
    <w:rsid w:val="00C461AE"/>
    <w:rsid w:val="00C4684D"/>
    <w:rsid w:val="00C46C7B"/>
    <w:rsid w:val="00C47378"/>
    <w:rsid w:val="00C47B9D"/>
    <w:rsid w:val="00C50193"/>
    <w:rsid w:val="00C50400"/>
    <w:rsid w:val="00C50711"/>
    <w:rsid w:val="00C5080C"/>
    <w:rsid w:val="00C509B1"/>
    <w:rsid w:val="00C50E98"/>
    <w:rsid w:val="00C5124B"/>
    <w:rsid w:val="00C51505"/>
    <w:rsid w:val="00C51A88"/>
    <w:rsid w:val="00C51B6F"/>
    <w:rsid w:val="00C51C32"/>
    <w:rsid w:val="00C51E4D"/>
    <w:rsid w:val="00C5202C"/>
    <w:rsid w:val="00C523C6"/>
    <w:rsid w:val="00C525BA"/>
    <w:rsid w:val="00C52D46"/>
    <w:rsid w:val="00C53065"/>
    <w:rsid w:val="00C531A2"/>
    <w:rsid w:val="00C53AFE"/>
    <w:rsid w:val="00C53DAF"/>
    <w:rsid w:val="00C54204"/>
    <w:rsid w:val="00C549BB"/>
    <w:rsid w:val="00C555F7"/>
    <w:rsid w:val="00C55AD7"/>
    <w:rsid w:val="00C55D26"/>
    <w:rsid w:val="00C55EF8"/>
    <w:rsid w:val="00C56446"/>
    <w:rsid w:val="00C57716"/>
    <w:rsid w:val="00C577A7"/>
    <w:rsid w:val="00C57B4F"/>
    <w:rsid w:val="00C60069"/>
    <w:rsid w:val="00C60863"/>
    <w:rsid w:val="00C61199"/>
    <w:rsid w:val="00C623DD"/>
    <w:rsid w:val="00C62766"/>
    <w:rsid w:val="00C6285D"/>
    <w:rsid w:val="00C62DDA"/>
    <w:rsid w:val="00C62F12"/>
    <w:rsid w:val="00C62FD4"/>
    <w:rsid w:val="00C63110"/>
    <w:rsid w:val="00C634AB"/>
    <w:rsid w:val="00C639E3"/>
    <w:rsid w:val="00C63AB6"/>
    <w:rsid w:val="00C640E3"/>
    <w:rsid w:val="00C64556"/>
    <w:rsid w:val="00C64972"/>
    <w:rsid w:val="00C64D4E"/>
    <w:rsid w:val="00C64DE2"/>
    <w:rsid w:val="00C6536D"/>
    <w:rsid w:val="00C654AE"/>
    <w:rsid w:val="00C655E9"/>
    <w:rsid w:val="00C6588E"/>
    <w:rsid w:val="00C65C6E"/>
    <w:rsid w:val="00C65D16"/>
    <w:rsid w:val="00C65F82"/>
    <w:rsid w:val="00C6676F"/>
    <w:rsid w:val="00C668AC"/>
    <w:rsid w:val="00C66CFC"/>
    <w:rsid w:val="00C66F8A"/>
    <w:rsid w:val="00C6719E"/>
    <w:rsid w:val="00C678F9"/>
    <w:rsid w:val="00C67FC1"/>
    <w:rsid w:val="00C7005B"/>
    <w:rsid w:val="00C702D0"/>
    <w:rsid w:val="00C70563"/>
    <w:rsid w:val="00C71292"/>
    <w:rsid w:val="00C71484"/>
    <w:rsid w:val="00C716CA"/>
    <w:rsid w:val="00C7198B"/>
    <w:rsid w:val="00C71EDB"/>
    <w:rsid w:val="00C72305"/>
    <w:rsid w:val="00C72F19"/>
    <w:rsid w:val="00C735A7"/>
    <w:rsid w:val="00C7366A"/>
    <w:rsid w:val="00C747B2"/>
    <w:rsid w:val="00C74C7E"/>
    <w:rsid w:val="00C75072"/>
    <w:rsid w:val="00C75173"/>
    <w:rsid w:val="00C754D1"/>
    <w:rsid w:val="00C75E1E"/>
    <w:rsid w:val="00C761C0"/>
    <w:rsid w:val="00C762E4"/>
    <w:rsid w:val="00C76B36"/>
    <w:rsid w:val="00C76FAC"/>
    <w:rsid w:val="00C778FB"/>
    <w:rsid w:val="00C77EA7"/>
    <w:rsid w:val="00C802FB"/>
    <w:rsid w:val="00C80A4E"/>
    <w:rsid w:val="00C81C00"/>
    <w:rsid w:val="00C81CDA"/>
    <w:rsid w:val="00C82856"/>
    <w:rsid w:val="00C82F64"/>
    <w:rsid w:val="00C83486"/>
    <w:rsid w:val="00C84120"/>
    <w:rsid w:val="00C8449B"/>
    <w:rsid w:val="00C84556"/>
    <w:rsid w:val="00C84782"/>
    <w:rsid w:val="00C849D4"/>
    <w:rsid w:val="00C84C4D"/>
    <w:rsid w:val="00C8566F"/>
    <w:rsid w:val="00C859AE"/>
    <w:rsid w:val="00C862E1"/>
    <w:rsid w:val="00C865D7"/>
    <w:rsid w:val="00C8695C"/>
    <w:rsid w:val="00C8735A"/>
    <w:rsid w:val="00C8789A"/>
    <w:rsid w:val="00C87C43"/>
    <w:rsid w:val="00C87D72"/>
    <w:rsid w:val="00C900EA"/>
    <w:rsid w:val="00C90159"/>
    <w:rsid w:val="00C903B8"/>
    <w:rsid w:val="00C90688"/>
    <w:rsid w:val="00C90E7F"/>
    <w:rsid w:val="00C90FB1"/>
    <w:rsid w:val="00C91504"/>
    <w:rsid w:val="00C91FC1"/>
    <w:rsid w:val="00C92ADF"/>
    <w:rsid w:val="00C93231"/>
    <w:rsid w:val="00C933AD"/>
    <w:rsid w:val="00C9382E"/>
    <w:rsid w:val="00C93B0E"/>
    <w:rsid w:val="00C93E9C"/>
    <w:rsid w:val="00C94253"/>
    <w:rsid w:val="00C94276"/>
    <w:rsid w:val="00C94E1E"/>
    <w:rsid w:val="00C95EE5"/>
    <w:rsid w:val="00C95EF4"/>
    <w:rsid w:val="00C96284"/>
    <w:rsid w:val="00C96673"/>
    <w:rsid w:val="00C96CEA"/>
    <w:rsid w:val="00C979D0"/>
    <w:rsid w:val="00CA01B6"/>
    <w:rsid w:val="00CA0CB9"/>
    <w:rsid w:val="00CA1A6D"/>
    <w:rsid w:val="00CA276E"/>
    <w:rsid w:val="00CA3279"/>
    <w:rsid w:val="00CA3336"/>
    <w:rsid w:val="00CA3353"/>
    <w:rsid w:val="00CA3B2A"/>
    <w:rsid w:val="00CA3F30"/>
    <w:rsid w:val="00CA410E"/>
    <w:rsid w:val="00CA447E"/>
    <w:rsid w:val="00CA461B"/>
    <w:rsid w:val="00CA480E"/>
    <w:rsid w:val="00CA49A5"/>
    <w:rsid w:val="00CA553A"/>
    <w:rsid w:val="00CA5B73"/>
    <w:rsid w:val="00CA7922"/>
    <w:rsid w:val="00CA79C9"/>
    <w:rsid w:val="00CA79ED"/>
    <w:rsid w:val="00CA7B96"/>
    <w:rsid w:val="00CA7CE9"/>
    <w:rsid w:val="00CA7DC1"/>
    <w:rsid w:val="00CA7EB2"/>
    <w:rsid w:val="00CB01BA"/>
    <w:rsid w:val="00CB0452"/>
    <w:rsid w:val="00CB0CDF"/>
    <w:rsid w:val="00CB0FE7"/>
    <w:rsid w:val="00CB14AE"/>
    <w:rsid w:val="00CB1DDE"/>
    <w:rsid w:val="00CB233B"/>
    <w:rsid w:val="00CB27FD"/>
    <w:rsid w:val="00CB28BF"/>
    <w:rsid w:val="00CB2C35"/>
    <w:rsid w:val="00CB313F"/>
    <w:rsid w:val="00CB3760"/>
    <w:rsid w:val="00CB3E9A"/>
    <w:rsid w:val="00CB528D"/>
    <w:rsid w:val="00CB5829"/>
    <w:rsid w:val="00CB5E27"/>
    <w:rsid w:val="00CB62F5"/>
    <w:rsid w:val="00CB635C"/>
    <w:rsid w:val="00CB6393"/>
    <w:rsid w:val="00CB6401"/>
    <w:rsid w:val="00CB7321"/>
    <w:rsid w:val="00CB770B"/>
    <w:rsid w:val="00CB7C36"/>
    <w:rsid w:val="00CB7E0A"/>
    <w:rsid w:val="00CC00BC"/>
    <w:rsid w:val="00CC0249"/>
    <w:rsid w:val="00CC0BB3"/>
    <w:rsid w:val="00CC0EF2"/>
    <w:rsid w:val="00CC159F"/>
    <w:rsid w:val="00CC167E"/>
    <w:rsid w:val="00CC1C4C"/>
    <w:rsid w:val="00CC1D24"/>
    <w:rsid w:val="00CC294A"/>
    <w:rsid w:val="00CC2A74"/>
    <w:rsid w:val="00CC2F30"/>
    <w:rsid w:val="00CC3027"/>
    <w:rsid w:val="00CC3B1B"/>
    <w:rsid w:val="00CC3F10"/>
    <w:rsid w:val="00CC421B"/>
    <w:rsid w:val="00CC48C0"/>
    <w:rsid w:val="00CC4979"/>
    <w:rsid w:val="00CC4FFB"/>
    <w:rsid w:val="00CC50B1"/>
    <w:rsid w:val="00CC5AFA"/>
    <w:rsid w:val="00CC5CAD"/>
    <w:rsid w:val="00CC6614"/>
    <w:rsid w:val="00CC674B"/>
    <w:rsid w:val="00CC6D51"/>
    <w:rsid w:val="00CC6F3C"/>
    <w:rsid w:val="00CC7545"/>
    <w:rsid w:val="00CC7817"/>
    <w:rsid w:val="00CC7DF2"/>
    <w:rsid w:val="00CC7F09"/>
    <w:rsid w:val="00CD0449"/>
    <w:rsid w:val="00CD06E2"/>
    <w:rsid w:val="00CD07AC"/>
    <w:rsid w:val="00CD0D24"/>
    <w:rsid w:val="00CD0E93"/>
    <w:rsid w:val="00CD1906"/>
    <w:rsid w:val="00CD1BC6"/>
    <w:rsid w:val="00CD27EE"/>
    <w:rsid w:val="00CD39AD"/>
    <w:rsid w:val="00CD3CD1"/>
    <w:rsid w:val="00CD3F8F"/>
    <w:rsid w:val="00CD4066"/>
    <w:rsid w:val="00CD461C"/>
    <w:rsid w:val="00CD4CFE"/>
    <w:rsid w:val="00CD4DCA"/>
    <w:rsid w:val="00CD4FF3"/>
    <w:rsid w:val="00CD5442"/>
    <w:rsid w:val="00CD5BFA"/>
    <w:rsid w:val="00CD5E76"/>
    <w:rsid w:val="00CD6343"/>
    <w:rsid w:val="00CD69E4"/>
    <w:rsid w:val="00CD6F05"/>
    <w:rsid w:val="00CD7168"/>
    <w:rsid w:val="00CD72DE"/>
    <w:rsid w:val="00CD7B29"/>
    <w:rsid w:val="00CE005A"/>
    <w:rsid w:val="00CE0816"/>
    <w:rsid w:val="00CE0C83"/>
    <w:rsid w:val="00CE10BD"/>
    <w:rsid w:val="00CE1207"/>
    <w:rsid w:val="00CE1568"/>
    <w:rsid w:val="00CE1F17"/>
    <w:rsid w:val="00CE2369"/>
    <w:rsid w:val="00CE290A"/>
    <w:rsid w:val="00CE2EFA"/>
    <w:rsid w:val="00CE390E"/>
    <w:rsid w:val="00CE39CD"/>
    <w:rsid w:val="00CE3DF3"/>
    <w:rsid w:val="00CE566B"/>
    <w:rsid w:val="00CE61C6"/>
    <w:rsid w:val="00CE6AD2"/>
    <w:rsid w:val="00CE7C82"/>
    <w:rsid w:val="00CE7E9E"/>
    <w:rsid w:val="00CE7F13"/>
    <w:rsid w:val="00CE7F57"/>
    <w:rsid w:val="00CF26BF"/>
    <w:rsid w:val="00CF2EFC"/>
    <w:rsid w:val="00CF31BE"/>
    <w:rsid w:val="00CF33A8"/>
    <w:rsid w:val="00CF3DBE"/>
    <w:rsid w:val="00CF3FB2"/>
    <w:rsid w:val="00CF41F5"/>
    <w:rsid w:val="00CF42EA"/>
    <w:rsid w:val="00CF5161"/>
    <w:rsid w:val="00CF5FE0"/>
    <w:rsid w:val="00CF66A7"/>
    <w:rsid w:val="00CF687B"/>
    <w:rsid w:val="00CF6B2A"/>
    <w:rsid w:val="00CF6C16"/>
    <w:rsid w:val="00CF6E10"/>
    <w:rsid w:val="00CF72A3"/>
    <w:rsid w:val="00CF7459"/>
    <w:rsid w:val="00CF7F05"/>
    <w:rsid w:val="00D004BE"/>
    <w:rsid w:val="00D00DBC"/>
    <w:rsid w:val="00D01ADF"/>
    <w:rsid w:val="00D01D1D"/>
    <w:rsid w:val="00D01D4B"/>
    <w:rsid w:val="00D020CF"/>
    <w:rsid w:val="00D02156"/>
    <w:rsid w:val="00D03158"/>
    <w:rsid w:val="00D03586"/>
    <w:rsid w:val="00D03B28"/>
    <w:rsid w:val="00D03D80"/>
    <w:rsid w:val="00D0408F"/>
    <w:rsid w:val="00D04B00"/>
    <w:rsid w:val="00D0517E"/>
    <w:rsid w:val="00D05553"/>
    <w:rsid w:val="00D056AA"/>
    <w:rsid w:val="00D05726"/>
    <w:rsid w:val="00D05D3F"/>
    <w:rsid w:val="00D05EFD"/>
    <w:rsid w:val="00D06CE4"/>
    <w:rsid w:val="00D072BA"/>
    <w:rsid w:val="00D075C6"/>
    <w:rsid w:val="00D07A5C"/>
    <w:rsid w:val="00D07D72"/>
    <w:rsid w:val="00D10436"/>
    <w:rsid w:val="00D10AF5"/>
    <w:rsid w:val="00D10B79"/>
    <w:rsid w:val="00D113F9"/>
    <w:rsid w:val="00D1152B"/>
    <w:rsid w:val="00D11A7F"/>
    <w:rsid w:val="00D122DC"/>
    <w:rsid w:val="00D127D8"/>
    <w:rsid w:val="00D12C48"/>
    <w:rsid w:val="00D12FE9"/>
    <w:rsid w:val="00D13650"/>
    <w:rsid w:val="00D13651"/>
    <w:rsid w:val="00D14F62"/>
    <w:rsid w:val="00D14FB9"/>
    <w:rsid w:val="00D1588F"/>
    <w:rsid w:val="00D15A4E"/>
    <w:rsid w:val="00D15DCE"/>
    <w:rsid w:val="00D16266"/>
    <w:rsid w:val="00D16AD7"/>
    <w:rsid w:val="00D17211"/>
    <w:rsid w:val="00D17671"/>
    <w:rsid w:val="00D176EB"/>
    <w:rsid w:val="00D17DFC"/>
    <w:rsid w:val="00D17F97"/>
    <w:rsid w:val="00D20157"/>
    <w:rsid w:val="00D2062C"/>
    <w:rsid w:val="00D20E6E"/>
    <w:rsid w:val="00D213E9"/>
    <w:rsid w:val="00D2158E"/>
    <w:rsid w:val="00D21934"/>
    <w:rsid w:val="00D22692"/>
    <w:rsid w:val="00D22D7E"/>
    <w:rsid w:val="00D2321E"/>
    <w:rsid w:val="00D233AF"/>
    <w:rsid w:val="00D24467"/>
    <w:rsid w:val="00D2458D"/>
    <w:rsid w:val="00D2474D"/>
    <w:rsid w:val="00D2488C"/>
    <w:rsid w:val="00D24DFF"/>
    <w:rsid w:val="00D25205"/>
    <w:rsid w:val="00D256B3"/>
    <w:rsid w:val="00D25DB1"/>
    <w:rsid w:val="00D25E5B"/>
    <w:rsid w:val="00D26F08"/>
    <w:rsid w:val="00D271F9"/>
    <w:rsid w:val="00D277B5"/>
    <w:rsid w:val="00D30E72"/>
    <w:rsid w:val="00D31296"/>
    <w:rsid w:val="00D3165E"/>
    <w:rsid w:val="00D31709"/>
    <w:rsid w:val="00D31C1C"/>
    <w:rsid w:val="00D32533"/>
    <w:rsid w:val="00D32845"/>
    <w:rsid w:val="00D33015"/>
    <w:rsid w:val="00D3318A"/>
    <w:rsid w:val="00D33270"/>
    <w:rsid w:val="00D33B6C"/>
    <w:rsid w:val="00D33E2A"/>
    <w:rsid w:val="00D34444"/>
    <w:rsid w:val="00D3454C"/>
    <w:rsid w:val="00D34F12"/>
    <w:rsid w:val="00D35307"/>
    <w:rsid w:val="00D35541"/>
    <w:rsid w:val="00D35DC0"/>
    <w:rsid w:val="00D360CE"/>
    <w:rsid w:val="00D36567"/>
    <w:rsid w:val="00D36AB3"/>
    <w:rsid w:val="00D37D4B"/>
    <w:rsid w:val="00D37F45"/>
    <w:rsid w:val="00D40058"/>
    <w:rsid w:val="00D406F1"/>
    <w:rsid w:val="00D40919"/>
    <w:rsid w:val="00D40DDD"/>
    <w:rsid w:val="00D40E6D"/>
    <w:rsid w:val="00D4105E"/>
    <w:rsid w:val="00D41819"/>
    <w:rsid w:val="00D424B7"/>
    <w:rsid w:val="00D4266D"/>
    <w:rsid w:val="00D42A77"/>
    <w:rsid w:val="00D42E24"/>
    <w:rsid w:val="00D4300A"/>
    <w:rsid w:val="00D437FB"/>
    <w:rsid w:val="00D43B4D"/>
    <w:rsid w:val="00D4473E"/>
    <w:rsid w:val="00D45503"/>
    <w:rsid w:val="00D458D8"/>
    <w:rsid w:val="00D45AF6"/>
    <w:rsid w:val="00D46107"/>
    <w:rsid w:val="00D47706"/>
    <w:rsid w:val="00D47FCD"/>
    <w:rsid w:val="00D5069A"/>
    <w:rsid w:val="00D50854"/>
    <w:rsid w:val="00D50899"/>
    <w:rsid w:val="00D50B65"/>
    <w:rsid w:val="00D51C3D"/>
    <w:rsid w:val="00D51DB4"/>
    <w:rsid w:val="00D52589"/>
    <w:rsid w:val="00D525EE"/>
    <w:rsid w:val="00D52C7C"/>
    <w:rsid w:val="00D52E57"/>
    <w:rsid w:val="00D52E9D"/>
    <w:rsid w:val="00D535AE"/>
    <w:rsid w:val="00D53B87"/>
    <w:rsid w:val="00D53E33"/>
    <w:rsid w:val="00D54158"/>
    <w:rsid w:val="00D547BF"/>
    <w:rsid w:val="00D54E15"/>
    <w:rsid w:val="00D5688B"/>
    <w:rsid w:val="00D56B18"/>
    <w:rsid w:val="00D56C08"/>
    <w:rsid w:val="00D572DA"/>
    <w:rsid w:val="00D5731D"/>
    <w:rsid w:val="00D60B29"/>
    <w:rsid w:val="00D60DAA"/>
    <w:rsid w:val="00D61637"/>
    <w:rsid w:val="00D61776"/>
    <w:rsid w:val="00D61AFF"/>
    <w:rsid w:val="00D625E0"/>
    <w:rsid w:val="00D626F2"/>
    <w:rsid w:val="00D630DE"/>
    <w:rsid w:val="00D63234"/>
    <w:rsid w:val="00D63D53"/>
    <w:rsid w:val="00D64B00"/>
    <w:rsid w:val="00D65429"/>
    <w:rsid w:val="00D6654E"/>
    <w:rsid w:val="00D66BE6"/>
    <w:rsid w:val="00D66D74"/>
    <w:rsid w:val="00D6749E"/>
    <w:rsid w:val="00D67916"/>
    <w:rsid w:val="00D67A2D"/>
    <w:rsid w:val="00D67B41"/>
    <w:rsid w:val="00D703DA"/>
    <w:rsid w:val="00D70611"/>
    <w:rsid w:val="00D707AD"/>
    <w:rsid w:val="00D708C8"/>
    <w:rsid w:val="00D70961"/>
    <w:rsid w:val="00D70FDD"/>
    <w:rsid w:val="00D71CEC"/>
    <w:rsid w:val="00D72181"/>
    <w:rsid w:val="00D72354"/>
    <w:rsid w:val="00D7396F"/>
    <w:rsid w:val="00D73A5C"/>
    <w:rsid w:val="00D73B54"/>
    <w:rsid w:val="00D746C4"/>
    <w:rsid w:val="00D7492A"/>
    <w:rsid w:val="00D7523E"/>
    <w:rsid w:val="00D75F97"/>
    <w:rsid w:val="00D7636B"/>
    <w:rsid w:val="00D76470"/>
    <w:rsid w:val="00D76684"/>
    <w:rsid w:val="00D769DA"/>
    <w:rsid w:val="00D76A33"/>
    <w:rsid w:val="00D778FE"/>
    <w:rsid w:val="00D77926"/>
    <w:rsid w:val="00D77975"/>
    <w:rsid w:val="00D77F9B"/>
    <w:rsid w:val="00D80E52"/>
    <w:rsid w:val="00D81237"/>
    <w:rsid w:val="00D81AF1"/>
    <w:rsid w:val="00D81CFE"/>
    <w:rsid w:val="00D8259A"/>
    <w:rsid w:val="00D82941"/>
    <w:rsid w:val="00D82CE8"/>
    <w:rsid w:val="00D83540"/>
    <w:rsid w:val="00D836AE"/>
    <w:rsid w:val="00D839A3"/>
    <w:rsid w:val="00D83B54"/>
    <w:rsid w:val="00D843D7"/>
    <w:rsid w:val="00D84BBC"/>
    <w:rsid w:val="00D84E4B"/>
    <w:rsid w:val="00D850AD"/>
    <w:rsid w:val="00D85267"/>
    <w:rsid w:val="00D860C0"/>
    <w:rsid w:val="00D86993"/>
    <w:rsid w:val="00D87478"/>
    <w:rsid w:val="00D8752A"/>
    <w:rsid w:val="00D90234"/>
    <w:rsid w:val="00D90345"/>
    <w:rsid w:val="00D9046E"/>
    <w:rsid w:val="00D906AD"/>
    <w:rsid w:val="00D916F0"/>
    <w:rsid w:val="00D91E5E"/>
    <w:rsid w:val="00D921A5"/>
    <w:rsid w:val="00D9220F"/>
    <w:rsid w:val="00D92477"/>
    <w:rsid w:val="00D92A4E"/>
    <w:rsid w:val="00D92B8B"/>
    <w:rsid w:val="00D92E2D"/>
    <w:rsid w:val="00D93706"/>
    <w:rsid w:val="00D93731"/>
    <w:rsid w:val="00D93C1E"/>
    <w:rsid w:val="00D94457"/>
    <w:rsid w:val="00D945B4"/>
    <w:rsid w:val="00D948DD"/>
    <w:rsid w:val="00D94B58"/>
    <w:rsid w:val="00D94BD8"/>
    <w:rsid w:val="00D94D33"/>
    <w:rsid w:val="00D94D81"/>
    <w:rsid w:val="00D94ECB"/>
    <w:rsid w:val="00D95387"/>
    <w:rsid w:val="00D95576"/>
    <w:rsid w:val="00D959EC"/>
    <w:rsid w:val="00D95BB2"/>
    <w:rsid w:val="00D971ED"/>
    <w:rsid w:val="00D978C0"/>
    <w:rsid w:val="00D97D5E"/>
    <w:rsid w:val="00DA02EB"/>
    <w:rsid w:val="00DA0C50"/>
    <w:rsid w:val="00DA0E6C"/>
    <w:rsid w:val="00DA123E"/>
    <w:rsid w:val="00DA2DBF"/>
    <w:rsid w:val="00DA3016"/>
    <w:rsid w:val="00DA3111"/>
    <w:rsid w:val="00DA4017"/>
    <w:rsid w:val="00DA4038"/>
    <w:rsid w:val="00DA45DD"/>
    <w:rsid w:val="00DA4B1A"/>
    <w:rsid w:val="00DA4B64"/>
    <w:rsid w:val="00DA4F25"/>
    <w:rsid w:val="00DA4F96"/>
    <w:rsid w:val="00DA5B94"/>
    <w:rsid w:val="00DA620B"/>
    <w:rsid w:val="00DA6358"/>
    <w:rsid w:val="00DA65AF"/>
    <w:rsid w:val="00DA6B78"/>
    <w:rsid w:val="00DA72DC"/>
    <w:rsid w:val="00DA75A3"/>
    <w:rsid w:val="00DB033D"/>
    <w:rsid w:val="00DB075C"/>
    <w:rsid w:val="00DB1299"/>
    <w:rsid w:val="00DB1694"/>
    <w:rsid w:val="00DB16ED"/>
    <w:rsid w:val="00DB3767"/>
    <w:rsid w:val="00DB39B7"/>
    <w:rsid w:val="00DB3C8A"/>
    <w:rsid w:val="00DB3D2D"/>
    <w:rsid w:val="00DB4361"/>
    <w:rsid w:val="00DB43BC"/>
    <w:rsid w:val="00DB4A81"/>
    <w:rsid w:val="00DB4FCF"/>
    <w:rsid w:val="00DB52FD"/>
    <w:rsid w:val="00DB5375"/>
    <w:rsid w:val="00DB5C76"/>
    <w:rsid w:val="00DB6935"/>
    <w:rsid w:val="00DB74C3"/>
    <w:rsid w:val="00DB75C3"/>
    <w:rsid w:val="00DB777F"/>
    <w:rsid w:val="00DC0159"/>
    <w:rsid w:val="00DC0500"/>
    <w:rsid w:val="00DC0829"/>
    <w:rsid w:val="00DC13C2"/>
    <w:rsid w:val="00DC22B0"/>
    <w:rsid w:val="00DC23E4"/>
    <w:rsid w:val="00DC2531"/>
    <w:rsid w:val="00DC2859"/>
    <w:rsid w:val="00DC2ED4"/>
    <w:rsid w:val="00DC3150"/>
    <w:rsid w:val="00DC3271"/>
    <w:rsid w:val="00DC3F16"/>
    <w:rsid w:val="00DC4E97"/>
    <w:rsid w:val="00DC5090"/>
    <w:rsid w:val="00DC66A7"/>
    <w:rsid w:val="00DC6BA9"/>
    <w:rsid w:val="00DC6C08"/>
    <w:rsid w:val="00DC6C0E"/>
    <w:rsid w:val="00DC7A37"/>
    <w:rsid w:val="00DC7C4B"/>
    <w:rsid w:val="00DD012D"/>
    <w:rsid w:val="00DD03FA"/>
    <w:rsid w:val="00DD0704"/>
    <w:rsid w:val="00DD081C"/>
    <w:rsid w:val="00DD092C"/>
    <w:rsid w:val="00DD1675"/>
    <w:rsid w:val="00DD1854"/>
    <w:rsid w:val="00DD1A80"/>
    <w:rsid w:val="00DD2B27"/>
    <w:rsid w:val="00DD2B9F"/>
    <w:rsid w:val="00DD2D91"/>
    <w:rsid w:val="00DD2F32"/>
    <w:rsid w:val="00DD3483"/>
    <w:rsid w:val="00DD3783"/>
    <w:rsid w:val="00DD46EB"/>
    <w:rsid w:val="00DD4C0E"/>
    <w:rsid w:val="00DD57CC"/>
    <w:rsid w:val="00DD5F28"/>
    <w:rsid w:val="00DD69DD"/>
    <w:rsid w:val="00DD6D90"/>
    <w:rsid w:val="00DD7033"/>
    <w:rsid w:val="00DD71B2"/>
    <w:rsid w:val="00DD770D"/>
    <w:rsid w:val="00DD776A"/>
    <w:rsid w:val="00DD7AA2"/>
    <w:rsid w:val="00DD7D9A"/>
    <w:rsid w:val="00DE003E"/>
    <w:rsid w:val="00DE0466"/>
    <w:rsid w:val="00DE05EF"/>
    <w:rsid w:val="00DE0FD4"/>
    <w:rsid w:val="00DE122C"/>
    <w:rsid w:val="00DE261E"/>
    <w:rsid w:val="00DE2678"/>
    <w:rsid w:val="00DE29EF"/>
    <w:rsid w:val="00DE2F79"/>
    <w:rsid w:val="00DE35DB"/>
    <w:rsid w:val="00DE3FA2"/>
    <w:rsid w:val="00DE40C5"/>
    <w:rsid w:val="00DE44DB"/>
    <w:rsid w:val="00DE4505"/>
    <w:rsid w:val="00DE5D00"/>
    <w:rsid w:val="00DE6051"/>
    <w:rsid w:val="00DE6315"/>
    <w:rsid w:val="00DE6C29"/>
    <w:rsid w:val="00DE6E0B"/>
    <w:rsid w:val="00DE7144"/>
    <w:rsid w:val="00DE7410"/>
    <w:rsid w:val="00DE74F4"/>
    <w:rsid w:val="00DF003F"/>
    <w:rsid w:val="00DF0B3A"/>
    <w:rsid w:val="00DF0BBB"/>
    <w:rsid w:val="00DF0F70"/>
    <w:rsid w:val="00DF122F"/>
    <w:rsid w:val="00DF1468"/>
    <w:rsid w:val="00DF18A5"/>
    <w:rsid w:val="00DF1B53"/>
    <w:rsid w:val="00DF1E1F"/>
    <w:rsid w:val="00DF2128"/>
    <w:rsid w:val="00DF23B8"/>
    <w:rsid w:val="00DF26A1"/>
    <w:rsid w:val="00DF2E1A"/>
    <w:rsid w:val="00DF3561"/>
    <w:rsid w:val="00DF3569"/>
    <w:rsid w:val="00DF4266"/>
    <w:rsid w:val="00DF4F68"/>
    <w:rsid w:val="00DF4FD1"/>
    <w:rsid w:val="00DF509B"/>
    <w:rsid w:val="00DF56D9"/>
    <w:rsid w:val="00DF5C3E"/>
    <w:rsid w:val="00DF6352"/>
    <w:rsid w:val="00DF64FE"/>
    <w:rsid w:val="00DF65FD"/>
    <w:rsid w:val="00DF7B70"/>
    <w:rsid w:val="00E002C9"/>
    <w:rsid w:val="00E01473"/>
    <w:rsid w:val="00E025B4"/>
    <w:rsid w:val="00E02ECD"/>
    <w:rsid w:val="00E03B19"/>
    <w:rsid w:val="00E0426D"/>
    <w:rsid w:val="00E04B04"/>
    <w:rsid w:val="00E04D4C"/>
    <w:rsid w:val="00E050AD"/>
    <w:rsid w:val="00E050E1"/>
    <w:rsid w:val="00E0515F"/>
    <w:rsid w:val="00E0546A"/>
    <w:rsid w:val="00E05CD5"/>
    <w:rsid w:val="00E068E0"/>
    <w:rsid w:val="00E068F2"/>
    <w:rsid w:val="00E0791A"/>
    <w:rsid w:val="00E07F33"/>
    <w:rsid w:val="00E105FF"/>
    <w:rsid w:val="00E10925"/>
    <w:rsid w:val="00E10AC8"/>
    <w:rsid w:val="00E10F0F"/>
    <w:rsid w:val="00E110B4"/>
    <w:rsid w:val="00E117AF"/>
    <w:rsid w:val="00E11B27"/>
    <w:rsid w:val="00E11EBB"/>
    <w:rsid w:val="00E12427"/>
    <w:rsid w:val="00E126A5"/>
    <w:rsid w:val="00E13B34"/>
    <w:rsid w:val="00E148B4"/>
    <w:rsid w:val="00E14A98"/>
    <w:rsid w:val="00E14BF8"/>
    <w:rsid w:val="00E14D3A"/>
    <w:rsid w:val="00E15835"/>
    <w:rsid w:val="00E1655A"/>
    <w:rsid w:val="00E17044"/>
    <w:rsid w:val="00E17068"/>
    <w:rsid w:val="00E1724A"/>
    <w:rsid w:val="00E179F8"/>
    <w:rsid w:val="00E20282"/>
    <w:rsid w:val="00E2028B"/>
    <w:rsid w:val="00E20CE7"/>
    <w:rsid w:val="00E20D03"/>
    <w:rsid w:val="00E21329"/>
    <w:rsid w:val="00E21410"/>
    <w:rsid w:val="00E216A6"/>
    <w:rsid w:val="00E21C5D"/>
    <w:rsid w:val="00E21CFF"/>
    <w:rsid w:val="00E22552"/>
    <w:rsid w:val="00E22A97"/>
    <w:rsid w:val="00E22DF4"/>
    <w:rsid w:val="00E23078"/>
    <w:rsid w:val="00E23681"/>
    <w:rsid w:val="00E23BDD"/>
    <w:rsid w:val="00E23D51"/>
    <w:rsid w:val="00E2455A"/>
    <w:rsid w:val="00E247C8"/>
    <w:rsid w:val="00E24B43"/>
    <w:rsid w:val="00E24B55"/>
    <w:rsid w:val="00E25690"/>
    <w:rsid w:val="00E25B04"/>
    <w:rsid w:val="00E25CE7"/>
    <w:rsid w:val="00E2671B"/>
    <w:rsid w:val="00E2698C"/>
    <w:rsid w:val="00E2749E"/>
    <w:rsid w:val="00E300D6"/>
    <w:rsid w:val="00E302B9"/>
    <w:rsid w:val="00E30BE6"/>
    <w:rsid w:val="00E31343"/>
    <w:rsid w:val="00E31675"/>
    <w:rsid w:val="00E31C0F"/>
    <w:rsid w:val="00E31E51"/>
    <w:rsid w:val="00E329C5"/>
    <w:rsid w:val="00E32AC5"/>
    <w:rsid w:val="00E332F7"/>
    <w:rsid w:val="00E33E03"/>
    <w:rsid w:val="00E34A7B"/>
    <w:rsid w:val="00E34D90"/>
    <w:rsid w:val="00E35083"/>
    <w:rsid w:val="00E355FF"/>
    <w:rsid w:val="00E35873"/>
    <w:rsid w:val="00E35B18"/>
    <w:rsid w:val="00E363E9"/>
    <w:rsid w:val="00E36759"/>
    <w:rsid w:val="00E36812"/>
    <w:rsid w:val="00E369F3"/>
    <w:rsid w:val="00E36F79"/>
    <w:rsid w:val="00E371F9"/>
    <w:rsid w:val="00E374E0"/>
    <w:rsid w:val="00E37780"/>
    <w:rsid w:val="00E40136"/>
    <w:rsid w:val="00E40E75"/>
    <w:rsid w:val="00E41176"/>
    <w:rsid w:val="00E4145F"/>
    <w:rsid w:val="00E41460"/>
    <w:rsid w:val="00E42142"/>
    <w:rsid w:val="00E42691"/>
    <w:rsid w:val="00E42B24"/>
    <w:rsid w:val="00E42D0A"/>
    <w:rsid w:val="00E43278"/>
    <w:rsid w:val="00E43976"/>
    <w:rsid w:val="00E43AB1"/>
    <w:rsid w:val="00E442E5"/>
    <w:rsid w:val="00E442FA"/>
    <w:rsid w:val="00E44B4C"/>
    <w:rsid w:val="00E454B7"/>
    <w:rsid w:val="00E46026"/>
    <w:rsid w:val="00E46FB6"/>
    <w:rsid w:val="00E471C5"/>
    <w:rsid w:val="00E47430"/>
    <w:rsid w:val="00E4775F"/>
    <w:rsid w:val="00E50484"/>
    <w:rsid w:val="00E520B9"/>
    <w:rsid w:val="00E52258"/>
    <w:rsid w:val="00E523F8"/>
    <w:rsid w:val="00E52677"/>
    <w:rsid w:val="00E52A0B"/>
    <w:rsid w:val="00E530DD"/>
    <w:rsid w:val="00E531FF"/>
    <w:rsid w:val="00E53B54"/>
    <w:rsid w:val="00E53BF6"/>
    <w:rsid w:val="00E548B3"/>
    <w:rsid w:val="00E548D3"/>
    <w:rsid w:val="00E55886"/>
    <w:rsid w:val="00E55ECC"/>
    <w:rsid w:val="00E56E61"/>
    <w:rsid w:val="00E572A8"/>
    <w:rsid w:val="00E60460"/>
    <w:rsid w:val="00E616A6"/>
    <w:rsid w:val="00E6193C"/>
    <w:rsid w:val="00E6233B"/>
    <w:rsid w:val="00E62372"/>
    <w:rsid w:val="00E623A9"/>
    <w:rsid w:val="00E62870"/>
    <w:rsid w:val="00E63158"/>
    <w:rsid w:val="00E6324D"/>
    <w:rsid w:val="00E632D2"/>
    <w:rsid w:val="00E63712"/>
    <w:rsid w:val="00E640BD"/>
    <w:rsid w:val="00E64413"/>
    <w:rsid w:val="00E646F3"/>
    <w:rsid w:val="00E64CA1"/>
    <w:rsid w:val="00E659C9"/>
    <w:rsid w:val="00E65CAB"/>
    <w:rsid w:val="00E65FD7"/>
    <w:rsid w:val="00E65FEC"/>
    <w:rsid w:val="00E66099"/>
    <w:rsid w:val="00E66111"/>
    <w:rsid w:val="00E66F24"/>
    <w:rsid w:val="00E675C3"/>
    <w:rsid w:val="00E703BF"/>
    <w:rsid w:val="00E70C13"/>
    <w:rsid w:val="00E7190F"/>
    <w:rsid w:val="00E71EA6"/>
    <w:rsid w:val="00E72985"/>
    <w:rsid w:val="00E72B3B"/>
    <w:rsid w:val="00E72E71"/>
    <w:rsid w:val="00E733ED"/>
    <w:rsid w:val="00E73AF0"/>
    <w:rsid w:val="00E7412A"/>
    <w:rsid w:val="00E742DB"/>
    <w:rsid w:val="00E74864"/>
    <w:rsid w:val="00E751AE"/>
    <w:rsid w:val="00E75538"/>
    <w:rsid w:val="00E75CE9"/>
    <w:rsid w:val="00E764E9"/>
    <w:rsid w:val="00E76C3A"/>
    <w:rsid w:val="00E77408"/>
    <w:rsid w:val="00E7747D"/>
    <w:rsid w:val="00E779DB"/>
    <w:rsid w:val="00E77FD6"/>
    <w:rsid w:val="00E800D5"/>
    <w:rsid w:val="00E80125"/>
    <w:rsid w:val="00E80DD6"/>
    <w:rsid w:val="00E814AC"/>
    <w:rsid w:val="00E81C52"/>
    <w:rsid w:val="00E82A7A"/>
    <w:rsid w:val="00E82C87"/>
    <w:rsid w:val="00E8386A"/>
    <w:rsid w:val="00E838B6"/>
    <w:rsid w:val="00E83D57"/>
    <w:rsid w:val="00E840ED"/>
    <w:rsid w:val="00E8467F"/>
    <w:rsid w:val="00E84CD8"/>
    <w:rsid w:val="00E85545"/>
    <w:rsid w:val="00E8559F"/>
    <w:rsid w:val="00E85B81"/>
    <w:rsid w:val="00E867B4"/>
    <w:rsid w:val="00E86D10"/>
    <w:rsid w:val="00E86F00"/>
    <w:rsid w:val="00E87A1F"/>
    <w:rsid w:val="00E87F29"/>
    <w:rsid w:val="00E87FD8"/>
    <w:rsid w:val="00E90150"/>
    <w:rsid w:val="00E90DF5"/>
    <w:rsid w:val="00E91021"/>
    <w:rsid w:val="00E917E1"/>
    <w:rsid w:val="00E91E6C"/>
    <w:rsid w:val="00E91FA6"/>
    <w:rsid w:val="00E92091"/>
    <w:rsid w:val="00E9253B"/>
    <w:rsid w:val="00E926AD"/>
    <w:rsid w:val="00E92C22"/>
    <w:rsid w:val="00E92F00"/>
    <w:rsid w:val="00E94EA4"/>
    <w:rsid w:val="00E950E7"/>
    <w:rsid w:val="00E95275"/>
    <w:rsid w:val="00E95D08"/>
    <w:rsid w:val="00E95F3C"/>
    <w:rsid w:val="00E962FE"/>
    <w:rsid w:val="00E96993"/>
    <w:rsid w:val="00E96B37"/>
    <w:rsid w:val="00E96B4E"/>
    <w:rsid w:val="00E96EB7"/>
    <w:rsid w:val="00E97226"/>
    <w:rsid w:val="00E9725E"/>
    <w:rsid w:val="00E9756B"/>
    <w:rsid w:val="00E9758C"/>
    <w:rsid w:val="00E97592"/>
    <w:rsid w:val="00E97B24"/>
    <w:rsid w:val="00E97BFB"/>
    <w:rsid w:val="00E97F4A"/>
    <w:rsid w:val="00EA088D"/>
    <w:rsid w:val="00EA277E"/>
    <w:rsid w:val="00EA2A81"/>
    <w:rsid w:val="00EA2BFE"/>
    <w:rsid w:val="00EA2D51"/>
    <w:rsid w:val="00EA35D6"/>
    <w:rsid w:val="00EA37E8"/>
    <w:rsid w:val="00EA3FD6"/>
    <w:rsid w:val="00EA4BC7"/>
    <w:rsid w:val="00EA4C2B"/>
    <w:rsid w:val="00EA4C60"/>
    <w:rsid w:val="00EA554D"/>
    <w:rsid w:val="00EA5628"/>
    <w:rsid w:val="00EA59AB"/>
    <w:rsid w:val="00EA625C"/>
    <w:rsid w:val="00EA6825"/>
    <w:rsid w:val="00EA6CFA"/>
    <w:rsid w:val="00EA6E87"/>
    <w:rsid w:val="00EA6EBF"/>
    <w:rsid w:val="00EA7027"/>
    <w:rsid w:val="00EA7099"/>
    <w:rsid w:val="00EA7477"/>
    <w:rsid w:val="00EA748E"/>
    <w:rsid w:val="00EA77F3"/>
    <w:rsid w:val="00EA78DB"/>
    <w:rsid w:val="00EA79E3"/>
    <w:rsid w:val="00EA7F87"/>
    <w:rsid w:val="00EB02ED"/>
    <w:rsid w:val="00EB085E"/>
    <w:rsid w:val="00EB180D"/>
    <w:rsid w:val="00EB252B"/>
    <w:rsid w:val="00EB25BD"/>
    <w:rsid w:val="00EB2ACD"/>
    <w:rsid w:val="00EB3699"/>
    <w:rsid w:val="00EB410F"/>
    <w:rsid w:val="00EB444C"/>
    <w:rsid w:val="00EB55FB"/>
    <w:rsid w:val="00EB5D6A"/>
    <w:rsid w:val="00EB5D7E"/>
    <w:rsid w:val="00EB5F36"/>
    <w:rsid w:val="00EB6058"/>
    <w:rsid w:val="00EB7929"/>
    <w:rsid w:val="00EB796D"/>
    <w:rsid w:val="00EB7A07"/>
    <w:rsid w:val="00EC022E"/>
    <w:rsid w:val="00EC0AF0"/>
    <w:rsid w:val="00EC159F"/>
    <w:rsid w:val="00EC186D"/>
    <w:rsid w:val="00EC1E8F"/>
    <w:rsid w:val="00EC25AC"/>
    <w:rsid w:val="00EC2C3F"/>
    <w:rsid w:val="00EC2F95"/>
    <w:rsid w:val="00EC388E"/>
    <w:rsid w:val="00EC3F55"/>
    <w:rsid w:val="00EC4F63"/>
    <w:rsid w:val="00EC56F7"/>
    <w:rsid w:val="00EC57E5"/>
    <w:rsid w:val="00EC5D8C"/>
    <w:rsid w:val="00EC5F84"/>
    <w:rsid w:val="00EC6150"/>
    <w:rsid w:val="00EC662A"/>
    <w:rsid w:val="00EC7061"/>
    <w:rsid w:val="00EC71E0"/>
    <w:rsid w:val="00EC74AA"/>
    <w:rsid w:val="00EC77B1"/>
    <w:rsid w:val="00EC7B29"/>
    <w:rsid w:val="00ED000D"/>
    <w:rsid w:val="00ED0125"/>
    <w:rsid w:val="00ED0156"/>
    <w:rsid w:val="00ED022D"/>
    <w:rsid w:val="00ED0678"/>
    <w:rsid w:val="00ED068E"/>
    <w:rsid w:val="00ED0A33"/>
    <w:rsid w:val="00ED0ED9"/>
    <w:rsid w:val="00ED13D1"/>
    <w:rsid w:val="00ED155C"/>
    <w:rsid w:val="00ED19D1"/>
    <w:rsid w:val="00ED236D"/>
    <w:rsid w:val="00ED26BE"/>
    <w:rsid w:val="00ED2A5C"/>
    <w:rsid w:val="00ED2C11"/>
    <w:rsid w:val="00ED3FA2"/>
    <w:rsid w:val="00ED40FB"/>
    <w:rsid w:val="00ED437F"/>
    <w:rsid w:val="00ED46E2"/>
    <w:rsid w:val="00ED488F"/>
    <w:rsid w:val="00ED5239"/>
    <w:rsid w:val="00ED567E"/>
    <w:rsid w:val="00ED5A0B"/>
    <w:rsid w:val="00ED5AC4"/>
    <w:rsid w:val="00ED5B56"/>
    <w:rsid w:val="00ED647D"/>
    <w:rsid w:val="00ED6C5A"/>
    <w:rsid w:val="00ED7FB0"/>
    <w:rsid w:val="00EE00AB"/>
    <w:rsid w:val="00EE1E9E"/>
    <w:rsid w:val="00EE2480"/>
    <w:rsid w:val="00EE2671"/>
    <w:rsid w:val="00EE26DD"/>
    <w:rsid w:val="00EE2BCE"/>
    <w:rsid w:val="00EE3036"/>
    <w:rsid w:val="00EE36CB"/>
    <w:rsid w:val="00EE406B"/>
    <w:rsid w:val="00EE41D8"/>
    <w:rsid w:val="00EE4280"/>
    <w:rsid w:val="00EE57C8"/>
    <w:rsid w:val="00EE5C69"/>
    <w:rsid w:val="00EE5D55"/>
    <w:rsid w:val="00EE658D"/>
    <w:rsid w:val="00EE6628"/>
    <w:rsid w:val="00EE677A"/>
    <w:rsid w:val="00EE79C9"/>
    <w:rsid w:val="00EF00D4"/>
    <w:rsid w:val="00EF0D4F"/>
    <w:rsid w:val="00EF114B"/>
    <w:rsid w:val="00EF273B"/>
    <w:rsid w:val="00EF2BF7"/>
    <w:rsid w:val="00EF2C64"/>
    <w:rsid w:val="00EF2F2D"/>
    <w:rsid w:val="00EF381C"/>
    <w:rsid w:val="00EF3985"/>
    <w:rsid w:val="00EF3D85"/>
    <w:rsid w:val="00EF42A0"/>
    <w:rsid w:val="00EF4311"/>
    <w:rsid w:val="00EF4A47"/>
    <w:rsid w:val="00EF4B40"/>
    <w:rsid w:val="00EF4B78"/>
    <w:rsid w:val="00EF667B"/>
    <w:rsid w:val="00EF67B0"/>
    <w:rsid w:val="00EF6E86"/>
    <w:rsid w:val="00EF6FB2"/>
    <w:rsid w:val="00EF756C"/>
    <w:rsid w:val="00EF7AF1"/>
    <w:rsid w:val="00EF7C83"/>
    <w:rsid w:val="00F0000F"/>
    <w:rsid w:val="00F0071A"/>
    <w:rsid w:val="00F00763"/>
    <w:rsid w:val="00F00AF7"/>
    <w:rsid w:val="00F00EFF"/>
    <w:rsid w:val="00F01066"/>
    <w:rsid w:val="00F0255D"/>
    <w:rsid w:val="00F027BD"/>
    <w:rsid w:val="00F02F91"/>
    <w:rsid w:val="00F03291"/>
    <w:rsid w:val="00F033E6"/>
    <w:rsid w:val="00F03705"/>
    <w:rsid w:val="00F05008"/>
    <w:rsid w:val="00F054B6"/>
    <w:rsid w:val="00F0597B"/>
    <w:rsid w:val="00F05C98"/>
    <w:rsid w:val="00F05F9A"/>
    <w:rsid w:val="00F0610D"/>
    <w:rsid w:val="00F064A0"/>
    <w:rsid w:val="00F067B6"/>
    <w:rsid w:val="00F06CD9"/>
    <w:rsid w:val="00F073B3"/>
    <w:rsid w:val="00F07694"/>
    <w:rsid w:val="00F07BDD"/>
    <w:rsid w:val="00F07C92"/>
    <w:rsid w:val="00F10A9B"/>
    <w:rsid w:val="00F10AB3"/>
    <w:rsid w:val="00F11508"/>
    <w:rsid w:val="00F119CA"/>
    <w:rsid w:val="00F11EA9"/>
    <w:rsid w:val="00F128E0"/>
    <w:rsid w:val="00F12A4C"/>
    <w:rsid w:val="00F12B11"/>
    <w:rsid w:val="00F12D19"/>
    <w:rsid w:val="00F12EE2"/>
    <w:rsid w:val="00F131CE"/>
    <w:rsid w:val="00F133FF"/>
    <w:rsid w:val="00F1412A"/>
    <w:rsid w:val="00F15307"/>
    <w:rsid w:val="00F15795"/>
    <w:rsid w:val="00F1588F"/>
    <w:rsid w:val="00F15BB8"/>
    <w:rsid w:val="00F15C3B"/>
    <w:rsid w:val="00F1624A"/>
    <w:rsid w:val="00F1631D"/>
    <w:rsid w:val="00F16B69"/>
    <w:rsid w:val="00F16F0E"/>
    <w:rsid w:val="00F171EE"/>
    <w:rsid w:val="00F1751D"/>
    <w:rsid w:val="00F17B4E"/>
    <w:rsid w:val="00F17F4C"/>
    <w:rsid w:val="00F2056B"/>
    <w:rsid w:val="00F208A5"/>
    <w:rsid w:val="00F20E19"/>
    <w:rsid w:val="00F21E9A"/>
    <w:rsid w:val="00F21FE3"/>
    <w:rsid w:val="00F220BA"/>
    <w:rsid w:val="00F230B1"/>
    <w:rsid w:val="00F25085"/>
    <w:rsid w:val="00F25D43"/>
    <w:rsid w:val="00F261A3"/>
    <w:rsid w:val="00F26962"/>
    <w:rsid w:val="00F274F6"/>
    <w:rsid w:val="00F27597"/>
    <w:rsid w:val="00F27613"/>
    <w:rsid w:val="00F27628"/>
    <w:rsid w:val="00F2766C"/>
    <w:rsid w:val="00F27F7D"/>
    <w:rsid w:val="00F30F61"/>
    <w:rsid w:val="00F31912"/>
    <w:rsid w:val="00F319C2"/>
    <w:rsid w:val="00F32399"/>
    <w:rsid w:val="00F3293B"/>
    <w:rsid w:val="00F330E6"/>
    <w:rsid w:val="00F33368"/>
    <w:rsid w:val="00F33561"/>
    <w:rsid w:val="00F33639"/>
    <w:rsid w:val="00F3385A"/>
    <w:rsid w:val="00F34427"/>
    <w:rsid w:val="00F352CA"/>
    <w:rsid w:val="00F3543C"/>
    <w:rsid w:val="00F3565D"/>
    <w:rsid w:val="00F36616"/>
    <w:rsid w:val="00F3694B"/>
    <w:rsid w:val="00F36E4A"/>
    <w:rsid w:val="00F37A27"/>
    <w:rsid w:val="00F37CFF"/>
    <w:rsid w:val="00F401FF"/>
    <w:rsid w:val="00F40D25"/>
    <w:rsid w:val="00F41880"/>
    <w:rsid w:val="00F41A8A"/>
    <w:rsid w:val="00F41EA2"/>
    <w:rsid w:val="00F41F93"/>
    <w:rsid w:val="00F42239"/>
    <w:rsid w:val="00F42328"/>
    <w:rsid w:val="00F42671"/>
    <w:rsid w:val="00F43008"/>
    <w:rsid w:val="00F4442E"/>
    <w:rsid w:val="00F45998"/>
    <w:rsid w:val="00F45B7C"/>
    <w:rsid w:val="00F45EB1"/>
    <w:rsid w:val="00F461C6"/>
    <w:rsid w:val="00F472BB"/>
    <w:rsid w:val="00F4734A"/>
    <w:rsid w:val="00F47482"/>
    <w:rsid w:val="00F476FC"/>
    <w:rsid w:val="00F50CB0"/>
    <w:rsid w:val="00F52268"/>
    <w:rsid w:val="00F52D77"/>
    <w:rsid w:val="00F52E39"/>
    <w:rsid w:val="00F53637"/>
    <w:rsid w:val="00F537CC"/>
    <w:rsid w:val="00F53A2D"/>
    <w:rsid w:val="00F53E01"/>
    <w:rsid w:val="00F54657"/>
    <w:rsid w:val="00F549A0"/>
    <w:rsid w:val="00F5576B"/>
    <w:rsid w:val="00F561DE"/>
    <w:rsid w:val="00F56707"/>
    <w:rsid w:val="00F56DC0"/>
    <w:rsid w:val="00F5741D"/>
    <w:rsid w:val="00F5777C"/>
    <w:rsid w:val="00F5791B"/>
    <w:rsid w:val="00F57A5B"/>
    <w:rsid w:val="00F57B3D"/>
    <w:rsid w:val="00F601B5"/>
    <w:rsid w:val="00F60452"/>
    <w:rsid w:val="00F609E9"/>
    <w:rsid w:val="00F60AA6"/>
    <w:rsid w:val="00F61181"/>
    <w:rsid w:val="00F6119E"/>
    <w:rsid w:val="00F6128D"/>
    <w:rsid w:val="00F612C8"/>
    <w:rsid w:val="00F61430"/>
    <w:rsid w:val="00F616CF"/>
    <w:rsid w:val="00F61B21"/>
    <w:rsid w:val="00F61DE6"/>
    <w:rsid w:val="00F6272D"/>
    <w:rsid w:val="00F62A26"/>
    <w:rsid w:val="00F62B20"/>
    <w:rsid w:val="00F64470"/>
    <w:rsid w:val="00F65F63"/>
    <w:rsid w:val="00F663DF"/>
    <w:rsid w:val="00F66C7A"/>
    <w:rsid w:val="00F66FE7"/>
    <w:rsid w:val="00F7000C"/>
    <w:rsid w:val="00F71008"/>
    <w:rsid w:val="00F71512"/>
    <w:rsid w:val="00F72010"/>
    <w:rsid w:val="00F72593"/>
    <w:rsid w:val="00F72E89"/>
    <w:rsid w:val="00F72F90"/>
    <w:rsid w:val="00F739A5"/>
    <w:rsid w:val="00F74ACB"/>
    <w:rsid w:val="00F757E4"/>
    <w:rsid w:val="00F75823"/>
    <w:rsid w:val="00F75CA1"/>
    <w:rsid w:val="00F75DE7"/>
    <w:rsid w:val="00F75F3F"/>
    <w:rsid w:val="00F760F5"/>
    <w:rsid w:val="00F76866"/>
    <w:rsid w:val="00F77328"/>
    <w:rsid w:val="00F779E1"/>
    <w:rsid w:val="00F77CA5"/>
    <w:rsid w:val="00F77DC4"/>
    <w:rsid w:val="00F805F9"/>
    <w:rsid w:val="00F80EC3"/>
    <w:rsid w:val="00F81071"/>
    <w:rsid w:val="00F812FB"/>
    <w:rsid w:val="00F8146F"/>
    <w:rsid w:val="00F81778"/>
    <w:rsid w:val="00F818CB"/>
    <w:rsid w:val="00F81978"/>
    <w:rsid w:val="00F835D6"/>
    <w:rsid w:val="00F8408D"/>
    <w:rsid w:val="00F84A29"/>
    <w:rsid w:val="00F85021"/>
    <w:rsid w:val="00F85189"/>
    <w:rsid w:val="00F8533B"/>
    <w:rsid w:val="00F8648E"/>
    <w:rsid w:val="00F8665C"/>
    <w:rsid w:val="00F86D0A"/>
    <w:rsid w:val="00F876FD"/>
    <w:rsid w:val="00F87AB8"/>
    <w:rsid w:val="00F9066B"/>
    <w:rsid w:val="00F910B9"/>
    <w:rsid w:val="00F911FA"/>
    <w:rsid w:val="00F913C1"/>
    <w:rsid w:val="00F91475"/>
    <w:rsid w:val="00F9170D"/>
    <w:rsid w:val="00F919E4"/>
    <w:rsid w:val="00F91F14"/>
    <w:rsid w:val="00F92B5C"/>
    <w:rsid w:val="00F93D70"/>
    <w:rsid w:val="00F93E06"/>
    <w:rsid w:val="00F956A3"/>
    <w:rsid w:val="00F95A13"/>
    <w:rsid w:val="00F963FD"/>
    <w:rsid w:val="00F97418"/>
    <w:rsid w:val="00F974DF"/>
    <w:rsid w:val="00F97865"/>
    <w:rsid w:val="00F97BF8"/>
    <w:rsid w:val="00FA0A7A"/>
    <w:rsid w:val="00FA0F40"/>
    <w:rsid w:val="00FA159D"/>
    <w:rsid w:val="00FA16A0"/>
    <w:rsid w:val="00FA1C78"/>
    <w:rsid w:val="00FA2A32"/>
    <w:rsid w:val="00FA3A74"/>
    <w:rsid w:val="00FA3E12"/>
    <w:rsid w:val="00FA3FE6"/>
    <w:rsid w:val="00FA40BF"/>
    <w:rsid w:val="00FA46C6"/>
    <w:rsid w:val="00FA4804"/>
    <w:rsid w:val="00FA4853"/>
    <w:rsid w:val="00FA4987"/>
    <w:rsid w:val="00FA4CBD"/>
    <w:rsid w:val="00FA5090"/>
    <w:rsid w:val="00FA52C8"/>
    <w:rsid w:val="00FA5A84"/>
    <w:rsid w:val="00FA5F6E"/>
    <w:rsid w:val="00FA60E2"/>
    <w:rsid w:val="00FA63BC"/>
    <w:rsid w:val="00FA68A2"/>
    <w:rsid w:val="00FA6DEE"/>
    <w:rsid w:val="00FA7044"/>
    <w:rsid w:val="00FA72A2"/>
    <w:rsid w:val="00FA73D9"/>
    <w:rsid w:val="00FB0CCB"/>
    <w:rsid w:val="00FB1A8A"/>
    <w:rsid w:val="00FB1BF3"/>
    <w:rsid w:val="00FB210C"/>
    <w:rsid w:val="00FB26F6"/>
    <w:rsid w:val="00FB2A62"/>
    <w:rsid w:val="00FB2F53"/>
    <w:rsid w:val="00FB36BE"/>
    <w:rsid w:val="00FB3A29"/>
    <w:rsid w:val="00FB3A68"/>
    <w:rsid w:val="00FB4836"/>
    <w:rsid w:val="00FB48D4"/>
    <w:rsid w:val="00FB65C9"/>
    <w:rsid w:val="00FB69EB"/>
    <w:rsid w:val="00FC01B4"/>
    <w:rsid w:val="00FC0871"/>
    <w:rsid w:val="00FC0EAE"/>
    <w:rsid w:val="00FC13CF"/>
    <w:rsid w:val="00FC184E"/>
    <w:rsid w:val="00FC2012"/>
    <w:rsid w:val="00FC2409"/>
    <w:rsid w:val="00FC24E5"/>
    <w:rsid w:val="00FC27B2"/>
    <w:rsid w:val="00FC2CDD"/>
    <w:rsid w:val="00FC2EE6"/>
    <w:rsid w:val="00FC30DE"/>
    <w:rsid w:val="00FC34D1"/>
    <w:rsid w:val="00FC351C"/>
    <w:rsid w:val="00FC3735"/>
    <w:rsid w:val="00FC5373"/>
    <w:rsid w:val="00FC53E1"/>
    <w:rsid w:val="00FC6249"/>
    <w:rsid w:val="00FC64FB"/>
    <w:rsid w:val="00FC6C2F"/>
    <w:rsid w:val="00FC767E"/>
    <w:rsid w:val="00FC7A6B"/>
    <w:rsid w:val="00FC7B24"/>
    <w:rsid w:val="00FC7BF6"/>
    <w:rsid w:val="00FC7DF3"/>
    <w:rsid w:val="00FD01D7"/>
    <w:rsid w:val="00FD04EB"/>
    <w:rsid w:val="00FD07AA"/>
    <w:rsid w:val="00FD0824"/>
    <w:rsid w:val="00FD0E9E"/>
    <w:rsid w:val="00FD0F93"/>
    <w:rsid w:val="00FD117A"/>
    <w:rsid w:val="00FD15B4"/>
    <w:rsid w:val="00FD29BC"/>
    <w:rsid w:val="00FD3344"/>
    <w:rsid w:val="00FD3AE4"/>
    <w:rsid w:val="00FD3CB4"/>
    <w:rsid w:val="00FD3D3B"/>
    <w:rsid w:val="00FD3F5B"/>
    <w:rsid w:val="00FD4046"/>
    <w:rsid w:val="00FD4246"/>
    <w:rsid w:val="00FD4953"/>
    <w:rsid w:val="00FD4A81"/>
    <w:rsid w:val="00FD5A37"/>
    <w:rsid w:val="00FD5A98"/>
    <w:rsid w:val="00FD5E9B"/>
    <w:rsid w:val="00FD602D"/>
    <w:rsid w:val="00FD611B"/>
    <w:rsid w:val="00FD6221"/>
    <w:rsid w:val="00FD637A"/>
    <w:rsid w:val="00FD65D3"/>
    <w:rsid w:val="00FD6665"/>
    <w:rsid w:val="00FD6893"/>
    <w:rsid w:val="00FD7126"/>
    <w:rsid w:val="00FD7503"/>
    <w:rsid w:val="00FD7A12"/>
    <w:rsid w:val="00FE04C3"/>
    <w:rsid w:val="00FE09A8"/>
    <w:rsid w:val="00FE0B1E"/>
    <w:rsid w:val="00FE0F1E"/>
    <w:rsid w:val="00FE2221"/>
    <w:rsid w:val="00FE2421"/>
    <w:rsid w:val="00FE2D8C"/>
    <w:rsid w:val="00FE3090"/>
    <w:rsid w:val="00FE3280"/>
    <w:rsid w:val="00FE34C0"/>
    <w:rsid w:val="00FE3D08"/>
    <w:rsid w:val="00FE44EF"/>
    <w:rsid w:val="00FE48A5"/>
    <w:rsid w:val="00FE491C"/>
    <w:rsid w:val="00FE519C"/>
    <w:rsid w:val="00FE533A"/>
    <w:rsid w:val="00FE57C2"/>
    <w:rsid w:val="00FE57CA"/>
    <w:rsid w:val="00FE5D8C"/>
    <w:rsid w:val="00FE71DC"/>
    <w:rsid w:val="00FE7270"/>
    <w:rsid w:val="00FE7AA0"/>
    <w:rsid w:val="00FE7E5C"/>
    <w:rsid w:val="00FF00BE"/>
    <w:rsid w:val="00FF0E42"/>
    <w:rsid w:val="00FF126F"/>
    <w:rsid w:val="00FF139A"/>
    <w:rsid w:val="00FF1B1E"/>
    <w:rsid w:val="00FF28FD"/>
    <w:rsid w:val="00FF2C85"/>
    <w:rsid w:val="00FF32A1"/>
    <w:rsid w:val="00FF35B5"/>
    <w:rsid w:val="00FF41BA"/>
    <w:rsid w:val="00FF45EB"/>
    <w:rsid w:val="00FF4E89"/>
    <w:rsid w:val="00FF60E9"/>
    <w:rsid w:val="00FF78F7"/>
    <w:rsid w:val="00FF7A84"/>
    <w:rsid w:val="00FF7CA3"/>
    <w:rsid w:val="0DFDBFB5"/>
    <w:rsid w:val="1F398EB7"/>
    <w:rsid w:val="3A8500F1"/>
    <w:rsid w:val="59C186AB"/>
    <w:rsid w:val="67E07E56"/>
    <w:rsid w:val="7134B2E7"/>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6"/>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qFormat/>
    <w:rsid w:val="00A5227A"/>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nhideWhenUsed/>
    <w:qFormat/>
    <w:rsid w:val="00A5227A"/>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nhideWhenUsed/>
    <w:qFormat/>
    <w:rsid w:val="00A5227A"/>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unhideWhenUsed/>
    <w:qFormat/>
    <w:rsid w:val="002261B3"/>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nhideWhenUsed/>
    <w:qFormat/>
    <w:rsid w:val="002261B3"/>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nhideWhenUsed/>
    <w:qFormat/>
    <w:rsid w:val="00A5227A"/>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nhideWhenUsed/>
    <w:qFormat/>
    <w:rsid w:val="00A5227A"/>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nhideWhenUsed/>
    <w:qFormat/>
    <w:rsid w:val="00A5227A"/>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nhideWhenUsed/>
    <w:qFormat/>
    <w:rsid w:val="00A5227A"/>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6"/>
    <w:unhideWhenUsed/>
    <w:rsid w:val="009E214D"/>
    <w:pPr>
      <w:spacing w:after="240"/>
      <w:ind w:firstLine="720"/>
    </w:pPr>
  </w:style>
  <w:style w:type="character" w:customStyle="1" w:styleId="BodyTextChar">
    <w:name w:val="Body Text Char"/>
    <w:basedOn w:val="DefaultParagraphFont"/>
    <w:link w:val="BodyText"/>
    <w:uiPriority w:val="6"/>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FD6221"/>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12083D"/>
    <w:rPr>
      <w:rFonts w:ascii="Times New Roman" w:hAnsi="Times New Roman" w:cs="Times New Roman"/>
      <w:sz w:val="26"/>
      <w:szCs w:val="20"/>
    </w:rPr>
  </w:style>
  <w:style w:type="character" w:styleId="Mention">
    <w:name w:val="Mention"/>
    <w:basedOn w:val="DefaultParagraphFont"/>
    <w:uiPriority w:val="99"/>
    <w:unhideWhenUsed/>
    <w:rsid w:val="0012083D"/>
    <w:rPr>
      <w:color w:val="2B579A"/>
      <w:shd w:val="clear" w:color="auto" w:fill="E1DFDD"/>
    </w:rPr>
  </w:style>
  <w:style w:type="paragraph" w:styleId="Revision">
    <w:name w:val="Revision"/>
    <w:hidden/>
    <w:uiPriority w:val="99"/>
    <w:semiHidden/>
    <w:rsid w:val="00E068F2"/>
    <w:pPr>
      <w:spacing w:after="0" w:line="240" w:lineRule="auto"/>
    </w:pPr>
    <w:rPr>
      <w:rFonts w:ascii="Times New Roman" w:hAnsi="Times New Roman" w:cs="Times New Roman"/>
      <w:sz w:val="26"/>
      <w:szCs w:val="22"/>
    </w:rPr>
  </w:style>
  <w:style w:type="paragraph" w:customStyle="1" w:styleId="Default">
    <w:name w:val="Default"/>
    <w:rsid w:val="00477C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5639" TargetMode="External" /><Relationship Id="rId12" Type="http://schemas.openxmlformats.org/officeDocument/2006/relationships/hyperlink" Target="http://etariff.ferc.gov/TariffSectionDetails.aspx?tid=898&amp;sid=365640" TargetMode="External" /><Relationship Id="rId13" Type="http://schemas.openxmlformats.org/officeDocument/2006/relationships/hyperlink" Target="http://etariff.ferc.gov/TariffSectionDetails.aspx?tid=898&amp;sid=365641" TargetMode="External" /><Relationship Id="rId14" Type="http://schemas.openxmlformats.org/officeDocument/2006/relationships/hyperlink" Target="http://etariff.ferc.gov/TariffSectionDetails.aspx?tid=898&amp;sid=365642" TargetMode="External" /><Relationship Id="rId15" Type="http://schemas.openxmlformats.org/officeDocument/2006/relationships/hyperlink" Target="http://etariff.ferc.gov/TariffSectionDetails.aspx?tid=898&amp;sid=365643" TargetMode="External" /><Relationship Id="rId16" Type="http://schemas.openxmlformats.org/officeDocument/2006/relationships/hyperlink" Target="http://etariff.ferc.gov/TariffSectionDetails.aspx?tid=898&amp;sid=365644" TargetMode="External" /><Relationship Id="rId17" Type="http://schemas.openxmlformats.org/officeDocument/2006/relationships/hyperlink" Target="http://etariff.ferc.gov/TariffSectionDetails.aspx?tid=898&amp;sid=365645" TargetMode="External" /><Relationship Id="rId18" Type="http://schemas.openxmlformats.org/officeDocument/2006/relationships/hyperlink" Target="http://etariff.ferc.gov/TariffSectionDetails.aspx?tid=898&amp;sid=365646" TargetMode="External" /><Relationship Id="rId19" Type="http://schemas.openxmlformats.org/officeDocument/2006/relationships/hyperlink" Target="http://etariff.ferc.gov/TariffSectionDetails.aspx?tid=898&amp;sid=365647"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65648" TargetMode="External" /><Relationship Id="rId21" Type="http://schemas.openxmlformats.org/officeDocument/2006/relationships/hyperlink" Target="http://etariff.ferc.gov/TariffSectionDetails.aspx?tid=898&amp;sid=365649" TargetMode="External" /><Relationship Id="rId22" Type="http://schemas.openxmlformats.org/officeDocument/2006/relationships/hyperlink" Target="http://etariff.ferc.gov/TariffSectionDetails.aspx?tid=898&amp;sid=365650" TargetMode="External" /><Relationship Id="rId23" Type="http://schemas.openxmlformats.org/officeDocument/2006/relationships/hyperlink" Target="http://etariff.ferc.gov/TariffSectionDetails.aspx?tid=898&amp;sid=365651" TargetMode="External" /><Relationship Id="rId24" Type="http://schemas.openxmlformats.org/officeDocument/2006/relationships/hyperlink" Target="http://etariff.ferc.gov/TariffSectionDetails.aspx?tid=898&amp;sid=365652" TargetMode="External" /><Relationship Id="rId25" Type="http://schemas.openxmlformats.org/officeDocument/2006/relationships/hyperlink" Target="http://etariff.ferc.gov/TariffSectionDetails.aspx?tid=898&amp;sid=365653" TargetMode="External" /><Relationship Id="rId26" Type="http://schemas.openxmlformats.org/officeDocument/2006/relationships/hyperlink" Target="http://etariff.ferc.gov/TariffSectionDetails.aspx?tid=898&amp;sid=365654" TargetMode="External" /><Relationship Id="rId27" Type="http://schemas.openxmlformats.org/officeDocument/2006/relationships/hyperlink" Target="http://etariff.ferc.gov/TariffSectionDetails.aspx?tid=898&amp;sid=369012" TargetMode="External" /><Relationship Id="rId28" Type="http://schemas.openxmlformats.org/officeDocument/2006/relationships/hyperlink" Target="http://etariff.ferc.gov/TariffSectionDetails.aspx?tid=898&amp;sid=369013" TargetMode="External" /><Relationship Id="rId29" Type="http://schemas.openxmlformats.org/officeDocument/2006/relationships/hyperlink" Target="http://etariff.ferc.gov/TariffSectionDetails.aspx?tid=898&amp;sid=369014" TargetMode="External" /><Relationship Id="rId3" Type="http://schemas.openxmlformats.org/officeDocument/2006/relationships/settings" Target="settings.xml" /><Relationship Id="rId30" Type="http://schemas.openxmlformats.org/officeDocument/2006/relationships/hyperlink" Target="http://etariff.ferc.gov/TariffSectionDetails.aspx?tid=898&amp;sid=369015" TargetMode="External" /><Relationship Id="rId31" Type="http://schemas.openxmlformats.org/officeDocument/2006/relationships/hyperlink" Target="http://etariff.ferc.gov/TariffSectionDetails.aspx?tid=898&amp;sid=369016" TargetMode="External" /><Relationship Id="rId32" Type="http://schemas.openxmlformats.org/officeDocument/2006/relationships/hyperlink" Target="http://etariff.ferc.gov/TariffSectionDetails.aspx?tid=898&amp;sid=369017" TargetMode="External" /><Relationship Id="rId33" Type="http://schemas.openxmlformats.org/officeDocument/2006/relationships/hyperlink" Target="http://etariff.ferc.gov/TariffSectionDetails.aspx?tid=898&amp;sid=369018" TargetMode="External" /><Relationship Id="rId34" Type="http://schemas.openxmlformats.org/officeDocument/2006/relationships/hyperlink" Target="http://etariff.ferc.gov/TariffSectionDetails.aspx?tid=898&amp;sid=369019"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header" Target="header3.xml" /><Relationship Id="rId39" Type="http://schemas.openxmlformats.org/officeDocument/2006/relationships/theme" Target="theme/theme1.xml" /><Relationship Id="rId4" Type="http://schemas.openxmlformats.org/officeDocument/2006/relationships/webSettings" Target="webSettings.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4FC9D803-413F-48E0-99E0-FA611D59146D}">
  <ds:schemaRefs>
    <ds:schemaRef ds:uri="Microsoft.SharePoint.Taxonomy.ContentTypeSync"/>
  </ds:schemaRefs>
</ds:datastoreItem>
</file>

<file path=customXml/itemProps2.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41DA0D08-7089-4775-AD19-092AD331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4850</Words>
  <Characters>27213</Characters>
  <Application>Microsoft Office Word</Application>
  <DocSecurity>0</DocSecurity>
  <Lines>716</Lines>
  <Paragraphs>381</Paragraphs>
  <ScaleCrop>false</ScaleCrop>
  <HeadingPairs>
    <vt:vector size="2" baseType="variant">
      <vt:variant>
        <vt:lpstr>Title</vt:lpstr>
      </vt:variant>
      <vt:variant>
        <vt:i4>1</vt:i4>
      </vt:variant>
    </vt:vector>
  </HeadingPairs>
  <TitlesOfParts>
    <vt:vector size="1" baseType="lpstr">
      <vt:lpstr>ER26-570-000 New York Independent System Operator, Inc.</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2026-04-13T19:01:32Z</cp:lastPrinted>
  <dcterms:created xsi:type="dcterms:W3CDTF">2026-04-13T18:08:00Z</dcterms:created>
  <dcterms:modified xsi:type="dcterms:W3CDTF">2026-04-13T18:08:00Z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13ee2b2a-fbc6-4962-8291-9d31ba880584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2026-04-13T18:08:12Z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