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5A3766" w:rsidRPr="00347B0D" w:rsidP="005A3766">
      <w:pPr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347B0D">
        <w:rPr>
          <w:rFonts w:ascii="Times New Roman" w:eastAsia="Times New Roman" w:hAnsi="Times New Roman" w:cs="Times New Roman"/>
          <w:sz w:val="26"/>
          <w:szCs w:val="24"/>
        </w:rPr>
        <w:t>FEDERAL ENERGY REGULATORY COMMISSION</w:t>
      </w:r>
    </w:p>
    <w:p w:rsidR="005A3766" w:rsidRPr="00347B0D" w:rsidP="005A3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347B0D">
        <w:rPr>
          <w:rFonts w:ascii="Times New Roman" w:eastAsia="Times New Roman" w:hAnsi="Times New Roman" w:cs="Times New Roman"/>
          <w:sz w:val="26"/>
          <w:szCs w:val="24"/>
        </w:rPr>
        <w:t>WASHINGTON, DC  20426</w:t>
      </w:r>
    </w:p>
    <w:p w:rsidR="005A3766" w:rsidRPr="00347B0D" w:rsidP="005A3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5A3766" w:rsidRPr="00347B0D" w:rsidP="005A3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347B0D">
        <w:rPr>
          <w:rFonts w:ascii="Times New Roman" w:eastAsia="Times New Roman" w:hAnsi="Times New Roman" w:cs="Times New Roman"/>
          <w:sz w:val="26"/>
          <w:szCs w:val="24"/>
        </w:rPr>
        <w:t>OFFICE OF ENERGY MARKET REGULATION</w:t>
      </w:r>
    </w:p>
    <w:p w:rsidR="005A3766" w:rsidRPr="00347B0D" w:rsidP="005A3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92092" w:rsidRPr="00F92092" w:rsidP="00F92092">
      <w:pPr>
        <w:widowControl w:val="0"/>
        <w:tabs>
          <w:tab w:val="left" w:pos="387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92092">
        <w:rPr>
          <w:rFonts w:ascii="Times New Roman" w:eastAsia="Times New Roman" w:hAnsi="Times New Roman" w:cs="Times New Roman"/>
          <w:sz w:val="26"/>
          <w:szCs w:val="24"/>
        </w:rPr>
        <w:t>Niagara Mohawk Power Corporation</w:t>
      </w:r>
    </w:p>
    <w:p w:rsidR="005A3766" w:rsidRPr="00593221" w:rsidP="00F92092">
      <w:pPr>
        <w:widowControl w:val="0"/>
        <w:tabs>
          <w:tab w:val="left" w:pos="387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92092">
        <w:rPr>
          <w:rFonts w:ascii="Times New Roman" w:eastAsia="Times New Roman" w:hAnsi="Times New Roman" w:cs="Times New Roman"/>
          <w:sz w:val="26"/>
          <w:szCs w:val="24"/>
        </w:rPr>
        <w:t>Docket No. ER25-416-002</w:t>
      </w:r>
    </w:p>
    <w:p w:rsidR="005A3766" w:rsidRPr="00593221" w:rsidP="005A3766">
      <w:pPr>
        <w:widowControl w:val="0"/>
        <w:tabs>
          <w:tab w:val="left" w:pos="387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593221">
        <w:rPr>
          <w:rFonts w:ascii="Times New Roman" w:eastAsia="Times New Roman" w:hAnsi="Times New Roman" w:cs="Times New Roman"/>
          <w:sz w:val="26"/>
          <w:szCs w:val="24"/>
        </w:rPr>
        <w:tab/>
        <w:tab/>
        <w:tab/>
        <w:tab/>
        <w:tab/>
        <w:tab/>
        <w:tab/>
      </w:r>
    </w:p>
    <w:p w:rsidR="004F31EA" w:rsidRPr="004F31EA" w:rsidP="004F31EA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F31EA">
        <w:rPr>
          <w:rFonts w:ascii="Times New Roman" w:eastAsia="Times New Roman" w:hAnsi="Times New Roman" w:cs="Times New Roman"/>
          <w:sz w:val="26"/>
          <w:szCs w:val="24"/>
        </w:rPr>
        <w:t xml:space="preserve">Issued: </w:t>
      </w:r>
      <w:r w:rsidR="00E4322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F92092">
        <w:rPr>
          <w:rFonts w:ascii="Times New Roman" w:eastAsia="Times New Roman" w:hAnsi="Times New Roman" w:cs="Times New Roman"/>
          <w:sz w:val="26"/>
          <w:szCs w:val="24"/>
        </w:rPr>
        <w:t>November 14</w:t>
      </w:r>
      <w:r w:rsidR="00E4322B">
        <w:rPr>
          <w:rFonts w:ascii="Times New Roman" w:eastAsia="Times New Roman" w:hAnsi="Times New Roman" w:cs="Times New Roman"/>
          <w:sz w:val="26"/>
          <w:szCs w:val="24"/>
        </w:rPr>
        <w:t>, 202</w:t>
      </w:r>
      <w:r w:rsidR="00F92092">
        <w:rPr>
          <w:rFonts w:ascii="Times New Roman" w:eastAsia="Times New Roman" w:hAnsi="Times New Roman" w:cs="Times New Roman"/>
          <w:sz w:val="26"/>
          <w:szCs w:val="24"/>
        </w:rPr>
        <w:t>5</w:t>
      </w:r>
    </w:p>
    <w:p w:rsidR="00556AC8" w:rsidRPr="00593221" w:rsidP="005A3766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47C53" w:rsidP="00556AC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4322B">
        <w:rPr>
          <w:rFonts w:ascii="Times New Roman" w:hAnsi="Times New Roman" w:cs="Times New Roman"/>
          <w:sz w:val="26"/>
          <w:szCs w:val="26"/>
        </w:rPr>
        <w:t xml:space="preserve">On </w:t>
      </w:r>
      <w:r w:rsidR="00F92092">
        <w:rPr>
          <w:rFonts w:ascii="Times New Roman" w:eastAsia="Times New Roman" w:hAnsi="Times New Roman" w:cs="Times New Roman"/>
          <w:sz w:val="26"/>
          <w:szCs w:val="24"/>
        </w:rPr>
        <w:t>November 13, 2025</w:t>
      </w:r>
      <w:r w:rsidRPr="00E4322B">
        <w:rPr>
          <w:rFonts w:ascii="Times New Roman" w:hAnsi="Times New Roman" w:cs="Times New Roman"/>
          <w:sz w:val="26"/>
          <w:szCs w:val="26"/>
        </w:rPr>
        <w:t xml:space="preserve">, the Commission issued a delegated letter order in the above referenced docket.  The delegated letter order inadvertently omitted the </w:t>
      </w:r>
      <w:r w:rsidR="00F92092">
        <w:rPr>
          <w:rFonts w:ascii="Times New Roman" w:hAnsi="Times New Roman" w:cs="Times New Roman"/>
          <w:sz w:val="26"/>
          <w:szCs w:val="26"/>
        </w:rPr>
        <w:t>year of the order’s effective date</w:t>
      </w:r>
      <w:r w:rsidRPr="00E4322B">
        <w:rPr>
          <w:rFonts w:ascii="Times New Roman" w:hAnsi="Times New Roman" w:cs="Times New Roman"/>
          <w:sz w:val="26"/>
          <w:szCs w:val="26"/>
        </w:rPr>
        <w:t xml:space="preserve">.  This errata notice </w:t>
      </w:r>
      <w:r w:rsidR="00FE0726">
        <w:rPr>
          <w:rFonts w:ascii="Times New Roman" w:hAnsi="Times New Roman" w:cs="Times New Roman"/>
          <w:sz w:val="26"/>
          <w:szCs w:val="26"/>
        </w:rPr>
        <w:t>clarifies</w:t>
      </w:r>
      <w:r>
        <w:rPr>
          <w:rFonts w:ascii="Times New Roman" w:hAnsi="Times New Roman" w:cs="Times New Roman"/>
          <w:sz w:val="26"/>
          <w:szCs w:val="26"/>
        </w:rPr>
        <w:t xml:space="preserve"> the correct </w:t>
      </w:r>
      <w:r w:rsidR="00F92092">
        <w:rPr>
          <w:rFonts w:ascii="Times New Roman" w:hAnsi="Times New Roman" w:cs="Times New Roman"/>
          <w:sz w:val="26"/>
          <w:szCs w:val="26"/>
        </w:rPr>
        <w:t>effective date</w:t>
      </w:r>
      <w:r>
        <w:rPr>
          <w:rFonts w:ascii="Times New Roman" w:hAnsi="Times New Roman" w:cs="Times New Roman"/>
          <w:sz w:val="26"/>
          <w:szCs w:val="26"/>
        </w:rPr>
        <w:t xml:space="preserve"> to be </w:t>
      </w:r>
      <w:r w:rsidR="00F92092">
        <w:rPr>
          <w:rFonts w:ascii="Times New Roman" w:hAnsi="Times New Roman" w:cs="Times New Roman"/>
          <w:sz w:val="26"/>
          <w:szCs w:val="26"/>
        </w:rPr>
        <w:t>September 19, 2025</w:t>
      </w:r>
      <w:r w:rsidRPr="00E4322B">
        <w:rPr>
          <w:rFonts w:ascii="Times New Roman" w:hAnsi="Times New Roman" w:cs="Times New Roman"/>
          <w:sz w:val="26"/>
          <w:szCs w:val="26"/>
        </w:rPr>
        <w:t>.</w:t>
      </w:r>
    </w:p>
    <w:p w:rsidR="005A3766" w:rsidRPr="00347B0D" w:rsidP="006B4EF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4"/>
        </w:rPr>
      </w:pPr>
    </w:p>
    <w:p w:rsidR="007050CC" w:rsidRPr="00EC1B85" w:rsidP="00EC1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47B0D">
        <w:rPr>
          <w:rFonts w:ascii="Times New Roman" w:eastAsia="Times New Roman" w:hAnsi="Times New Roman" w:cs="Times New Roman"/>
          <w:sz w:val="26"/>
          <w:szCs w:val="24"/>
        </w:rPr>
        <w:t xml:space="preserve">Issued by:  </w:t>
      </w:r>
      <w:r w:rsidRPr="00F92092" w:rsidR="00F92092">
        <w:rPr>
          <w:rFonts w:ascii="Times New Roman" w:eastAsia="Times New Roman" w:hAnsi="Times New Roman" w:cs="Times New Roman"/>
          <w:sz w:val="26"/>
          <w:szCs w:val="24"/>
        </w:rPr>
        <w:t>Leanne Khammal, Acting Director, Division of Electric Power Regulation – East</w:t>
      </w:r>
    </w:p>
    <w:sectPr w:rsidSect="004F201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/>
    </w:tblPr>
    <w:tblGrid>
      <w:gridCol w:w="3120"/>
      <w:gridCol w:w="3120"/>
      <w:gridCol w:w="3120"/>
    </w:tblGrid>
    <w:tr w:rsidTr="0037459C">
      <w:tblPrEx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Ex>
      <w:trPr>
        <w:trHeight w:val="300"/>
      </w:trPr>
      <w:tc>
        <w:tcPr>
          <w:tcW w:w="3120" w:type="dxa"/>
        </w:tcPr>
        <w:p w:rsidR="6C231703" w:rsidP="0037459C">
          <w:pPr>
            <w:pStyle w:val="Header"/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Calibri" w:eastAsia="Calibri" w:hAnsi="Calibri" w:cs="Times New Roman"/>
              <w:sz w:val="22"/>
              <w:szCs w:val="22"/>
              <w:lang w:val="en-US" w:eastAsia="en-US" w:bidi="ar-SA"/>
            </w:rPr>
          </w:pPr>
        </w:p>
      </w:tc>
      <w:tc>
        <w:tcPr>
          <w:tcW w:w="3120" w:type="dxa"/>
        </w:tcPr>
        <w:p w:rsidR="6C231703" w:rsidP="0037459C">
          <w:pPr>
            <w:pStyle w:val="Head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22"/>
              <w:szCs w:val="22"/>
              <w:lang w:val="en-US" w:eastAsia="en-US" w:bidi="ar-SA"/>
            </w:rPr>
          </w:pPr>
        </w:p>
      </w:tc>
      <w:tc>
        <w:tcPr>
          <w:tcW w:w="3120" w:type="dxa"/>
        </w:tcPr>
        <w:p w:rsidR="6C231703" w:rsidP="0037459C">
          <w:pPr>
            <w:pStyle w:val="Header"/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Calibri" w:eastAsia="Calibri" w:hAnsi="Calibri" w:cs="Times New Roman"/>
              <w:sz w:val="22"/>
              <w:szCs w:val="22"/>
              <w:lang w:val="en-US" w:eastAsia="en-US" w:bidi="ar-SA"/>
            </w:rPr>
          </w:pPr>
        </w:p>
      </w:tc>
    </w:tr>
  </w:tbl>
  <w:p w:rsidR="6C231703" w:rsidP="0037459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05" w:rsidRPr="004F201C">
    <w:pPr>
      <w:pStyle w:val="Header"/>
      <w:rPr>
        <w:rFonts w:ascii="Times New Roman" w:hAnsi="Times New Roman" w:cs="Times New Roman"/>
        <w:sz w:val="24"/>
        <w:szCs w:val="24"/>
      </w:rPr>
    </w:pPr>
    <w:r w:rsidRPr="004F201C">
      <w:rPr>
        <w:rFonts w:ascii="Times New Roman" w:hAnsi="Times New Roman" w:cs="Times New Roman"/>
        <w:sz w:val="24"/>
        <w:szCs w:val="24"/>
      </w:rPr>
      <w:t>Docket No. ER24-</w:t>
    </w:r>
    <w:r w:rsidR="00EC1B85">
      <w:rPr>
        <w:rFonts w:ascii="Times New Roman" w:hAnsi="Times New Roman" w:cs="Times New Roman"/>
        <w:sz w:val="24"/>
        <w:szCs w:val="24"/>
      </w:rPr>
      <w:t>5</w:t>
    </w:r>
    <w:r w:rsidRPr="004F201C">
      <w:rPr>
        <w:rFonts w:ascii="Times New Roman" w:hAnsi="Times New Roman" w:cs="Times New Roman"/>
        <w:sz w:val="24"/>
        <w:szCs w:val="24"/>
      </w:rPr>
      <w:t>2-00</w:t>
    </w:r>
    <w:r w:rsidRPr="004F201C" w:rsidR="004F201C">
      <w:rPr>
        <w:rFonts w:ascii="Times New Roman" w:hAnsi="Times New Roman" w:cs="Times New Roman"/>
        <w:sz w:val="24"/>
        <w:szCs w:val="24"/>
      </w:rPr>
      <w:t>0</w:t>
    </w:r>
    <w:r w:rsidRPr="004F201C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</w:t>
    </w:r>
    <w:r w:rsidR="004F201C">
      <w:rPr>
        <w:rFonts w:ascii="Times New Roman" w:hAnsi="Times New Roman" w:cs="Times New Roman"/>
        <w:sz w:val="24"/>
        <w:szCs w:val="24"/>
      </w:rPr>
      <w:t xml:space="preserve">             </w:t>
    </w:r>
    <w:r w:rsidRPr="004F201C" w:rsidR="004F201C">
      <w:rPr>
        <w:rFonts w:ascii="Times New Roman" w:hAnsi="Times New Roman" w:cs="Times New Roman"/>
        <w:sz w:val="24"/>
        <w:szCs w:val="24"/>
      </w:rPr>
      <w:t xml:space="preserve">          </w:t>
    </w:r>
    <w:r w:rsidRPr="004F201C">
      <w:rPr>
        <w:rFonts w:ascii="Times New Roman" w:hAnsi="Times New Roman" w:cs="Times New Roman"/>
        <w:sz w:val="24"/>
        <w:szCs w:val="24"/>
      </w:rPr>
      <w:t xml:space="preserve">              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7B0D"/>
    <w:rsid w:val="00022E93"/>
    <w:rsid w:val="00053C36"/>
    <w:rsid w:val="000C3F87"/>
    <w:rsid w:val="000D2FC1"/>
    <w:rsid w:val="00112901"/>
    <w:rsid w:val="00120B5D"/>
    <w:rsid w:val="00134380"/>
    <w:rsid w:val="00163FFD"/>
    <w:rsid w:val="001708C2"/>
    <w:rsid w:val="001A5706"/>
    <w:rsid w:val="001E04A2"/>
    <w:rsid w:val="00272887"/>
    <w:rsid w:val="002D41B1"/>
    <w:rsid w:val="002D76FA"/>
    <w:rsid w:val="00302E56"/>
    <w:rsid w:val="003069E8"/>
    <w:rsid w:val="00347B0D"/>
    <w:rsid w:val="00351523"/>
    <w:rsid w:val="0037459C"/>
    <w:rsid w:val="00385386"/>
    <w:rsid w:val="003F7390"/>
    <w:rsid w:val="00406245"/>
    <w:rsid w:val="00421490"/>
    <w:rsid w:val="004B2E0F"/>
    <w:rsid w:val="004E3CF9"/>
    <w:rsid w:val="004F1DF9"/>
    <w:rsid w:val="004F201C"/>
    <w:rsid w:val="004F31EA"/>
    <w:rsid w:val="00506A18"/>
    <w:rsid w:val="00556AC8"/>
    <w:rsid w:val="00587730"/>
    <w:rsid w:val="00593221"/>
    <w:rsid w:val="005A3766"/>
    <w:rsid w:val="005A3F38"/>
    <w:rsid w:val="005D5B96"/>
    <w:rsid w:val="006B4EF4"/>
    <w:rsid w:val="006C11B6"/>
    <w:rsid w:val="007050CC"/>
    <w:rsid w:val="00705FD8"/>
    <w:rsid w:val="00716EFB"/>
    <w:rsid w:val="00776566"/>
    <w:rsid w:val="007A1402"/>
    <w:rsid w:val="008178B9"/>
    <w:rsid w:val="0083421C"/>
    <w:rsid w:val="008A2A71"/>
    <w:rsid w:val="008D26F6"/>
    <w:rsid w:val="00926F89"/>
    <w:rsid w:val="00944FFE"/>
    <w:rsid w:val="00960CF5"/>
    <w:rsid w:val="00981373"/>
    <w:rsid w:val="00981A46"/>
    <w:rsid w:val="0098471A"/>
    <w:rsid w:val="00984FB5"/>
    <w:rsid w:val="00985ABC"/>
    <w:rsid w:val="009B23B3"/>
    <w:rsid w:val="00A02446"/>
    <w:rsid w:val="00A0279D"/>
    <w:rsid w:val="00A0600E"/>
    <w:rsid w:val="00A47566"/>
    <w:rsid w:val="00A53309"/>
    <w:rsid w:val="00A66F73"/>
    <w:rsid w:val="00A72F5D"/>
    <w:rsid w:val="00A87949"/>
    <w:rsid w:val="00AA2C05"/>
    <w:rsid w:val="00AE2226"/>
    <w:rsid w:val="00AF37AE"/>
    <w:rsid w:val="00B00F94"/>
    <w:rsid w:val="00B10E17"/>
    <w:rsid w:val="00BB6055"/>
    <w:rsid w:val="00BC1008"/>
    <w:rsid w:val="00BC6EDA"/>
    <w:rsid w:val="00C17BD6"/>
    <w:rsid w:val="00C47C53"/>
    <w:rsid w:val="00C515F3"/>
    <w:rsid w:val="00C705FF"/>
    <w:rsid w:val="00CC3514"/>
    <w:rsid w:val="00CF3661"/>
    <w:rsid w:val="00D63E70"/>
    <w:rsid w:val="00D91498"/>
    <w:rsid w:val="00DB2790"/>
    <w:rsid w:val="00DE3476"/>
    <w:rsid w:val="00E228CD"/>
    <w:rsid w:val="00E4322B"/>
    <w:rsid w:val="00EC1B85"/>
    <w:rsid w:val="00EC45CF"/>
    <w:rsid w:val="00F23027"/>
    <w:rsid w:val="00F446E3"/>
    <w:rsid w:val="00F44C2E"/>
    <w:rsid w:val="00F56FE1"/>
    <w:rsid w:val="00F643BA"/>
    <w:rsid w:val="00F67857"/>
    <w:rsid w:val="00F8096A"/>
    <w:rsid w:val="00F92092"/>
    <w:rsid w:val="00FE0726"/>
    <w:rsid w:val="00FE5970"/>
    <w:rsid w:val="00FF280C"/>
    <w:rsid w:val="00FF7A52"/>
    <w:rsid w:val="17ED9FDA"/>
    <w:rsid w:val="275BB636"/>
    <w:rsid w:val="6C231703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6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347B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7B0D"/>
    <w:rPr>
      <w:sz w:val="20"/>
      <w:szCs w:val="20"/>
    </w:rPr>
  </w:style>
  <w:style w:type="character" w:styleId="FootnoteReference">
    <w:name w:val="footnote reference"/>
    <w:basedOn w:val="DefaultParagraphFont"/>
    <w:rsid w:val="00347B0D"/>
    <w:rPr>
      <w:rFonts w:ascii="Times New Roman" w:hAnsi="Times New Roman" w:cs="Times New Roman"/>
      <w:b/>
      <w:dstrike w:val="0"/>
      <w:sz w:val="26"/>
      <w:szCs w:val="26"/>
      <w:vertAlign w:val="superscript"/>
    </w:rPr>
  </w:style>
  <w:style w:type="character" w:styleId="Hyperlink">
    <w:name w:val="Hyperlink"/>
    <w:basedOn w:val="DefaultParagraphFont"/>
    <w:rsid w:val="00347B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C05"/>
  </w:style>
  <w:style w:type="paragraph" w:styleId="Footer">
    <w:name w:val="footer"/>
    <w:basedOn w:val="Normal"/>
    <w:link w:val="FooterChar"/>
    <w:uiPriority w:val="99"/>
    <w:unhideWhenUsed/>
    <w:rsid w:val="00AA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05"/>
  </w:style>
  <w:style w:type="paragraph" w:styleId="Revision">
    <w:name w:val="Revision"/>
    <w:hidden/>
    <w:uiPriority w:val="99"/>
    <w:semiHidden/>
    <w:rsid w:val="00556AC8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56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A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27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Props1.xml><?xml version="1.0" encoding="utf-8"?>
<ds:datastoreItem xmlns:ds="http://schemas.openxmlformats.org/officeDocument/2006/customXml" ds:itemID="{68F6FB25-EBF3-4F12-BA33-5D78E48A1A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6EF39B-462A-41B8-967C-8F7A85800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71409-8ED5-48DA-9561-68C5EF48EB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3C7DD-81FB-43A3-8DAA-F12F29650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F1B141-8DF9-452C-AFA1-7A1B28A0DF2A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2025-11-14T16:00:16Z</cp:lastPrinted>
  <dcterms:created xsi:type="dcterms:W3CDTF">2025-11-14T14:02:00Z</dcterms:created>
  <dcterms:modified xsi:type="dcterms:W3CDTF">2025-11-14T14:02:00Z</dcterms:modified>
</cp:coreProperties>
</file>