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E44994">
      <w:pPr>
        <w:jc w:val="center"/>
      </w:pPr>
      <w:r>
        <w:t>192 FERC ¶ 61,222</w:t>
      </w:r>
    </w:p>
    <w:p w:rsidR="00BF5E94" w:rsidRPr="00251AF5" w:rsidP="00025DAC">
      <w:pPr>
        <w:jc w:val="center"/>
        <w:rPr>
          <w:szCs w:val="26"/>
        </w:rPr>
      </w:pPr>
      <w:r w:rsidRPr="00251AF5">
        <w:rPr>
          <w:szCs w:val="26"/>
        </w:rPr>
        <w:t>UNITED STATES OF AMERICA</w:t>
      </w:r>
    </w:p>
    <w:p w:rsidR="00BF5E94" w:rsidRPr="00251AF5" w:rsidP="00025DAC">
      <w:pPr>
        <w:jc w:val="center"/>
        <w:rPr>
          <w:szCs w:val="26"/>
        </w:rPr>
      </w:pPr>
      <w:r w:rsidRPr="00251AF5">
        <w:rPr>
          <w:szCs w:val="26"/>
        </w:rPr>
        <w:t>FEDERAL ENERGY REGULATORY COMMISSION</w:t>
      </w:r>
    </w:p>
    <w:p w:rsidR="00BF5E94" w:rsidRPr="00BC13DF" w:rsidP="00BC13DF">
      <w:pPr>
        <w:widowControl/>
        <w:rPr>
          <w:szCs w:val="26"/>
        </w:rPr>
      </w:pPr>
    </w:p>
    <w:p w:rsidR="00BC13DF" w:rsidRPr="00BC13DF" w:rsidP="00BC13DF">
      <w:pPr>
        <w:widowControl/>
        <w:rPr>
          <w:szCs w:val="26"/>
        </w:rPr>
      </w:pPr>
      <w:r w:rsidRPr="00BC13DF">
        <w:rPr>
          <w:szCs w:val="26"/>
        </w:rPr>
        <w:t>Before Commissioners:  David Rosner, Chairman;</w:t>
      </w:r>
    </w:p>
    <w:p w:rsidR="00BF5E94" w:rsidRPr="00251AF5" w:rsidP="00BC13DF">
      <w:pPr>
        <w:widowControl/>
        <w:rPr>
          <w:szCs w:val="26"/>
        </w:rPr>
      </w:pPr>
      <w:r w:rsidRPr="00BC13DF">
        <w:rPr>
          <w:szCs w:val="26"/>
        </w:rPr>
        <w:t xml:space="preserve">                                        Lindsay S. See and Judy W. Chang.</w:t>
      </w:r>
    </w:p>
    <w:p w:rsidR="00BF5E94" w:rsidRPr="00251AF5" w:rsidP="00BC13DF">
      <w:pPr>
        <w:rPr>
          <w:szCs w:val="2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34"/>
        <w:gridCol w:w="1534"/>
        <w:gridCol w:w="1892"/>
      </w:tblGrid>
      <w:tr w:rsidTr="00BF5E94">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6088" w:type="dxa"/>
          </w:tcPr>
          <w:p w:rsidR="00BF5E94" w:rsidRPr="00251AF5" w:rsidP="00025DAC">
            <w:pPr>
              <w:widowControl/>
              <w:autoSpaceDE/>
              <w:autoSpaceDN/>
              <w:adjustRightInd/>
              <w:spacing w:after="0" w:line="240" w:lineRule="auto"/>
              <w:rPr>
                <w:rFonts w:ascii="Times New Roman" w:eastAsia="Calibri" w:hAnsi="Times New Roman" w:cs="Times New Roman"/>
                <w:sz w:val="26"/>
                <w:szCs w:val="26"/>
                <w:lang w:val="en-US" w:eastAsia="en-US" w:bidi="ar-SA"/>
              </w:rPr>
            </w:pPr>
            <w:r w:rsidRPr="00C71CD0">
              <w:rPr>
                <w:rFonts w:ascii="Times New Roman" w:eastAsia="Times New Roman" w:hAnsi="Times New Roman" w:cs="Times New Roman"/>
                <w:sz w:val="26"/>
                <w:szCs w:val="26"/>
                <w:lang w:val="en-US" w:eastAsia="en-US" w:bidi="ar-SA"/>
              </w:rPr>
              <w:t>New York Independent System Operator</w:t>
            </w:r>
            <w:r w:rsidRPr="00C71CD0" w:rsidR="00A56386">
              <w:rPr>
                <w:rFonts w:ascii="Times New Roman" w:eastAsia="Times New Roman" w:hAnsi="Times New Roman" w:cs="Times New Roman"/>
                <w:sz w:val="26"/>
                <w:szCs w:val="26"/>
                <w:lang w:val="en-US" w:eastAsia="en-US" w:bidi="ar-SA"/>
              </w:rPr>
              <w:t>,</w:t>
            </w:r>
            <w:r w:rsidRPr="00C71CD0">
              <w:rPr>
                <w:rFonts w:ascii="Times New Roman" w:eastAsia="Times New Roman" w:hAnsi="Times New Roman" w:cs="Times New Roman"/>
                <w:sz w:val="26"/>
                <w:szCs w:val="26"/>
                <w:lang w:val="en-US" w:eastAsia="en-US" w:bidi="ar-SA"/>
              </w:rPr>
              <w:t xml:space="preserve"> Inc.</w:t>
            </w:r>
          </w:p>
        </w:tc>
        <w:tc>
          <w:tcPr>
            <w:tcW w:w="1560" w:type="dxa"/>
          </w:tcPr>
          <w:p w:rsidR="00BF5E94" w:rsidRPr="00251AF5" w:rsidP="00BF5E94">
            <w:pPr>
              <w:widowControl/>
              <w:autoSpaceDE/>
              <w:autoSpaceDN/>
              <w:adjustRightInd/>
              <w:spacing w:after="0" w:line="240" w:lineRule="auto"/>
              <w:jc w:val="right"/>
              <w:rPr>
                <w:rFonts w:ascii="Times New Roman" w:eastAsia="Calibri" w:hAnsi="Times New Roman" w:cs="Times New Roman"/>
                <w:sz w:val="26"/>
                <w:szCs w:val="26"/>
                <w:lang w:val="en-US" w:eastAsia="en-US" w:bidi="ar-SA"/>
              </w:rPr>
            </w:pPr>
            <w:r w:rsidRPr="00251AF5">
              <w:rPr>
                <w:rFonts w:ascii="Times New Roman" w:eastAsia="Calibri" w:hAnsi="Times New Roman" w:cs="Times New Roman"/>
                <w:sz w:val="26"/>
                <w:szCs w:val="26"/>
                <w:lang w:val="en-US" w:eastAsia="en-US" w:bidi="ar-SA"/>
              </w:rPr>
              <w:t>Docket No.</w:t>
            </w:r>
          </w:p>
        </w:tc>
        <w:tc>
          <w:tcPr>
            <w:tcW w:w="1928" w:type="dxa"/>
            <w:tcMar>
              <w:left w:w="144" w:type="dxa"/>
            </w:tcMar>
          </w:tcPr>
          <w:p w:rsidR="00BF5E94" w:rsidRPr="00251AF5" w:rsidP="00025DAC">
            <w:pPr>
              <w:widowControl/>
              <w:autoSpaceDE/>
              <w:autoSpaceDN/>
              <w:adjustRightInd/>
              <w:spacing w:after="0" w:line="240" w:lineRule="auto"/>
              <w:rPr>
                <w:rFonts w:ascii="Times New Roman" w:eastAsia="Calibri" w:hAnsi="Times New Roman" w:cs="Times New Roman"/>
                <w:sz w:val="26"/>
                <w:szCs w:val="26"/>
                <w:lang w:val="en-US" w:eastAsia="en-US" w:bidi="ar-SA"/>
              </w:rPr>
            </w:pPr>
            <w:r w:rsidRPr="00251AF5">
              <w:rPr>
                <w:rFonts w:ascii="Times New Roman" w:eastAsia="Calibri" w:hAnsi="Times New Roman" w:cs="Times New Roman"/>
                <w:sz w:val="26"/>
                <w:szCs w:val="26"/>
                <w:lang w:val="en-US" w:eastAsia="en-US" w:bidi="ar-SA"/>
              </w:rPr>
              <w:t>ER25-</w:t>
            </w:r>
            <w:r w:rsidRPr="00251AF5" w:rsidR="00B85922">
              <w:rPr>
                <w:rFonts w:ascii="Times New Roman" w:eastAsia="Calibri" w:hAnsi="Times New Roman" w:cs="Times New Roman"/>
                <w:sz w:val="26"/>
                <w:szCs w:val="26"/>
                <w:lang w:val="en-US" w:eastAsia="en-US" w:bidi="ar-SA"/>
              </w:rPr>
              <w:t>1812</w:t>
            </w:r>
            <w:r w:rsidRPr="00251AF5">
              <w:rPr>
                <w:rFonts w:ascii="Times New Roman" w:eastAsia="Calibri" w:hAnsi="Times New Roman" w:cs="Times New Roman"/>
                <w:sz w:val="26"/>
                <w:szCs w:val="26"/>
                <w:lang w:val="en-US" w:eastAsia="en-US" w:bidi="ar-SA"/>
              </w:rPr>
              <w:t>-000</w:t>
            </w:r>
          </w:p>
        </w:tc>
      </w:tr>
    </w:tbl>
    <w:p w:rsidR="00BF5E94" w:rsidRPr="00251AF5" w:rsidP="00025DAC">
      <w:pPr>
        <w:jc w:val="center"/>
        <w:rPr>
          <w:szCs w:val="26"/>
        </w:rPr>
      </w:pPr>
    </w:p>
    <w:p w:rsidR="00BF5E94" w:rsidRPr="00251AF5" w:rsidP="00CB7F23">
      <w:pPr>
        <w:jc w:val="center"/>
        <w:rPr>
          <w:szCs w:val="26"/>
        </w:rPr>
      </w:pPr>
    </w:p>
    <w:p w:rsidR="00BF5E94" w:rsidRPr="00251AF5" w:rsidP="00025DAC">
      <w:pPr>
        <w:jc w:val="center"/>
        <w:rPr>
          <w:szCs w:val="26"/>
        </w:rPr>
      </w:pPr>
      <w:r w:rsidRPr="00251AF5">
        <w:rPr>
          <w:szCs w:val="26"/>
        </w:rPr>
        <w:t>ORDER ON COMPLIANCE FILING</w:t>
      </w:r>
    </w:p>
    <w:p w:rsidR="00BF5E94" w:rsidRPr="00251AF5" w:rsidP="00025DAC">
      <w:pPr>
        <w:jc w:val="center"/>
        <w:rPr>
          <w:szCs w:val="26"/>
        </w:rPr>
      </w:pPr>
    </w:p>
    <w:p w:rsidR="00BF5E94" w:rsidP="00BC13DF">
      <w:pPr>
        <w:widowControl/>
        <w:jc w:val="center"/>
        <w:rPr>
          <w:szCs w:val="26"/>
        </w:rPr>
      </w:pPr>
      <w:r w:rsidRPr="00BC13DF">
        <w:rPr>
          <w:szCs w:val="26"/>
        </w:rPr>
        <w:t>(Issued September 1</w:t>
      </w:r>
      <w:r>
        <w:rPr>
          <w:szCs w:val="26"/>
        </w:rPr>
        <w:t>8</w:t>
      </w:r>
      <w:r w:rsidRPr="00BC13DF">
        <w:rPr>
          <w:szCs w:val="26"/>
        </w:rPr>
        <w:t>, 2025)</w:t>
      </w:r>
    </w:p>
    <w:p w:rsidR="00BF5E94" w:rsidRPr="00251AF5" w:rsidP="00025DAC">
      <w:pPr>
        <w:rPr>
          <w:bCs/>
          <w:szCs w:val="26"/>
        </w:rPr>
      </w:pPr>
    </w:p>
    <w:p w:rsidR="00BF5E94" w:rsidRPr="00251AF5" w:rsidP="00FD3D3B">
      <w:pPr>
        <w:pStyle w:val="FERCparanumber"/>
      </w:pPr>
      <w:r>
        <w:t>On March 28, 2025, New York Independent System Operator, Inc.</w:t>
      </w:r>
      <w:r w:rsidR="00040B09">
        <w:t xml:space="preserve"> (NYISO) </w:t>
      </w:r>
      <w:r w:rsidR="00CB1A6B">
        <w:t>filed</w:t>
      </w:r>
      <w:r w:rsidR="00040B09">
        <w:t xml:space="preserve"> proposed revisions to </w:t>
      </w:r>
      <w:r w:rsidR="009D10E4">
        <w:t xml:space="preserve">Rate Schedule 2 of </w:t>
      </w:r>
      <w:r w:rsidR="00040B09">
        <w:t xml:space="preserve">the NYISO </w:t>
      </w:r>
      <w:r w:rsidR="00ED0E43">
        <w:t>Market Administration and</w:t>
      </w:r>
      <w:r w:rsidR="00D85074">
        <w:t xml:space="preserve"> </w:t>
      </w:r>
      <w:r w:rsidR="00ED0E43">
        <w:t>Control Area Services Tariff</w:t>
      </w:r>
      <w:r w:rsidR="00810090">
        <w:t xml:space="preserve"> (</w:t>
      </w:r>
      <w:r w:rsidR="0086289B">
        <w:t xml:space="preserve">Services </w:t>
      </w:r>
      <w:r w:rsidR="00810090">
        <w:t>Tariff)</w:t>
      </w:r>
      <w:r w:rsidR="00B65AB1">
        <w:t xml:space="preserve">, </w:t>
      </w:r>
      <w:r w:rsidR="006B47E6">
        <w:t>in</w:t>
      </w:r>
      <w:r w:rsidR="000357B5">
        <w:t xml:space="preserve"> </w:t>
      </w:r>
      <w:r w:rsidR="00810090">
        <w:t>compl</w:t>
      </w:r>
      <w:r w:rsidR="006B47E6">
        <w:t>iance</w:t>
      </w:r>
      <w:r w:rsidR="00810090">
        <w:t xml:space="preserve"> with the requirements of Order </w:t>
      </w:r>
      <w:r w:rsidR="007B6AC2">
        <w:t xml:space="preserve">  </w:t>
      </w:r>
      <w:r w:rsidR="00810090">
        <w:t>No. 904,</w:t>
      </w:r>
      <w:r>
        <w:rPr>
          <w:rStyle w:val="FootnoteReference"/>
          <w:szCs w:val="26"/>
        </w:rPr>
        <w:footnoteReference w:id="3"/>
      </w:r>
      <w:r w:rsidR="00810090">
        <w:t xml:space="preserve"> </w:t>
      </w:r>
      <w:r w:rsidR="002F37DE">
        <w:t xml:space="preserve">to prohibit transmission rates </w:t>
      </w:r>
      <w:r w:rsidR="00A9351C">
        <w:t>from including</w:t>
      </w:r>
      <w:r w:rsidR="002F37DE">
        <w:t xml:space="preserve"> any charges related to </w:t>
      </w:r>
      <w:r w:rsidR="00A9351C">
        <w:t>a generating facility’s</w:t>
      </w:r>
      <w:r w:rsidR="002F37DE">
        <w:t xml:space="preserve"> provision of reactive power within the standard power factor range. </w:t>
      </w:r>
      <w:r w:rsidR="009E53F2">
        <w:t xml:space="preserve"> </w:t>
      </w:r>
      <w:r w:rsidR="005B2CD2">
        <w:t xml:space="preserve">In this order, we accept NYISO’s compliance filing, to become effective </w:t>
      </w:r>
      <w:r w:rsidR="009E53F2">
        <w:t>May 1, 2026</w:t>
      </w:r>
      <w:r w:rsidR="00FA756B">
        <w:t>,</w:t>
      </w:r>
      <w:r w:rsidR="007B6AC2">
        <w:t xml:space="preserve">   </w:t>
      </w:r>
      <w:r w:rsidR="00FA756B">
        <w:t xml:space="preserve"> as requested</w:t>
      </w:r>
      <w:r w:rsidR="008F0F21">
        <w:t>.</w:t>
      </w:r>
      <w:r w:rsidR="002F37DE">
        <w:t xml:space="preserve"> </w:t>
      </w:r>
    </w:p>
    <w:p w:rsidR="00BF5E94" w:rsidRPr="00251AF5" w:rsidP="00BF5E94">
      <w:pPr>
        <w:pStyle w:val="Heading1"/>
        <w:rPr>
          <w:szCs w:val="26"/>
        </w:rPr>
      </w:pPr>
      <w:r w:rsidRPr="00251AF5">
        <w:rPr>
          <w:szCs w:val="26"/>
        </w:rPr>
        <w:t>Background</w:t>
      </w:r>
    </w:p>
    <w:p w:rsidR="000B2BFA" w:rsidRPr="00251AF5" w:rsidP="000B2BFA">
      <w:pPr>
        <w:pStyle w:val="Heading2"/>
      </w:pPr>
      <w:r w:rsidRPr="00251AF5">
        <w:t>Order No. 904</w:t>
      </w:r>
    </w:p>
    <w:p w:rsidR="00B54748" w:rsidRPr="00251AF5" w:rsidP="00B54748">
      <w:pPr>
        <w:pStyle w:val="FERCparanumber"/>
        <w:rPr>
          <w:szCs w:val="26"/>
        </w:rPr>
      </w:pPr>
      <w:r w:rsidRPr="00251AF5">
        <w:rPr>
          <w:szCs w:val="26"/>
        </w:rPr>
        <w:t xml:space="preserve">In Order No. 904, the Commission </w:t>
      </w:r>
      <w:r w:rsidRPr="00251AF5" w:rsidR="00BB692C">
        <w:rPr>
          <w:szCs w:val="26"/>
        </w:rPr>
        <w:t>found</w:t>
      </w:r>
      <w:r w:rsidRPr="00251AF5">
        <w:rPr>
          <w:szCs w:val="26"/>
        </w:rPr>
        <w:t xml:space="preserve"> </w:t>
      </w:r>
      <w:r w:rsidRPr="00251AF5" w:rsidR="004304FE">
        <w:rPr>
          <w:szCs w:val="26"/>
        </w:rPr>
        <w:t>that allowing public utility transmission providers (transmission providers) to charge transmission customers for a generating facility’s provision of reactive power within the standard power factor range is unjust and unreasonable.</w:t>
      </w:r>
      <w:r>
        <w:rPr>
          <w:rStyle w:val="FootnoteReference"/>
          <w:szCs w:val="26"/>
        </w:rPr>
        <w:footnoteReference w:id="4"/>
      </w:r>
      <w:r w:rsidRPr="00251AF5" w:rsidR="004304FE">
        <w:rPr>
          <w:szCs w:val="26"/>
        </w:rPr>
        <w:t xml:space="preserve">  </w:t>
      </w:r>
      <w:r w:rsidRPr="00251AF5" w:rsidR="00FB2A24">
        <w:rPr>
          <w:szCs w:val="26"/>
        </w:rPr>
        <w:t xml:space="preserve">As a result of Order No. 904, transmission providers are </w:t>
      </w:r>
      <w:r w:rsidRPr="00251AF5" w:rsidR="002F5BD7">
        <w:rPr>
          <w:szCs w:val="26"/>
        </w:rPr>
        <w:t>required</w:t>
      </w:r>
      <w:r w:rsidRPr="00251AF5" w:rsidR="00FB2A24">
        <w:rPr>
          <w:szCs w:val="26"/>
        </w:rPr>
        <w:t xml:space="preserve"> to pay an interconnection customer for reactive power only when the transmission provider requests or directs the interconnection customer to operate its facility outside the standard power factor range set forth in its interconnection agreement.</w:t>
      </w:r>
      <w:r>
        <w:rPr>
          <w:rStyle w:val="FootnoteReference"/>
          <w:szCs w:val="26"/>
        </w:rPr>
        <w:footnoteReference w:id="5"/>
      </w:r>
      <w:r w:rsidRPr="00251AF5" w:rsidR="00FB2A24">
        <w:rPr>
          <w:szCs w:val="26"/>
        </w:rPr>
        <w:t xml:space="preserve">  </w:t>
      </w:r>
    </w:p>
    <w:p w:rsidR="00514B14" w:rsidRPr="00C56161" w:rsidP="00316DCE">
      <w:pPr>
        <w:pStyle w:val="Heading2"/>
      </w:pPr>
      <w:r w:rsidRPr="00C56161">
        <w:t>NYISO’s Installed Capacity Demand Curves</w:t>
      </w:r>
    </w:p>
    <w:p w:rsidR="00796361" w:rsidP="00BC13DF">
      <w:pPr>
        <w:pStyle w:val="FERCparanumber"/>
        <w:rPr>
          <w:szCs w:val="26"/>
        </w:rPr>
      </w:pPr>
      <w:r w:rsidRPr="00251AF5">
        <w:rPr>
          <w:szCs w:val="26"/>
        </w:rPr>
        <w:t xml:space="preserve">The Services Tariff </w:t>
      </w:r>
      <w:r w:rsidR="00E53C0D">
        <w:rPr>
          <w:szCs w:val="26"/>
        </w:rPr>
        <w:t xml:space="preserve">stipulates </w:t>
      </w:r>
      <w:r w:rsidR="00A570A2">
        <w:rPr>
          <w:szCs w:val="26"/>
        </w:rPr>
        <w:t>that</w:t>
      </w:r>
      <w:r w:rsidRPr="00251AF5">
        <w:rPr>
          <w:szCs w:val="26"/>
        </w:rPr>
        <w:t xml:space="preserve"> NYISO</w:t>
      </w:r>
      <w:r w:rsidR="00E53C0D">
        <w:rPr>
          <w:szCs w:val="26"/>
        </w:rPr>
        <w:t xml:space="preserve"> is</w:t>
      </w:r>
      <w:r w:rsidRPr="00251AF5">
        <w:rPr>
          <w:szCs w:val="26"/>
        </w:rPr>
        <w:t xml:space="preserve"> to determine the amount of </w:t>
      </w:r>
      <w:r w:rsidRPr="00251AF5" w:rsidR="00650627">
        <w:rPr>
          <w:szCs w:val="26"/>
        </w:rPr>
        <w:t>Installed Capacity (ICAP)</w:t>
      </w:r>
      <w:r w:rsidRPr="00251AF5">
        <w:rPr>
          <w:szCs w:val="26"/>
        </w:rPr>
        <w:t>, in megawatts (MW), that each Load Serving Entity (LSE) must acquire to ensure that adequate resources are available to meet projected load, taking into account reliability contingencies.</w:t>
      </w:r>
      <w:r>
        <w:rPr>
          <w:rStyle w:val="FootnoteReference"/>
          <w:szCs w:val="26"/>
        </w:rPr>
        <w:footnoteReference w:id="6"/>
      </w:r>
      <w:r w:rsidRPr="00251AF5">
        <w:rPr>
          <w:szCs w:val="26"/>
        </w:rPr>
        <w:t xml:space="preserve">  NYISO oversees an auction process that determines the amount and price of ICAP that each LSE must acquire using administratively established downward-sloping ICAP Demand Curves.</w:t>
      </w:r>
      <w:r>
        <w:rPr>
          <w:b/>
          <w:szCs w:val="26"/>
          <w:vertAlign w:val="superscript"/>
        </w:rPr>
        <w:footnoteReference w:id="7"/>
      </w:r>
      <w:r w:rsidRPr="00251AF5">
        <w:rPr>
          <w:szCs w:val="26"/>
        </w:rPr>
        <w:t xml:space="preserve">  </w:t>
      </w:r>
      <w:r w:rsidR="00FB1BC0">
        <w:rPr>
          <w:szCs w:val="26"/>
        </w:rPr>
        <w:t xml:space="preserve">Expected </w:t>
      </w:r>
      <w:r w:rsidR="00AF54C5">
        <w:rPr>
          <w:szCs w:val="26"/>
        </w:rPr>
        <w:t>reactive power revenues</w:t>
      </w:r>
      <w:r w:rsidR="00496CAA">
        <w:rPr>
          <w:szCs w:val="26"/>
        </w:rPr>
        <w:t xml:space="preserve">, which NYISO refers to as </w:t>
      </w:r>
      <w:r w:rsidRPr="00251AF5" w:rsidR="00496CAA">
        <w:rPr>
          <w:szCs w:val="26"/>
        </w:rPr>
        <w:t xml:space="preserve">“voltage support services” </w:t>
      </w:r>
      <w:r w:rsidR="00496CAA">
        <w:rPr>
          <w:szCs w:val="26"/>
        </w:rPr>
        <w:t>(VSS) revenues,</w:t>
      </w:r>
      <w:r>
        <w:rPr>
          <w:rStyle w:val="FootnoteReference"/>
          <w:szCs w:val="26"/>
        </w:rPr>
        <w:footnoteReference w:id="8"/>
      </w:r>
      <w:r w:rsidR="00AF54C5">
        <w:rPr>
          <w:szCs w:val="26"/>
        </w:rPr>
        <w:t xml:space="preserve"> </w:t>
      </w:r>
      <w:r w:rsidR="005907D1">
        <w:rPr>
          <w:szCs w:val="26"/>
        </w:rPr>
        <w:t xml:space="preserve">are an input to establishing ICAP Demand Curves. </w:t>
      </w:r>
      <w:r w:rsidR="00FB1BC0">
        <w:rPr>
          <w:szCs w:val="26"/>
        </w:rPr>
        <w:t xml:space="preserve"> </w:t>
      </w:r>
      <w:r w:rsidRPr="00C56161" w:rsidR="00384622">
        <w:rPr>
          <w:szCs w:val="26"/>
        </w:rPr>
        <w:t>E</w:t>
      </w:r>
      <w:r w:rsidRPr="00C56161" w:rsidR="00D550B4">
        <w:rPr>
          <w:szCs w:val="26"/>
        </w:rPr>
        <w:t>very four years</w:t>
      </w:r>
      <w:r w:rsidRPr="00251AF5" w:rsidR="00595B3F">
        <w:rPr>
          <w:szCs w:val="26"/>
        </w:rPr>
        <w:t xml:space="preserve">, NYISO </w:t>
      </w:r>
      <w:r w:rsidRPr="00251AF5" w:rsidR="006D7001">
        <w:rPr>
          <w:szCs w:val="26"/>
        </w:rPr>
        <w:t>undertakes a</w:t>
      </w:r>
      <w:r w:rsidR="00243DEC">
        <w:rPr>
          <w:szCs w:val="26"/>
        </w:rPr>
        <w:t>n</w:t>
      </w:r>
      <w:r w:rsidRPr="00251AF5" w:rsidR="006D7001">
        <w:rPr>
          <w:szCs w:val="26"/>
        </w:rPr>
        <w:t xml:space="preserve"> ICAP Demand Curve “reset” in which it </w:t>
      </w:r>
      <w:r w:rsidRPr="00251AF5" w:rsidR="00416481">
        <w:rPr>
          <w:szCs w:val="26"/>
        </w:rPr>
        <w:t>review</w:t>
      </w:r>
      <w:r w:rsidRPr="00251AF5" w:rsidR="00BB3291">
        <w:rPr>
          <w:szCs w:val="26"/>
        </w:rPr>
        <w:t>s</w:t>
      </w:r>
      <w:r w:rsidRPr="00251AF5" w:rsidR="00416481">
        <w:rPr>
          <w:szCs w:val="26"/>
        </w:rPr>
        <w:t xml:space="preserve"> the ICAP Demand Curves </w:t>
      </w:r>
      <w:r w:rsidRPr="00251AF5" w:rsidR="000F1813">
        <w:rPr>
          <w:szCs w:val="26"/>
        </w:rPr>
        <w:t xml:space="preserve">to identify the methodologies and inputs used </w:t>
      </w:r>
      <w:r w:rsidR="00215064">
        <w:rPr>
          <w:szCs w:val="26"/>
        </w:rPr>
        <w:t>to</w:t>
      </w:r>
      <w:r w:rsidRPr="00251AF5" w:rsidR="00215064">
        <w:rPr>
          <w:szCs w:val="26"/>
        </w:rPr>
        <w:t xml:space="preserve"> </w:t>
      </w:r>
      <w:r w:rsidRPr="00251AF5" w:rsidR="000F1813">
        <w:rPr>
          <w:szCs w:val="26"/>
        </w:rPr>
        <w:t>determin</w:t>
      </w:r>
      <w:r w:rsidR="00215064">
        <w:rPr>
          <w:szCs w:val="26"/>
        </w:rPr>
        <w:t>e</w:t>
      </w:r>
      <w:r w:rsidRPr="00251AF5" w:rsidR="000F1813">
        <w:rPr>
          <w:szCs w:val="26"/>
        </w:rPr>
        <w:t xml:space="preserve"> the ICAP Demand Curves for the four Capability Years covered by the relevant ICAP Demand Curve reset process and establish the ICAP Demand Curves for the first Capability Year covered by that process.</w:t>
      </w:r>
      <w:r>
        <w:rPr>
          <w:rStyle w:val="FootnoteReference"/>
          <w:szCs w:val="26"/>
        </w:rPr>
        <w:footnoteReference w:id="9"/>
      </w:r>
      <w:r w:rsidRPr="00251AF5" w:rsidR="000F1813">
        <w:rPr>
          <w:szCs w:val="26"/>
        </w:rPr>
        <w:t xml:space="preserve">  </w:t>
      </w:r>
      <w:r w:rsidRPr="00251AF5" w:rsidR="00A66840">
        <w:rPr>
          <w:szCs w:val="26"/>
        </w:rPr>
        <w:t>The ICAP Demand Curve relies on NYISO’s estimate of the net annual cost, less projected revenues, of a new hypothetical peaking plant in New York or the net “cost of new entry,” referred to as Net CONE.</w:t>
      </w:r>
      <w:r>
        <w:rPr>
          <w:rStyle w:val="FootnoteReference"/>
          <w:szCs w:val="26"/>
        </w:rPr>
        <w:footnoteReference w:id="10"/>
      </w:r>
      <w:r w:rsidRPr="00251AF5" w:rsidR="00A66840">
        <w:rPr>
          <w:szCs w:val="26"/>
        </w:rPr>
        <w:t xml:space="preserve">  To calculate Net CONE, the Services Tariff requires an estimate of the total lifetime cost of building and operating the hypothetical</w:t>
      </w:r>
    </w:p>
    <w:p w:rsidR="006B356B" w:rsidP="00796361">
      <w:pPr>
        <w:pStyle w:val="FERCparanumber"/>
        <w:numPr>
          <w:ilvl w:val="0"/>
          <w:numId w:val="0"/>
        </w:numPr>
        <w:rPr>
          <w:szCs w:val="26"/>
        </w:rPr>
      </w:pPr>
      <w:r w:rsidRPr="00251AF5">
        <w:rPr>
          <w:szCs w:val="26"/>
        </w:rPr>
        <w:t xml:space="preserve">peaking plant, divided by the number of years the plant will be in operation, less the plant’s expected annual net revenues from NYISO’s </w:t>
      </w:r>
      <w:r w:rsidRPr="00251AF5" w:rsidR="001D4A3A">
        <w:rPr>
          <w:szCs w:val="26"/>
        </w:rPr>
        <w:t xml:space="preserve">Energy and Ancillary Services </w:t>
      </w:r>
      <w:r w:rsidRPr="00251AF5">
        <w:rPr>
          <w:szCs w:val="26"/>
        </w:rPr>
        <w:t>markets</w:t>
      </w:r>
      <w:r w:rsidR="0097305B">
        <w:rPr>
          <w:szCs w:val="26"/>
        </w:rPr>
        <w:t xml:space="preserve"> and </w:t>
      </w:r>
      <w:r w:rsidR="00496CAA">
        <w:rPr>
          <w:szCs w:val="26"/>
        </w:rPr>
        <w:t>VSS</w:t>
      </w:r>
      <w:r w:rsidR="006C1853">
        <w:rPr>
          <w:szCs w:val="26"/>
        </w:rPr>
        <w:t xml:space="preserve"> </w:t>
      </w:r>
      <w:r w:rsidR="0090186E">
        <w:rPr>
          <w:szCs w:val="26"/>
        </w:rPr>
        <w:t>revenues</w:t>
      </w:r>
      <w:r w:rsidRPr="00251AF5">
        <w:rPr>
          <w:szCs w:val="26"/>
        </w:rPr>
        <w:t>.</w:t>
      </w:r>
      <w:r>
        <w:rPr>
          <w:rStyle w:val="FootnoteReference"/>
          <w:szCs w:val="26"/>
        </w:rPr>
        <w:footnoteReference w:id="11"/>
      </w:r>
      <w:r w:rsidRPr="00251AF5">
        <w:rPr>
          <w:szCs w:val="26"/>
        </w:rPr>
        <w:t xml:space="preserve">  </w:t>
      </w:r>
    </w:p>
    <w:p w:rsidR="00D75EC7" w:rsidRPr="00251AF5" w:rsidP="00985841">
      <w:pPr>
        <w:pStyle w:val="FERCparanumber"/>
        <w:rPr>
          <w:szCs w:val="26"/>
        </w:rPr>
      </w:pPr>
      <w:r>
        <w:rPr>
          <w:szCs w:val="26"/>
        </w:rPr>
        <w:t xml:space="preserve">NYISO filed its most recent ICAP Demand Curve reset </w:t>
      </w:r>
      <w:r w:rsidR="00AD590E">
        <w:rPr>
          <w:szCs w:val="26"/>
        </w:rPr>
        <w:t xml:space="preserve">proposal for the 2025-2029 Capability Years </w:t>
      </w:r>
      <w:r w:rsidR="00C6799E">
        <w:rPr>
          <w:szCs w:val="26"/>
        </w:rPr>
        <w:t>(</w:t>
      </w:r>
      <w:r w:rsidRPr="00251AF5" w:rsidR="00C6799E">
        <w:rPr>
          <w:szCs w:val="26"/>
        </w:rPr>
        <w:t>2025-2029 Capability Years</w:t>
      </w:r>
      <w:r w:rsidR="00C6799E">
        <w:rPr>
          <w:szCs w:val="26"/>
        </w:rPr>
        <w:t xml:space="preserve">) </w:t>
      </w:r>
      <w:r w:rsidR="00AD590E">
        <w:rPr>
          <w:szCs w:val="26"/>
        </w:rPr>
        <w:t>on November 29, 2024.</w:t>
      </w:r>
      <w:r>
        <w:rPr>
          <w:rStyle w:val="FootnoteReference"/>
          <w:szCs w:val="26"/>
        </w:rPr>
        <w:footnoteReference w:id="12"/>
      </w:r>
      <w:r w:rsidR="00AD590E">
        <w:rPr>
          <w:szCs w:val="26"/>
        </w:rPr>
        <w:t xml:space="preserve">  </w:t>
      </w:r>
      <w:r w:rsidRPr="00251AF5" w:rsidR="00594695">
        <w:rPr>
          <w:szCs w:val="26"/>
        </w:rPr>
        <w:t xml:space="preserve">The Commission accepted </w:t>
      </w:r>
      <w:r w:rsidR="00594695">
        <w:rPr>
          <w:szCs w:val="26"/>
        </w:rPr>
        <w:t xml:space="preserve">the </w:t>
      </w:r>
      <w:r w:rsidRPr="00251AF5" w:rsidR="00594695">
        <w:rPr>
          <w:szCs w:val="26"/>
        </w:rPr>
        <w:t xml:space="preserve">NYISO </w:t>
      </w:r>
      <w:r w:rsidR="00594695">
        <w:rPr>
          <w:szCs w:val="26"/>
        </w:rPr>
        <w:t>November 2024</w:t>
      </w:r>
      <w:r w:rsidRPr="00251AF5" w:rsidR="00594695">
        <w:rPr>
          <w:szCs w:val="26"/>
        </w:rPr>
        <w:t xml:space="preserve"> Demand </w:t>
      </w:r>
      <w:r w:rsidRPr="008D1C58" w:rsidR="00594695">
        <w:rPr>
          <w:szCs w:val="26"/>
        </w:rPr>
        <w:t xml:space="preserve">Curve Reset Filing </w:t>
      </w:r>
      <w:r w:rsidRPr="00251AF5" w:rsidR="00594695">
        <w:rPr>
          <w:szCs w:val="26"/>
        </w:rPr>
        <w:t>on January 28, 2025.</w:t>
      </w:r>
      <w:r>
        <w:rPr>
          <w:rStyle w:val="FootnoteReference"/>
          <w:szCs w:val="26"/>
        </w:rPr>
        <w:footnoteReference w:id="13"/>
      </w:r>
      <w:r w:rsidR="00594695">
        <w:rPr>
          <w:szCs w:val="26"/>
        </w:rPr>
        <w:t xml:space="preserve">  </w:t>
      </w:r>
      <w:r w:rsidR="00B47426">
        <w:rPr>
          <w:szCs w:val="26"/>
        </w:rPr>
        <w:t xml:space="preserve">In </w:t>
      </w:r>
      <w:r w:rsidR="00363916">
        <w:rPr>
          <w:szCs w:val="26"/>
        </w:rPr>
        <w:t>that</w:t>
      </w:r>
      <w:r w:rsidR="007D12A8">
        <w:rPr>
          <w:szCs w:val="26"/>
        </w:rPr>
        <w:t xml:space="preserve"> </w:t>
      </w:r>
      <w:r w:rsidR="00B47426">
        <w:rPr>
          <w:szCs w:val="26"/>
        </w:rPr>
        <w:t xml:space="preserve">filing, </w:t>
      </w:r>
      <w:r w:rsidR="00D0021D">
        <w:rPr>
          <w:szCs w:val="26"/>
        </w:rPr>
        <w:t xml:space="preserve">NYISO </w:t>
      </w:r>
      <w:r w:rsidR="00B47426">
        <w:rPr>
          <w:szCs w:val="26"/>
        </w:rPr>
        <w:t xml:space="preserve">proposed </w:t>
      </w:r>
      <w:r w:rsidR="00A83592">
        <w:rPr>
          <w:szCs w:val="26"/>
        </w:rPr>
        <w:t xml:space="preserve">to account for </w:t>
      </w:r>
      <w:r w:rsidR="00AA6497">
        <w:rPr>
          <w:szCs w:val="26"/>
        </w:rPr>
        <w:t xml:space="preserve">the impact of </w:t>
      </w:r>
      <w:r w:rsidR="00A83592">
        <w:rPr>
          <w:szCs w:val="26"/>
        </w:rPr>
        <w:t xml:space="preserve">likely </w:t>
      </w:r>
      <w:r w:rsidR="003F6B98">
        <w:rPr>
          <w:szCs w:val="26"/>
        </w:rPr>
        <w:t xml:space="preserve">VSS </w:t>
      </w:r>
      <w:r w:rsidR="00A83592">
        <w:rPr>
          <w:szCs w:val="26"/>
        </w:rPr>
        <w:t xml:space="preserve">revenues </w:t>
      </w:r>
      <w:r w:rsidR="00AA6497">
        <w:rPr>
          <w:szCs w:val="26"/>
        </w:rPr>
        <w:t>on</w:t>
      </w:r>
      <w:r w:rsidR="00203440">
        <w:rPr>
          <w:szCs w:val="26"/>
        </w:rPr>
        <w:t xml:space="preserve"> </w:t>
      </w:r>
      <w:r w:rsidRPr="00203440" w:rsidR="00203440">
        <w:rPr>
          <w:szCs w:val="26"/>
        </w:rPr>
        <w:t xml:space="preserve">a </w:t>
      </w:r>
      <w:r w:rsidR="00203440">
        <w:rPr>
          <w:szCs w:val="26"/>
        </w:rPr>
        <w:t xml:space="preserve">hypothetical </w:t>
      </w:r>
      <w:r w:rsidRPr="00203440" w:rsidR="00203440">
        <w:rPr>
          <w:szCs w:val="26"/>
        </w:rPr>
        <w:t>peaking plant</w:t>
      </w:r>
      <w:r w:rsidR="00203440">
        <w:rPr>
          <w:szCs w:val="26"/>
        </w:rPr>
        <w:t>’s</w:t>
      </w:r>
      <w:r w:rsidR="00AA6497">
        <w:rPr>
          <w:szCs w:val="26"/>
        </w:rPr>
        <w:t xml:space="preserve"> Net CONE </w:t>
      </w:r>
      <w:r w:rsidR="00203440">
        <w:rPr>
          <w:szCs w:val="26"/>
        </w:rPr>
        <w:t xml:space="preserve">through </w:t>
      </w:r>
      <w:r w:rsidR="00A14195">
        <w:rPr>
          <w:szCs w:val="26"/>
        </w:rPr>
        <w:t>a</w:t>
      </w:r>
      <w:r w:rsidR="00B47426">
        <w:rPr>
          <w:szCs w:val="26"/>
        </w:rPr>
        <w:t xml:space="preserve"> net Energy and Ancillary Services revenue adder determine</w:t>
      </w:r>
      <w:r w:rsidR="00AC5361">
        <w:rPr>
          <w:szCs w:val="26"/>
        </w:rPr>
        <w:t>d</w:t>
      </w:r>
      <w:r w:rsidR="00B47426">
        <w:rPr>
          <w:szCs w:val="26"/>
        </w:rPr>
        <w:t xml:space="preserve"> formulaically based on the compensation structure described in Rate Schedule 2 of the Services Tariff</w:t>
      </w:r>
      <w:r w:rsidR="00AC5361">
        <w:rPr>
          <w:szCs w:val="26"/>
        </w:rPr>
        <w:t>.</w:t>
      </w:r>
      <w:r>
        <w:rPr>
          <w:rStyle w:val="FootnoteReference"/>
          <w:szCs w:val="26"/>
        </w:rPr>
        <w:footnoteReference w:id="14"/>
      </w:r>
      <w:r w:rsidR="00B47426">
        <w:rPr>
          <w:szCs w:val="26"/>
        </w:rPr>
        <w:t xml:space="preserve"> </w:t>
      </w:r>
      <w:r w:rsidR="0006703C">
        <w:rPr>
          <w:szCs w:val="26"/>
        </w:rPr>
        <w:t xml:space="preserve"> NYISO</w:t>
      </w:r>
      <w:r w:rsidR="00B47426">
        <w:rPr>
          <w:szCs w:val="26"/>
        </w:rPr>
        <w:t xml:space="preserve"> noted that the </w:t>
      </w:r>
      <w:r w:rsidRPr="000024DD" w:rsidR="00B47426">
        <w:rPr>
          <w:szCs w:val="26"/>
        </w:rPr>
        <w:t>value of the VSS adder would be adjusted annually as part of the annual updates to account for the VSS compensation rate in effect at the time of each such annual update</w:t>
      </w:r>
      <w:r w:rsidR="001E538F">
        <w:rPr>
          <w:szCs w:val="26"/>
        </w:rPr>
        <w:t>, and that</w:t>
      </w:r>
      <w:r w:rsidR="00B47426">
        <w:rPr>
          <w:szCs w:val="26"/>
        </w:rPr>
        <w:t xml:space="preserve"> compliance with Order No. 904 would likely impact </w:t>
      </w:r>
      <w:r w:rsidR="00C81F8C">
        <w:rPr>
          <w:szCs w:val="26"/>
        </w:rPr>
        <w:t xml:space="preserve">the </w:t>
      </w:r>
      <w:r w:rsidR="00B47426">
        <w:rPr>
          <w:szCs w:val="26"/>
        </w:rPr>
        <w:t>assumed VSS compensation.</w:t>
      </w:r>
      <w:r>
        <w:rPr>
          <w:rStyle w:val="FootnoteReference"/>
          <w:szCs w:val="26"/>
        </w:rPr>
        <w:footnoteReference w:id="15"/>
      </w:r>
      <w:r w:rsidR="001E538F">
        <w:rPr>
          <w:szCs w:val="26"/>
        </w:rPr>
        <w:t xml:space="preserve">  </w:t>
      </w:r>
    </w:p>
    <w:p w:rsidR="000B2BFA" w:rsidRPr="00251AF5" w:rsidP="00E46310">
      <w:pPr>
        <w:pStyle w:val="Heading1"/>
        <w:rPr>
          <w:szCs w:val="26"/>
        </w:rPr>
      </w:pPr>
      <w:r w:rsidRPr="00251AF5">
        <w:rPr>
          <w:szCs w:val="26"/>
        </w:rPr>
        <w:t>Filing</w:t>
      </w:r>
    </w:p>
    <w:p w:rsidR="00211062" w:rsidRPr="00C5537E" w:rsidP="00C5537E">
      <w:pPr>
        <w:pStyle w:val="FERCparanumber"/>
        <w:rPr>
          <w:szCs w:val="32"/>
        </w:rPr>
      </w:pPr>
      <w:r w:rsidRPr="00251AF5">
        <w:t xml:space="preserve">NYISO </w:t>
      </w:r>
      <w:r w:rsidRPr="00251AF5" w:rsidR="00C96B01">
        <w:t xml:space="preserve">proposes to comply with Order No. 904 by </w:t>
      </w:r>
      <w:r w:rsidRPr="00251AF5" w:rsidR="00EA390F">
        <w:t>revising</w:t>
      </w:r>
      <w:r w:rsidRPr="00251AF5" w:rsidR="00C96B01">
        <w:t xml:space="preserve"> Rate Schedule 2 of the Services Tariff to eliminate compensation for reactive power supply within the standard power factor range.</w:t>
      </w:r>
      <w:r>
        <w:rPr>
          <w:rStyle w:val="FootnoteReference"/>
          <w:szCs w:val="26"/>
        </w:rPr>
        <w:footnoteReference w:id="16"/>
      </w:r>
      <w:r w:rsidRPr="00251AF5" w:rsidR="00C96B01">
        <w:t xml:space="preserve">  </w:t>
      </w:r>
      <w:r w:rsidRPr="00251AF5" w:rsidR="003830C2">
        <w:t>Specifically,</w:t>
      </w:r>
      <w:r w:rsidRPr="00251AF5" w:rsidR="00247619">
        <w:t xml:space="preserve"> NYISO proposes to revise Services Tariff section 15.2.2.1 to eliminate compensation to VSS Suppliers for reactive power support within a standard power factor range of 0.95 lagging to 0.95 leading. </w:t>
      </w:r>
      <w:r w:rsidRPr="00251AF5" w:rsidR="00886C92">
        <w:t xml:space="preserve"> </w:t>
      </w:r>
      <w:r w:rsidRPr="00251AF5" w:rsidR="00C5537E">
        <w:rPr>
          <w:szCs w:val="26"/>
        </w:rPr>
        <w:t xml:space="preserve">NYISO requests an effective date of May 1, 2026, to align the elimination of reactive power compensation within the standard power factor range with the beginning of a new Capability Year </w:t>
      </w:r>
      <w:r w:rsidR="00003459">
        <w:rPr>
          <w:szCs w:val="26"/>
        </w:rPr>
        <w:t xml:space="preserve">(Capability Year 2026-2027) </w:t>
      </w:r>
      <w:r w:rsidRPr="00251AF5" w:rsidR="00C5537E">
        <w:rPr>
          <w:szCs w:val="26"/>
        </w:rPr>
        <w:t>and a new set of ICAP Demand Curves.</w:t>
      </w:r>
    </w:p>
    <w:p w:rsidR="00501477" w:rsidRPr="00251AF5" w:rsidP="00501477">
      <w:pPr>
        <w:pStyle w:val="Heading1"/>
        <w:rPr>
          <w:szCs w:val="26"/>
        </w:rPr>
      </w:pPr>
      <w:r w:rsidRPr="00251AF5">
        <w:rPr>
          <w:szCs w:val="26"/>
        </w:rPr>
        <w:t>Notice and Responsive Pleadings</w:t>
      </w:r>
    </w:p>
    <w:p w:rsidR="002633E3" w:rsidRPr="00251AF5" w:rsidP="00BC13DF">
      <w:pPr>
        <w:pStyle w:val="FERCparanumber"/>
        <w:ind w:right="-270"/>
        <w:rPr>
          <w:szCs w:val="26"/>
        </w:rPr>
      </w:pPr>
      <w:r w:rsidRPr="00251AF5">
        <w:rPr>
          <w:szCs w:val="26"/>
        </w:rPr>
        <w:t>Notice of NYISO’s filing was published in the</w:t>
      </w:r>
      <w:r w:rsidRPr="00251AF5">
        <w:rPr>
          <w:i/>
          <w:szCs w:val="26"/>
        </w:rPr>
        <w:t xml:space="preserve"> Federal Register</w:t>
      </w:r>
      <w:r w:rsidRPr="00251AF5">
        <w:rPr>
          <w:szCs w:val="26"/>
        </w:rPr>
        <w:t>, 90 Fed. Reg. 14826 (Apr. 4, 2025), with interventions and protests due on or before April 18, 2025.  Timely motions to intervene were filed by</w:t>
      </w:r>
      <w:r>
        <w:rPr>
          <w:szCs w:val="26"/>
        </w:rPr>
        <w:t xml:space="preserve">: </w:t>
      </w:r>
      <w:r w:rsidRPr="00251AF5">
        <w:rPr>
          <w:szCs w:val="26"/>
        </w:rPr>
        <w:t xml:space="preserve"> Calpine Corporation; Cordelio Services LLC; </w:t>
      </w:r>
      <w:r w:rsidR="00BC13DF">
        <w:rPr>
          <w:szCs w:val="26"/>
        </w:rPr>
        <w:t xml:space="preserve">         </w:t>
      </w:r>
      <w:r w:rsidRPr="00251AF5">
        <w:rPr>
          <w:szCs w:val="26"/>
        </w:rPr>
        <w:t>New York State Department of State; New York Transmission Owners;</w:t>
      </w:r>
      <w:r>
        <w:rPr>
          <w:rStyle w:val="FootnoteReference"/>
          <w:szCs w:val="26"/>
        </w:rPr>
        <w:footnoteReference w:id="17"/>
      </w:r>
      <w:r w:rsidRPr="00251AF5">
        <w:rPr>
          <w:szCs w:val="26"/>
        </w:rPr>
        <w:t xml:space="preserve"> Shell Energy North America (US), L.P.; and Solar Energy Industries Association.  On May 8, 2025, Public Citizen, Inc., filed a motion to intervene out-of-time.</w:t>
      </w:r>
    </w:p>
    <w:p w:rsidR="00702DCC" w:rsidRPr="00251AF5" w:rsidP="000B7486">
      <w:pPr>
        <w:pStyle w:val="FERCparanumber"/>
        <w:rPr>
          <w:szCs w:val="26"/>
        </w:rPr>
      </w:pPr>
      <w:r w:rsidRPr="00251AF5">
        <w:rPr>
          <w:szCs w:val="26"/>
        </w:rPr>
        <w:t xml:space="preserve">On April 18, 2025, the New York State Department of State Utility Intervention Unit </w:t>
      </w:r>
      <w:r w:rsidRPr="00251AF5" w:rsidR="004B0FC3">
        <w:rPr>
          <w:szCs w:val="26"/>
        </w:rPr>
        <w:t xml:space="preserve">(Utility Intervention Unit) </w:t>
      </w:r>
      <w:r w:rsidRPr="00251AF5" w:rsidR="009F264E">
        <w:rPr>
          <w:szCs w:val="26"/>
        </w:rPr>
        <w:t>filed</w:t>
      </w:r>
      <w:r w:rsidRPr="00251AF5" w:rsidR="004B0FC3">
        <w:rPr>
          <w:szCs w:val="26"/>
        </w:rPr>
        <w:t xml:space="preserve"> a protest.  </w:t>
      </w:r>
      <w:r w:rsidRPr="00251AF5" w:rsidR="003A6F0D">
        <w:rPr>
          <w:szCs w:val="26"/>
        </w:rPr>
        <w:t xml:space="preserve">On May 7, 2025, </w:t>
      </w:r>
      <w:r w:rsidRPr="00251AF5" w:rsidR="00890B9D">
        <w:rPr>
          <w:szCs w:val="26"/>
        </w:rPr>
        <w:t xml:space="preserve">NYISO </w:t>
      </w:r>
      <w:r w:rsidRPr="00251AF5" w:rsidR="009F264E">
        <w:rPr>
          <w:szCs w:val="26"/>
        </w:rPr>
        <w:t>filed a motion for leave to answer and answer.</w:t>
      </w:r>
    </w:p>
    <w:p w:rsidR="00501477" w:rsidRPr="00251AF5" w:rsidP="006E743F">
      <w:pPr>
        <w:pStyle w:val="Heading1"/>
        <w:rPr>
          <w:szCs w:val="26"/>
        </w:rPr>
      </w:pPr>
      <w:r w:rsidRPr="00251AF5">
        <w:rPr>
          <w:szCs w:val="26"/>
        </w:rPr>
        <w:t>Discussion</w:t>
      </w:r>
    </w:p>
    <w:p w:rsidR="00B143E0" w:rsidRPr="00251AF5" w:rsidP="006E743F">
      <w:pPr>
        <w:pStyle w:val="Heading2"/>
      </w:pPr>
      <w:r w:rsidRPr="00251AF5">
        <w:t>Procedural Matters</w:t>
      </w:r>
    </w:p>
    <w:p w:rsidR="00B94E40" w:rsidRPr="00251AF5" w:rsidP="00BC35F3">
      <w:pPr>
        <w:pStyle w:val="FERCparanumber"/>
        <w:rPr>
          <w:szCs w:val="26"/>
        </w:rPr>
      </w:pPr>
      <w:r w:rsidRPr="00251AF5">
        <w:rPr>
          <w:szCs w:val="26"/>
        </w:rPr>
        <w:t xml:space="preserve">Pursuant to Rule 214 of the Commission’s Rules of Practice and Procedure, </w:t>
      </w:r>
      <w:r w:rsidR="00BC13DF">
        <w:rPr>
          <w:szCs w:val="26"/>
        </w:rPr>
        <w:t xml:space="preserve">        </w:t>
      </w:r>
      <w:r w:rsidRPr="00251AF5">
        <w:rPr>
          <w:szCs w:val="26"/>
        </w:rPr>
        <w:t xml:space="preserve">18 C.F.R. </w:t>
      </w:r>
      <w:r w:rsidRPr="00251AF5" w:rsidR="00BC13DF">
        <w:rPr>
          <w:szCs w:val="26"/>
        </w:rPr>
        <w:t>§</w:t>
      </w:r>
      <w:r w:rsidR="00BC13DF">
        <w:rPr>
          <w:szCs w:val="26"/>
        </w:rPr>
        <w:t> </w:t>
      </w:r>
      <w:r w:rsidRPr="00251AF5" w:rsidR="00BC13DF">
        <w:rPr>
          <w:szCs w:val="26"/>
        </w:rPr>
        <w:t>3</w:t>
      </w:r>
      <w:r w:rsidRPr="00251AF5">
        <w:rPr>
          <w:szCs w:val="26"/>
        </w:rPr>
        <w:t>85.214 (202</w:t>
      </w:r>
      <w:r w:rsidR="004D692D">
        <w:rPr>
          <w:szCs w:val="26"/>
        </w:rPr>
        <w:t>5</w:t>
      </w:r>
      <w:r w:rsidRPr="00251AF5">
        <w:rPr>
          <w:szCs w:val="26"/>
        </w:rPr>
        <w:t>), the timely, unopposed motion</w:t>
      </w:r>
      <w:r w:rsidR="0009457C">
        <w:rPr>
          <w:szCs w:val="26"/>
        </w:rPr>
        <w:t>s</w:t>
      </w:r>
      <w:r w:rsidRPr="00251AF5">
        <w:rPr>
          <w:szCs w:val="26"/>
        </w:rPr>
        <w:t xml:space="preserve"> to intervene serve to make the entities that filed them parties to this proceeding.</w:t>
      </w:r>
    </w:p>
    <w:p w:rsidR="00D1315A" w:rsidRPr="00251AF5" w:rsidP="00BC35F3">
      <w:pPr>
        <w:pStyle w:val="FERCparanumber"/>
      </w:pPr>
      <w:r>
        <w:t xml:space="preserve">Pursuant to Rule 214(d) of the Commission’s Rules of Practice and Procedure, </w:t>
      </w:r>
      <w:r w:rsidR="00BC13DF">
        <w:t xml:space="preserve">      </w:t>
      </w:r>
      <w:r>
        <w:t xml:space="preserve">18 C.F.R. </w:t>
      </w:r>
      <w:r w:rsidR="00BC13DF">
        <w:t>§ 3</w:t>
      </w:r>
      <w:r>
        <w:t>85.214(d)</w:t>
      </w:r>
      <w:r w:rsidR="006D75A8">
        <w:t xml:space="preserve"> (202</w:t>
      </w:r>
      <w:r w:rsidR="004D692D">
        <w:t>5</w:t>
      </w:r>
      <w:r w:rsidR="006D75A8">
        <w:t>)</w:t>
      </w:r>
      <w:r>
        <w:t xml:space="preserve">, we grant </w:t>
      </w:r>
      <w:r w:rsidR="001A1B59">
        <w:t>Public Citizen</w:t>
      </w:r>
      <w:r w:rsidR="00F06DB9">
        <w:t>, Inc.’s</w:t>
      </w:r>
      <w:r>
        <w:t xml:space="preserve"> late-filed motion to intervene given its interest in the proceeding, the early stage of the proceeding, and the absence of undue prejudice or delay.</w:t>
      </w:r>
    </w:p>
    <w:p w:rsidR="00B94E40" w:rsidRPr="00251AF5" w:rsidP="00B94E40">
      <w:pPr>
        <w:pStyle w:val="FERCparanumber"/>
        <w:rPr>
          <w:szCs w:val="26"/>
        </w:rPr>
      </w:pPr>
      <w:r w:rsidRPr="00251AF5">
        <w:rPr>
          <w:szCs w:val="26"/>
        </w:rPr>
        <w:t xml:space="preserve">Rule 213(a)(2) of the Commission’s Rules of Practice and Procedure, 18 C.F.R. </w:t>
      </w:r>
      <w:r w:rsidRPr="00251AF5" w:rsidR="00BC13DF">
        <w:rPr>
          <w:szCs w:val="26"/>
        </w:rPr>
        <w:t>§</w:t>
      </w:r>
      <w:r w:rsidR="00BC13DF">
        <w:rPr>
          <w:szCs w:val="26"/>
        </w:rPr>
        <w:t> </w:t>
      </w:r>
      <w:r w:rsidRPr="00251AF5" w:rsidR="00BC13DF">
        <w:rPr>
          <w:szCs w:val="26"/>
        </w:rPr>
        <w:t>3</w:t>
      </w:r>
      <w:r w:rsidRPr="00251AF5">
        <w:rPr>
          <w:szCs w:val="26"/>
        </w:rPr>
        <w:t>85.213(a)(2)</w:t>
      </w:r>
      <w:r w:rsidRPr="00251AF5" w:rsidR="006D75A8">
        <w:rPr>
          <w:szCs w:val="26"/>
        </w:rPr>
        <w:t xml:space="preserve"> (202</w:t>
      </w:r>
      <w:r w:rsidR="0004105D">
        <w:rPr>
          <w:szCs w:val="26"/>
        </w:rPr>
        <w:t>5</w:t>
      </w:r>
      <w:r w:rsidRPr="00251AF5" w:rsidR="006D75A8">
        <w:rPr>
          <w:szCs w:val="26"/>
        </w:rPr>
        <w:t>)</w:t>
      </w:r>
      <w:r w:rsidRPr="00251AF5">
        <w:rPr>
          <w:szCs w:val="26"/>
        </w:rPr>
        <w:t xml:space="preserve">, prohibits an answer to a protest unless otherwise ordered by the decisional authority.  We accept </w:t>
      </w:r>
      <w:r w:rsidRPr="00251AF5" w:rsidR="006E7ED4">
        <w:rPr>
          <w:szCs w:val="26"/>
        </w:rPr>
        <w:t>NYISO’s</w:t>
      </w:r>
      <w:r w:rsidRPr="00251AF5">
        <w:rPr>
          <w:szCs w:val="26"/>
        </w:rPr>
        <w:t xml:space="preserve"> answer because </w:t>
      </w:r>
      <w:r w:rsidRPr="00251AF5" w:rsidR="00B844CC">
        <w:rPr>
          <w:szCs w:val="26"/>
        </w:rPr>
        <w:t xml:space="preserve">it </w:t>
      </w:r>
      <w:r w:rsidRPr="00251AF5">
        <w:rPr>
          <w:szCs w:val="26"/>
        </w:rPr>
        <w:t>has provided information that assisted us in our decision-making process.</w:t>
      </w:r>
    </w:p>
    <w:p w:rsidR="00B143E0" w:rsidRPr="00251AF5" w:rsidP="006E743F">
      <w:pPr>
        <w:pStyle w:val="Heading2"/>
      </w:pPr>
      <w:r w:rsidRPr="00251AF5">
        <w:t>Substantive Matters</w:t>
      </w:r>
    </w:p>
    <w:p w:rsidR="002A63C1" w:rsidRPr="00251AF5" w:rsidP="007B6AC2">
      <w:pPr>
        <w:pStyle w:val="FERCparanumber"/>
        <w:ind w:right="-180"/>
        <w:rPr>
          <w:szCs w:val="26"/>
        </w:rPr>
      </w:pPr>
      <w:r w:rsidRPr="00251AF5">
        <w:rPr>
          <w:szCs w:val="26"/>
        </w:rPr>
        <w:t>As discussed below, we find that NYISO’s proposal complies with the requirements of Order No. 904.  Accordingly, we accept NYISO’s compliance filing, to be effective May 1, 2026, as discussed below.</w:t>
      </w:r>
    </w:p>
    <w:p w:rsidR="0092617C" w:rsidRPr="00251AF5" w:rsidP="000C1546">
      <w:pPr>
        <w:pStyle w:val="Heading3"/>
        <w:rPr>
          <w:szCs w:val="26"/>
        </w:rPr>
      </w:pPr>
      <w:r w:rsidRPr="00251AF5">
        <w:rPr>
          <w:szCs w:val="26"/>
        </w:rPr>
        <w:t xml:space="preserve">Prohibition on </w:t>
      </w:r>
      <w:r w:rsidRPr="00251AF5" w:rsidR="00A3452F">
        <w:rPr>
          <w:szCs w:val="26"/>
        </w:rPr>
        <w:t xml:space="preserve">the </w:t>
      </w:r>
      <w:r w:rsidRPr="00251AF5" w:rsidR="008C51B6">
        <w:rPr>
          <w:szCs w:val="26"/>
        </w:rPr>
        <w:t xml:space="preserve">charges </w:t>
      </w:r>
      <w:r w:rsidRPr="00251AF5" w:rsidR="00A3452F">
        <w:rPr>
          <w:szCs w:val="26"/>
        </w:rPr>
        <w:t>associated with reactive compensation within the standard power factor range</w:t>
      </w:r>
    </w:p>
    <w:p w:rsidR="00522F82" w:rsidRPr="00251AF5" w:rsidP="00CF218A">
      <w:pPr>
        <w:pStyle w:val="Heading4"/>
        <w:rPr>
          <w:szCs w:val="26"/>
        </w:rPr>
      </w:pPr>
      <w:r w:rsidRPr="00251AF5">
        <w:rPr>
          <w:szCs w:val="26"/>
        </w:rPr>
        <w:t>Order No. 904</w:t>
      </w:r>
    </w:p>
    <w:p w:rsidR="00522F82" w:rsidRPr="00251AF5" w:rsidP="007B6AC2">
      <w:pPr>
        <w:pStyle w:val="FERCparanumber"/>
        <w:ind w:right="-180"/>
        <w:rPr>
          <w:szCs w:val="26"/>
        </w:rPr>
      </w:pPr>
      <w:r w:rsidRPr="00251AF5">
        <w:rPr>
          <w:szCs w:val="26"/>
        </w:rPr>
        <w:t xml:space="preserve">In Order No. 904, the Commission required each transmission provider to submit a compliance filing to make changes to </w:t>
      </w:r>
      <w:r w:rsidR="004A6127">
        <w:rPr>
          <w:szCs w:val="26"/>
        </w:rPr>
        <w:t>its</w:t>
      </w:r>
      <w:r w:rsidRPr="00251AF5" w:rsidR="004A6127">
        <w:rPr>
          <w:szCs w:val="26"/>
        </w:rPr>
        <w:t xml:space="preserve"> </w:t>
      </w:r>
      <w:r w:rsidRPr="00251AF5">
        <w:rPr>
          <w:szCs w:val="26"/>
        </w:rPr>
        <w:t xml:space="preserve">Schedule 2 or other </w:t>
      </w:r>
      <w:r w:rsidR="009856D6">
        <w:t>Open Access Transmission Tariff (</w:t>
      </w:r>
      <w:r w:rsidRPr="00251AF5">
        <w:rPr>
          <w:szCs w:val="26"/>
        </w:rPr>
        <w:t>OATT</w:t>
      </w:r>
      <w:r w:rsidR="009856D6">
        <w:rPr>
          <w:szCs w:val="26"/>
        </w:rPr>
        <w:t>)</w:t>
      </w:r>
      <w:r w:rsidRPr="00251AF5">
        <w:rPr>
          <w:szCs w:val="26"/>
        </w:rPr>
        <w:t xml:space="preserve"> provisions relating to charges and payments for reactive power</w:t>
      </w:r>
      <w:r w:rsidRPr="00251AF5" w:rsidR="00541A49">
        <w:rPr>
          <w:szCs w:val="26"/>
        </w:rPr>
        <w:t xml:space="preserve"> </w:t>
      </w:r>
      <w:r w:rsidRPr="00251AF5" w:rsidR="00455773">
        <w:rPr>
          <w:szCs w:val="26"/>
        </w:rPr>
        <w:t xml:space="preserve">to </w:t>
      </w:r>
      <w:r w:rsidRPr="00251AF5" w:rsidR="00F17671">
        <w:rPr>
          <w:szCs w:val="26"/>
        </w:rPr>
        <w:t xml:space="preserve">remove compensation for the provision of reactive power within the standard power factor range specified in </w:t>
      </w:r>
      <w:r w:rsidR="00217F13">
        <w:rPr>
          <w:szCs w:val="26"/>
        </w:rPr>
        <w:t xml:space="preserve">the </w:t>
      </w:r>
      <w:r w:rsidRPr="00251AF5" w:rsidR="00217F13">
        <w:rPr>
          <w:szCs w:val="26"/>
        </w:rPr>
        <w:t>interconnection customer</w:t>
      </w:r>
      <w:r w:rsidR="00217F13">
        <w:rPr>
          <w:szCs w:val="26"/>
        </w:rPr>
        <w:t>’s</w:t>
      </w:r>
      <w:r w:rsidRPr="00251AF5" w:rsidR="00217F13">
        <w:rPr>
          <w:szCs w:val="26"/>
        </w:rPr>
        <w:t xml:space="preserve"> </w:t>
      </w:r>
      <w:r w:rsidRPr="00251AF5" w:rsidR="00F17671">
        <w:rPr>
          <w:szCs w:val="26"/>
        </w:rPr>
        <w:t>interconnection agreement</w:t>
      </w:r>
      <w:r w:rsidRPr="00251AF5">
        <w:rPr>
          <w:szCs w:val="26"/>
        </w:rPr>
        <w:t>.</w:t>
      </w:r>
      <w:r>
        <w:rPr>
          <w:rStyle w:val="FootnoteReference"/>
          <w:szCs w:val="26"/>
        </w:rPr>
        <w:footnoteReference w:id="18"/>
      </w:r>
      <w:r w:rsidRPr="00251AF5">
        <w:rPr>
          <w:szCs w:val="26"/>
        </w:rPr>
        <w:t xml:space="preserve">  </w:t>
      </w:r>
      <w:r w:rsidR="00FF77AE">
        <w:rPr>
          <w:szCs w:val="26"/>
        </w:rPr>
        <w:t>T</w:t>
      </w:r>
      <w:r w:rsidRPr="00251AF5">
        <w:rPr>
          <w:szCs w:val="26"/>
        </w:rPr>
        <w:t xml:space="preserve">he Commission </w:t>
      </w:r>
      <w:r w:rsidRPr="00251AF5" w:rsidR="00D3608A">
        <w:rPr>
          <w:szCs w:val="26"/>
        </w:rPr>
        <w:t xml:space="preserve">specified </w:t>
      </w:r>
      <w:r w:rsidRPr="00251AF5" w:rsidR="00700DA6">
        <w:rPr>
          <w:szCs w:val="26"/>
        </w:rPr>
        <w:t>that</w:t>
      </w:r>
      <w:r w:rsidR="00FF77AE">
        <w:rPr>
          <w:szCs w:val="26"/>
        </w:rPr>
        <w:t>, i</w:t>
      </w:r>
      <w:r w:rsidRPr="00251AF5" w:rsidR="00FF77AE">
        <w:rPr>
          <w:szCs w:val="26"/>
        </w:rPr>
        <w:t>n evaluating compliance filings made by RTOs/ISOs,</w:t>
      </w:r>
      <w:r w:rsidRPr="00251AF5" w:rsidR="00700DA6">
        <w:rPr>
          <w:szCs w:val="26"/>
        </w:rPr>
        <w:t xml:space="preserve"> it </w:t>
      </w:r>
      <w:r w:rsidRPr="00251AF5">
        <w:rPr>
          <w:szCs w:val="26"/>
        </w:rPr>
        <w:t>w</w:t>
      </w:r>
      <w:r w:rsidRPr="00251AF5" w:rsidR="00700DA6">
        <w:rPr>
          <w:szCs w:val="26"/>
        </w:rPr>
        <w:t>ould</w:t>
      </w:r>
      <w:r w:rsidRPr="00251AF5">
        <w:rPr>
          <w:szCs w:val="26"/>
        </w:rPr>
        <w:t xml:space="preserve"> apply the “consistent with or superior to” standard to deviations from the adopted</w:t>
      </w:r>
      <w:r w:rsidRPr="00251AF5" w:rsidR="00357FD4">
        <w:rPr>
          <w:szCs w:val="26"/>
        </w:rPr>
        <w:t xml:space="preserve"> </w:t>
      </w:r>
      <w:r w:rsidRPr="00251AF5">
        <w:rPr>
          <w:i/>
          <w:iCs/>
          <w:szCs w:val="26"/>
        </w:rPr>
        <w:t>pro forma</w:t>
      </w:r>
      <w:r w:rsidRPr="00251AF5">
        <w:rPr>
          <w:szCs w:val="26"/>
        </w:rPr>
        <w:t xml:space="preserve"> Schedule 2.</w:t>
      </w:r>
    </w:p>
    <w:p w:rsidR="00DA2EE9" w:rsidP="00395923">
      <w:pPr>
        <w:pStyle w:val="FERCparanumber"/>
        <w:rPr>
          <w:szCs w:val="26"/>
        </w:rPr>
      </w:pPr>
      <w:r>
        <w:rPr>
          <w:szCs w:val="26"/>
        </w:rPr>
        <w:t>T</w:t>
      </w:r>
      <w:r w:rsidRPr="00251AF5">
        <w:rPr>
          <w:szCs w:val="26"/>
        </w:rPr>
        <w:t>he Commission</w:t>
      </w:r>
      <w:r>
        <w:rPr>
          <w:szCs w:val="26"/>
        </w:rPr>
        <w:t xml:space="preserve"> also</w:t>
      </w:r>
      <w:r w:rsidRPr="00251AF5">
        <w:rPr>
          <w:szCs w:val="26"/>
        </w:rPr>
        <w:t xml:space="preserve"> required each transmission provider to submit a compliance filing to make changes to </w:t>
      </w:r>
      <w:r>
        <w:rPr>
          <w:szCs w:val="26"/>
        </w:rPr>
        <w:t>its</w:t>
      </w:r>
      <w:r w:rsidRPr="00251AF5">
        <w:rPr>
          <w:szCs w:val="26"/>
        </w:rPr>
        <w:t xml:space="preserve"> </w:t>
      </w:r>
      <w:r w:rsidRPr="00251AF5">
        <w:rPr>
          <w:i/>
          <w:iCs/>
          <w:szCs w:val="26"/>
        </w:rPr>
        <w:t>pro forma</w:t>
      </w:r>
      <w:r w:rsidRPr="00251AF5">
        <w:rPr>
          <w:iCs/>
          <w:szCs w:val="26"/>
        </w:rPr>
        <w:t xml:space="preserve"> </w:t>
      </w:r>
      <w:r w:rsidR="000E082C">
        <w:t>Large Generator Interconnection Agreement (</w:t>
      </w:r>
      <w:r w:rsidRPr="00251AF5">
        <w:rPr>
          <w:szCs w:val="26"/>
        </w:rPr>
        <w:t>LGIA</w:t>
      </w:r>
      <w:r w:rsidR="000E082C">
        <w:rPr>
          <w:szCs w:val="26"/>
        </w:rPr>
        <w:t>)</w:t>
      </w:r>
      <w:r w:rsidRPr="00251AF5">
        <w:rPr>
          <w:szCs w:val="26"/>
        </w:rPr>
        <w:t xml:space="preserve"> and </w:t>
      </w:r>
      <w:r w:rsidRPr="00251AF5">
        <w:rPr>
          <w:i/>
          <w:iCs/>
          <w:szCs w:val="26"/>
        </w:rPr>
        <w:t>pro forma</w:t>
      </w:r>
      <w:r w:rsidRPr="00BC13DF">
        <w:rPr>
          <w:iCs/>
          <w:szCs w:val="26"/>
        </w:rPr>
        <w:t xml:space="preserve"> </w:t>
      </w:r>
      <w:r w:rsidR="000E082C">
        <w:t>Small Generator Interconnection Agreement (</w:t>
      </w:r>
      <w:r w:rsidRPr="00251AF5">
        <w:rPr>
          <w:szCs w:val="26"/>
        </w:rPr>
        <w:t>SGIA</w:t>
      </w:r>
      <w:r w:rsidR="000E082C">
        <w:rPr>
          <w:szCs w:val="26"/>
        </w:rPr>
        <w:t>)</w:t>
      </w:r>
      <w:r w:rsidRPr="00251AF5">
        <w:rPr>
          <w:szCs w:val="26"/>
        </w:rPr>
        <w:t xml:space="preserve"> in </w:t>
      </w:r>
      <w:r>
        <w:rPr>
          <w:szCs w:val="26"/>
        </w:rPr>
        <w:t>its</w:t>
      </w:r>
      <w:r w:rsidRPr="00251AF5">
        <w:rPr>
          <w:szCs w:val="26"/>
        </w:rPr>
        <w:t xml:space="preserve"> OATT to require a transmission provider to pay an interconnection customer for reactive power only outside of the standard power factor range, and thereby prohibit a transmission provider from including in its transmission rates any charges associated with the supply of reactive power within the specified power factor range from a generating facility.</w:t>
      </w:r>
      <w:r>
        <w:rPr>
          <w:rStyle w:val="FootnoteReference"/>
          <w:szCs w:val="26"/>
        </w:rPr>
        <w:footnoteReference w:id="19"/>
      </w:r>
      <w:r w:rsidRPr="00251AF5">
        <w:rPr>
          <w:szCs w:val="26"/>
        </w:rPr>
        <w:t xml:space="preserve">  </w:t>
      </w:r>
      <w:r w:rsidR="00CA1263">
        <w:rPr>
          <w:szCs w:val="26"/>
        </w:rPr>
        <w:t>T</w:t>
      </w:r>
      <w:r w:rsidRPr="00251AF5">
        <w:rPr>
          <w:szCs w:val="26"/>
        </w:rPr>
        <w:t>he Commission specified that</w:t>
      </w:r>
      <w:r w:rsidR="00CA1263">
        <w:rPr>
          <w:szCs w:val="26"/>
        </w:rPr>
        <w:t>, i</w:t>
      </w:r>
      <w:r w:rsidRPr="00251AF5" w:rsidR="00CA1263">
        <w:rPr>
          <w:szCs w:val="26"/>
        </w:rPr>
        <w:t>n evaluating compliance filings made by RTOs/ISOs,</w:t>
      </w:r>
      <w:r w:rsidRPr="00251AF5">
        <w:rPr>
          <w:szCs w:val="26"/>
        </w:rPr>
        <w:t xml:space="preserve"> it would apply the “independent entity variation standard” to deviations from the </w:t>
      </w:r>
      <w:r w:rsidRPr="00251AF5">
        <w:rPr>
          <w:i/>
          <w:iCs/>
          <w:szCs w:val="26"/>
        </w:rPr>
        <w:t>pro forma</w:t>
      </w:r>
      <w:r w:rsidRPr="00251AF5">
        <w:rPr>
          <w:szCs w:val="26"/>
        </w:rPr>
        <w:t xml:space="preserve"> LGIA and </w:t>
      </w:r>
      <w:r w:rsidRPr="00251AF5">
        <w:rPr>
          <w:i/>
          <w:iCs/>
          <w:szCs w:val="26"/>
        </w:rPr>
        <w:t>pro forma</w:t>
      </w:r>
      <w:r w:rsidRPr="00251AF5">
        <w:rPr>
          <w:szCs w:val="26"/>
        </w:rPr>
        <w:t xml:space="preserve"> SGIA.</w:t>
      </w:r>
      <w:r>
        <w:rPr>
          <w:b/>
          <w:szCs w:val="26"/>
          <w:vertAlign w:val="superscript"/>
        </w:rPr>
        <w:footnoteReference w:id="20"/>
      </w:r>
    </w:p>
    <w:p w:rsidR="000C1546" w:rsidRPr="00251AF5" w:rsidP="00CF218A">
      <w:pPr>
        <w:pStyle w:val="Heading4"/>
        <w:rPr>
          <w:szCs w:val="26"/>
        </w:rPr>
      </w:pPr>
      <w:r w:rsidRPr="00251AF5">
        <w:rPr>
          <w:szCs w:val="26"/>
        </w:rPr>
        <w:t>Filing</w:t>
      </w:r>
    </w:p>
    <w:p w:rsidR="008D58F0" w:rsidRPr="00251AF5" w:rsidP="008D58F0">
      <w:pPr>
        <w:pStyle w:val="FERCparanumber"/>
        <w:rPr>
          <w:szCs w:val="26"/>
        </w:rPr>
      </w:pPr>
      <w:r w:rsidRPr="00251AF5">
        <w:rPr>
          <w:szCs w:val="26"/>
        </w:rPr>
        <w:t xml:space="preserve">NYISO </w:t>
      </w:r>
      <w:r w:rsidR="00565ABD">
        <w:rPr>
          <w:szCs w:val="26"/>
        </w:rPr>
        <w:t>states</w:t>
      </w:r>
      <w:r w:rsidRPr="00251AF5" w:rsidR="00565ABD">
        <w:rPr>
          <w:szCs w:val="26"/>
        </w:rPr>
        <w:t xml:space="preserve"> </w:t>
      </w:r>
      <w:r w:rsidRPr="00251AF5">
        <w:rPr>
          <w:szCs w:val="26"/>
        </w:rPr>
        <w:t>that complying with Order No. 904’s directive to prohibit the inclusion in transmission rates of charges associated with reactive power in the standard power factor range requires NYISO to:  (1) not charge Transmission Customers,</w:t>
      </w:r>
      <w:r>
        <w:rPr>
          <w:rStyle w:val="FootnoteReference"/>
          <w:szCs w:val="26"/>
        </w:rPr>
        <w:footnoteReference w:id="21"/>
      </w:r>
      <w:r w:rsidRPr="00251AF5">
        <w:rPr>
          <w:szCs w:val="26"/>
        </w:rPr>
        <w:t xml:space="preserve"> Customers,</w:t>
      </w:r>
      <w:r>
        <w:rPr>
          <w:rStyle w:val="FootnoteReference"/>
          <w:szCs w:val="26"/>
        </w:rPr>
        <w:footnoteReference w:id="22"/>
      </w:r>
      <w:r w:rsidRPr="00251AF5">
        <w:rPr>
          <w:szCs w:val="26"/>
        </w:rPr>
        <w:t xml:space="preserve"> and LSEs for reactive power support within the standard power factor range</w:t>
      </w:r>
      <w:r w:rsidR="00A01E58">
        <w:rPr>
          <w:szCs w:val="26"/>
        </w:rPr>
        <w:t>, and</w:t>
      </w:r>
      <w:r w:rsidRPr="00251AF5">
        <w:rPr>
          <w:szCs w:val="26"/>
        </w:rPr>
        <w:t xml:space="preserve"> (2) not compensate resources for the provision of reactive power in the standard power factor range.</w:t>
      </w:r>
      <w:r>
        <w:rPr>
          <w:rStyle w:val="FootnoteReference"/>
          <w:szCs w:val="26"/>
        </w:rPr>
        <w:footnoteReference w:id="23"/>
      </w:r>
      <w:r w:rsidRPr="00251AF5">
        <w:rPr>
          <w:szCs w:val="26"/>
        </w:rPr>
        <w:t xml:space="preserve">  </w:t>
      </w:r>
    </w:p>
    <w:p w:rsidR="008D58F0" w:rsidP="007B6AC2">
      <w:pPr>
        <w:pStyle w:val="FERCparanumber"/>
        <w:ind w:right="-90"/>
        <w:rPr>
          <w:szCs w:val="26"/>
        </w:rPr>
      </w:pPr>
      <w:r w:rsidRPr="00251AF5">
        <w:rPr>
          <w:szCs w:val="26"/>
        </w:rPr>
        <w:t>NYISO states that</w:t>
      </w:r>
      <w:r w:rsidR="00E8390D">
        <w:rPr>
          <w:szCs w:val="26"/>
        </w:rPr>
        <w:t xml:space="preserve"> in</w:t>
      </w:r>
      <w:r w:rsidRPr="00251AF5">
        <w:rPr>
          <w:szCs w:val="26"/>
        </w:rPr>
        <w:t xml:space="preserve"> its tariff provisions governing VSS charges and payments are split between the NYISO OATT and the Services Tariff.</w:t>
      </w:r>
      <w:r>
        <w:rPr>
          <w:rStyle w:val="FootnoteReference"/>
          <w:szCs w:val="26"/>
        </w:rPr>
        <w:footnoteReference w:id="24"/>
      </w:r>
      <w:r w:rsidRPr="00251AF5">
        <w:rPr>
          <w:szCs w:val="26"/>
        </w:rPr>
        <w:t xml:space="preserve">  NYISO explains that Rate Schedule 2</w:t>
      </w:r>
      <w:r w:rsidR="008B3BC3">
        <w:rPr>
          <w:szCs w:val="26"/>
        </w:rPr>
        <w:t xml:space="preserve"> of the OATT</w:t>
      </w:r>
      <w:r w:rsidRPr="00251AF5">
        <w:rPr>
          <w:szCs w:val="26"/>
        </w:rPr>
        <w:t xml:space="preserve"> governs </w:t>
      </w:r>
      <w:r w:rsidRPr="00251AF5">
        <w:rPr>
          <w:i/>
          <w:iCs/>
          <w:szCs w:val="26"/>
        </w:rPr>
        <w:t>charges</w:t>
      </w:r>
      <w:r w:rsidRPr="00251AF5">
        <w:rPr>
          <w:szCs w:val="26"/>
        </w:rPr>
        <w:t xml:space="preserve"> to Transmission Customers, Customer</w:t>
      </w:r>
      <w:r w:rsidRPr="0092439D">
        <w:rPr>
          <w:szCs w:val="26"/>
        </w:rPr>
        <w:t xml:space="preserve">s, and LSEs for reactive power support, </w:t>
      </w:r>
      <w:r w:rsidRPr="00251AF5">
        <w:rPr>
          <w:szCs w:val="26"/>
        </w:rPr>
        <w:t>determine</w:t>
      </w:r>
      <w:r w:rsidR="005E6253">
        <w:rPr>
          <w:szCs w:val="26"/>
        </w:rPr>
        <w:t>d</w:t>
      </w:r>
      <w:r w:rsidRPr="00251AF5">
        <w:rPr>
          <w:szCs w:val="26"/>
        </w:rPr>
        <w:t xml:space="preserve"> </w:t>
      </w:r>
      <w:r w:rsidR="00D96F09">
        <w:rPr>
          <w:szCs w:val="26"/>
        </w:rPr>
        <w:t xml:space="preserve">based on </w:t>
      </w:r>
      <w:r w:rsidRPr="00251AF5">
        <w:rPr>
          <w:szCs w:val="26"/>
        </w:rPr>
        <w:t xml:space="preserve">the amount </w:t>
      </w:r>
      <w:r w:rsidRPr="00D0495E">
        <w:rPr>
          <w:i/>
          <w:iCs/>
          <w:szCs w:val="26"/>
        </w:rPr>
        <w:t>paid</w:t>
      </w:r>
      <w:r w:rsidRPr="00251AF5">
        <w:rPr>
          <w:szCs w:val="26"/>
        </w:rPr>
        <w:t xml:space="preserve"> to suppliers of VSS pursuant to Services Tariff Rate Schedule 2.</w:t>
      </w:r>
      <w:r>
        <w:rPr>
          <w:rStyle w:val="FootnoteReference"/>
          <w:szCs w:val="26"/>
        </w:rPr>
        <w:footnoteReference w:id="25"/>
      </w:r>
      <w:r w:rsidRPr="00251AF5">
        <w:rPr>
          <w:szCs w:val="26"/>
        </w:rPr>
        <w:t xml:space="preserve">  NYISO explains that Rate Schedule 2 of the Services Tariff</w:t>
      </w:r>
      <w:r w:rsidR="007E6B28">
        <w:rPr>
          <w:szCs w:val="26"/>
        </w:rPr>
        <w:t xml:space="preserve"> </w:t>
      </w:r>
      <w:r w:rsidRPr="00251AF5">
        <w:rPr>
          <w:szCs w:val="26"/>
        </w:rPr>
        <w:t xml:space="preserve">provides for an annual capacity </w:t>
      </w:r>
      <w:r w:rsidRPr="00AF6769">
        <w:rPr>
          <w:szCs w:val="26"/>
        </w:rPr>
        <w:t>payment</w:t>
      </w:r>
      <w:r w:rsidRPr="00251AF5">
        <w:rPr>
          <w:szCs w:val="26"/>
        </w:rPr>
        <w:t xml:space="preserve"> per MVAr to resources in the New York Control Area that qualify for voltage support payment under the NYISO Tariffs and procedures.</w:t>
      </w:r>
      <w:r>
        <w:rPr>
          <w:rStyle w:val="FootnoteReference"/>
          <w:szCs w:val="26"/>
        </w:rPr>
        <w:footnoteReference w:id="26"/>
      </w:r>
      <w:r w:rsidR="0081281F">
        <w:rPr>
          <w:szCs w:val="26"/>
        </w:rPr>
        <w:t xml:space="preserve">  </w:t>
      </w:r>
    </w:p>
    <w:p w:rsidR="00796361" w:rsidRPr="00251AF5" w:rsidP="00796361">
      <w:pPr>
        <w:pStyle w:val="FERCparanumber"/>
        <w:numPr>
          <w:ilvl w:val="0"/>
          <w:numId w:val="0"/>
        </w:numPr>
        <w:ind w:right="-90"/>
        <w:rPr>
          <w:szCs w:val="26"/>
        </w:rPr>
      </w:pPr>
    </w:p>
    <w:p w:rsidR="008D58F0" w:rsidRPr="00251AF5" w:rsidP="008D58F0">
      <w:pPr>
        <w:pStyle w:val="FERCparanumber"/>
        <w:rPr>
          <w:szCs w:val="26"/>
        </w:rPr>
      </w:pPr>
      <w:r w:rsidRPr="00251AF5">
        <w:rPr>
          <w:szCs w:val="26"/>
        </w:rPr>
        <w:t>NYISO states that its existing VSS program compensates qualified VSS Suppliers based on the sum of their demonstrated lagging MVAr capacity and the absolute value of the demonstrated leading MVAr capacity.</w:t>
      </w:r>
      <w:r>
        <w:rPr>
          <w:rStyle w:val="FootnoteReference"/>
          <w:szCs w:val="26"/>
        </w:rPr>
        <w:footnoteReference w:id="27"/>
      </w:r>
      <w:r w:rsidRPr="00251AF5">
        <w:rPr>
          <w:szCs w:val="26"/>
        </w:rPr>
        <w:t xml:space="preserve">  NYISO </w:t>
      </w:r>
      <w:r w:rsidR="0085207D">
        <w:rPr>
          <w:szCs w:val="26"/>
        </w:rPr>
        <w:t>explains</w:t>
      </w:r>
      <w:r w:rsidRPr="00251AF5" w:rsidR="0085207D">
        <w:rPr>
          <w:szCs w:val="26"/>
        </w:rPr>
        <w:t xml:space="preserve"> </w:t>
      </w:r>
      <w:r w:rsidRPr="00251AF5">
        <w:rPr>
          <w:szCs w:val="26"/>
        </w:rPr>
        <w:t>that it then sums all projected payments to qualified VSS Suppliers and charges that amount to Transmission Customers, Customers, and LSEs on a per MWh basis.</w:t>
      </w:r>
      <w:r>
        <w:rPr>
          <w:rStyle w:val="FootnoteReference"/>
          <w:szCs w:val="26"/>
        </w:rPr>
        <w:footnoteReference w:id="28"/>
      </w:r>
    </w:p>
    <w:p w:rsidR="00380011" w:rsidRPr="00251AF5" w:rsidP="00380011">
      <w:pPr>
        <w:pStyle w:val="FERCparanumber"/>
        <w:rPr>
          <w:szCs w:val="26"/>
        </w:rPr>
      </w:pPr>
      <w:r w:rsidRPr="00251AF5">
        <w:rPr>
          <w:szCs w:val="26"/>
        </w:rPr>
        <w:t>NYISO proposes to comply with Order No. 904 by revising Rate Schedule 2 of the Services Tariff to eliminate compensation for reactive power supply within the standard power factor range.</w:t>
      </w:r>
      <w:r>
        <w:rPr>
          <w:rStyle w:val="FootnoteReference"/>
          <w:szCs w:val="26"/>
        </w:rPr>
        <w:footnoteReference w:id="29"/>
      </w:r>
      <w:r w:rsidRPr="00251AF5">
        <w:rPr>
          <w:szCs w:val="26"/>
        </w:rPr>
        <w:t xml:space="preserve">  Specifically, NYISO proposes to revise Services Tariff section 15.2.2.1 to eliminate compensation to VSS Suppliers for reactive power support within a standard power factor range of 0.95 lagging to 0.95 leading.</w:t>
      </w:r>
      <w:r>
        <w:rPr>
          <w:rStyle w:val="FootnoteReference"/>
          <w:szCs w:val="26"/>
        </w:rPr>
        <w:footnoteReference w:id="30"/>
      </w:r>
      <w:r w:rsidRPr="00251AF5">
        <w:rPr>
          <w:szCs w:val="26"/>
        </w:rPr>
        <w:t xml:space="preserve">  NYISO </w:t>
      </w:r>
      <w:r w:rsidR="00613198">
        <w:rPr>
          <w:szCs w:val="26"/>
        </w:rPr>
        <w:t>states</w:t>
      </w:r>
      <w:r w:rsidRPr="00251AF5" w:rsidR="00613198">
        <w:rPr>
          <w:szCs w:val="26"/>
        </w:rPr>
        <w:t xml:space="preserve"> </w:t>
      </w:r>
      <w:r w:rsidRPr="00251AF5">
        <w:rPr>
          <w:szCs w:val="26"/>
        </w:rPr>
        <w:t xml:space="preserve">that its proposed revisions define a compensable MVAr capacity consistent with NYISO’s existing VSS program and the requirements of Order No. 904.  NYISO </w:t>
      </w:r>
      <w:r w:rsidR="00613198">
        <w:rPr>
          <w:szCs w:val="26"/>
        </w:rPr>
        <w:t>explains</w:t>
      </w:r>
      <w:r w:rsidRPr="00251AF5" w:rsidR="00613198">
        <w:rPr>
          <w:szCs w:val="26"/>
        </w:rPr>
        <w:t xml:space="preserve"> </w:t>
      </w:r>
      <w:r w:rsidRPr="00251AF5">
        <w:rPr>
          <w:szCs w:val="26"/>
        </w:rPr>
        <w:t>that compensable MVAr capacity equal</w:t>
      </w:r>
      <w:r w:rsidR="004F5CEF">
        <w:rPr>
          <w:szCs w:val="26"/>
        </w:rPr>
        <w:t>s</w:t>
      </w:r>
      <w:r w:rsidRPr="00251AF5">
        <w:rPr>
          <w:szCs w:val="26"/>
        </w:rPr>
        <w:t xml:space="preserve"> the sum of the lagging and the absolute value of the leading MVAr capacity, as evidenced by tests conducted pursuant to ISO Procedures</w:t>
      </w:r>
      <w:r w:rsidR="00812295">
        <w:rPr>
          <w:szCs w:val="26"/>
        </w:rPr>
        <w:t xml:space="preserve"> </w:t>
      </w:r>
      <w:r w:rsidRPr="00812295" w:rsidR="00812295">
        <w:rPr>
          <w:szCs w:val="26"/>
        </w:rPr>
        <w:t xml:space="preserve">(e.g., the NYISO </w:t>
      </w:r>
      <w:r w:rsidR="00064E85">
        <w:rPr>
          <w:szCs w:val="26"/>
        </w:rPr>
        <w:t>Ancillary Services</w:t>
      </w:r>
      <w:r w:rsidRPr="00812295" w:rsidR="00812295">
        <w:rPr>
          <w:szCs w:val="26"/>
        </w:rPr>
        <w:t xml:space="preserve"> Manual)</w:t>
      </w:r>
      <w:r w:rsidRPr="00251AF5">
        <w:rPr>
          <w:szCs w:val="26"/>
        </w:rPr>
        <w:t xml:space="preserve">, minus the sum of the lagging and the absolute value of the leading MVAr capacity within the identified standard power factor range. </w:t>
      </w:r>
    </w:p>
    <w:p w:rsidR="00380011" w:rsidRPr="00251AF5" w:rsidP="00380011">
      <w:pPr>
        <w:pStyle w:val="FERCparanumber"/>
        <w:rPr>
          <w:szCs w:val="26"/>
        </w:rPr>
      </w:pPr>
      <w:r w:rsidRPr="00251AF5">
        <w:rPr>
          <w:szCs w:val="26"/>
        </w:rPr>
        <w:t xml:space="preserve">NYISO </w:t>
      </w:r>
      <w:r w:rsidR="00613198">
        <w:rPr>
          <w:szCs w:val="26"/>
        </w:rPr>
        <w:t>states</w:t>
      </w:r>
      <w:r w:rsidRPr="00251AF5" w:rsidR="00613198">
        <w:rPr>
          <w:szCs w:val="26"/>
        </w:rPr>
        <w:t xml:space="preserve"> </w:t>
      </w:r>
      <w:r w:rsidRPr="00251AF5">
        <w:rPr>
          <w:szCs w:val="26"/>
        </w:rPr>
        <w:t xml:space="preserve">that these Services Tariff revisions will automatically eliminate charges for such service under NYISO OATT Rate Schedule 2 </w:t>
      </w:r>
      <w:r w:rsidR="003D0066">
        <w:rPr>
          <w:szCs w:val="26"/>
        </w:rPr>
        <w:t xml:space="preserve">and </w:t>
      </w:r>
      <w:r w:rsidRPr="00251AF5" w:rsidR="003D0066">
        <w:rPr>
          <w:szCs w:val="26"/>
        </w:rPr>
        <w:t xml:space="preserve">its </w:t>
      </w:r>
      <w:r w:rsidRPr="00251AF5" w:rsidR="003D0066">
        <w:rPr>
          <w:i/>
          <w:iCs/>
          <w:szCs w:val="26"/>
        </w:rPr>
        <w:t>pro forma</w:t>
      </w:r>
      <w:r w:rsidRPr="00251AF5" w:rsidR="003D0066">
        <w:rPr>
          <w:szCs w:val="26"/>
        </w:rPr>
        <w:t xml:space="preserve"> LGIA and </w:t>
      </w:r>
      <w:r w:rsidRPr="00251AF5" w:rsidR="003D0066">
        <w:rPr>
          <w:i/>
          <w:iCs/>
          <w:szCs w:val="26"/>
        </w:rPr>
        <w:t>pro forma</w:t>
      </w:r>
      <w:r w:rsidRPr="00251AF5" w:rsidR="003D0066">
        <w:rPr>
          <w:szCs w:val="26"/>
        </w:rPr>
        <w:t xml:space="preserve"> SGIA </w:t>
      </w:r>
      <w:r w:rsidRPr="00251AF5">
        <w:rPr>
          <w:szCs w:val="26"/>
        </w:rPr>
        <w:t>without the need for further revisions because NYISO OATT Rate Schedule 2</w:t>
      </w:r>
      <w:r w:rsidR="003D0066">
        <w:rPr>
          <w:szCs w:val="26"/>
        </w:rPr>
        <w:t xml:space="preserve">, </w:t>
      </w:r>
      <w:r w:rsidR="003F2549">
        <w:rPr>
          <w:szCs w:val="26"/>
        </w:rPr>
        <w:t>the NYISO</w:t>
      </w:r>
      <w:r w:rsidRPr="00251AF5" w:rsidR="003F2549">
        <w:rPr>
          <w:szCs w:val="26"/>
        </w:rPr>
        <w:t xml:space="preserve"> </w:t>
      </w:r>
      <w:r w:rsidRPr="00251AF5" w:rsidR="003F2549">
        <w:rPr>
          <w:i/>
          <w:iCs/>
          <w:szCs w:val="26"/>
        </w:rPr>
        <w:t>pro forma</w:t>
      </w:r>
      <w:r w:rsidRPr="00251AF5" w:rsidR="003F2549">
        <w:rPr>
          <w:szCs w:val="26"/>
        </w:rPr>
        <w:t xml:space="preserve"> LGIA</w:t>
      </w:r>
      <w:r w:rsidR="003F2549">
        <w:rPr>
          <w:szCs w:val="26"/>
        </w:rPr>
        <w:t>,</w:t>
      </w:r>
      <w:r w:rsidRPr="00251AF5" w:rsidR="003F2549">
        <w:rPr>
          <w:szCs w:val="26"/>
        </w:rPr>
        <w:t xml:space="preserve"> and</w:t>
      </w:r>
      <w:r w:rsidR="003F2549">
        <w:rPr>
          <w:szCs w:val="26"/>
        </w:rPr>
        <w:t xml:space="preserve"> the NYISO</w:t>
      </w:r>
      <w:r w:rsidRPr="00251AF5" w:rsidR="003F2549">
        <w:rPr>
          <w:szCs w:val="26"/>
        </w:rPr>
        <w:t xml:space="preserve"> </w:t>
      </w:r>
      <w:r w:rsidRPr="00251AF5" w:rsidR="003F2549">
        <w:rPr>
          <w:i/>
          <w:iCs/>
          <w:szCs w:val="26"/>
        </w:rPr>
        <w:t>pro forma</w:t>
      </w:r>
      <w:r w:rsidRPr="00251AF5" w:rsidR="003F2549">
        <w:rPr>
          <w:szCs w:val="26"/>
        </w:rPr>
        <w:t xml:space="preserve"> SGIA</w:t>
      </w:r>
      <w:r w:rsidRPr="00251AF5">
        <w:rPr>
          <w:szCs w:val="26"/>
        </w:rPr>
        <w:t xml:space="preserve"> </w:t>
      </w:r>
      <w:r w:rsidR="003F2549">
        <w:rPr>
          <w:szCs w:val="26"/>
        </w:rPr>
        <w:t>all</w:t>
      </w:r>
      <w:r w:rsidRPr="00251AF5">
        <w:rPr>
          <w:szCs w:val="26"/>
        </w:rPr>
        <w:t xml:space="preserve"> determine the amount to charge for reactive power </w:t>
      </w:r>
      <w:r w:rsidR="00DD74BA">
        <w:rPr>
          <w:szCs w:val="26"/>
        </w:rPr>
        <w:t>based on</w:t>
      </w:r>
      <w:r w:rsidRPr="00251AF5" w:rsidR="00DD74BA">
        <w:rPr>
          <w:szCs w:val="26"/>
        </w:rPr>
        <w:t xml:space="preserve"> </w:t>
      </w:r>
      <w:r w:rsidRPr="00251AF5">
        <w:rPr>
          <w:szCs w:val="26"/>
        </w:rPr>
        <w:t xml:space="preserve">the amount paid to reactive power </w:t>
      </w:r>
      <w:r w:rsidR="00DD74BA">
        <w:rPr>
          <w:szCs w:val="26"/>
        </w:rPr>
        <w:t xml:space="preserve">suppliers </w:t>
      </w:r>
      <w:r w:rsidRPr="00251AF5">
        <w:rPr>
          <w:szCs w:val="26"/>
        </w:rPr>
        <w:t>pursuant to Services Tariff Rate Schedule 2.</w:t>
      </w:r>
      <w:r>
        <w:rPr>
          <w:rStyle w:val="FootnoteReference"/>
          <w:szCs w:val="26"/>
        </w:rPr>
        <w:footnoteReference w:id="31"/>
      </w:r>
      <w:r w:rsidRPr="00251AF5">
        <w:rPr>
          <w:szCs w:val="26"/>
        </w:rPr>
        <w:t xml:space="preserve">  NYISO </w:t>
      </w:r>
      <w:r w:rsidR="00970BAD">
        <w:rPr>
          <w:szCs w:val="26"/>
        </w:rPr>
        <w:t xml:space="preserve">explains </w:t>
      </w:r>
      <w:r w:rsidRPr="00251AF5">
        <w:rPr>
          <w:szCs w:val="26"/>
        </w:rPr>
        <w:t xml:space="preserve">that because the revisions achieve Order No. 904’s directive to prohibit the inclusion in transmission rates of charges associated with reactive power </w:t>
      </w:r>
      <w:r w:rsidR="006E68E9">
        <w:rPr>
          <w:szCs w:val="26"/>
        </w:rPr>
        <w:t>with</w:t>
      </w:r>
      <w:r w:rsidRPr="00251AF5">
        <w:rPr>
          <w:szCs w:val="26"/>
        </w:rPr>
        <w:t xml:space="preserve">in the standard power factor range </w:t>
      </w:r>
      <w:r w:rsidR="006E68E9">
        <w:rPr>
          <w:szCs w:val="26"/>
        </w:rPr>
        <w:t xml:space="preserve">in </w:t>
      </w:r>
      <w:r w:rsidRPr="00251AF5">
        <w:rPr>
          <w:szCs w:val="26"/>
        </w:rPr>
        <w:t xml:space="preserve">NYISO’s existing VSS program, the proposed revisions to Services Tariff section 15.2 satisfy Order No. 904’s “consistent with or superior to” standard for deviations from the adopted </w:t>
      </w:r>
      <w:r w:rsidRPr="00251AF5">
        <w:rPr>
          <w:i/>
          <w:iCs/>
          <w:szCs w:val="26"/>
        </w:rPr>
        <w:t>pro forma</w:t>
      </w:r>
      <w:r w:rsidRPr="00251AF5">
        <w:rPr>
          <w:szCs w:val="26"/>
        </w:rPr>
        <w:t xml:space="preserve"> Schedule 2</w:t>
      </w:r>
      <w:r w:rsidR="000150FF">
        <w:rPr>
          <w:szCs w:val="26"/>
        </w:rPr>
        <w:t xml:space="preserve"> and </w:t>
      </w:r>
      <w:r w:rsidRPr="00251AF5" w:rsidR="000150FF">
        <w:rPr>
          <w:szCs w:val="26"/>
        </w:rPr>
        <w:t xml:space="preserve">“independent entity variation standard” for RTO/ISO deviations from the </w:t>
      </w:r>
      <w:r w:rsidRPr="00251AF5" w:rsidR="000150FF">
        <w:rPr>
          <w:i/>
          <w:iCs/>
          <w:szCs w:val="26"/>
        </w:rPr>
        <w:t>pro forma</w:t>
      </w:r>
      <w:r w:rsidRPr="00251AF5" w:rsidR="000150FF">
        <w:rPr>
          <w:szCs w:val="26"/>
        </w:rPr>
        <w:t xml:space="preserve"> LGIA and </w:t>
      </w:r>
      <w:r w:rsidRPr="00251AF5" w:rsidR="000150FF">
        <w:rPr>
          <w:i/>
          <w:iCs/>
          <w:szCs w:val="26"/>
        </w:rPr>
        <w:t>pro forma</w:t>
      </w:r>
      <w:r w:rsidRPr="00251AF5" w:rsidR="000150FF">
        <w:rPr>
          <w:szCs w:val="26"/>
        </w:rPr>
        <w:t xml:space="preserve"> SGIA</w:t>
      </w:r>
      <w:r w:rsidR="007A24E9">
        <w:rPr>
          <w:szCs w:val="26"/>
        </w:rPr>
        <w:t>.</w:t>
      </w:r>
    </w:p>
    <w:p w:rsidR="00CF218A" w:rsidRPr="00251AF5" w:rsidP="00CF218A">
      <w:pPr>
        <w:pStyle w:val="Heading4"/>
        <w:rPr>
          <w:szCs w:val="26"/>
        </w:rPr>
      </w:pPr>
      <w:r w:rsidRPr="00251AF5">
        <w:rPr>
          <w:szCs w:val="26"/>
        </w:rPr>
        <w:t>Protest</w:t>
      </w:r>
    </w:p>
    <w:p w:rsidR="004B0EF8" w:rsidRPr="006321A2" w:rsidP="006321A2">
      <w:pPr>
        <w:pStyle w:val="FERCparanumber"/>
        <w:rPr>
          <w:szCs w:val="26"/>
        </w:rPr>
      </w:pPr>
      <w:r w:rsidRPr="00251AF5">
        <w:rPr>
          <w:szCs w:val="26"/>
        </w:rPr>
        <w:t xml:space="preserve">Utility Intervention Unit </w:t>
      </w:r>
      <w:r w:rsidRPr="00BB02B8" w:rsidR="00BB02B8">
        <w:rPr>
          <w:szCs w:val="26"/>
        </w:rPr>
        <w:t>urges the Commission to reject NYISO’s compliance filing and direct NYISO to submit a revised proposal that aligns with Order No. 904’s directives and to protect consumers from unnecessary cost increases.</w:t>
      </w:r>
      <w:r>
        <w:rPr>
          <w:rStyle w:val="FootnoteReference"/>
          <w:szCs w:val="26"/>
        </w:rPr>
        <w:footnoteReference w:id="32"/>
      </w:r>
      <w:r w:rsidRPr="00251AF5" w:rsidR="00D90984">
        <w:rPr>
          <w:szCs w:val="26"/>
        </w:rPr>
        <w:t xml:space="preserve">  Utility Intervention Unit claims that Order No. 904 clearly states that compensation within the standard power factor range is unjustified because generators are already obligated to provide that support under interconnection agreements and that any compensation beyond that scope creates market distortions and unjust cost burdens on consumers. </w:t>
      </w:r>
      <w:r w:rsidRPr="00251AF5" w:rsidR="00235F5C">
        <w:rPr>
          <w:szCs w:val="26"/>
        </w:rPr>
        <w:t xml:space="preserve"> </w:t>
      </w:r>
      <w:r w:rsidRPr="00251AF5" w:rsidR="00437D1E">
        <w:rPr>
          <w:szCs w:val="26"/>
        </w:rPr>
        <w:t xml:space="preserve">Utility Intervention Unit </w:t>
      </w:r>
      <w:r w:rsidR="00C27DCB">
        <w:rPr>
          <w:szCs w:val="26"/>
        </w:rPr>
        <w:t>states</w:t>
      </w:r>
      <w:r w:rsidRPr="00251AF5" w:rsidR="00177AE1">
        <w:rPr>
          <w:szCs w:val="26"/>
        </w:rPr>
        <w:t xml:space="preserve"> </w:t>
      </w:r>
      <w:r w:rsidRPr="00251AF5" w:rsidR="00437D1E">
        <w:rPr>
          <w:szCs w:val="26"/>
        </w:rPr>
        <w:t>that the regulatory path has consistently moved towards requiring that payments only be made for services provided in response to system needs.</w:t>
      </w:r>
      <w:r w:rsidRPr="00251AF5" w:rsidR="00D4658E">
        <w:rPr>
          <w:szCs w:val="26"/>
        </w:rPr>
        <w:t xml:space="preserve">  Utility Intervention Unit </w:t>
      </w:r>
      <w:r w:rsidR="00C27DCB">
        <w:rPr>
          <w:szCs w:val="26"/>
        </w:rPr>
        <w:t>claims</w:t>
      </w:r>
      <w:r w:rsidRPr="00251AF5" w:rsidR="00C27DCB">
        <w:rPr>
          <w:szCs w:val="26"/>
        </w:rPr>
        <w:t xml:space="preserve"> </w:t>
      </w:r>
      <w:r w:rsidRPr="00251AF5" w:rsidR="00D4658E">
        <w:rPr>
          <w:szCs w:val="26"/>
        </w:rPr>
        <w:t xml:space="preserve">that </w:t>
      </w:r>
      <w:r w:rsidRPr="002E5E83" w:rsidR="002E5E83">
        <w:rPr>
          <w:szCs w:val="26"/>
        </w:rPr>
        <w:t xml:space="preserve">NYISO proposes to </w:t>
      </w:r>
      <w:r w:rsidRPr="00394697" w:rsidR="00394697">
        <w:rPr>
          <w:szCs w:val="26"/>
        </w:rPr>
        <w:t>remove the standard power factor range from the calculation of the VSS payments but maintain capability-based compensation</w:t>
      </w:r>
      <w:r w:rsidRPr="00251AF5" w:rsidR="00394697">
        <w:rPr>
          <w:szCs w:val="26"/>
        </w:rPr>
        <w:t xml:space="preserve"> </w:t>
      </w:r>
      <w:r w:rsidRPr="002E5E83" w:rsidR="002E5E83">
        <w:rPr>
          <w:szCs w:val="26"/>
        </w:rPr>
        <w:t xml:space="preserve">outside of the standard power factor range. </w:t>
      </w:r>
      <w:r w:rsidRPr="00251AF5" w:rsidR="00AB3474">
        <w:rPr>
          <w:szCs w:val="26"/>
        </w:rPr>
        <w:t xml:space="preserve"> Utility Intervention Unit argues that </w:t>
      </w:r>
      <w:r w:rsidRPr="00251AF5" w:rsidR="00640407">
        <w:rPr>
          <w:szCs w:val="26"/>
        </w:rPr>
        <w:t>this approach disregards the intent and requirements of Order No. 904</w:t>
      </w:r>
      <w:r w:rsidRPr="00251AF5" w:rsidR="008C27D1">
        <w:rPr>
          <w:szCs w:val="26"/>
        </w:rPr>
        <w:t>,</w:t>
      </w:r>
      <w:r w:rsidRPr="00251AF5" w:rsidR="00640407">
        <w:rPr>
          <w:szCs w:val="26"/>
        </w:rPr>
        <w:t xml:space="preserve"> perpetuates and exacerbates the inefficiencies that the Commission has expressly sought to correct</w:t>
      </w:r>
      <w:r w:rsidRPr="00251AF5" w:rsidR="008C27D1">
        <w:rPr>
          <w:szCs w:val="26"/>
        </w:rPr>
        <w:t xml:space="preserve">, </w:t>
      </w:r>
      <w:r w:rsidR="000F190F">
        <w:rPr>
          <w:szCs w:val="26"/>
        </w:rPr>
        <w:t xml:space="preserve">     </w:t>
      </w:r>
      <w:r w:rsidRPr="00251AF5" w:rsidR="008C27D1">
        <w:rPr>
          <w:szCs w:val="26"/>
        </w:rPr>
        <w:t xml:space="preserve">and </w:t>
      </w:r>
      <w:r w:rsidRPr="00251AF5" w:rsidR="001F7496">
        <w:rPr>
          <w:szCs w:val="26"/>
        </w:rPr>
        <w:t xml:space="preserve">risks overcompensating resources without providing commensurate benefits to transmission </w:t>
      </w:r>
      <w:r w:rsidR="003B4C75">
        <w:rPr>
          <w:szCs w:val="26"/>
        </w:rPr>
        <w:t>customers</w:t>
      </w:r>
      <w:r w:rsidRPr="00251AF5" w:rsidR="003B4C75">
        <w:rPr>
          <w:szCs w:val="26"/>
        </w:rPr>
        <w:t xml:space="preserve"> </w:t>
      </w:r>
      <w:r w:rsidRPr="00251AF5" w:rsidR="001F7496">
        <w:rPr>
          <w:szCs w:val="26"/>
        </w:rPr>
        <w:t>and without guaranteeing real-time voltage support when required</w:t>
      </w:r>
      <w:r w:rsidRPr="00251AF5" w:rsidR="00640407">
        <w:rPr>
          <w:szCs w:val="26"/>
        </w:rPr>
        <w:t>.</w:t>
      </w:r>
      <w:r w:rsidRPr="00251AF5" w:rsidR="00FF4124">
        <w:rPr>
          <w:szCs w:val="26"/>
        </w:rPr>
        <w:t xml:space="preserve"> </w:t>
      </w:r>
      <w:r w:rsidRPr="00251AF5" w:rsidR="00A434CF">
        <w:rPr>
          <w:szCs w:val="26"/>
        </w:rPr>
        <w:t xml:space="preserve"> Utility Intervention Unit asserts that </w:t>
      </w:r>
      <w:r w:rsidRPr="00E126FF" w:rsidR="00E126FF">
        <w:rPr>
          <w:szCs w:val="26"/>
        </w:rPr>
        <w:t xml:space="preserve">NYISO’s VSS compensation structure should be revised </w:t>
      </w:r>
      <w:r w:rsidRPr="00251AF5" w:rsidR="00E126FF">
        <w:rPr>
          <w:szCs w:val="26"/>
        </w:rPr>
        <w:t xml:space="preserve">to ensure that </w:t>
      </w:r>
      <w:r w:rsidRPr="00251AF5" w:rsidR="00AB3474">
        <w:rPr>
          <w:szCs w:val="26"/>
        </w:rPr>
        <w:t>c</w:t>
      </w:r>
      <w:r w:rsidRPr="00AB3474" w:rsidR="00AB3474">
        <w:rPr>
          <w:szCs w:val="26"/>
        </w:rPr>
        <w:t xml:space="preserve">ompensation to a generator and/or generating facility for providing reactive power that falls outside of the standard power factor range </w:t>
      </w:r>
      <w:r w:rsidRPr="00251AF5" w:rsidR="00310BB6">
        <w:rPr>
          <w:szCs w:val="26"/>
        </w:rPr>
        <w:t>is paid</w:t>
      </w:r>
      <w:r w:rsidRPr="00AB3474" w:rsidR="00AB3474">
        <w:rPr>
          <w:szCs w:val="26"/>
        </w:rPr>
        <w:t xml:space="preserve"> only when the provision of reactive power service is requested by the transmission provider and actually supplied from the generator and/or generating facility, as opposed to a generator’s theoretical capability to provide that reactive power service.</w:t>
      </w:r>
      <w:r w:rsidR="00DB16AF">
        <w:rPr>
          <w:szCs w:val="26"/>
        </w:rPr>
        <w:t xml:space="preserve"> </w:t>
      </w:r>
    </w:p>
    <w:p w:rsidR="00F95003" w:rsidRPr="00251AF5" w:rsidP="00CF218A">
      <w:pPr>
        <w:pStyle w:val="Heading4"/>
        <w:rPr>
          <w:szCs w:val="26"/>
        </w:rPr>
      </w:pPr>
      <w:r w:rsidRPr="00251AF5">
        <w:rPr>
          <w:szCs w:val="26"/>
        </w:rPr>
        <w:t>Answer</w:t>
      </w:r>
    </w:p>
    <w:p w:rsidR="00BC13DF" w:rsidP="00BC13DF">
      <w:pPr>
        <w:pStyle w:val="FERCparanumber"/>
        <w:rPr>
          <w:szCs w:val="26"/>
        </w:rPr>
      </w:pPr>
      <w:r w:rsidRPr="00251AF5">
        <w:rPr>
          <w:szCs w:val="26"/>
        </w:rPr>
        <w:t xml:space="preserve">NYISO asserts that Order No. 904 addresses only the justness and reasonableness of transmission rates chargeable to transmission customers for reactive power </w:t>
      </w:r>
      <w:r w:rsidRPr="00251AF5">
        <w:rPr>
          <w:i/>
          <w:iCs/>
          <w:szCs w:val="26"/>
        </w:rPr>
        <w:t>within</w:t>
      </w:r>
      <w:r w:rsidRPr="00251AF5">
        <w:rPr>
          <w:szCs w:val="26"/>
        </w:rPr>
        <w:t xml:space="preserve"> the standard power factor range.</w:t>
      </w:r>
      <w:r>
        <w:rPr>
          <w:rStyle w:val="FootnoteReference"/>
          <w:szCs w:val="26"/>
        </w:rPr>
        <w:footnoteReference w:id="33"/>
      </w:r>
      <w:r w:rsidRPr="00251AF5">
        <w:rPr>
          <w:szCs w:val="26"/>
        </w:rPr>
        <w:t xml:space="preserve">  Order No. 904 does not, NYISO argues, require removal of existing reactive power compensation programs that target reactive power compensation outside the standard power factor range.  NYISO therefore argues that compensation for reactive power outside the standard power factor range is beyond the scope of Order No. 904, and that Utility Intervention Unit’s objection should be rejected. </w:t>
      </w:r>
    </w:p>
    <w:p w:rsidR="00CF218A" w:rsidRPr="00251AF5" w:rsidP="00CF218A">
      <w:pPr>
        <w:pStyle w:val="Heading4"/>
        <w:rPr>
          <w:szCs w:val="26"/>
        </w:rPr>
      </w:pPr>
      <w:r w:rsidRPr="00251AF5">
        <w:rPr>
          <w:szCs w:val="26"/>
        </w:rPr>
        <w:t>Commission Determination</w:t>
      </w:r>
    </w:p>
    <w:p w:rsidR="00DF506D" w:rsidRPr="00F1793C" w:rsidP="00BC13DF">
      <w:pPr>
        <w:pStyle w:val="FERCparanumber"/>
        <w:ind w:right="-180"/>
        <w:rPr>
          <w:szCs w:val="26"/>
        </w:rPr>
      </w:pPr>
      <w:r w:rsidRPr="00251AF5">
        <w:rPr>
          <w:szCs w:val="26"/>
        </w:rPr>
        <w:t xml:space="preserve">We find that NYISO’s filing complies with Order No. 904’s </w:t>
      </w:r>
      <w:r w:rsidRPr="00251AF5" w:rsidR="00347DD9">
        <w:rPr>
          <w:szCs w:val="26"/>
        </w:rPr>
        <w:t>requirement to remove compensation for the provision of reactive power within the standard power factor range specified in an interconnection agreement</w:t>
      </w:r>
      <w:r w:rsidR="009F0309">
        <w:rPr>
          <w:szCs w:val="26"/>
        </w:rPr>
        <w:t xml:space="preserve"> and </w:t>
      </w:r>
      <w:r w:rsidR="00F1793C">
        <w:rPr>
          <w:szCs w:val="26"/>
        </w:rPr>
        <w:t xml:space="preserve">satisfies the Commission’s </w:t>
      </w:r>
      <w:r w:rsidR="003C27CD">
        <w:rPr>
          <w:szCs w:val="26"/>
        </w:rPr>
        <w:t>“</w:t>
      </w:r>
      <w:r w:rsidR="009F0309">
        <w:rPr>
          <w:szCs w:val="26"/>
        </w:rPr>
        <w:t>consistent with or superior to</w:t>
      </w:r>
      <w:r w:rsidR="003C27CD">
        <w:rPr>
          <w:szCs w:val="26"/>
        </w:rPr>
        <w:t>” standard for</w:t>
      </w:r>
      <w:r w:rsidR="002A55D2">
        <w:rPr>
          <w:szCs w:val="26"/>
        </w:rPr>
        <w:t xml:space="preserve"> deviations from</w:t>
      </w:r>
      <w:r w:rsidR="009F0309">
        <w:rPr>
          <w:szCs w:val="26"/>
        </w:rPr>
        <w:t xml:space="preserve"> </w:t>
      </w:r>
      <w:r w:rsidR="00B91FCE">
        <w:rPr>
          <w:szCs w:val="26"/>
        </w:rPr>
        <w:t xml:space="preserve">Order No. 904’s revisions to </w:t>
      </w:r>
      <w:r w:rsidR="00383162">
        <w:rPr>
          <w:szCs w:val="26"/>
        </w:rPr>
        <w:t xml:space="preserve">the </w:t>
      </w:r>
      <w:r w:rsidR="00B91FCE">
        <w:rPr>
          <w:i/>
          <w:iCs/>
          <w:szCs w:val="26"/>
        </w:rPr>
        <w:t>pro forma</w:t>
      </w:r>
      <w:r w:rsidRPr="00BC13DF" w:rsidR="00B91FCE">
        <w:rPr>
          <w:iCs/>
          <w:szCs w:val="26"/>
        </w:rPr>
        <w:t xml:space="preserve"> </w:t>
      </w:r>
      <w:r w:rsidR="00B91FCE">
        <w:rPr>
          <w:szCs w:val="26"/>
        </w:rPr>
        <w:t>OATT Rate Schedule 2</w:t>
      </w:r>
      <w:r>
        <w:rPr>
          <w:szCs w:val="26"/>
        </w:rPr>
        <w:t xml:space="preserve"> and </w:t>
      </w:r>
      <w:r w:rsidR="00D46B4C">
        <w:rPr>
          <w:szCs w:val="26"/>
        </w:rPr>
        <w:t>“</w:t>
      </w:r>
      <w:r w:rsidR="00FD3E87">
        <w:rPr>
          <w:szCs w:val="26"/>
        </w:rPr>
        <w:t>independent entity variation</w:t>
      </w:r>
      <w:r w:rsidR="00150E4B">
        <w:rPr>
          <w:szCs w:val="26"/>
        </w:rPr>
        <w:t xml:space="preserve"> </w:t>
      </w:r>
      <w:r w:rsidR="007370C0">
        <w:rPr>
          <w:szCs w:val="26"/>
        </w:rPr>
        <w:t>standard</w:t>
      </w:r>
      <w:r w:rsidR="007B6B96">
        <w:rPr>
          <w:szCs w:val="26"/>
        </w:rPr>
        <w:t>”</w:t>
      </w:r>
      <w:r w:rsidR="00FD3E87">
        <w:rPr>
          <w:szCs w:val="26"/>
        </w:rPr>
        <w:t xml:space="preserve"> for RTO/ISO deviations from the </w:t>
      </w:r>
      <w:r w:rsidRPr="00251AF5" w:rsidR="00FD3E87">
        <w:rPr>
          <w:i/>
          <w:iCs/>
          <w:szCs w:val="26"/>
        </w:rPr>
        <w:t>pro forma</w:t>
      </w:r>
      <w:r w:rsidRPr="00251AF5" w:rsidR="00FD3E87">
        <w:rPr>
          <w:szCs w:val="26"/>
        </w:rPr>
        <w:t xml:space="preserve"> LGIA and </w:t>
      </w:r>
      <w:r w:rsidRPr="00251AF5" w:rsidR="00FD3E87">
        <w:rPr>
          <w:i/>
          <w:iCs/>
          <w:szCs w:val="26"/>
        </w:rPr>
        <w:t>pro forma</w:t>
      </w:r>
      <w:r w:rsidRPr="00251AF5" w:rsidR="00FD3E87">
        <w:rPr>
          <w:szCs w:val="26"/>
        </w:rPr>
        <w:t xml:space="preserve"> SGIA</w:t>
      </w:r>
      <w:r w:rsidRPr="00251AF5" w:rsidR="00347DD9">
        <w:rPr>
          <w:szCs w:val="26"/>
        </w:rPr>
        <w:t>.</w:t>
      </w:r>
      <w:r>
        <w:rPr>
          <w:rStyle w:val="FootnoteReference"/>
          <w:szCs w:val="26"/>
        </w:rPr>
        <w:footnoteReference w:id="34"/>
      </w:r>
      <w:r w:rsidRPr="00251AF5" w:rsidR="00347DD9">
        <w:rPr>
          <w:szCs w:val="26"/>
        </w:rPr>
        <w:t xml:space="preserve">  </w:t>
      </w:r>
      <w:r w:rsidRPr="00251AF5" w:rsidR="00C23A50">
        <w:rPr>
          <w:szCs w:val="26"/>
        </w:rPr>
        <w:t>NYISO proposes revisions to Rate Schedule 2 of the Services Tariff to eliminate compensation for reactive power supply within the standard power factor range.</w:t>
      </w:r>
      <w:r>
        <w:rPr>
          <w:rStyle w:val="FootnoteReference"/>
          <w:szCs w:val="26"/>
        </w:rPr>
        <w:footnoteReference w:id="35"/>
      </w:r>
      <w:r w:rsidRPr="00251AF5" w:rsidR="00A55164">
        <w:rPr>
          <w:szCs w:val="26"/>
        </w:rPr>
        <w:t xml:space="preserve">  As NYISO explains, these revisions will automatically eliminate charges for such service under NYISO OATT Rate Schedule 2</w:t>
      </w:r>
      <w:r w:rsidR="00FD3E87">
        <w:rPr>
          <w:szCs w:val="26"/>
        </w:rPr>
        <w:t>,</w:t>
      </w:r>
      <w:r w:rsidR="00F1793C">
        <w:rPr>
          <w:szCs w:val="26"/>
        </w:rPr>
        <w:t xml:space="preserve"> </w:t>
      </w:r>
      <w:r w:rsidR="00BC13DF">
        <w:rPr>
          <w:szCs w:val="26"/>
        </w:rPr>
        <w:t xml:space="preserve"> </w:t>
      </w:r>
      <w:r w:rsidR="00F1793C">
        <w:rPr>
          <w:szCs w:val="26"/>
        </w:rPr>
        <w:t>the NYISO</w:t>
      </w:r>
      <w:r w:rsidR="00FD3E87">
        <w:rPr>
          <w:szCs w:val="26"/>
        </w:rPr>
        <w:t xml:space="preserve"> </w:t>
      </w:r>
      <w:r w:rsidRPr="00251AF5" w:rsidR="00FD3E87">
        <w:rPr>
          <w:i/>
          <w:iCs/>
          <w:szCs w:val="26"/>
        </w:rPr>
        <w:t>pro forma</w:t>
      </w:r>
      <w:r w:rsidRPr="00251AF5" w:rsidR="00FD3E87">
        <w:rPr>
          <w:szCs w:val="26"/>
        </w:rPr>
        <w:t xml:space="preserve"> LGIA</w:t>
      </w:r>
      <w:r w:rsidR="00F1793C">
        <w:rPr>
          <w:szCs w:val="26"/>
        </w:rPr>
        <w:t>,</w:t>
      </w:r>
      <w:r w:rsidRPr="00251AF5" w:rsidR="00FD3E87">
        <w:rPr>
          <w:szCs w:val="26"/>
        </w:rPr>
        <w:t xml:space="preserve"> and </w:t>
      </w:r>
      <w:r w:rsidR="00F1793C">
        <w:rPr>
          <w:szCs w:val="26"/>
        </w:rPr>
        <w:t>the NYISO</w:t>
      </w:r>
      <w:r w:rsidRPr="00251AF5" w:rsidR="00F1793C">
        <w:rPr>
          <w:i/>
          <w:iCs/>
          <w:szCs w:val="26"/>
        </w:rPr>
        <w:t xml:space="preserve"> </w:t>
      </w:r>
      <w:r w:rsidRPr="00251AF5" w:rsidR="00FD3E87">
        <w:rPr>
          <w:i/>
          <w:iCs/>
          <w:szCs w:val="26"/>
        </w:rPr>
        <w:t>pro forma</w:t>
      </w:r>
      <w:r w:rsidRPr="00251AF5" w:rsidR="00FD3E87">
        <w:rPr>
          <w:szCs w:val="26"/>
        </w:rPr>
        <w:t xml:space="preserve"> SGIA</w:t>
      </w:r>
      <w:r w:rsidRPr="00251AF5" w:rsidR="00A55164">
        <w:rPr>
          <w:szCs w:val="26"/>
        </w:rPr>
        <w:t xml:space="preserve"> without requiring further revisions because NYISO OATT Rate Schedule 2</w:t>
      </w:r>
      <w:r w:rsidR="00A57AB4">
        <w:rPr>
          <w:szCs w:val="26"/>
        </w:rPr>
        <w:t xml:space="preserve">, the NYISO </w:t>
      </w:r>
      <w:r w:rsidRPr="00251AF5" w:rsidR="00A57AB4">
        <w:rPr>
          <w:i/>
          <w:iCs/>
          <w:szCs w:val="26"/>
        </w:rPr>
        <w:t>pro forma</w:t>
      </w:r>
      <w:r w:rsidRPr="00251AF5" w:rsidR="00A57AB4">
        <w:rPr>
          <w:szCs w:val="26"/>
        </w:rPr>
        <w:t xml:space="preserve"> LGIA</w:t>
      </w:r>
      <w:r w:rsidR="00A57AB4">
        <w:rPr>
          <w:szCs w:val="26"/>
        </w:rPr>
        <w:t>,</w:t>
      </w:r>
      <w:r w:rsidRPr="00251AF5" w:rsidR="00A57AB4">
        <w:rPr>
          <w:szCs w:val="26"/>
        </w:rPr>
        <w:t xml:space="preserve"> and </w:t>
      </w:r>
      <w:r w:rsidR="00A57AB4">
        <w:rPr>
          <w:szCs w:val="26"/>
        </w:rPr>
        <w:t>the NYISO</w:t>
      </w:r>
      <w:r w:rsidRPr="00251AF5" w:rsidR="00A57AB4">
        <w:rPr>
          <w:i/>
          <w:iCs/>
          <w:szCs w:val="26"/>
        </w:rPr>
        <w:t xml:space="preserve"> pro forma</w:t>
      </w:r>
      <w:r w:rsidRPr="00251AF5" w:rsidR="00A57AB4">
        <w:rPr>
          <w:szCs w:val="26"/>
        </w:rPr>
        <w:t xml:space="preserve"> SGIA</w:t>
      </w:r>
      <w:r w:rsidR="00B518E7">
        <w:rPr>
          <w:szCs w:val="26"/>
        </w:rPr>
        <w:t xml:space="preserve"> each</w:t>
      </w:r>
      <w:r w:rsidRPr="00251AF5" w:rsidR="00A55164">
        <w:rPr>
          <w:szCs w:val="26"/>
        </w:rPr>
        <w:t xml:space="preserve"> determine the amount to charge for reactive power from the amount paid to suppliers of reactive power pursuant to Services Tariff Rate Schedule 2.</w:t>
      </w:r>
      <w:r>
        <w:rPr>
          <w:rStyle w:val="FootnoteReference"/>
          <w:szCs w:val="26"/>
        </w:rPr>
        <w:footnoteReference w:id="36"/>
      </w:r>
      <w:r w:rsidRPr="00251AF5" w:rsidR="00A55164">
        <w:rPr>
          <w:szCs w:val="26"/>
        </w:rPr>
        <w:t xml:space="preserve">  </w:t>
      </w:r>
      <w:r w:rsidRPr="00251AF5" w:rsidR="001B73DE">
        <w:rPr>
          <w:szCs w:val="26"/>
        </w:rPr>
        <w:t>While NYISO d</w:t>
      </w:r>
      <w:r w:rsidRPr="00251AF5" w:rsidR="00F428DE">
        <w:rPr>
          <w:szCs w:val="26"/>
        </w:rPr>
        <w:t xml:space="preserve">oes not adopt the revisions to the </w:t>
      </w:r>
      <w:r w:rsidRPr="00251AF5" w:rsidR="00F428DE">
        <w:rPr>
          <w:i/>
          <w:iCs/>
          <w:szCs w:val="26"/>
        </w:rPr>
        <w:t>pro forma</w:t>
      </w:r>
      <w:r w:rsidRPr="00BC13DF" w:rsidR="00F428DE">
        <w:rPr>
          <w:iCs/>
          <w:szCs w:val="26"/>
        </w:rPr>
        <w:t xml:space="preserve"> </w:t>
      </w:r>
      <w:r w:rsidRPr="00251AF5" w:rsidR="00F428DE">
        <w:rPr>
          <w:szCs w:val="26"/>
        </w:rPr>
        <w:t>OATT Rate Schedule 2,</w:t>
      </w:r>
      <w:r w:rsidR="00BC13DF">
        <w:rPr>
          <w:szCs w:val="26"/>
        </w:rPr>
        <w:t xml:space="preserve">     </w:t>
      </w:r>
      <w:r w:rsidRPr="00251AF5" w:rsidR="00F428DE">
        <w:rPr>
          <w:szCs w:val="26"/>
        </w:rPr>
        <w:t xml:space="preserve"> </w:t>
      </w:r>
      <w:r w:rsidRPr="00251AF5" w:rsidR="00F1793C">
        <w:rPr>
          <w:i/>
          <w:iCs/>
          <w:szCs w:val="26"/>
        </w:rPr>
        <w:t>pro forma</w:t>
      </w:r>
      <w:r w:rsidRPr="00251AF5" w:rsidR="00F1793C">
        <w:rPr>
          <w:szCs w:val="26"/>
        </w:rPr>
        <w:t xml:space="preserve"> LGIA</w:t>
      </w:r>
      <w:r w:rsidR="00F1793C">
        <w:rPr>
          <w:szCs w:val="26"/>
        </w:rPr>
        <w:t>,</w:t>
      </w:r>
      <w:r w:rsidRPr="00251AF5" w:rsidR="00F1793C">
        <w:rPr>
          <w:szCs w:val="26"/>
        </w:rPr>
        <w:t xml:space="preserve"> and </w:t>
      </w:r>
      <w:r w:rsidRPr="00251AF5" w:rsidR="00F1793C">
        <w:rPr>
          <w:i/>
          <w:iCs/>
          <w:szCs w:val="26"/>
        </w:rPr>
        <w:t>pro forma</w:t>
      </w:r>
      <w:r w:rsidRPr="00251AF5" w:rsidR="00F1793C">
        <w:rPr>
          <w:szCs w:val="26"/>
        </w:rPr>
        <w:t xml:space="preserve"> SGIA</w:t>
      </w:r>
      <w:r w:rsidR="00E95E07">
        <w:rPr>
          <w:szCs w:val="26"/>
        </w:rPr>
        <w:t xml:space="preserve"> required by Order No. 904</w:t>
      </w:r>
      <w:r w:rsidR="00F1793C">
        <w:rPr>
          <w:szCs w:val="26"/>
        </w:rPr>
        <w:t>,</w:t>
      </w:r>
      <w:r>
        <w:rPr>
          <w:rStyle w:val="FootnoteReference"/>
          <w:szCs w:val="26"/>
        </w:rPr>
        <w:footnoteReference w:id="37"/>
      </w:r>
      <w:r w:rsidRPr="00251AF5" w:rsidR="00F1793C">
        <w:rPr>
          <w:szCs w:val="26"/>
        </w:rPr>
        <w:t xml:space="preserve"> </w:t>
      </w:r>
      <w:r w:rsidRPr="00251AF5" w:rsidR="00F428DE">
        <w:rPr>
          <w:szCs w:val="26"/>
        </w:rPr>
        <w:t>we</w:t>
      </w:r>
      <w:r w:rsidRPr="00251AF5" w:rsidR="005F657D">
        <w:rPr>
          <w:szCs w:val="26"/>
        </w:rPr>
        <w:t xml:space="preserve"> agree with NYISO that </w:t>
      </w:r>
      <w:r w:rsidR="00AB322B">
        <w:rPr>
          <w:szCs w:val="26"/>
        </w:rPr>
        <w:t>its</w:t>
      </w:r>
      <w:r w:rsidRPr="00251AF5" w:rsidR="00AB322B">
        <w:rPr>
          <w:szCs w:val="26"/>
        </w:rPr>
        <w:t xml:space="preserve"> </w:t>
      </w:r>
      <w:r w:rsidRPr="00251AF5" w:rsidR="005F657D">
        <w:rPr>
          <w:szCs w:val="26"/>
        </w:rPr>
        <w:t>proposed revisions to Services Tariff section 15.2</w:t>
      </w:r>
      <w:r w:rsidR="0077757C">
        <w:rPr>
          <w:szCs w:val="26"/>
        </w:rPr>
        <w:t>.2.1</w:t>
      </w:r>
      <w:r w:rsidRPr="00251AF5" w:rsidR="005F657D">
        <w:rPr>
          <w:szCs w:val="26"/>
        </w:rPr>
        <w:t xml:space="preserve"> satisfy Order No. 904’s “consistent with or superior to” standard for deviations from the </w:t>
      </w:r>
      <w:r w:rsidRPr="00251AF5" w:rsidR="005F657D">
        <w:rPr>
          <w:i/>
          <w:iCs/>
          <w:szCs w:val="26"/>
        </w:rPr>
        <w:t>pro forma</w:t>
      </w:r>
      <w:r w:rsidRPr="00251AF5" w:rsidR="005F657D">
        <w:rPr>
          <w:szCs w:val="26"/>
        </w:rPr>
        <w:t xml:space="preserve"> </w:t>
      </w:r>
      <w:r w:rsidR="00FD1C91">
        <w:rPr>
          <w:szCs w:val="26"/>
        </w:rPr>
        <w:t xml:space="preserve">OATT Rate </w:t>
      </w:r>
      <w:r w:rsidRPr="00251AF5" w:rsidR="005F657D">
        <w:rPr>
          <w:szCs w:val="26"/>
        </w:rPr>
        <w:t xml:space="preserve">Schedule 2 </w:t>
      </w:r>
      <w:r w:rsidR="00F1793C">
        <w:rPr>
          <w:szCs w:val="26"/>
        </w:rPr>
        <w:t>and</w:t>
      </w:r>
      <w:r w:rsidRPr="00251AF5" w:rsidR="00F1793C">
        <w:rPr>
          <w:szCs w:val="26"/>
        </w:rPr>
        <w:t xml:space="preserve"> “independent entity variation standard” for RTO/ISO deviations from the </w:t>
      </w:r>
      <w:r w:rsidRPr="00251AF5" w:rsidR="00F1793C">
        <w:rPr>
          <w:i/>
          <w:iCs/>
          <w:szCs w:val="26"/>
        </w:rPr>
        <w:t>pro forma</w:t>
      </w:r>
      <w:r w:rsidRPr="00251AF5" w:rsidR="00F1793C">
        <w:rPr>
          <w:szCs w:val="26"/>
        </w:rPr>
        <w:t xml:space="preserve"> LGIA and </w:t>
      </w:r>
      <w:r w:rsidRPr="00251AF5" w:rsidR="00F1793C">
        <w:rPr>
          <w:i/>
          <w:iCs/>
          <w:szCs w:val="26"/>
        </w:rPr>
        <w:t>pro forma</w:t>
      </w:r>
      <w:r w:rsidRPr="00251AF5" w:rsidR="00F1793C">
        <w:rPr>
          <w:szCs w:val="26"/>
        </w:rPr>
        <w:t xml:space="preserve"> SGIA </w:t>
      </w:r>
      <w:r w:rsidRPr="00A447A0" w:rsidR="005F657D">
        <w:rPr>
          <w:szCs w:val="26"/>
        </w:rPr>
        <w:t>because</w:t>
      </w:r>
      <w:r w:rsidRPr="00A447A0" w:rsidR="00EF08C7">
        <w:rPr>
          <w:szCs w:val="26"/>
        </w:rPr>
        <w:t xml:space="preserve">, given the structure of NYISO’s </w:t>
      </w:r>
      <w:r w:rsidRPr="00A447A0" w:rsidR="00CB06D0">
        <w:rPr>
          <w:szCs w:val="26"/>
        </w:rPr>
        <w:t>OATT and Services Tariff,</w:t>
      </w:r>
      <w:r w:rsidRPr="00A447A0" w:rsidR="005F657D">
        <w:rPr>
          <w:szCs w:val="26"/>
        </w:rPr>
        <w:t xml:space="preserve"> the revisions achieve Order No. 904’s directive to prohibit the inclusion in transmission rates of charges associated with reactive power in the standard power factor range</w:t>
      </w:r>
      <w:r w:rsidR="00CB06D0">
        <w:rPr>
          <w:szCs w:val="26"/>
        </w:rPr>
        <w:t xml:space="preserve"> without </w:t>
      </w:r>
      <w:r w:rsidR="00AC0E25">
        <w:rPr>
          <w:szCs w:val="26"/>
        </w:rPr>
        <w:t>the need for</w:t>
      </w:r>
      <w:r w:rsidR="00CB06D0">
        <w:rPr>
          <w:szCs w:val="26"/>
        </w:rPr>
        <w:t xml:space="preserve"> </w:t>
      </w:r>
      <w:r w:rsidR="00B71065">
        <w:rPr>
          <w:szCs w:val="26"/>
        </w:rPr>
        <w:t>revision</w:t>
      </w:r>
      <w:r w:rsidR="00AC0E25">
        <w:rPr>
          <w:szCs w:val="26"/>
        </w:rPr>
        <w:t>s</w:t>
      </w:r>
      <w:r w:rsidR="00367A0D">
        <w:rPr>
          <w:szCs w:val="26"/>
        </w:rPr>
        <w:t xml:space="preserve"> to </w:t>
      </w:r>
      <w:r w:rsidR="00AC0E25">
        <w:rPr>
          <w:szCs w:val="26"/>
        </w:rPr>
        <w:t xml:space="preserve">NYISO’s </w:t>
      </w:r>
      <w:r w:rsidRPr="00251AF5" w:rsidR="004F7819">
        <w:rPr>
          <w:szCs w:val="26"/>
        </w:rPr>
        <w:t xml:space="preserve">OATT Rate Schedule 2, </w:t>
      </w:r>
      <w:r w:rsidRPr="00251AF5" w:rsidR="004F7819">
        <w:rPr>
          <w:i/>
          <w:iCs/>
          <w:szCs w:val="26"/>
        </w:rPr>
        <w:t>pro forma</w:t>
      </w:r>
      <w:r w:rsidRPr="00251AF5" w:rsidR="004F7819">
        <w:rPr>
          <w:szCs w:val="26"/>
        </w:rPr>
        <w:t xml:space="preserve"> LGIA</w:t>
      </w:r>
      <w:r w:rsidR="004F7819">
        <w:rPr>
          <w:szCs w:val="26"/>
        </w:rPr>
        <w:t>,</w:t>
      </w:r>
      <w:r w:rsidRPr="00251AF5" w:rsidR="004F7819">
        <w:rPr>
          <w:szCs w:val="26"/>
        </w:rPr>
        <w:t xml:space="preserve"> </w:t>
      </w:r>
      <w:r w:rsidR="00AC0E25">
        <w:rPr>
          <w:szCs w:val="26"/>
        </w:rPr>
        <w:t xml:space="preserve">or </w:t>
      </w:r>
      <w:r w:rsidRPr="00251AF5" w:rsidR="004F7819">
        <w:rPr>
          <w:i/>
          <w:iCs/>
          <w:szCs w:val="26"/>
        </w:rPr>
        <w:t>pro forma</w:t>
      </w:r>
      <w:r w:rsidRPr="00251AF5" w:rsidR="004F7819">
        <w:rPr>
          <w:szCs w:val="26"/>
        </w:rPr>
        <w:t xml:space="preserve"> SGIA</w:t>
      </w:r>
      <w:r w:rsidRPr="00251AF5" w:rsidR="005F657D">
        <w:rPr>
          <w:szCs w:val="26"/>
        </w:rPr>
        <w:t>.</w:t>
      </w:r>
      <w:r>
        <w:rPr>
          <w:rStyle w:val="FootnoteReference"/>
          <w:szCs w:val="26"/>
        </w:rPr>
        <w:footnoteReference w:id="38"/>
      </w:r>
    </w:p>
    <w:p w:rsidR="005F657D" w:rsidRPr="00251AF5" w:rsidP="00BC13DF">
      <w:pPr>
        <w:pStyle w:val="FERCparanumber"/>
        <w:ind w:right="-180"/>
        <w:rPr>
          <w:szCs w:val="26"/>
        </w:rPr>
      </w:pPr>
      <w:r w:rsidRPr="00251AF5">
        <w:rPr>
          <w:szCs w:val="26"/>
        </w:rPr>
        <w:t>We disagree with Utility Intervention Unit</w:t>
      </w:r>
      <w:r w:rsidR="00D57BDE">
        <w:rPr>
          <w:szCs w:val="26"/>
        </w:rPr>
        <w:t>’s</w:t>
      </w:r>
      <w:r w:rsidRPr="00251AF5">
        <w:rPr>
          <w:szCs w:val="26"/>
        </w:rPr>
        <w:t xml:space="preserve"> claim that NYISO’s retention of capability-based </w:t>
      </w:r>
      <w:r w:rsidRPr="00394697" w:rsidR="00394697">
        <w:rPr>
          <w:szCs w:val="26"/>
        </w:rPr>
        <w:t>compensation</w:t>
      </w:r>
      <w:r w:rsidRPr="00251AF5" w:rsidR="00EB5CBA">
        <w:rPr>
          <w:szCs w:val="26"/>
        </w:rPr>
        <w:t xml:space="preserve"> </w:t>
      </w:r>
      <w:r w:rsidRPr="00251AF5" w:rsidR="006D025A">
        <w:rPr>
          <w:szCs w:val="26"/>
        </w:rPr>
        <w:t xml:space="preserve">for reactive power </w:t>
      </w:r>
      <w:r w:rsidRPr="002E5E83" w:rsidR="002E5E83">
        <w:rPr>
          <w:szCs w:val="26"/>
        </w:rPr>
        <w:t>outside of the standard power factor range</w:t>
      </w:r>
      <w:r w:rsidRPr="00251AF5" w:rsidR="00EB5CBA">
        <w:rPr>
          <w:szCs w:val="26"/>
        </w:rPr>
        <w:t xml:space="preserve"> </w:t>
      </w:r>
      <w:r w:rsidRPr="00251AF5" w:rsidR="006D025A">
        <w:rPr>
          <w:szCs w:val="26"/>
        </w:rPr>
        <w:t xml:space="preserve">violates the requirements of </w:t>
      </w:r>
      <w:r w:rsidRPr="00BB02B8" w:rsidR="00BB02B8">
        <w:rPr>
          <w:szCs w:val="26"/>
        </w:rPr>
        <w:t>Order No. 904.</w:t>
      </w:r>
      <w:r>
        <w:rPr>
          <w:rStyle w:val="FootnoteReference"/>
          <w:szCs w:val="26"/>
        </w:rPr>
        <w:footnoteReference w:id="39"/>
      </w:r>
      <w:r w:rsidRPr="00251AF5">
        <w:rPr>
          <w:szCs w:val="26"/>
        </w:rPr>
        <w:t xml:space="preserve">  </w:t>
      </w:r>
      <w:r w:rsidRPr="00251AF5" w:rsidR="006F0F28">
        <w:rPr>
          <w:szCs w:val="26"/>
        </w:rPr>
        <w:t xml:space="preserve">In </w:t>
      </w:r>
      <w:r w:rsidRPr="00251AF5" w:rsidR="0074561F">
        <w:rPr>
          <w:szCs w:val="26"/>
        </w:rPr>
        <w:t xml:space="preserve">Order No. 904, the Commission found </w:t>
      </w:r>
      <w:r w:rsidRPr="00251AF5" w:rsidR="006F0F28">
        <w:rPr>
          <w:szCs w:val="26"/>
        </w:rPr>
        <w:t xml:space="preserve">only </w:t>
      </w:r>
      <w:r w:rsidRPr="00251AF5" w:rsidR="0074561F">
        <w:rPr>
          <w:szCs w:val="26"/>
        </w:rPr>
        <w:t xml:space="preserve">that allowing transmission providers to charge transmission customers for a generating facility’s provision of reactive power </w:t>
      </w:r>
      <w:r w:rsidRPr="00251AF5" w:rsidR="0074561F">
        <w:rPr>
          <w:i/>
          <w:iCs/>
          <w:szCs w:val="26"/>
        </w:rPr>
        <w:t>within the standard power factor range</w:t>
      </w:r>
      <w:r w:rsidRPr="00251AF5" w:rsidR="0074561F">
        <w:rPr>
          <w:szCs w:val="26"/>
        </w:rPr>
        <w:t xml:space="preserve"> is unjust and unreasonable.</w:t>
      </w:r>
      <w:r>
        <w:rPr>
          <w:rStyle w:val="FootnoteReference"/>
          <w:szCs w:val="26"/>
        </w:rPr>
        <w:footnoteReference w:id="40"/>
      </w:r>
      <w:r w:rsidRPr="00251AF5" w:rsidR="0074561F">
        <w:rPr>
          <w:szCs w:val="26"/>
        </w:rPr>
        <w:t xml:space="preserve">  </w:t>
      </w:r>
      <w:r w:rsidRPr="00251AF5" w:rsidR="006F0F28">
        <w:rPr>
          <w:szCs w:val="26"/>
        </w:rPr>
        <w:t xml:space="preserve">Accordingly, </w:t>
      </w:r>
      <w:r w:rsidRPr="00251AF5" w:rsidR="00954100">
        <w:rPr>
          <w:szCs w:val="26"/>
        </w:rPr>
        <w:t xml:space="preserve">the Commission required revisions to </w:t>
      </w:r>
      <w:r w:rsidRPr="00251AF5" w:rsidR="005146CA">
        <w:rPr>
          <w:szCs w:val="26"/>
        </w:rPr>
        <w:t>“</w:t>
      </w:r>
      <w:r w:rsidRPr="00251AF5" w:rsidR="00954100">
        <w:rPr>
          <w:szCs w:val="26"/>
        </w:rPr>
        <w:t>prohibit separate compensation for the provision of reactive power within the standard power factor range specified in an interconnection agreement.</w:t>
      </w:r>
      <w:r w:rsidRPr="00251AF5" w:rsidR="005146CA">
        <w:rPr>
          <w:szCs w:val="26"/>
        </w:rPr>
        <w:t>”</w:t>
      </w:r>
      <w:r>
        <w:rPr>
          <w:rStyle w:val="FootnoteReference"/>
          <w:szCs w:val="26"/>
        </w:rPr>
        <w:footnoteReference w:id="41"/>
      </w:r>
      <w:r w:rsidRPr="00251AF5" w:rsidR="00AA7993">
        <w:rPr>
          <w:szCs w:val="26"/>
        </w:rPr>
        <w:t xml:space="preserve">  </w:t>
      </w:r>
      <w:r w:rsidR="00CD0B92">
        <w:rPr>
          <w:szCs w:val="26"/>
        </w:rPr>
        <w:t>The Commission did not find that</w:t>
      </w:r>
      <w:r w:rsidR="00003D94">
        <w:rPr>
          <w:szCs w:val="26"/>
        </w:rPr>
        <w:t xml:space="preserve"> </w:t>
      </w:r>
      <w:r w:rsidR="00CD0111">
        <w:rPr>
          <w:szCs w:val="26"/>
        </w:rPr>
        <w:t>charging transmission custo</w:t>
      </w:r>
      <w:r w:rsidR="006F4B06">
        <w:rPr>
          <w:szCs w:val="26"/>
        </w:rPr>
        <w:t xml:space="preserve">mers </w:t>
      </w:r>
      <w:r w:rsidR="00D17D9E">
        <w:rPr>
          <w:szCs w:val="26"/>
        </w:rPr>
        <w:t xml:space="preserve">using capability-based rates </w:t>
      </w:r>
      <w:r w:rsidR="006F4B06">
        <w:rPr>
          <w:szCs w:val="26"/>
        </w:rPr>
        <w:t xml:space="preserve">for </w:t>
      </w:r>
      <w:r w:rsidR="007F0A24">
        <w:rPr>
          <w:szCs w:val="26"/>
        </w:rPr>
        <w:t xml:space="preserve">a generating facility’s provision of reactive power </w:t>
      </w:r>
      <w:r w:rsidR="00003D94">
        <w:rPr>
          <w:szCs w:val="26"/>
        </w:rPr>
        <w:t>outside the standard power factor range is unjust and unreasonable.</w:t>
      </w:r>
      <w:r>
        <w:rPr>
          <w:rStyle w:val="FootnoteReference"/>
          <w:szCs w:val="26"/>
        </w:rPr>
        <w:footnoteReference w:id="42"/>
      </w:r>
      <w:r w:rsidR="00003D94">
        <w:rPr>
          <w:szCs w:val="26"/>
        </w:rPr>
        <w:t xml:space="preserve"> </w:t>
      </w:r>
      <w:r w:rsidR="00CD0B92">
        <w:rPr>
          <w:szCs w:val="26"/>
        </w:rPr>
        <w:t xml:space="preserve"> </w:t>
      </w:r>
      <w:r w:rsidRPr="00251AF5" w:rsidR="00533002">
        <w:rPr>
          <w:szCs w:val="26"/>
        </w:rPr>
        <w:t xml:space="preserve">Utility Intervention Unit’s objection to </w:t>
      </w:r>
      <w:r w:rsidR="00741AEF">
        <w:rPr>
          <w:szCs w:val="26"/>
        </w:rPr>
        <w:t xml:space="preserve">NYISO’s capability-based </w:t>
      </w:r>
      <w:r w:rsidRPr="00251AF5" w:rsidR="00AA7993">
        <w:rPr>
          <w:szCs w:val="26"/>
        </w:rPr>
        <w:t xml:space="preserve">compensation for reactive power outside the standard power factor range is </w:t>
      </w:r>
      <w:r w:rsidRPr="00251AF5" w:rsidR="00533002">
        <w:rPr>
          <w:szCs w:val="26"/>
        </w:rPr>
        <w:t xml:space="preserve">accordingly </w:t>
      </w:r>
      <w:r w:rsidRPr="00251AF5" w:rsidR="00AA7993">
        <w:rPr>
          <w:szCs w:val="26"/>
        </w:rPr>
        <w:t xml:space="preserve">beyond the scope of Order No. 904. </w:t>
      </w:r>
    </w:p>
    <w:p w:rsidR="00240196" w:rsidRPr="00251AF5" w:rsidP="00240196">
      <w:pPr>
        <w:pStyle w:val="Heading3"/>
        <w:rPr>
          <w:szCs w:val="26"/>
        </w:rPr>
      </w:pPr>
      <w:r w:rsidRPr="00251AF5">
        <w:rPr>
          <w:szCs w:val="26"/>
        </w:rPr>
        <w:t>Impact on the ICAP Demand Curves</w:t>
      </w:r>
    </w:p>
    <w:p w:rsidR="00240196" w:rsidRPr="00251AF5" w:rsidP="00240196">
      <w:pPr>
        <w:pStyle w:val="Heading4"/>
        <w:rPr>
          <w:szCs w:val="26"/>
        </w:rPr>
      </w:pPr>
      <w:r w:rsidRPr="00251AF5">
        <w:rPr>
          <w:szCs w:val="26"/>
        </w:rPr>
        <w:t>Filing</w:t>
      </w:r>
    </w:p>
    <w:p w:rsidR="00240196" w:rsidRPr="00251AF5" w:rsidP="00BC13DF">
      <w:pPr>
        <w:pStyle w:val="FERCparanumber"/>
        <w:ind w:right="-360"/>
        <w:rPr>
          <w:szCs w:val="26"/>
        </w:rPr>
      </w:pPr>
      <w:r w:rsidRPr="00251AF5">
        <w:rPr>
          <w:szCs w:val="26"/>
        </w:rPr>
        <w:t xml:space="preserve">NYISO notes that </w:t>
      </w:r>
      <w:r w:rsidR="00C33FC3">
        <w:rPr>
          <w:szCs w:val="26"/>
        </w:rPr>
        <w:t>its</w:t>
      </w:r>
      <w:r w:rsidR="008945E8">
        <w:rPr>
          <w:szCs w:val="26"/>
        </w:rPr>
        <w:t xml:space="preserve"> revisions to the</w:t>
      </w:r>
      <w:r w:rsidR="00C33FC3">
        <w:rPr>
          <w:szCs w:val="26"/>
        </w:rPr>
        <w:t xml:space="preserve"> Services Tariff</w:t>
      </w:r>
      <w:r w:rsidR="00543DEF">
        <w:rPr>
          <w:szCs w:val="26"/>
        </w:rPr>
        <w:t xml:space="preserve"> to</w:t>
      </w:r>
      <w:r w:rsidRPr="00251AF5" w:rsidR="00C33FC3">
        <w:rPr>
          <w:szCs w:val="26"/>
        </w:rPr>
        <w:t xml:space="preserve"> </w:t>
      </w:r>
      <w:r w:rsidRPr="00251AF5">
        <w:rPr>
          <w:szCs w:val="26"/>
        </w:rPr>
        <w:t>eliminate reactive power compensation within the standard power factor range require adjustment to the inputs used to represent VSS compensation in determining its ICAP Demand Curves.</w:t>
      </w:r>
      <w:r>
        <w:rPr>
          <w:rStyle w:val="FootnoteReference"/>
          <w:szCs w:val="26"/>
        </w:rPr>
        <w:footnoteReference w:id="43"/>
      </w:r>
      <w:r w:rsidRPr="00251AF5">
        <w:rPr>
          <w:szCs w:val="26"/>
        </w:rPr>
        <w:t xml:space="preserve">  NYISO explains</w:t>
      </w:r>
      <w:r w:rsidR="006505DB">
        <w:rPr>
          <w:szCs w:val="26"/>
        </w:rPr>
        <w:t>, and as decried above,</w:t>
      </w:r>
      <w:r w:rsidRPr="00251AF5">
        <w:rPr>
          <w:szCs w:val="26"/>
        </w:rPr>
        <w:t xml:space="preserve"> that the estimated cost to construct and operate a hypothetical new capacity supply resource that </w:t>
      </w:r>
      <w:r w:rsidR="006505DB">
        <w:rPr>
          <w:szCs w:val="26"/>
        </w:rPr>
        <w:t>NYISO</w:t>
      </w:r>
      <w:r w:rsidRPr="00251AF5" w:rsidR="006505DB">
        <w:rPr>
          <w:szCs w:val="26"/>
        </w:rPr>
        <w:t xml:space="preserve"> </w:t>
      </w:r>
      <w:r w:rsidRPr="00251AF5">
        <w:rPr>
          <w:szCs w:val="26"/>
        </w:rPr>
        <w:t xml:space="preserve">uses to develop </w:t>
      </w:r>
      <w:r w:rsidR="006505DB">
        <w:rPr>
          <w:szCs w:val="26"/>
        </w:rPr>
        <w:t>the</w:t>
      </w:r>
      <w:r w:rsidRPr="00251AF5" w:rsidR="006505DB">
        <w:rPr>
          <w:szCs w:val="26"/>
        </w:rPr>
        <w:t xml:space="preserve"> </w:t>
      </w:r>
      <w:r w:rsidRPr="00251AF5">
        <w:rPr>
          <w:szCs w:val="26"/>
        </w:rPr>
        <w:t xml:space="preserve">ICAP Demand Curves is offset by an estimate of the potential revenues the hypothetical resource could earn from participating in the NYISO-administered </w:t>
      </w:r>
      <w:r w:rsidRPr="00251AF5" w:rsidR="001D4A3A">
        <w:rPr>
          <w:szCs w:val="26"/>
        </w:rPr>
        <w:t xml:space="preserve">Energy and Ancillary Services </w:t>
      </w:r>
      <w:r w:rsidRPr="00251AF5">
        <w:rPr>
          <w:szCs w:val="26"/>
        </w:rPr>
        <w:t>markets,</w:t>
      </w:r>
      <w:r>
        <w:rPr>
          <w:rStyle w:val="FootnoteReference"/>
          <w:szCs w:val="26"/>
        </w:rPr>
        <w:footnoteReference w:id="44"/>
      </w:r>
      <w:r w:rsidRPr="00251AF5">
        <w:rPr>
          <w:szCs w:val="26"/>
        </w:rPr>
        <w:t xml:space="preserve"> which include an “adder” to reflect expected revenues for ancillary services not accounted for in the model.  NYISO states that this adder accounts for likely VSS revenues.</w:t>
      </w:r>
      <w:r>
        <w:rPr>
          <w:rStyle w:val="FootnoteReference"/>
          <w:szCs w:val="26"/>
        </w:rPr>
        <w:footnoteReference w:id="45"/>
      </w:r>
      <w:r w:rsidRPr="00251AF5">
        <w:rPr>
          <w:szCs w:val="26"/>
        </w:rPr>
        <w:t xml:space="preserve">  </w:t>
      </w:r>
    </w:p>
    <w:p w:rsidR="00240196" w:rsidRPr="00251AF5" w:rsidP="00240196">
      <w:pPr>
        <w:pStyle w:val="FERCparanumber"/>
        <w:rPr>
          <w:szCs w:val="26"/>
        </w:rPr>
      </w:pPr>
      <w:r w:rsidRPr="00251AF5">
        <w:rPr>
          <w:szCs w:val="26"/>
        </w:rPr>
        <w:t xml:space="preserve">NYISO states that its most recent ICAP Demand Curve reset filing for the </w:t>
      </w:r>
      <w:r w:rsidR="007B6AC2">
        <w:rPr>
          <w:szCs w:val="26"/>
        </w:rPr>
        <w:t xml:space="preserve">     </w:t>
      </w:r>
      <w:r w:rsidRPr="00251AF5">
        <w:rPr>
          <w:szCs w:val="26"/>
        </w:rPr>
        <w:t xml:space="preserve">2025-2029 Capability Years acknowledged that Order No. 904 was likely to impact the </w:t>
      </w:r>
      <w:r w:rsidR="006C01D5">
        <w:rPr>
          <w:szCs w:val="26"/>
        </w:rPr>
        <w:t xml:space="preserve">reactive power </w:t>
      </w:r>
      <w:r w:rsidRPr="00251AF5">
        <w:rPr>
          <w:szCs w:val="26"/>
        </w:rPr>
        <w:t>compensation assumed to determine the ICAP Demand Curves.</w:t>
      </w:r>
      <w:r>
        <w:rPr>
          <w:rStyle w:val="FootnoteReference"/>
          <w:szCs w:val="26"/>
        </w:rPr>
        <w:footnoteReference w:id="46"/>
      </w:r>
      <w:r w:rsidRPr="00251AF5">
        <w:rPr>
          <w:szCs w:val="26"/>
        </w:rPr>
        <w:t xml:space="preserve">  NYISO states that it indicated that it would address the implications of any VSS compensation changes to the ICAP Demand Curves as part of its compliance plan in response to Order No. 904, i.e.,</w:t>
      </w:r>
      <w:r w:rsidR="006201F8">
        <w:rPr>
          <w:szCs w:val="26"/>
        </w:rPr>
        <w:t xml:space="preserve"> in</w:t>
      </w:r>
      <w:r w:rsidRPr="00251AF5">
        <w:rPr>
          <w:szCs w:val="26"/>
        </w:rPr>
        <w:t xml:space="preserve"> this compliance filing.</w:t>
      </w:r>
      <w:r>
        <w:rPr>
          <w:rStyle w:val="FootnoteReference"/>
          <w:szCs w:val="26"/>
        </w:rPr>
        <w:footnoteReference w:id="47"/>
      </w:r>
    </w:p>
    <w:p w:rsidR="00240196" w:rsidRPr="00251AF5" w:rsidP="000F190F">
      <w:pPr>
        <w:pStyle w:val="FERCparanumber"/>
        <w:ind w:right="-180"/>
        <w:rPr>
          <w:szCs w:val="26"/>
        </w:rPr>
      </w:pPr>
      <w:r w:rsidRPr="00251AF5">
        <w:rPr>
          <w:szCs w:val="26"/>
        </w:rPr>
        <w:t xml:space="preserve">NYISO states that, in accepting </w:t>
      </w:r>
      <w:r w:rsidR="00400445">
        <w:rPr>
          <w:szCs w:val="26"/>
        </w:rPr>
        <w:t xml:space="preserve">the </w:t>
      </w:r>
      <w:r w:rsidRPr="00251AF5">
        <w:rPr>
          <w:szCs w:val="26"/>
        </w:rPr>
        <w:t>NYISO</w:t>
      </w:r>
      <w:r w:rsidR="00400445">
        <w:rPr>
          <w:szCs w:val="26"/>
        </w:rPr>
        <w:t xml:space="preserve"> November 2024 Demand Curve Reset Filing</w:t>
      </w:r>
      <w:r w:rsidRPr="00251AF5">
        <w:rPr>
          <w:szCs w:val="26"/>
        </w:rPr>
        <w:t>, the Commission accepted NYISO’s proposal to determine the annual value of the VSS adder formulaically based on the compensation structure described in Rate Schedule 2 of the Services Tariff.</w:t>
      </w:r>
      <w:r>
        <w:rPr>
          <w:rStyle w:val="FootnoteReference"/>
          <w:szCs w:val="26"/>
        </w:rPr>
        <w:footnoteReference w:id="48"/>
      </w:r>
      <w:r w:rsidRPr="00251AF5">
        <w:rPr>
          <w:szCs w:val="26"/>
        </w:rPr>
        <w:t xml:space="preserve">  NYISO states that the value of the VSS adder is adjusted annually as part of the annual update process for the ICAP Demand Curves to account for the VSS compensation rate in effect at the time of each such annual update.</w:t>
      </w:r>
      <w:r>
        <w:rPr>
          <w:rStyle w:val="FootnoteReference"/>
          <w:szCs w:val="26"/>
        </w:rPr>
        <w:footnoteReference w:id="49"/>
      </w:r>
      <w:r w:rsidRPr="00251AF5">
        <w:rPr>
          <w:szCs w:val="26"/>
        </w:rPr>
        <w:t xml:space="preserve">  NYISO </w:t>
      </w:r>
      <w:r w:rsidR="00257782">
        <w:rPr>
          <w:szCs w:val="26"/>
        </w:rPr>
        <w:t>states</w:t>
      </w:r>
      <w:r w:rsidRPr="00251AF5" w:rsidR="00257782">
        <w:rPr>
          <w:szCs w:val="26"/>
        </w:rPr>
        <w:t xml:space="preserve"> </w:t>
      </w:r>
      <w:r w:rsidRPr="00251AF5">
        <w:rPr>
          <w:szCs w:val="26"/>
        </w:rPr>
        <w:t>that its proposal to eliminate compensation for reactive power within the standard power factor range in compliance with Order No. 904 require</w:t>
      </w:r>
      <w:r w:rsidR="00E60D9D">
        <w:rPr>
          <w:szCs w:val="26"/>
        </w:rPr>
        <w:t>s</w:t>
      </w:r>
      <w:r w:rsidRPr="00251AF5">
        <w:rPr>
          <w:szCs w:val="26"/>
        </w:rPr>
        <w:t xml:space="preserve"> adjustment to the VSS adder to reduce the assumed MVAr capability eligible for compensation for the peaking plant technology used in establishing each of the ICAP Demand Curves for the 2025-2029 </w:t>
      </w:r>
      <w:r w:rsidR="00335C25">
        <w:rPr>
          <w:szCs w:val="26"/>
        </w:rPr>
        <w:t xml:space="preserve">Capability Years </w:t>
      </w:r>
      <w:r w:rsidRPr="00251AF5" w:rsidR="007E1786">
        <w:rPr>
          <w:szCs w:val="26"/>
        </w:rPr>
        <w:t xml:space="preserve">ICAP Demand Curve </w:t>
      </w:r>
      <w:r w:rsidRPr="00251AF5">
        <w:rPr>
          <w:szCs w:val="26"/>
        </w:rPr>
        <w:t>reset period.  Consistent with NYISO’s proposed effective date, discussed below, NYISO proposes to reflect this change starting with the ICAP Demand Curves for the 2026-2027 Capability Year.  Therefore, starting with the 2026-2027 Capability Year, the VSS adder for the remainder of the 2025-2029</w:t>
      </w:r>
      <w:r w:rsidRPr="00335C25" w:rsidR="00335C25">
        <w:rPr>
          <w:szCs w:val="26"/>
        </w:rPr>
        <w:t xml:space="preserve"> </w:t>
      </w:r>
      <w:r w:rsidR="00335C25">
        <w:rPr>
          <w:szCs w:val="26"/>
        </w:rPr>
        <w:t>Capability Years</w:t>
      </w:r>
      <w:r w:rsidRPr="00251AF5">
        <w:rPr>
          <w:szCs w:val="26"/>
        </w:rPr>
        <w:t xml:space="preserve"> </w:t>
      </w:r>
      <w:r w:rsidRPr="00251AF5" w:rsidR="0049269F">
        <w:rPr>
          <w:szCs w:val="26"/>
        </w:rPr>
        <w:t xml:space="preserve">ICAP Demand Curve </w:t>
      </w:r>
      <w:r w:rsidRPr="00251AF5">
        <w:rPr>
          <w:szCs w:val="26"/>
        </w:rPr>
        <w:t xml:space="preserve">reset period will be determined based on a reduced compensable reactive support capability for the peaking plant technology underlying each of the ICAP Demand Curves of 58.3 MVAr of lagging capability and </w:t>
      </w:r>
      <w:r w:rsidR="00EC2935">
        <w:rPr>
          <w:szCs w:val="26"/>
        </w:rPr>
        <w:noBreakHyphen/>
      </w:r>
      <w:r w:rsidRPr="00251AF5">
        <w:rPr>
          <w:szCs w:val="26"/>
        </w:rPr>
        <w:t>58.3 MVAr of leading capability.  NYISO states that it will post the results of the updated ICAP Demand Curves that will apply for the 2026-2027 Capability Year on or before November 30, 2025.</w:t>
      </w:r>
    </w:p>
    <w:p w:rsidR="00240196" w:rsidRPr="00251AF5" w:rsidP="00240196">
      <w:pPr>
        <w:pStyle w:val="Heading4"/>
        <w:rPr>
          <w:szCs w:val="26"/>
        </w:rPr>
      </w:pPr>
      <w:r w:rsidRPr="00251AF5">
        <w:rPr>
          <w:szCs w:val="26"/>
        </w:rPr>
        <w:t>Protest</w:t>
      </w:r>
    </w:p>
    <w:p w:rsidR="00652E0B" w:rsidRPr="006D58EC" w:rsidP="006D58EC">
      <w:pPr>
        <w:pStyle w:val="FERCparanumber"/>
      </w:pPr>
      <w:r>
        <w:t xml:space="preserve">Utility Intervention Unit argues that </w:t>
      </w:r>
      <w:r w:rsidRPr="004C4F56">
        <w:t xml:space="preserve">NYISO’s proposal to reflect the reduced VSS rate by adjusting the credit against the cost of the proxy-peaking unit to set Net CONE fails to meet the objective and letter of </w:t>
      </w:r>
      <w:r w:rsidR="00CA5393">
        <w:t>Order No. 904</w:t>
      </w:r>
      <w:r w:rsidRPr="004C4F56">
        <w:t>.</w:t>
      </w:r>
      <w:r>
        <w:rPr>
          <w:rStyle w:val="FootnoteReference"/>
        </w:rPr>
        <w:footnoteReference w:id="50"/>
      </w:r>
      <w:r>
        <w:t xml:space="preserve">  Utility Intervention Unit claims that </w:t>
      </w:r>
      <w:r w:rsidRPr="0050677A">
        <w:t>the Commission is clear that VSS compensation should be cost-based</w:t>
      </w:r>
      <w:r>
        <w:t>.  However, Utility Intervention Unit</w:t>
      </w:r>
      <w:r w:rsidRPr="0050677A">
        <w:t xml:space="preserve"> </w:t>
      </w:r>
      <w:r>
        <w:t>asserts that</w:t>
      </w:r>
      <w:r w:rsidRPr="0013058D">
        <w:t xml:space="preserve"> the corresponding reduction in the VSS credit against </w:t>
      </w:r>
      <w:r w:rsidR="00F1793C">
        <w:t>N</w:t>
      </w:r>
      <w:r w:rsidRPr="0013058D">
        <w:t>et CONE risks increased capacity costs that exceed the total VSS charges before the proposed change</w:t>
      </w:r>
      <w:r w:rsidR="00E76863">
        <w:t>,</w:t>
      </w:r>
      <w:r w:rsidRPr="0013058D">
        <w:t xml:space="preserve"> undermin</w:t>
      </w:r>
      <w:r>
        <w:t>ing</w:t>
      </w:r>
      <w:r w:rsidRPr="0013058D">
        <w:t xml:space="preserve"> the Commission’s goal of eliminating unjustified costs and instead impos</w:t>
      </w:r>
      <w:r>
        <w:t>ing</w:t>
      </w:r>
      <w:r w:rsidRPr="0013058D">
        <w:t xml:space="preserve"> higher charges on consumers through the capacity market structure.</w:t>
      </w:r>
      <w:r>
        <w:t xml:space="preserve">  Utility Intervention Unit argues that, i</w:t>
      </w:r>
      <w:r w:rsidRPr="00DC715C">
        <w:t>f generators are no longer compensated for reactive power services within the standard power factor range</w:t>
      </w:r>
      <w:r>
        <w:t>—</w:t>
      </w:r>
      <w:r w:rsidRPr="00DC715C">
        <w:t>and no new reliability or operational costs have emerged</w:t>
      </w:r>
      <w:r>
        <w:t>—</w:t>
      </w:r>
      <w:r w:rsidRPr="00DC715C">
        <w:t>there is no basis for raising consumer costs through the capacity market</w:t>
      </w:r>
      <w:r>
        <w:t xml:space="preserve">.  According to Utility Intervention Unit, </w:t>
      </w:r>
      <w:r w:rsidRPr="00753D1C">
        <w:t>NYISO’s insistence on preserving payments through an indirect structure deviates from the Commission’s directive to implement transparent and cost-effective market designs.</w:t>
      </w:r>
      <w:r>
        <w:t xml:space="preserve">  Utility Intervention Unit therefore argues that </w:t>
      </w:r>
      <w:r w:rsidRPr="00956814">
        <w:t>NYISO’s compliance filing is</w:t>
      </w:r>
      <w:r>
        <w:t xml:space="preserve"> </w:t>
      </w:r>
      <w:r w:rsidRPr="00956814">
        <w:t>not in compliance with Order No.</w:t>
      </w:r>
      <w:r w:rsidR="00677254">
        <w:t xml:space="preserve"> </w:t>
      </w:r>
      <w:r w:rsidRPr="00956814">
        <w:t>904 and is not in the interest of the consumers of the State of New York</w:t>
      </w:r>
      <w:r>
        <w:t xml:space="preserve">.  Rather, Utility Intervention Unit </w:t>
      </w:r>
      <w:r w:rsidRPr="003B55B2">
        <w:t xml:space="preserve">recommends that any VSS revenue that is added to the ancillary service revenues to estimate </w:t>
      </w:r>
      <w:r w:rsidR="00F1793C">
        <w:t>N</w:t>
      </w:r>
      <w:r w:rsidRPr="003B55B2">
        <w:t>et CONE should reflect the expected actual delivered reactive power outside the standard power factor range from the proxy-peaking unit</w:t>
      </w:r>
      <w:r>
        <w:t xml:space="preserve">, thereby </w:t>
      </w:r>
      <w:r w:rsidRPr="003B55B2">
        <w:t>properly compensat</w:t>
      </w:r>
      <w:r>
        <w:t>ing</w:t>
      </w:r>
      <w:r w:rsidRPr="003B55B2">
        <w:t xml:space="preserve"> the generators that provide VSS outside of the standard power factor range and reduc</w:t>
      </w:r>
      <w:r>
        <w:t>ing</w:t>
      </w:r>
      <w:r w:rsidRPr="003B55B2">
        <w:t xml:space="preserve"> unnecessary costs and risks being shifted onto transmission consumers</w:t>
      </w:r>
      <w:r>
        <w:t>.</w:t>
      </w:r>
      <w:r w:rsidR="006D7881">
        <w:t xml:space="preserve"> </w:t>
      </w:r>
    </w:p>
    <w:p w:rsidR="00240196" w:rsidRPr="00251AF5" w:rsidP="00240196">
      <w:pPr>
        <w:pStyle w:val="Heading4"/>
        <w:rPr>
          <w:szCs w:val="26"/>
        </w:rPr>
      </w:pPr>
      <w:r w:rsidRPr="00251AF5">
        <w:rPr>
          <w:szCs w:val="26"/>
        </w:rPr>
        <w:t>Answer</w:t>
      </w:r>
    </w:p>
    <w:p w:rsidR="00240196" w:rsidRPr="00251AF5" w:rsidP="00240196">
      <w:pPr>
        <w:pStyle w:val="FERCparanumber"/>
        <w:rPr>
          <w:szCs w:val="26"/>
        </w:rPr>
      </w:pPr>
      <w:r w:rsidRPr="00251AF5">
        <w:rPr>
          <w:szCs w:val="26"/>
        </w:rPr>
        <w:t xml:space="preserve">NYISO responds that its filing does not itself propose modifications to the estimated cost to construct and operate a hypothetical new capacity supply resource or to the Commission-accepted approach to calculate the estimated net </w:t>
      </w:r>
      <w:r w:rsidRPr="00251AF5" w:rsidR="001D4A3A">
        <w:rPr>
          <w:szCs w:val="26"/>
        </w:rPr>
        <w:t>Energy and Ancillary Services</w:t>
      </w:r>
      <w:r w:rsidRPr="00251AF5">
        <w:rPr>
          <w:szCs w:val="26"/>
        </w:rPr>
        <w:t xml:space="preserve"> revenues for the 2025-2029 </w:t>
      </w:r>
      <w:r w:rsidR="00335C25">
        <w:rPr>
          <w:szCs w:val="26"/>
        </w:rPr>
        <w:t xml:space="preserve">Capability Years </w:t>
      </w:r>
      <w:r w:rsidRPr="00251AF5" w:rsidR="0049269F">
        <w:rPr>
          <w:szCs w:val="26"/>
        </w:rPr>
        <w:t xml:space="preserve">ICAP Demand Curve </w:t>
      </w:r>
      <w:r w:rsidRPr="00251AF5">
        <w:rPr>
          <w:szCs w:val="26"/>
        </w:rPr>
        <w:t>reset period.</w:t>
      </w:r>
      <w:r>
        <w:rPr>
          <w:rStyle w:val="FootnoteReference"/>
          <w:bCs/>
          <w:szCs w:val="26"/>
        </w:rPr>
        <w:footnoteReference w:id="51"/>
      </w:r>
      <w:r w:rsidRPr="00251AF5">
        <w:rPr>
          <w:szCs w:val="26"/>
        </w:rPr>
        <w:t xml:space="preserve">  However, NYISO notes that its Order No. 904 </w:t>
      </w:r>
      <w:r w:rsidR="00076191">
        <w:rPr>
          <w:szCs w:val="26"/>
        </w:rPr>
        <w:t>c</w:t>
      </w:r>
      <w:r w:rsidRPr="00251AF5">
        <w:rPr>
          <w:szCs w:val="26"/>
        </w:rPr>
        <w:t xml:space="preserve">ompliance </w:t>
      </w:r>
      <w:r w:rsidR="00076191">
        <w:rPr>
          <w:szCs w:val="26"/>
        </w:rPr>
        <w:t>f</w:t>
      </w:r>
      <w:r w:rsidRPr="00251AF5">
        <w:rPr>
          <w:szCs w:val="26"/>
        </w:rPr>
        <w:t xml:space="preserve">iling by necessity impacts the estimated net </w:t>
      </w:r>
      <w:r w:rsidRPr="00251AF5" w:rsidR="001D4A3A">
        <w:rPr>
          <w:szCs w:val="26"/>
        </w:rPr>
        <w:t>Energy and Ancillary Services</w:t>
      </w:r>
      <w:r w:rsidRPr="00251AF5">
        <w:rPr>
          <w:szCs w:val="26"/>
        </w:rPr>
        <w:t xml:space="preserve"> revenue offset associated with each ICAP Demand Curve.  That is, NYISO explains that the value of the VSS adder is formulaically</w:t>
      </w:r>
      <w:r w:rsidR="009F5913">
        <w:rPr>
          <w:szCs w:val="26"/>
        </w:rPr>
        <w:t xml:space="preserve"> </w:t>
      </w:r>
      <w:r w:rsidRPr="00251AF5">
        <w:rPr>
          <w:szCs w:val="26"/>
        </w:rPr>
        <w:t xml:space="preserve">determined and adjusted annually as part of the annual updates for the 2025-2029 </w:t>
      </w:r>
      <w:r w:rsidR="00335C25">
        <w:rPr>
          <w:szCs w:val="26"/>
        </w:rPr>
        <w:t xml:space="preserve">Capability Years </w:t>
      </w:r>
      <w:r w:rsidRPr="00251AF5" w:rsidR="0049269F">
        <w:rPr>
          <w:szCs w:val="26"/>
        </w:rPr>
        <w:t xml:space="preserve">ICAP Demand Curve </w:t>
      </w:r>
      <w:r w:rsidRPr="00251AF5">
        <w:rPr>
          <w:szCs w:val="26"/>
        </w:rPr>
        <w:t>reset cycle to account for the VSS compensation rate in effect at the time of each annual update, as required by the Commission-accepted ICAP Demand Curves</w:t>
      </w:r>
      <w:r w:rsidR="0006758D">
        <w:rPr>
          <w:szCs w:val="26"/>
        </w:rPr>
        <w:t xml:space="preserve"> methodology</w:t>
      </w:r>
      <w:r w:rsidRPr="00251AF5" w:rsidR="00C9726B">
        <w:rPr>
          <w:szCs w:val="26"/>
        </w:rPr>
        <w:t>.  NYISO states that the</w:t>
      </w:r>
      <w:r w:rsidR="00BC13DF">
        <w:rPr>
          <w:szCs w:val="26"/>
        </w:rPr>
        <w:t xml:space="preserve">    </w:t>
      </w:r>
      <w:r w:rsidRPr="00251AF5" w:rsidR="00C9726B">
        <w:rPr>
          <w:szCs w:val="26"/>
        </w:rPr>
        <w:t xml:space="preserve"> VSS adder</w:t>
      </w:r>
      <w:r w:rsidRPr="00251AF5">
        <w:rPr>
          <w:szCs w:val="26"/>
        </w:rPr>
        <w:t xml:space="preserve"> then adjusts the </w:t>
      </w:r>
      <w:r w:rsidRPr="00251AF5" w:rsidR="001D4A3A">
        <w:rPr>
          <w:szCs w:val="26"/>
        </w:rPr>
        <w:t xml:space="preserve">Energy and Ancillary Services </w:t>
      </w:r>
      <w:r w:rsidRPr="00251AF5">
        <w:rPr>
          <w:szCs w:val="26"/>
        </w:rPr>
        <w:t xml:space="preserve">revenue offset value for each ICAP Demand Curve.  Accordingly, NYISO claims that, all else equal, VSS revenue decreases will cause ICAP spot market clearing prices to increase by reducing the net </w:t>
      </w:r>
      <w:r w:rsidRPr="00251AF5" w:rsidR="001D4A3A">
        <w:rPr>
          <w:szCs w:val="26"/>
        </w:rPr>
        <w:t xml:space="preserve">Energy and Ancillary Services </w:t>
      </w:r>
      <w:r w:rsidRPr="00251AF5">
        <w:rPr>
          <w:szCs w:val="26"/>
        </w:rPr>
        <w:t>revenue offset to the estimated cost to construct and operate the hypothetical resource used to set the ICAP Demand Curve.</w:t>
      </w:r>
      <w:r>
        <w:rPr>
          <w:rStyle w:val="FootnoteReference"/>
          <w:szCs w:val="26"/>
        </w:rPr>
        <w:footnoteReference w:id="52"/>
      </w:r>
      <w:r w:rsidRPr="00251AF5">
        <w:rPr>
          <w:szCs w:val="26"/>
        </w:rPr>
        <w:t xml:space="preserve">  </w:t>
      </w:r>
    </w:p>
    <w:p w:rsidR="00240196" w:rsidRPr="00251AF5" w:rsidP="00A626EF">
      <w:pPr>
        <w:pStyle w:val="FERCparanumber"/>
        <w:rPr>
          <w:szCs w:val="26"/>
        </w:rPr>
      </w:pPr>
      <w:r w:rsidRPr="00251AF5">
        <w:rPr>
          <w:szCs w:val="26"/>
        </w:rPr>
        <w:t xml:space="preserve">NYISO asserts that any objection raised by Utility Intervention Unit to </w:t>
      </w:r>
      <w:r w:rsidR="007B6AC2">
        <w:rPr>
          <w:szCs w:val="26"/>
        </w:rPr>
        <w:t xml:space="preserve">    </w:t>
      </w:r>
      <w:r w:rsidRPr="00251AF5">
        <w:rPr>
          <w:szCs w:val="26"/>
        </w:rPr>
        <w:t xml:space="preserve">inclusion of the VSS adder as part of the net </w:t>
      </w:r>
      <w:r w:rsidRPr="00251AF5" w:rsidR="001D4A3A">
        <w:rPr>
          <w:szCs w:val="26"/>
        </w:rPr>
        <w:t xml:space="preserve">Energy and Ancillary Services </w:t>
      </w:r>
      <w:r w:rsidRPr="00251AF5">
        <w:rPr>
          <w:szCs w:val="26"/>
        </w:rPr>
        <w:t>estimates</w:t>
      </w:r>
      <w:r w:rsidR="007B6AC2">
        <w:rPr>
          <w:szCs w:val="26"/>
        </w:rPr>
        <w:t xml:space="preserve">    </w:t>
      </w:r>
      <w:r w:rsidRPr="00251AF5">
        <w:rPr>
          <w:szCs w:val="26"/>
        </w:rPr>
        <w:t xml:space="preserve"> in determining the ICAP Demand Curves is an impermissible collateral attack and/or untimely rehearing request of the Commission’s Order accepting </w:t>
      </w:r>
      <w:r w:rsidR="00E42B65">
        <w:rPr>
          <w:szCs w:val="26"/>
        </w:rPr>
        <w:t xml:space="preserve">the </w:t>
      </w:r>
      <w:r w:rsidRPr="00251AF5">
        <w:rPr>
          <w:szCs w:val="26"/>
        </w:rPr>
        <w:t xml:space="preserve">NYISO </w:t>
      </w:r>
      <w:r w:rsidR="00E42B65">
        <w:rPr>
          <w:szCs w:val="26"/>
        </w:rPr>
        <w:t>November 2024</w:t>
      </w:r>
      <w:r w:rsidRPr="00251AF5">
        <w:rPr>
          <w:szCs w:val="26"/>
        </w:rPr>
        <w:t xml:space="preserve"> Demand Curve </w:t>
      </w:r>
      <w:r w:rsidR="00E42B65">
        <w:rPr>
          <w:szCs w:val="26"/>
        </w:rPr>
        <w:t>R</w:t>
      </w:r>
      <w:r w:rsidRPr="00251AF5">
        <w:rPr>
          <w:szCs w:val="26"/>
        </w:rPr>
        <w:t xml:space="preserve">eset </w:t>
      </w:r>
      <w:r w:rsidR="00E42B65">
        <w:rPr>
          <w:szCs w:val="26"/>
        </w:rPr>
        <w:t>Filing</w:t>
      </w:r>
      <w:r w:rsidRPr="00251AF5">
        <w:rPr>
          <w:szCs w:val="26"/>
        </w:rPr>
        <w:t>.</w:t>
      </w:r>
      <w:r>
        <w:rPr>
          <w:rStyle w:val="FootnoteReference"/>
          <w:szCs w:val="26"/>
        </w:rPr>
        <w:footnoteReference w:id="53"/>
      </w:r>
      <w:r w:rsidRPr="00251AF5">
        <w:rPr>
          <w:szCs w:val="26"/>
        </w:rPr>
        <w:t xml:space="preserve">  Accordingly, NYISO argues that the Commission should reject any attempted re-litigation of the accepted results of the 2025-2029 </w:t>
      </w:r>
      <w:r w:rsidR="00335C25">
        <w:rPr>
          <w:szCs w:val="26"/>
        </w:rPr>
        <w:t xml:space="preserve">Capability Years </w:t>
      </w:r>
      <w:r w:rsidRPr="00251AF5">
        <w:rPr>
          <w:szCs w:val="26"/>
        </w:rPr>
        <w:t>ICAP Demand Curve reset through this proceeding.</w:t>
      </w:r>
    </w:p>
    <w:p w:rsidR="00240196" w:rsidRPr="00251AF5" w:rsidP="00240196">
      <w:pPr>
        <w:pStyle w:val="Heading4"/>
        <w:rPr>
          <w:szCs w:val="26"/>
        </w:rPr>
      </w:pPr>
      <w:r w:rsidRPr="00251AF5">
        <w:rPr>
          <w:szCs w:val="26"/>
        </w:rPr>
        <w:t>Commission Determination</w:t>
      </w:r>
    </w:p>
    <w:p w:rsidR="00A36324" w:rsidRPr="00251AF5" w:rsidP="00A36324">
      <w:pPr>
        <w:pStyle w:val="FERCparanumber"/>
        <w:rPr>
          <w:szCs w:val="26"/>
        </w:rPr>
      </w:pPr>
      <w:r w:rsidRPr="00251AF5">
        <w:rPr>
          <w:szCs w:val="26"/>
        </w:rPr>
        <w:t xml:space="preserve">We acknowledge that </w:t>
      </w:r>
      <w:r w:rsidRPr="00251AF5" w:rsidR="00F35843">
        <w:rPr>
          <w:szCs w:val="26"/>
        </w:rPr>
        <w:t xml:space="preserve">NYISO’s proposed revisions to comply with the requirements of Order No. 904 will have implications for </w:t>
      </w:r>
      <w:r w:rsidRPr="00251AF5" w:rsidR="007436E8">
        <w:rPr>
          <w:szCs w:val="26"/>
        </w:rPr>
        <w:t>t</w:t>
      </w:r>
      <w:r w:rsidRPr="00251AF5" w:rsidR="00B702B2">
        <w:rPr>
          <w:szCs w:val="26"/>
        </w:rPr>
        <w:t xml:space="preserve">he </w:t>
      </w:r>
      <w:r w:rsidRPr="00FB5F48" w:rsidR="00B702B2">
        <w:rPr>
          <w:szCs w:val="26"/>
        </w:rPr>
        <w:t>2026</w:t>
      </w:r>
      <w:r w:rsidRPr="00FB5F48" w:rsidR="00FE258C">
        <w:rPr>
          <w:szCs w:val="26"/>
        </w:rPr>
        <w:t>-202</w:t>
      </w:r>
      <w:r w:rsidRPr="00A447A0" w:rsidR="00FB5F48">
        <w:rPr>
          <w:szCs w:val="26"/>
        </w:rPr>
        <w:t>7</w:t>
      </w:r>
      <w:r w:rsidR="00FE258C">
        <w:rPr>
          <w:szCs w:val="26"/>
        </w:rPr>
        <w:t xml:space="preserve"> through </w:t>
      </w:r>
      <w:r w:rsidR="007B6AC2">
        <w:rPr>
          <w:szCs w:val="26"/>
        </w:rPr>
        <w:t xml:space="preserve">     </w:t>
      </w:r>
      <w:r w:rsidR="00FE258C">
        <w:rPr>
          <w:szCs w:val="26"/>
        </w:rPr>
        <w:t>2028</w:t>
      </w:r>
      <w:r w:rsidRPr="00251AF5" w:rsidR="00B702B2">
        <w:rPr>
          <w:szCs w:val="26"/>
        </w:rPr>
        <w:t xml:space="preserve">-2029 </w:t>
      </w:r>
      <w:r w:rsidR="00347F1A">
        <w:rPr>
          <w:szCs w:val="26"/>
        </w:rPr>
        <w:t>Capability Years (20</w:t>
      </w:r>
      <w:r w:rsidR="00CD783C">
        <w:rPr>
          <w:szCs w:val="26"/>
        </w:rPr>
        <w:t xml:space="preserve">26-2029 Capability Years) </w:t>
      </w:r>
      <w:r w:rsidRPr="00251AF5" w:rsidR="00B702B2">
        <w:rPr>
          <w:szCs w:val="26"/>
        </w:rPr>
        <w:t>ICAP Demand Curves</w:t>
      </w:r>
      <w:r w:rsidR="00FB5F48">
        <w:rPr>
          <w:szCs w:val="26"/>
        </w:rPr>
        <w:t xml:space="preserve">. </w:t>
      </w:r>
      <w:r w:rsidR="00B43D75">
        <w:rPr>
          <w:szCs w:val="26"/>
        </w:rPr>
        <w:t xml:space="preserve"> Indeed, </w:t>
      </w:r>
      <w:r w:rsidR="00953D7F">
        <w:rPr>
          <w:szCs w:val="26"/>
        </w:rPr>
        <w:t xml:space="preserve">as </w:t>
      </w:r>
      <w:r w:rsidRPr="00251AF5" w:rsidR="00CC60B6">
        <w:rPr>
          <w:szCs w:val="26"/>
        </w:rPr>
        <w:t>discussed below</w:t>
      </w:r>
      <w:r w:rsidR="00C72C04">
        <w:rPr>
          <w:szCs w:val="26"/>
        </w:rPr>
        <w:t xml:space="preserve">, the Commission recognized the interplay between </w:t>
      </w:r>
      <w:r w:rsidR="005A519B">
        <w:rPr>
          <w:szCs w:val="26"/>
        </w:rPr>
        <w:t>Order</w:t>
      </w:r>
      <w:r w:rsidR="007B6AC2">
        <w:rPr>
          <w:szCs w:val="26"/>
        </w:rPr>
        <w:t xml:space="preserve">  </w:t>
      </w:r>
      <w:r w:rsidR="005A519B">
        <w:rPr>
          <w:szCs w:val="26"/>
        </w:rPr>
        <w:t xml:space="preserve"> No. 904 </w:t>
      </w:r>
      <w:r w:rsidR="008E6517">
        <w:rPr>
          <w:szCs w:val="26"/>
        </w:rPr>
        <w:t xml:space="preserve">and NYISO’s capacity markets </w:t>
      </w:r>
      <w:r w:rsidR="005A519B">
        <w:rPr>
          <w:szCs w:val="26"/>
        </w:rPr>
        <w:t xml:space="preserve">in the final rule </w:t>
      </w:r>
      <w:r w:rsidR="00F36A93">
        <w:rPr>
          <w:szCs w:val="26"/>
        </w:rPr>
        <w:t xml:space="preserve">and permitted NYISO </w:t>
      </w:r>
      <w:r w:rsidR="000C751D">
        <w:rPr>
          <w:szCs w:val="26"/>
        </w:rPr>
        <w:t xml:space="preserve">to propose a later effective date </w:t>
      </w:r>
      <w:r w:rsidR="00B00361">
        <w:rPr>
          <w:szCs w:val="26"/>
        </w:rPr>
        <w:t xml:space="preserve">to account for </w:t>
      </w:r>
      <w:r w:rsidR="00C82283">
        <w:rPr>
          <w:szCs w:val="26"/>
        </w:rPr>
        <w:t xml:space="preserve">such </w:t>
      </w:r>
      <w:r w:rsidR="00B00361">
        <w:rPr>
          <w:szCs w:val="26"/>
        </w:rPr>
        <w:t>implications</w:t>
      </w:r>
      <w:r w:rsidRPr="00251AF5" w:rsidR="00B702B2">
        <w:rPr>
          <w:szCs w:val="26"/>
        </w:rPr>
        <w:t>.</w:t>
      </w:r>
      <w:r>
        <w:rPr>
          <w:rStyle w:val="FootnoteReference"/>
          <w:szCs w:val="26"/>
        </w:rPr>
        <w:footnoteReference w:id="54"/>
      </w:r>
      <w:r w:rsidRPr="00251AF5" w:rsidR="00B702B2">
        <w:rPr>
          <w:szCs w:val="26"/>
        </w:rPr>
        <w:t xml:space="preserve">  </w:t>
      </w:r>
      <w:r w:rsidRPr="00251AF5" w:rsidR="00364D50">
        <w:rPr>
          <w:szCs w:val="26"/>
        </w:rPr>
        <w:t xml:space="preserve">We agree with NYISO that the compliance proposal at issue here does not itself propose modifications to the estimated cost to construct and operate a hypothetical new capacity supply resource or to the Commission-accepted approach to calculate the estimated net </w:t>
      </w:r>
      <w:r w:rsidRPr="00251AF5" w:rsidR="001D4A3A">
        <w:rPr>
          <w:szCs w:val="26"/>
        </w:rPr>
        <w:t xml:space="preserve">Energy and Ancillary Services </w:t>
      </w:r>
      <w:r w:rsidRPr="00251AF5" w:rsidR="00364D50">
        <w:rPr>
          <w:szCs w:val="26"/>
        </w:rPr>
        <w:t xml:space="preserve">revenues for the 2025-2029 </w:t>
      </w:r>
      <w:r w:rsidR="008C6DEE">
        <w:rPr>
          <w:szCs w:val="26"/>
        </w:rPr>
        <w:t xml:space="preserve">Capability Years </w:t>
      </w:r>
      <w:r w:rsidRPr="00251AF5" w:rsidR="0049269F">
        <w:rPr>
          <w:szCs w:val="26"/>
        </w:rPr>
        <w:t xml:space="preserve">ICAP Demand Curve </w:t>
      </w:r>
      <w:r w:rsidRPr="00251AF5" w:rsidR="00364D50">
        <w:rPr>
          <w:szCs w:val="26"/>
        </w:rPr>
        <w:t>reset period.</w:t>
      </w:r>
      <w:r>
        <w:rPr>
          <w:rStyle w:val="FootnoteReference"/>
          <w:bCs/>
          <w:szCs w:val="26"/>
        </w:rPr>
        <w:footnoteReference w:id="55"/>
      </w:r>
      <w:r w:rsidRPr="00251AF5" w:rsidR="001307AE">
        <w:rPr>
          <w:szCs w:val="26"/>
        </w:rPr>
        <w:t xml:space="preserve">  </w:t>
      </w:r>
      <w:r w:rsidR="00BF0A53">
        <w:rPr>
          <w:szCs w:val="26"/>
        </w:rPr>
        <w:t xml:space="preserve">NYISO’s proposal </w:t>
      </w:r>
      <w:r w:rsidR="00CE0EFE">
        <w:rPr>
          <w:szCs w:val="26"/>
        </w:rPr>
        <w:t xml:space="preserve">rather merely revises </w:t>
      </w:r>
      <w:r w:rsidR="00A3418F">
        <w:rPr>
          <w:szCs w:val="26"/>
        </w:rPr>
        <w:t xml:space="preserve">Rate Schedule 2 of the Services Tariff </w:t>
      </w:r>
      <w:r w:rsidRPr="00251AF5" w:rsidR="00A3418F">
        <w:rPr>
          <w:szCs w:val="26"/>
        </w:rPr>
        <w:t>to remove compensation for the provision of reactive power within the standard power factor range</w:t>
      </w:r>
      <w:r w:rsidR="00A3418F">
        <w:rPr>
          <w:szCs w:val="26"/>
        </w:rPr>
        <w:t>.</w:t>
      </w:r>
      <w:r>
        <w:rPr>
          <w:rStyle w:val="FootnoteReference"/>
          <w:szCs w:val="26"/>
        </w:rPr>
        <w:footnoteReference w:id="56"/>
      </w:r>
      <w:r w:rsidR="00A3418F">
        <w:rPr>
          <w:szCs w:val="26"/>
        </w:rPr>
        <w:t xml:space="preserve">  </w:t>
      </w:r>
      <w:r w:rsidR="007B3699">
        <w:rPr>
          <w:szCs w:val="26"/>
        </w:rPr>
        <w:t xml:space="preserve">While that </w:t>
      </w:r>
      <w:r w:rsidR="005F2754">
        <w:rPr>
          <w:szCs w:val="26"/>
        </w:rPr>
        <w:t>revision</w:t>
      </w:r>
      <w:r w:rsidR="00840A1A">
        <w:rPr>
          <w:szCs w:val="26"/>
        </w:rPr>
        <w:t xml:space="preserve">, </w:t>
      </w:r>
      <w:r w:rsidRPr="0092565D" w:rsidR="00840A1A">
        <w:rPr>
          <w:szCs w:val="26"/>
        </w:rPr>
        <w:t>by r</w:t>
      </w:r>
      <w:r w:rsidRPr="0092565D" w:rsidR="00C75383">
        <w:rPr>
          <w:szCs w:val="26"/>
        </w:rPr>
        <w:t>educing VSS compensation,</w:t>
      </w:r>
      <w:r w:rsidRPr="0092565D" w:rsidR="005F2754">
        <w:rPr>
          <w:szCs w:val="26"/>
        </w:rPr>
        <w:t xml:space="preserve"> </w:t>
      </w:r>
      <w:r w:rsidRPr="0092565D" w:rsidR="00BD3516">
        <w:rPr>
          <w:szCs w:val="26"/>
        </w:rPr>
        <w:t xml:space="preserve">may impact </w:t>
      </w:r>
      <w:r w:rsidRPr="0092565D" w:rsidR="00783A50">
        <w:rPr>
          <w:szCs w:val="26"/>
        </w:rPr>
        <w:t>the</w:t>
      </w:r>
      <w:r w:rsidRPr="0092565D" w:rsidR="00BD3516">
        <w:rPr>
          <w:szCs w:val="26"/>
        </w:rPr>
        <w:t xml:space="preserve"> ICAP De</w:t>
      </w:r>
      <w:r w:rsidRPr="0092565D" w:rsidR="005F2754">
        <w:rPr>
          <w:szCs w:val="26"/>
        </w:rPr>
        <w:t xml:space="preserve">mand Curves </w:t>
      </w:r>
      <w:r w:rsidRPr="0092565D" w:rsidR="00130917">
        <w:rPr>
          <w:szCs w:val="26"/>
        </w:rPr>
        <w:t xml:space="preserve">updates </w:t>
      </w:r>
      <w:r w:rsidRPr="0092565D" w:rsidR="00783A50">
        <w:rPr>
          <w:szCs w:val="26"/>
        </w:rPr>
        <w:t xml:space="preserve">for the 2026-2029 Capability Years </w:t>
      </w:r>
      <w:r w:rsidRPr="0092565D" w:rsidR="003575F1">
        <w:rPr>
          <w:szCs w:val="26"/>
        </w:rPr>
        <w:t xml:space="preserve">by reducing the net Energy and Ancillary Services </w:t>
      </w:r>
      <w:r w:rsidRPr="0092565D" w:rsidR="00D206C2">
        <w:rPr>
          <w:szCs w:val="26"/>
        </w:rPr>
        <w:t xml:space="preserve">revenues </w:t>
      </w:r>
      <w:r w:rsidRPr="0092565D" w:rsidR="00332486">
        <w:rPr>
          <w:szCs w:val="26"/>
        </w:rPr>
        <w:t xml:space="preserve">offset </w:t>
      </w:r>
      <w:r w:rsidRPr="0092565D" w:rsidR="00642FE7">
        <w:rPr>
          <w:szCs w:val="26"/>
        </w:rPr>
        <w:t>as provided for</w:t>
      </w:r>
      <w:r w:rsidR="005E545D">
        <w:rPr>
          <w:szCs w:val="26"/>
        </w:rPr>
        <w:t xml:space="preserve"> </w:t>
      </w:r>
      <w:r w:rsidR="005F2754">
        <w:rPr>
          <w:szCs w:val="26"/>
        </w:rPr>
        <w:t xml:space="preserve">under sections </w:t>
      </w:r>
      <w:r w:rsidRPr="009E7D0F" w:rsidR="005F2754">
        <w:rPr>
          <w:szCs w:val="26"/>
        </w:rPr>
        <w:t xml:space="preserve">5.14.1.2.2 </w:t>
      </w:r>
      <w:r w:rsidR="005F2754">
        <w:rPr>
          <w:szCs w:val="26"/>
        </w:rPr>
        <w:t xml:space="preserve">and </w:t>
      </w:r>
      <w:r w:rsidRPr="009E7D0F" w:rsidR="005F2754">
        <w:rPr>
          <w:szCs w:val="26"/>
        </w:rPr>
        <w:t>5.14.1.2.2</w:t>
      </w:r>
      <w:r w:rsidR="005F2754">
        <w:rPr>
          <w:szCs w:val="26"/>
        </w:rPr>
        <w:t>.2</w:t>
      </w:r>
      <w:r w:rsidRPr="009E7D0F" w:rsidR="005F2754">
        <w:rPr>
          <w:szCs w:val="26"/>
        </w:rPr>
        <w:t xml:space="preserve"> </w:t>
      </w:r>
      <w:r w:rsidR="005F2754">
        <w:rPr>
          <w:szCs w:val="26"/>
        </w:rPr>
        <w:t>of the Services Tariff,</w:t>
      </w:r>
      <w:r>
        <w:rPr>
          <w:rStyle w:val="FootnoteReference"/>
          <w:szCs w:val="26"/>
        </w:rPr>
        <w:footnoteReference w:id="57"/>
      </w:r>
      <w:r w:rsidR="00783A50">
        <w:rPr>
          <w:szCs w:val="26"/>
        </w:rPr>
        <w:t xml:space="preserve"> i.e., the existing filed rate, </w:t>
      </w:r>
      <w:r w:rsidR="000A6512">
        <w:rPr>
          <w:szCs w:val="26"/>
        </w:rPr>
        <w:t xml:space="preserve">those </w:t>
      </w:r>
      <w:r w:rsidR="00B300B1">
        <w:rPr>
          <w:szCs w:val="26"/>
        </w:rPr>
        <w:t>sections of the Services</w:t>
      </w:r>
      <w:r w:rsidR="005A62B0">
        <w:rPr>
          <w:szCs w:val="26"/>
        </w:rPr>
        <w:t xml:space="preserve"> Tariff </w:t>
      </w:r>
      <w:r w:rsidR="00A661BE">
        <w:rPr>
          <w:szCs w:val="26"/>
        </w:rPr>
        <w:t>establishing the methodology for</w:t>
      </w:r>
      <w:r w:rsidR="00DE6B12">
        <w:rPr>
          <w:szCs w:val="26"/>
        </w:rPr>
        <w:t xml:space="preserve"> NYISO to</w:t>
      </w:r>
      <w:r w:rsidR="00A661BE">
        <w:rPr>
          <w:szCs w:val="26"/>
        </w:rPr>
        <w:t xml:space="preserve"> </w:t>
      </w:r>
      <w:r w:rsidR="00130917">
        <w:rPr>
          <w:szCs w:val="26"/>
        </w:rPr>
        <w:t>updat</w:t>
      </w:r>
      <w:r w:rsidR="00DE6B12">
        <w:rPr>
          <w:szCs w:val="26"/>
        </w:rPr>
        <w:t>e</w:t>
      </w:r>
      <w:r w:rsidR="00A661BE">
        <w:rPr>
          <w:szCs w:val="26"/>
        </w:rPr>
        <w:t xml:space="preserve"> the ICAP Demand Curves </w:t>
      </w:r>
      <w:r w:rsidR="005A62B0">
        <w:rPr>
          <w:szCs w:val="26"/>
        </w:rPr>
        <w:t xml:space="preserve">are not </w:t>
      </w:r>
      <w:r w:rsidR="00A661BE">
        <w:rPr>
          <w:szCs w:val="26"/>
        </w:rPr>
        <w:t xml:space="preserve">before us </w:t>
      </w:r>
      <w:r w:rsidR="00D90450">
        <w:rPr>
          <w:szCs w:val="26"/>
        </w:rPr>
        <w:t>in this proceeding</w:t>
      </w:r>
      <w:r w:rsidR="00783A50">
        <w:rPr>
          <w:szCs w:val="26"/>
        </w:rPr>
        <w:t>.</w:t>
      </w:r>
      <w:r w:rsidR="00A661BE">
        <w:rPr>
          <w:szCs w:val="26"/>
        </w:rPr>
        <w:t xml:space="preserve"> </w:t>
      </w:r>
      <w:r w:rsidR="005F2754">
        <w:rPr>
          <w:szCs w:val="26"/>
        </w:rPr>
        <w:t xml:space="preserve"> </w:t>
      </w:r>
      <w:r w:rsidR="0009685B">
        <w:rPr>
          <w:szCs w:val="26"/>
        </w:rPr>
        <w:t>Utility Intervention Unit’s concerns about the impact that NYISO’s Order No. 904 compliance will have on the ICAP Demand Curves are therefore outside the scope of this Order No. 904 compliance proceeding</w:t>
      </w:r>
      <w:r w:rsidR="00066029">
        <w:rPr>
          <w:szCs w:val="26"/>
        </w:rPr>
        <w:t>,</w:t>
      </w:r>
      <w:r w:rsidR="0009685B">
        <w:rPr>
          <w:szCs w:val="26"/>
        </w:rPr>
        <w:t xml:space="preserve"> </w:t>
      </w:r>
      <w:r w:rsidRPr="00251AF5" w:rsidR="001307AE">
        <w:rPr>
          <w:szCs w:val="26"/>
        </w:rPr>
        <w:t>which concerns</w:t>
      </w:r>
      <w:r w:rsidR="00CC7020">
        <w:rPr>
          <w:szCs w:val="26"/>
        </w:rPr>
        <w:t xml:space="preserve"> only</w:t>
      </w:r>
      <w:r w:rsidRPr="00251AF5" w:rsidR="001307AE">
        <w:rPr>
          <w:szCs w:val="26"/>
        </w:rPr>
        <w:t xml:space="preserve"> </w:t>
      </w:r>
      <w:r w:rsidRPr="00251AF5" w:rsidR="00CB4B4F">
        <w:rPr>
          <w:szCs w:val="26"/>
        </w:rPr>
        <w:t>whether NYISO’s filing complies with the requirements of Order No. 904.</w:t>
      </w:r>
      <w:r w:rsidR="00BC6928">
        <w:rPr>
          <w:szCs w:val="26"/>
        </w:rPr>
        <w:t xml:space="preserve">  </w:t>
      </w:r>
    </w:p>
    <w:p w:rsidR="00932A7B" w:rsidRPr="00251AF5" w:rsidP="00932A7B">
      <w:pPr>
        <w:pStyle w:val="Heading3"/>
        <w:rPr>
          <w:szCs w:val="26"/>
        </w:rPr>
      </w:pPr>
      <w:r w:rsidRPr="00251AF5">
        <w:rPr>
          <w:szCs w:val="26"/>
        </w:rPr>
        <w:t>Transition Period</w:t>
      </w:r>
    </w:p>
    <w:p w:rsidR="00932A7B" w:rsidRPr="00251AF5" w:rsidP="00932A7B">
      <w:pPr>
        <w:pStyle w:val="Heading4"/>
        <w:rPr>
          <w:szCs w:val="26"/>
        </w:rPr>
      </w:pPr>
      <w:r w:rsidRPr="00251AF5">
        <w:rPr>
          <w:szCs w:val="26"/>
        </w:rPr>
        <w:t>Order No. 904</w:t>
      </w:r>
    </w:p>
    <w:p w:rsidR="00932A7B" w:rsidRPr="00251AF5" w:rsidP="00932A7B">
      <w:pPr>
        <w:pStyle w:val="FERCparanumber"/>
        <w:rPr>
          <w:szCs w:val="26"/>
        </w:rPr>
      </w:pPr>
      <w:r w:rsidRPr="00251AF5">
        <w:rPr>
          <w:szCs w:val="26"/>
        </w:rPr>
        <w:t xml:space="preserve">In Order No. 904, the Commission directed </w:t>
      </w:r>
      <w:r w:rsidR="00EF7246">
        <w:rPr>
          <w:szCs w:val="26"/>
        </w:rPr>
        <w:t>transmission providers to</w:t>
      </w:r>
      <w:r w:rsidRPr="00251AF5">
        <w:rPr>
          <w:szCs w:val="26"/>
        </w:rPr>
        <w:t xml:space="preserve"> propose effective date</w:t>
      </w:r>
      <w:r w:rsidR="00EF7246">
        <w:rPr>
          <w:szCs w:val="26"/>
        </w:rPr>
        <w:t>s for their compliance revisions</w:t>
      </w:r>
      <w:r w:rsidRPr="00251AF5">
        <w:rPr>
          <w:szCs w:val="26"/>
        </w:rPr>
        <w:t xml:space="preserve"> </w:t>
      </w:r>
      <w:r w:rsidR="00991DCD">
        <w:rPr>
          <w:szCs w:val="26"/>
        </w:rPr>
        <w:t>that are</w:t>
      </w:r>
      <w:r w:rsidRPr="00251AF5">
        <w:rPr>
          <w:szCs w:val="26"/>
        </w:rPr>
        <w:t xml:space="preserve"> within 90 days from the date of the</w:t>
      </w:r>
      <w:r w:rsidR="003C6AC8">
        <w:rPr>
          <w:szCs w:val="26"/>
        </w:rPr>
        <w:t>i</w:t>
      </w:r>
      <w:r w:rsidR="00F336EF">
        <w:rPr>
          <w:szCs w:val="26"/>
        </w:rPr>
        <w:t>r</w:t>
      </w:r>
      <w:r w:rsidRPr="00251AF5">
        <w:rPr>
          <w:szCs w:val="26"/>
        </w:rPr>
        <w:t xml:space="preserve"> compliance filing</w:t>
      </w:r>
      <w:r w:rsidR="003C6AC8">
        <w:rPr>
          <w:szCs w:val="26"/>
        </w:rPr>
        <w:t>s</w:t>
      </w:r>
      <w:r w:rsidRPr="00251AF5">
        <w:rPr>
          <w:szCs w:val="26"/>
        </w:rPr>
        <w:t>.</w:t>
      </w:r>
      <w:r>
        <w:rPr>
          <w:rStyle w:val="FootnoteReference"/>
          <w:szCs w:val="26"/>
        </w:rPr>
        <w:footnoteReference w:id="58"/>
      </w:r>
      <w:r w:rsidRPr="00251AF5">
        <w:rPr>
          <w:szCs w:val="26"/>
        </w:rPr>
        <w:t xml:space="preserve">  However, in recognition of concerns </w:t>
      </w:r>
      <w:r w:rsidR="004C313E">
        <w:rPr>
          <w:szCs w:val="26"/>
        </w:rPr>
        <w:t>about</w:t>
      </w:r>
      <w:r w:rsidRPr="00251AF5">
        <w:rPr>
          <w:szCs w:val="26"/>
        </w:rPr>
        <w:t xml:space="preserve"> the interplay between existing reactive power compensation mechanisms and energy and capacity market rules in ISO</w:t>
      </w:r>
      <w:r w:rsidRPr="00913435" w:rsidR="00913435">
        <w:rPr>
          <w:szCs w:val="26"/>
        </w:rPr>
        <w:t xml:space="preserve"> </w:t>
      </w:r>
      <w:r w:rsidRPr="00251AF5" w:rsidR="00913435">
        <w:rPr>
          <w:szCs w:val="26"/>
        </w:rPr>
        <w:t>New England Inc.</w:t>
      </w:r>
      <w:r w:rsidRPr="00251AF5">
        <w:rPr>
          <w:szCs w:val="26"/>
        </w:rPr>
        <w:t xml:space="preserve">, NYISO, </w:t>
      </w:r>
      <w:r w:rsidRPr="00251AF5" w:rsidR="00C14B76">
        <w:rPr>
          <w:szCs w:val="26"/>
        </w:rPr>
        <w:t>and PJM Interconnection, L.L.C.</w:t>
      </w:r>
      <w:r w:rsidRPr="00251AF5">
        <w:rPr>
          <w:szCs w:val="26"/>
        </w:rPr>
        <w:t>, the Commission permitted those RTOs/ISOs to each request a later effective date, for the Commission’s consideration, in order to allow them to develop and propose any changes to their market rules that may be necessary to accommodate th</w:t>
      </w:r>
      <w:r w:rsidR="00FB17D6">
        <w:rPr>
          <w:szCs w:val="26"/>
        </w:rPr>
        <w:t>e</w:t>
      </w:r>
      <w:r w:rsidRPr="00251AF5">
        <w:rPr>
          <w:szCs w:val="26"/>
        </w:rPr>
        <w:t xml:space="preserve"> </w:t>
      </w:r>
      <w:r w:rsidR="00566070">
        <w:rPr>
          <w:szCs w:val="26"/>
        </w:rPr>
        <w:t xml:space="preserve">implementation of the </w:t>
      </w:r>
      <w:r w:rsidRPr="00251AF5">
        <w:rPr>
          <w:szCs w:val="26"/>
        </w:rPr>
        <w:t xml:space="preserve">final rule.  The Commission also </w:t>
      </w:r>
      <w:r w:rsidR="003448EB">
        <w:rPr>
          <w:szCs w:val="26"/>
        </w:rPr>
        <w:t>allowed</w:t>
      </w:r>
      <w:r w:rsidRPr="00251AF5">
        <w:rPr>
          <w:szCs w:val="26"/>
        </w:rPr>
        <w:t xml:space="preserve"> potential </w:t>
      </w:r>
      <w:r w:rsidR="008F09AF">
        <w:rPr>
          <w:szCs w:val="26"/>
        </w:rPr>
        <w:t>Federal Power Act</w:t>
      </w:r>
      <w:r w:rsidRPr="00251AF5">
        <w:rPr>
          <w:szCs w:val="26"/>
        </w:rPr>
        <w:t xml:space="preserve"> section 205 filings that may accompany any compliance filings to adapt markets to accommodate </w:t>
      </w:r>
      <w:r w:rsidR="00A932C4">
        <w:rPr>
          <w:szCs w:val="26"/>
        </w:rPr>
        <w:t xml:space="preserve">Order </w:t>
      </w:r>
      <w:r w:rsidR="007B6AC2">
        <w:rPr>
          <w:szCs w:val="26"/>
        </w:rPr>
        <w:t xml:space="preserve">   </w:t>
      </w:r>
      <w:r w:rsidR="00A932C4">
        <w:rPr>
          <w:szCs w:val="26"/>
        </w:rPr>
        <w:t>No. 904</w:t>
      </w:r>
      <w:r w:rsidRPr="00251AF5">
        <w:rPr>
          <w:szCs w:val="26"/>
        </w:rPr>
        <w:t xml:space="preserve"> as well as to clarify each RTO/ISO’s compensation scheme for reactive power service outside of the standard power factor range, if necessary.  </w:t>
      </w:r>
    </w:p>
    <w:p w:rsidR="00932A7B" w:rsidRPr="00251AF5" w:rsidP="00932A7B">
      <w:pPr>
        <w:pStyle w:val="Heading4"/>
        <w:rPr>
          <w:szCs w:val="26"/>
        </w:rPr>
      </w:pPr>
      <w:r w:rsidRPr="00251AF5">
        <w:rPr>
          <w:szCs w:val="26"/>
        </w:rPr>
        <w:t>Filing</w:t>
      </w:r>
    </w:p>
    <w:p w:rsidR="00240196" w:rsidRPr="00251AF5" w:rsidP="00240196">
      <w:pPr>
        <w:pStyle w:val="FERCparanumber"/>
        <w:rPr>
          <w:szCs w:val="26"/>
        </w:rPr>
      </w:pPr>
      <w:r w:rsidRPr="00251AF5">
        <w:rPr>
          <w:szCs w:val="26"/>
        </w:rPr>
        <w:t>NYISO requests an effective date of May 1, 2026, to align the elimination of reactive power compensation within the standard power factor range with the beginning of a new Capability Year and a new set of ICAP Demand Curves.</w:t>
      </w:r>
      <w:r>
        <w:rPr>
          <w:rStyle w:val="FootnoteReference"/>
          <w:szCs w:val="26"/>
        </w:rPr>
        <w:footnoteReference w:id="59"/>
      </w:r>
      <w:r w:rsidRPr="00251AF5">
        <w:rPr>
          <w:szCs w:val="26"/>
        </w:rPr>
        <w:t xml:space="preserve">  NYISO notes that </w:t>
      </w:r>
      <w:r w:rsidR="003E17AB">
        <w:rPr>
          <w:szCs w:val="26"/>
        </w:rPr>
        <w:t xml:space="preserve">the Commission in </w:t>
      </w:r>
      <w:r w:rsidRPr="00251AF5">
        <w:rPr>
          <w:szCs w:val="26"/>
        </w:rPr>
        <w:t>Order N</w:t>
      </w:r>
      <w:r w:rsidRPr="00251AF5" w:rsidR="00196FDF">
        <w:rPr>
          <w:szCs w:val="26"/>
        </w:rPr>
        <w:t>o</w:t>
      </w:r>
      <w:r w:rsidRPr="00251AF5">
        <w:rPr>
          <w:szCs w:val="26"/>
        </w:rPr>
        <w:t>. 904 allowed NYISO to request an effective date later than 90 days from the date of the compliance filing, if warranted, to accommodate interaction with other market rules.</w:t>
      </w:r>
      <w:r>
        <w:rPr>
          <w:rStyle w:val="FootnoteReference"/>
          <w:szCs w:val="26"/>
        </w:rPr>
        <w:footnoteReference w:id="60"/>
      </w:r>
      <w:r w:rsidRPr="00251AF5">
        <w:rPr>
          <w:szCs w:val="26"/>
        </w:rPr>
        <w:t xml:space="preserve">  NYISO asserts that this later effective date is needed to avoid disruption</w:t>
      </w:r>
      <w:r w:rsidR="00F20088">
        <w:rPr>
          <w:szCs w:val="26"/>
        </w:rPr>
        <w:t xml:space="preserve"> to</w:t>
      </w:r>
      <w:r w:rsidRPr="00251AF5">
        <w:rPr>
          <w:szCs w:val="26"/>
        </w:rPr>
        <w:t xml:space="preserve"> and uncertainty in the marketplace that would result from adjusting the VSS adder and ICAP Demand Curves for the 2025-2026 Capability Year that began on May 1, 2025.  To avoid such adverse impacts, NYISO proposes to implement the proposed revisions to Services Tariff Rate Schedule 2 starting for the 2026-2027 Capability Year that begins May 1, 2026</w:t>
      </w:r>
      <w:r w:rsidR="003C02E2">
        <w:rPr>
          <w:szCs w:val="26"/>
        </w:rPr>
        <w:t>, as discussed above</w:t>
      </w:r>
      <w:r w:rsidRPr="00251AF5">
        <w:rPr>
          <w:szCs w:val="26"/>
        </w:rPr>
        <w:t xml:space="preserve">.  </w:t>
      </w:r>
    </w:p>
    <w:p w:rsidR="00932A7B" w:rsidRPr="00251AF5" w:rsidP="00932A7B">
      <w:pPr>
        <w:pStyle w:val="Heading4"/>
        <w:rPr>
          <w:szCs w:val="26"/>
        </w:rPr>
      </w:pPr>
      <w:r w:rsidRPr="00251AF5">
        <w:rPr>
          <w:szCs w:val="26"/>
        </w:rPr>
        <w:t>Commission Determination</w:t>
      </w:r>
    </w:p>
    <w:p w:rsidR="00BC13DF" w:rsidP="00BC13DF">
      <w:pPr>
        <w:pStyle w:val="FERCparanumber"/>
        <w:rPr>
          <w:szCs w:val="26"/>
        </w:rPr>
      </w:pPr>
      <w:r>
        <w:rPr>
          <w:szCs w:val="26"/>
        </w:rPr>
        <w:t xml:space="preserve">We accept NYISO’s proposed revisions, effective May 1, 2026, as requested.  </w:t>
      </w:r>
      <w:r>
        <w:rPr>
          <w:szCs w:val="26"/>
        </w:rPr>
        <w:t xml:space="preserve"> </w:t>
      </w:r>
      <w:r w:rsidR="002A65CC">
        <w:rPr>
          <w:szCs w:val="26"/>
        </w:rPr>
        <w:t xml:space="preserve">The Commission in Order No. 904 allowed </w:t>
      </w:r>
      <w:r w:rsidRPr="00251AF5">
        <w:rPr>
          <w:szCs w:val="26"/>
        </w:rPr>
        <w:t>NYISO to request a</w:t>
      </w:r>
      <w:r w:rsidR="002A65CC">
        <w:rPr>
          <w:szCs w:val="26"/>
        </w:rPr>
        <w:t>n</w:t>
      </w:r>
      <w:r w:rsidRPr="00251AF5">
        <w:rPr>
          <w:szCs w:val="26"/>
        </w:rPr>
        <w:t xml:space="preserve"> effective date</w:t>
      </w:r>
      <w:r w:rsidR="000B1A1C">
        <w:rPr>
          <w:szCs w:val="26"/>
        </w:rPr>
        <w:t xml:space="preserve"> more than 90 days after filing its compliance proposal</w:t>
      </w:r>
      <w:r w:rsidRPr="00251AF5">
        <w:rPr>
          <w:szCs w:val="26"/>
        </w:rPr>
        <w:t xml:space="preserve"> in order to allow develop</w:t>
      </w:r>
      <w:r w:rsidR="000B1A1C">
        <w:rPr>
          <w:szCs w:val="26"/>
        </w:rPr>
        <w:t>ment</w:t>
      </w:r>
      <w:r w:rsidRPr="00251AF5">
        <w:rPr>
          <w:szCs w:val="26"/>
        </w:rPr>
        <w:t xml:space="preserve"> </w:t>
      </w:r>
      <w:r w:rsidR="004D5FDD">
        <w:rPr>
          <w:szCs w:val="26"/>
        </w:rPr>
        <w:t>of</w:t>
      </w:r>
      <w:r w:rsidRPr="00251AF5">
        <w:rPr>
          <w:szCs w:val="26"/>
        </w:rPr>
        <w:t xml:space="preserve"> any changes to </w:t>
      </w:r>
      <w:r w:rsidR="004D5FDD">
        <w:rPr>
          <w:szCs w:val="26"/>
        </w:rPr>
        <w:t>its</w:t>
      </w:r>
      <w:r w:rsidRPr="00251AF5">
        <w:rPr>
          <w:szCs w:val="26"/>
        </w:rPr>
        <w:t xml:space="preserve"> market rules that may be necessary in order to accommodate </w:t>
      </w:r>
      <w:r w:rsidR="004D5FDD">
        <w:rPr>
          <w:szCs w:val="26"/>
        </w:rPr>
        <w:t>the</w:t>
      </w:r>
      <w:r w:rsidRPr="00251AF5">
        <w:rPr>
          <w:szCs w:val="26"/>
        </w:rPr>
        <w:t xml:space="preserve"> elimination of compensation for the provision of reactive power within the standard power factor range.</w:t>
      </w:r>
      <w:r>
        <w:rPr>
          <w:rStyle w:val="FootnoteReference"/>
          <w:szCs w:val="26"/>
        </w:rPr>
        <w:footnoteReference w:id="61"/>
      </w:r>
      <w:r w:rsidRPr="00251AF5">
        <w:rPr>
          <w:szCs w:val="26"/>
        </w:rPr>
        <w:t xml:space="preserve">  </w:t>
      </w:r>
      <w:r w:rsidR="004D5FDD">
        <w:rPr>
          <w:szCs w:val="26"/>
        </w:rPr>
        <w:t>As discussed above, NYISO</w:t>
      </w:r>
      <w:r w:rsidR="00EB1C4F">
        <w:rPr>
          <w:szCs w:val="26"/>
        </w:rPr>
        <w:t xml:space="preserve"> explains that elimination of </w:t>
      </w:r>
      <w:r w:rsidRPr="00251AF5" w:rsidR="008F1DCF">
        <w:rPr>
          <w:szCs w:val="26"/>
        </w:rPr>
        <w:t>compensation for the provision of reactive power within the standard power factor range</w:t>
      </w:r>
      <w:r w:rsidR="008F1DCF">
        <w:rPr>
          <w:szCs w:val="26"/>
        </w:rPr>
        <w:t xml:space="preserve"> will have implications for the net Energy and Ancillary Services offset used to calculate </w:t>
      </w:r>
      <w:r w:rsidR="00C65CF4">
        <w:rPr>
          <w:szCs w:val="26"/>
        </w:rPr>
        <w:t>Net CONE</w:t>
      </w:r>
      <w:r w:rsidR="003E4DC7">
        <w:rPr>
          <w:szCs w:val="26"/>
        </w:rPr>
        <w:t>, an input to</w:t>
      </w:r>
      <w:r w:rsidR="00C65CF4">
        <w:rPr>
          <w:szCs w:val="26"/>
        </w:rPr>
        <w:t xml:space="preserve"> </w:t>
      </w:r>
      <w:r w:rsidR="003E4DC7">
        <w:rPr>
          <w:szCs w:val="26"/>
        </w:rPr>
        <w:t xml:space="preserve">the </w:t>
      </w:r>
      <w:r w:rsidR="008F1DCF">
        <w:rPr>
          <w:szCs w:val="26"/>
        </w:rPr>
        <w:t>ICAP Demand Curves</w:t>
      </w:r>
      <w:r w:rsidR="00801890">
        <w:rPr>
          <w:szCs w:val="26"/>
        </w:rPr>
        <w:t xml:space="preserve"> for the 2026</w:t>
      </w:r>
      <w:r w:rsidR="00EE2DDF">
        <w:rPr>
          <w:szCs w:val="26"/>
        </w:rPr>
        <w:t>-</w:t>
      </w:r>
      <w:r w:rsidR="00801890">
        <w:rPr>
          <w:szCs w:val="26"/>
        </w:rPr>
        <w:t>2029 Capability Years</w:t>
      </w:r>
      <w:r w:rsidR="008F1DCF">
        <w:rPr>
          <w:szCs w:val="26"/>
        </w:rPr>
        <w:t>.</w:t>
      </w:r>
      <w:r>
        <w:rPr>
          <w:rStyle w:val="FootnoteReference"/>
          <w:szCs w:val="26"/>
        </w:rPr>
        <w:footnoteReference w:id="62"/>
      </w:r>
      <w:r w:rsidR="002531A4">
        <w:rPr>
          <w:szCs w:val="26"/>
        </w:rPr>
        <w:t xml:space="preserve">  </w:t>
      </w:r>
      <w:r w:rsidR="000D0934">
        <w:rPr>
          <w:szCs w:val="26"/>
        </w:rPr>
        <w:t xml:space="preserve">We find that the </w:t>
      </w:r>
      <w:r w:rsidR="00DE6D29">
        <w:rPr>
          <w:szCs w:val="26"/>
        </w:rPr>
        <w:t>May 1, 2026</w:t>
      </w:r>
      <w:r w:rsidRPr="00251AF5" w:rsidR="00AB4ECC">
        <w:rPr>
          <w:szCs w:val="26"/>
        </w:rPr>
        <w:t xml:space="preserve"> effective date </w:t>
      </w:r>
      <w:r w:rsidR="00200794">
        <w:rPr>
          <w:szCs w:val="26"/>
        </w:rPr>
        <w:t>will</w:t>
      </w:r>
      <w:r w:rsidRPr="00251AF5" w:rsidR="00AB4ECC">
        <w:rPr>
          <w:szCs w:val="26"/>
        </w:rPr>
        <w:t xml:space="preserve"> </w:t>
      </w:r>
      <w:r w:rsidR="00F11718">
        <w:rPr>
          <w:szCs w:val="26"/>
        </w:rPr>
        <w:t>minimize</w:t>
      </w:r>
      <w:r w:rsidRPr="00251AF5" w:rsidR="00AB4ECC">
        <w:rPr>
          <w:szCs w:val="26"/>
        </w:rPr>
        <w:t xml:space="preserve"> disruption in the </w:t>
      </w:r>
      <w:r w:rsidR="003C52E7">
        <w:rPr>
          <w:szCs w:val="26"/>
        </w:rPr>
        <w:t xml:space="preserve">ICAP </w:t>
      </w:r>
      <w:r w:rsidRPr="00251AF5" w:rsidR="00AB4ECC">
        <w:rPr>
          <w:szCs w:val="26"/>
        </w:rPr>
        <w:t>market</w:t>
      </w:r>
      <w:r w:rsidR="003C52E7">
        <w:rPr>
          <w:szCs w:val="26"/>
        </w:rPr>
        <w:t xml:space="preserve"> by </w:t>
      </w:r>
      <w:r w:rsidR="009D1E28">
        <w:rPr>
          <w:szCs w:val="26"/>
        </w:rPr>
        <w:t>align</w:t>
      </w:r>
      <w:r w:rsidR="003C52E7">
        <w:rPr>
          <w:szCs w:val="26"/>
        </w:rPr>
        <w:t>ing</w:t>
      </w:r>
      <w:r w:rsidR="009D1E28">
        <w:rPr>
          <w:szCs w:val="26"/>
        </w:rPr>
        <w:t xml:space="preserve"> the ICAP </w:t>
      </w:r>
      <w:r w:rsidR="00C17254">
        <w:rPr>
          <w:szCs w:val="26"/>
        </w:rPr>
        <w:t>Demand Curves</w:t>
      </w:r>
      <w:r w:rsidR="00C65186">
        <w:rPr>
          <w:szCs w:val="26"/>
        </w:rPr>
        <w:t xml:space="preserve"> </w:t>
      </w:r>
      <w:r w:rsidR="009D1E28">
        <w:rPr>
          <w:szCs w:val="26"/>
        </w:rPr>
        <w:t xml:space="preserve">for Capability </w:t>
      </w:r>
      <w:r w:rsidRPr="00A447A0" w:rsidR="009D1E28">
        <w:rPr>
          <w:szCs w:val="26"/>
        </w:rPr>
        <w:t>Years 202</w:t>
      </w:r>
      <w:r w:rsidRPr="00A447A0" w:rsidR="001C1D17">
        <w:rPr>
          <w:szCs w:val="26"/>
        </w:rPr>
        <w:t>6</w:t>
      </w:r>
      <w:r w:rsidRPr="00A447A0" w:rsidR="009D1E28">
        <w:rPr>
          <w:szCs w:val="26"/>
        </w:rPr>
        <w:t>-202</w:t>
      </w:r>
      <w:r w:rsidRPr="00A447A0" w:rsidR="001C1D17">
        <w:rPr>
          <w:szCs w:val="26"/>
        </w:rPr>
        <w:t>7</w:t>
      </w:r>
      <w:r w:rsidR="009D1E28">
        <w:rPr>
          <w:szCs w:val="26"/>
        </w:rPr>
        <w:t xml:space="preserve"> and beyond with </w:t>
      </w:r>
      <w:r w:rsidR="005E7144">
        <w:rPr>
          <w:szCs w:val="26"/>
        </w:rPr>
        <w:t xml:space="preserve">NYISO’s implementation of </w:t>
      </w:r>
      <w:r w:rsidR="00D92094">
        <w:rPr>
          <w:szCs w:val="26"/>
        </w:rPr>
        <w:t xml:space="preserve">Order No. 904 requirements, </w:t>
      </w:r>
      <w:r w:rsidR="00F92087">
        <w:rPr>
          <w:szCs w:val="26"/>
        </w:rPr>
        <w:t xml:space="preserve">which will change </w:t>
      </w:r>
      <w:r w:rsidR="003C52E7">
        <w:rPr>
          <w:szCs w:val="26"/>
        </w:rPr>
        <w:t xml:space="preserve">reactive power </w:t>
      </w:r>
      <w:r w:rsidR="00C65186">
        <w:rPr>
          <w:szCs w:val="26"/>
        </w:rPr>
        <w:t xml:space="preserve">compensation </w:t>
      </w:r>
      <w:r w:rsidR="00F92087">
        <w:rPr>
          <w:szCs w:val="26"/>
        </w:rPr>
        <w:t xml:space="preserve">and </w:t>
      </w:r>
      <w:r w:rsidR="003C52E7">
        <w:rPr>
          <w:szCs w:val="26"/>
        </w:rPr>
        <w:t xml:space="preserve">thus the </w:t>
      </w:r>
      <w:r w:rsidR="00F92087">
        <w:rPr>
          <w:szCs w:val="26"/>
        </w:rPr>
        <w:t xml:space="preserve">VSS </w:t>
      </w:r>
      <w:r w:rsidR="008C7C09">
        <w:rPr>
          <w:szCs w:val="26"/>
        </w:rPr>
        <w:t>adder</w:t>
      </w:r>
      <w:r w:rsidRPr="00251AF5" w:rsidR="00AB4ECC">
        <w:rPr>
          <w:szCs w:val="26"/>
        </w:rPr>
        <w:t>.</w:t>
      </w:r>
      <w:r>
        <w:rPr>
          <w:rStyle w:val="FootnoteReference"/>
          <w:szCs w:val="26"/>
        </w:rPr>
        <w:footnoteReference w:id="63"/>
      </w:r>
      <w:r w:rsidRPr="00251AF5" w:rsidR="00AB4ECC">
        <w:rPr>
          <w:szCs w:val="26"/>
        </w:rPr>
        <w:t xml:space="preserve">  </w:t>
      </w:r>
      <w:r w:rsidR="00F85CDB">
        <w:rPr>
          <w:szCs w:val="26"/>
        </w:rPr>
        <w:t>We therefore grant NYISO</w:t>
      </w:r>
      <w:r w:rsidR="00A373B0">
        <w:rPr>
          <w:szCs w:val="26"/>
        </w:rPr>
        <w:t>’s</w:t>
      </w:r>
      <w:r w:rsidR="00F85CDB">
        <w:rPr>
          <w:szCs w:val="26"/>
        </w:rPr>
        <w:t xml:space="preserve"> requested effective date to allow NYISO to </w:t>
      </w:r>
      <w:r w:rsidR="00004354">
        <w:rPr>
          <w:szCs w:val="26"/>
        </w:rPr>
        <w:t xml:space="preserve">accommodate the impact of its Order No. 904 compliance revisions within NYISO’s </w:t>
      </w:r>
      <w:r w:rsidR="00F163C7">
        <w:rPr>
          <w:szCs w:val="26"/>
        </w:rPr>
        <w:t>ICAP Demand Curves process.</w:t>
      </w:r>
    </w:p>
    <w:p w:rsidR="00BC13DF" w:rsidP="00025DAC">
      <w:pPr>
        <w:rPr>
          <w:szCs w:val="26"/>
          <w:u w:val="single"/>
        </w:rPr>
      </w:pPr>
    </w:p>
    <w:p w:rsidR="00BF5E94" w:rsidRPr="00251AF5" w:rsidP="00025DAC">
      <w:pPr>
        <w:rPr>
          <w:szCs w:val="26"/>
        </w:rPr>
      </w:pPr>
      <w:r w:rsidRPr="00251AF5">
        <w:rPr>
          <w:szCs w:val="26"/>
          <w:u w:val="single"/>
        </w:rPr>
        <w:t>The Commission orders</w:t>
      </w:r>
      <w:r w:rsidRPr="00251AF5">
        <w:rPr>
          <w:szCs w:val="26"/>
        </w:rPr>
        <w:t>:</w:t>
      </w:r>
    </w:p>
    <w:p w:rsidR="00BF5E94" w:rsidRPr="00251AF5" w:rsidP="00025DAC">
      <w:pPr>
        <w:rPr>
          <w:szCs w:val="26"/>
        </w:rPr>
      </w:pPr>
    </w:p>
    <w:p w:rsidR="00AD42A2" w:rsidRPr="00FE34C0" w:rsidP="00FE34C0">
      <w:pPr>
        <w:spacing w:after="260"/>
        <w:ind w:firstLine="720"/>
        <w:rPr>
          <w:szCs w:val="26"/>
        </w:rPr>
      </w:pPr>
      <w:r w:rsidRPr="00FE34C0">
        <w:rPr>
          <w:szCs w:val="26"/>
        </w:rPr>
        <w:t>NYISO’s compliance filing is hereby accepted, to become effective May 1, 2026, as requested, as discussed in the body of this order.</w:t>
      </w:r>
    </w:p>
    <w:p w:rsidR="00BF5E94" w:rsidRPr="00251AF5" w:rsidP="00025DAC">
      <w:pPr>
        <w:rPr>
          <w:szCs w:val="26"/>
        </w:rPr>
      </w:pPr>
      <w:r w:rsidRPr="00251AF5">
        <w:rPr>
          <w:szCs w:val="26"/>
        </w:rPr>
        <w:t>By the Commission.</w:t>
      </w:r>
    </w:p>
    <w:p w:rsidR="00BF5E94" w:rsidP="00025DAC">
      <w:pPr>
        <w:rPr>
          <w:szCs w:val="26"/>
        </w:rPr>
      </w:pPr>
    </w:p>
    <w:p w:rsidR="00BC13DF" w:rsidP="00BC13DF">
      <w:pPr>
        <w:widowControl/>
        <w:rPr>
          <w:szCs w:val="26"/>
        </w:rPr>
      </w:pPr>
      <w:r w:rsidRPr="00BC13DF">
        <w:rPr>
          <w:szCs w:val="26"/>
        </w:rPr>
        <w:t>( S E A L )</w:t>
      </w:r>
    </w:p>
    <w:p w:rsidR="00FF32A1" w:rsidP="00BC13DF">
      <w:pPr>
        <w:pStyle w:val="FootnoteText"/>
        <w:widowControl/>
        <w:spacing w:after="0"/>
        <w:ind w:firstLine="0"/>
        <w:rPr>
          <w:szCs w:val="26"/>
        </w:rPr>
      </w:pPr>
    </w:p>
    <w:p w:rsidR="00BC13DF" w:rsidP="00BC13DF">
      <w:pPr>
        <w:pStyle w:val="FootnoteText"/>
        <w:widowControl/>
        <w:spacing w:after="0"/>
        <w:ind w:firstLine="0"/>
        <w:rPr>
          <w:szCs w:val="26"/>
        </w:rPr>
      </w:pPr>
    </w:p>
    <w:p w:rsidR="00BC13DF" w:rsidP="00BC13DF">
      <w:pPr>
        <w:pStyle w:val="FootnoteText"/>
        <w:widowControl/>
        <w:spacing w:after="0"/>
        <w:ind w:firstLine="0"/>
        <w:rPr>
          <w:szCs w:val="26"/>
        </w:rPr>
      </w:pPr>
    </w:p>
    <w:p w:rsidR="00BC13DF" w:rsidRPr="00BC13DF" w:rsidP="00BC13DF">
      <w:pPr>
        <w:widowControl/>
        <w:ind w:firstLine="2606"/>
        <w:jc w:val="center"/>
      </w:pPr>
      <w:r w:rsidRPr="00BC13DF">
        <w:t>Debbie-Anne A. Reese,</w:t>
      </w:r>
    </w:p>
    <w:p w:rsidR="00BC13DF" w:rsidRPr="00BC13DF" w:rsidP="00BC13DF">
      <w:pPr>
        <w:widowControl/>
        <w:ind w:firstLine="2606"/>
        <w:jc w:val="center"/>
      </w:pPr>
      <w:r w:rsidRPr="00BC13DF">
        <w:t>Secretary.</w:t>
      </w:r>
    </w:p>
    <w:p w:rsidR="00BC13DF" w:rsidRPr="00251AF5" w:rsidP="00BC13DF">
      <w:pPr>
        <w:pStyle w:val="FootnoteText"/>
        <w:widowControl/>
        <w:spacing w:after="0"/>
        <w:ind w:firstLine="0"/>
        <w:rPr>
          <w:szCs w:val="26"/>
        </w:rPr>
      </w:pPr>
    </w:p>
    <w:sectPr w:rsidSect="00BF5E94">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15B" w:rsidP="0048020B">
      <w:r>
        <w:separator/>
      </w:r>
    </w:p>
  </w:endnote>
  <w:endnote w:type="continuationSeparator" w:id="1">
    <w:p w:rsidR="006C515B" w:rsidP="0048020B">
      <w:r>
        <w:continuationSeparator/>
      </w:r>
    </w:p>
  </w:endnote>
  <w:endnote w:type="continuationNotice" w:id="2">
    <w:p w:rsidR="006C515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15B" w:rsidP="0048020B">
      <w:r>
        <w:separator/>
      </w:r>
    </w:p>
  </w:footnote>
  <w:footnote w:type="continuationSeparator" w:id="1">
    <w:p w:rsidR="006C515B" w:rsidP="0048020B">
      <w:r>
        <w:continuationSeparator/>
      </w:r>
    </w:p>
  </w:footnote>
  <w:footnote w:type="continuationNotice" w:id="2">
    <w:p w:rsidR="006C515B" w:rsidRPr="00BC13DF" w:rsidP="00BC13DF">
      <w:pPr>
        <w:spacing w:line="14" w:lineRule="exact"/>
        <w:rPr>
          <w:sz w:val="2"/>
        </w:rPr>
      </w:pPr>
    </w:p>
  </w:footnote>
  <w:footnote w:id="3">
    <w:p w:rsidR="00057FF6" w:rsidP="00D13734">
      <w:pPr>
        <w:pStyle w:val="FootnoteText"/>
      </w:pPr>
      <w:r>
        <w:rPr>
          <w:rStyle w:val="FootnoteReference"/>
        </w:rPr>
        <w:footnoteRef/>
      </w:r>
      <w:r>
        <w:t xml:space="preserve"> </w:t>
      </w:r>
      <w:r w:rsidR="007F57EF">
        <w:rPr>
          <w:i/>
          <w:iCs/>
        </w:rPr>
        <w:t>Comp.</w:t>
      </w:r>
      <w:r w:rsidRPr="00BD73C0">
        <w:rPr>
          <w:i/>
          <w:iCs/>
        </w:rPr>
        <w:t xml:space="preserve"> for Reactive Power Within the Standard Power Factor Range</w:t>
      </w:r>
      <w:r w:rsidRPr="00AA23E7">
        <w:t>, Order</w:t>
      </w:r>
      <w:r w:rsidR="00BC13DF">
        <w:t xml:space="preserve">   </w:t>
      </w:r>
      <w:r w:rsidRPr="00AA23E7">
        <w:t xml:space="preserve"> No. </w:t>
      </w:r>
      <w:r>
        <w:t>904</w:t>
      </w:r>
      <w:r w:rsidRPr="00AA23E7">
        <w:t xml:space="preserve">, </w:t>
      </w:r>
      <w:r w:rsidRPr="000029F6">
        <w:t xml:space="preserve">189 FERC </w:t>
      </w:r>
      <w:r w:rsidRPr="000029F6" w:rsidR="00BC13DF">
        <w:t>¶</w:t>
      </w:r>
      <w:r w:rsidR="00BC13DF">
        <w:t> </w:t>
      </w:r>
      <w:r w:rsidRPr="000029F6" w:rsidR="00BC13DF">
        <w:t>6</w:t>
      </w:r>
      <w:r w:rsidRPr="000029F6">
        <w:t>1,034</w:t>
      </w:r>
      <w:r w:rsidRPr="00AA23E7">
        <w:t xml:space="preserve"> (202</w:t>
      </w:r>
      <w:r>
        <w:t>4</w:t>
      </w:r>
      <w:r w:rsidRPr="00AA23E7">
        <w:t>)</w:t>
      </w:r>
      <w:r w:rsidR="00752014">
        <w:t xml:space="preserve">, </w:t>
      </w:r>
      <w:r w:rsidR="00752014">
        <w:rPr>
          <w:i/>
          <w:iCs/>
        </w:rPr>
        <w:t>order on reh’g</w:t>
      </w:r>
      <w:r w:rsidR="00752014">
        <w:t xml:space="preserve">, </w:t>
      </w:r>
      <w:r w:rsidRPr="00AA23E7" w:rsidR="00D13734">
        <w:t xml:space="preserve">Order No. </w:t>
      </w:r>
      <w:r w:rsidR="00D13734">
        <w:t xml:space="preserve">904-A, </w:t>
      </w:r>
      <w:r w:rsidRPr="00D13734" w:rsidR="00D13734">
        <w:t xml:space="preserve">191 FERC </w:t>
      </w:r>
      <w:r w:rsidRPr="00D13734" w:rsidR="00BC13DF">
        <w:t>¶</w:t>
      </w:r>
      <w:r w:rsidR="00BC13DF">
        <w:t> </w:t>
      </w:r>
      <w:r w:rsidRPr="00D13734" w:rsidR="00BC13DF">
        <w:t>6</w:t>
      </w:r>
      <w:r w:rsidRPr="00D13734" w:rsidR="00D13734">
        <w:t>1,188</w:t>
      </w:r>
      <w:r w:rsidR="00513261">
        <w:t xml:space="preserve"> (2025)</w:t>
      </w:r>
      <w:r w:rsidRPr="00AA23E7">
        <w:t>.</w:t>
      </w:r>
    </w:p>
  </w:footnote>
  <w:footnote w:id="4">
    <w:p w:rsidR="003F52CD">
      <w:pPr>
        <w:pStyle w:val="FootnoteText"/>
      </w:pPr>
      <w:r>
        <w:rPr>
          <w:rStyle w:val="FootnoteReference"/>
        </w:rPr>
        <w:footnoteRef/>
      </w:r>
      <w:r>
        <w:t xml:space="preserve"> </w:t>
      </w:r>
      <w:r w:rsidRPr="00AA23E7">
        <w:t xml:space="preserve">Order No. </w:t>
      </w:r>
      <w:r>
        <w:t>904</w:t>
      </w:r>
      <w:r w:rsidRPr="00AA23E7">
        <w:t xml:space="preserve">, </w:t>
      </w:r>
      <w:r w:rsidRPr="000029F6" w:rsidR="00BC13DF">
        <w:t>189 FERC ¶</w:t>
      </w:r>
      <w:r w:rsidR="00BC13DF">
        <w:t> </w:t>
      </w:r>
      <w:r w:rsidRPr="000029F6" w:rsidR="00BC13DF">
        <w:t>61,034</w:t>
      </w:r>
      <w:r w:rsidR="00BC13DF">
        <w:t>, at P 89.  T</w:t>
      </w:r>
      <w:r w:rsidRPr="00CD2C9F" w:rsidR="00BC13DF">
        <w:t xml:space="preserve">he </w:t>
      </w:r>
      <w:r w:rsidR="00BC13DF">
        <w:t>“</w:t>
      </w:r>
      <w:r w:rsidRPr="00CD2C9F" w:rsidR="00BC13DF">
        <w:t>standard power factor range” refers to the power factor range set forth in the generating facility’s interconnection agreement when the unit is online and synchronized to the transmission system.</w:t>
      </w:r>
      <w:r w:rsidR="00BC13DF">
        <w:t xml:space="preserve">  The standard power factor range is sometimes referred to as the “deadband.”  </w:t>
      </w:r>
      <w:r w:rsidR="00BC13DF">
        <w:rPr>
          <w:i/>
          <w:iCs/>
        </w:rPr>
        <w:t>Comp.</w:t>
      </w:r>
      <w:r w:rsidRPr="009901CA" w:rsidR="00BC13DF">
        <w:rPr>
          <w:i/>
          <w:iCs/>
        </w:rPr>
        <w:t xml:space="preserve"> for Reactive Power Within the Standard Power Factor Range</w:t>
      </w:r>
      <w:r w:rsidR="00BC13DF">
        <w:t>,</w:t>
      </w:r>
      <w:r w:rsidRPr="00256C65" w:rsidR="00BC13DF">
        <w:t xml:space="preserve"> </w:t>
      </w:r>
      <w:r w:rsidR="00BC13DF">
        <w:t xml:space="preserve">Notice of Proposed Rulemaking, </w:t>
      </w:r>
      <w:r w:rsidRPr="00B940BA" w:rsidR="00BC13DF">
        <w:t>186 FERC ¶</w:t>
      </w:r>
      <w:r w:rsidR="00BC13DF">
        <w:t> </w:t>
      </w:r>
      <w:r w:rsidRPr="00B940BA" w:rsidR="00BC13DF">
        <w:t>61,203</w:t>
      </w:r>
      <w:r w:rsidR="00BC13DF">
        <w:t>,</w:t>
      </w:r>
      <w:r w:rsidRPr="007553C8" w:rsidR="00BC13DF">
        <w:t xml:space="preserve"> </w:t>
      </w:r>
      <w:r w:rsidR="003078DB">
        <w:t>at P 1</w:t>
      </w:r>
      <w:r w:rsidR="00BC13DF">
        <w:t xml:space="preserve"> n.1 (2024)</w:t>
      </w:r>
      <w:r w:rsidR="00B51345">
        <w:t>.</w:t>
      </w:r>
    </w:p>
  </w:footnote>
  <w:footnote w:id="5">
    <w:p w:rsidR="00640277" w:rsidRPr="00640277">
      <w:pPr>
        <w:pStyle w:val="FootnoteText"/>
      </w:pPr>
      <w:r>
        <w:rPr>
          <w:rStyle w:val="FootnoteReference"/>
        </w:rPr>
        <w:footnoteRef/>
      </w:r>
      <w:r>
        <w:t xml:space="preserve"> </w:t>
      </w:r>
      <w:r w:rsidRPr="00AA23E7" w:rsidR="002C0A1D">
        <w:t xml:space="preserve">Order No. </w:t>
      </w:r>
      <w:r w:rsidR="002C0A1D">
        <w:t>904</w:t>
      </w:r>
      <w:r w:rsidRPr="00AA23E7" w:rsidR="002C0A1D">
        <w:t xml:space="preserve">, </w:t>
      </w:r>
      <w:r w:rsidRPr="000029F6" w:rsidR="002C0A1D">
        <w:t xml:space="preserve">189 FERC </w:t>
      </w:r>
      <w:r w:rsidRPr="000029F6" w:rsidR="00BC13DF">
        <w:t>¶</w:t>
      </w:r>
      <w:r w:rsidR="00BC13DF">
        <w:t> </w:t>
      </w:r>
      <w:r w:rsidRPr="000029F6" w:rsidR="00BC13DF">
        <w:t>6</w:t>
      </w:r>
      <w:r w:rsidRPr="000029F6" w:rsidR="002C0A1D">
        <w:t>1,034</w:t>
      </w:r>
      <w:r w:rsidR="002C0A1D">
        <w:t xml:space="preserve"> at </w:t>
      </w:r>
      <w:r w:rsidR="00BC13DF">
        <w:t>P 1</w:t>
      </w:r>
      <w:r w:rsidR="008E5EF4">
        <w:t>.</w:t>
      </w:r>
      <w:r w:rsidR="000B59F9">
        <w:t xml:space="preserve">  </w:t>
      </w:r>
    </w:p>
  </w:footnote>
  <w:footnote w:id="6">
    <w:p w:rsidR="005B6EE8" w:rsidRPr="0011635B" w:rsidP="005B6EE8">
      <w:pPr>
        <w:pStyle w:val="FootnoteText"/>
      </w:pPr>
      <w:r w:rsidRPr="00E115B8">
        <w:rPr>
          <w:rStyle w:val="FootnoteReference"/>
        </w:rPr>
        <w:footnoteRef/>
      </w:r>
      <w:r>
        <w:t xml:space="preserve"> </w:t>
      </w:r>
      <w:r>
        <w:rPr>
          <w:i/>
          <w:iCs/>
        </w:rPr>
        <w:t>See</w:t>
      </w:r>
      <w:r>
        <w:t xml:space="preserve"> </w:t>
      </w:r>
      <w:r w:rsidRPr="00CF0545">
        <w:t>NYISO,</w:t>
      </w:r>
      <w:r>
        <w:t xml:space="preserve"> Services Tariff, </w:t>
      </w:r>
      <w:r w:rsidRPr="003078DB" w:rsidR="006211EA">
        <w:t xml:space="preserve">5.10 </w:t>
      </w:r>
      <w:r w:rsidRPr="003078DB">
        <w:t>MST NYCA Minimum Installed Capacity Requirement) (5.0.0)</w:t>
      </w:r>
      <w:r w:rsidRPr="008D257A">
        <w:t>.</w:t>
      </w:r>
      <w:r>
        <w:t xml:space="preserve"> </w:t>
      </w:r>
      <w:r w:rsidR="008750D2">
        <w:t xml:space="preserve"> </w:t>
      </w:r>
      <w:r w:rsidRPr="008750D2" w:rsidR="008750D2">
        <w:t>Capitalized terms not otherwise defined herein have the meaning ascribed to them in the</w:t>
      </w:r>
      <w:r w:rsidR="002C0D8A">
        <w:t xml:space="preserve"> Services Tariff.</w:t>
      </w:r>
    </w:p>
  </w:footnote>
  <w:footnote w:id="7">
    <w:p w:rsidR="00460B6E" w:rsidP="00460B6E">
      <w:pPr>
        <w:pStyle w:val="FootnoteText"/>
      </w:pPr>
      <w:r w:rsidRPr="00E115B8">
        <w:rPr>
          <w:rStyle w:val="FootnoteReference"/>
        </w:rPr>
        <w:footnoteRef/>
      </w:r>
      <w:r>
        <w:t xml:space="preserve"> The Services Tariff defines “</w:t>
      </w:r>
      <w:r w:rsidRPr="00CF0545">
        <w:t>ICAP Demand Curve</w:t>
      </w:r>
      <w:r>
        <w:t>”</w:t>
      </w:r>
      <w:r w:rsidRPr="00CF0545">
        <w:t xml:space="preserve"> as: “A series of prices which decline until reaching zero as the amount of Installed Capacity increases.”  </w:t>
      </w:r>
      <w:r w:rsidR="00012D21">
        <w:rPr>
          <w:i/>
          <w:iCs/>
        </w:rPr>
        <w:t>Id.</w:t>
      </w:r>
      <w:r>
        <w:t xml:space="preserve"> </w:t>
      </w:r>
      <w:r w:rsidRPr="003078DB" w:rsidR="00F42BE4">
        <w:t xml:space="preserve">2.9 MST </w:t>
      </w:r>
      <w:r w:rsidRPr="003078DB">
        <w:t>Definitions – I (32.0.0)</w:t>
      </w:r>
      <w:r>
        <w:t xml:space="preserve">.  </w:t>
      </w:r>
    </w:p>
  </w:footnote>
  <w:footnote w:id="8">
    <w:p w:rsidR="00496CAA" w:rsidP="00496CAA">
      <w:pPr>
        <w:pStyle w:val="FootnoteText"/>
      </w:pPr>
      <w:r>
        <w:rPr>
          <w:rStyle w:val="FootnoteReference"/>
        </w:rPr>
        <w:footnoteRef/>
      </w:r>
      <w:r>
        <w:t xml:space="preserve"> Compliance Filing, Transmittal</w:t>
      </w:r>
      <w:r w:rsidR="003078DB">
        <w:t xml:space="preserve"> Letter</w:t>
      </w:r>
      <w:r>
        <w:t xml:space="preserve"> at 2.</w:t>
      </w:r>
    </w:p>
  </w:footnote>
  <w:footnote w:id="9">
    <w:p w:rsidR="00EA47D6">
      <w:pPr>
        <w:pStyle w:val="FootnoteText"/>
      </w:pPr>
      <w:r>
        <w:rPr>
          <w:rStyle w:val="FootnoteReference"/>
        </w:rPr>
        <w:footnoteRef/>
      </w:r>
      <w:r>
        <w:t xml:space="preserve"> </w:t>
      </w:r>
      <w:r w:rsidRPr="00CF0545" w:rsidR="003363A7">
        <w:t>NYISO,</w:t>
      </w:r>
      <w:r w:rsidR="003363A7">
        <w:t xml:space="preserve"> Services Tariff,</w:t>
      </w:r>
      <w:r>
        <w:t xml:space="preserve"> </w:t>
      </w:r>
      <w:r w:rsidRPr="003078DB" w:rsidR="00B54870">
        <w:t>5.14 MST I</w:t>
      </w:r>
      <w:bookmarkStart w:id="0" w:name="_Hlt201582869"/>
      <w:bookmarkStart w:id="1" w:name="_Hlt201582870"/>
      <w:r w:rsidRPr="003078DB" w:rsidR="00B54870">
        <w:t>n</w:t>
      </w:r>
      <w:bookmarkEnd w:id="0"/>
      <w:bookmarkEnd w:id="1"/>
      <w:r w:rsidRPr="003078DB" w:rsidR="00B54870">
        <w:t>stalled Capacity Spot Market Auction and Installe (43.0.0)</w:t>
      </w:r>
      <w:r w:rsidR="001733AC">
        <w:t xml:space="preserve"> (Services Tariff</w:t>
      </w:r>
      <w:r w:rsidR="00366C9E">
        <w:t xml:space="preserve"> 5.14)</w:t>
      </w:r>
      <w:r w:rsidR="007B4FA1">
        <w:t xml:space="preserve">, </w:t>
      </w:r>
      <w:r w:rsidR="00BC13DF">
        <w:t>§ 5</w:t>
      </w:r>
      <w:r w:rsidR="007B4FA1">
        <w:t>.14.1.2.2.</w:t>
      </w:r>
    </w:p>
  </w:footnote>
  <w:footnote w:id="10">
    <w:p w:rsidR="005657CE">
      <w:pPr>
        <w:pStyle w:val="FootnoteText"/>
      </w:pPr>
      <w:r>
        <w:rPr>
          <w:rStyle w:val="FootnoteReference"/>
        </w:rPr>
        <w:footnoteRef/>
      </w:r>
      <w:r>
        <w:t xml:space="preserve"> </w:t>
      </w:r>
      <w:r>
        <w:rPr>
          <w:i/>
          <w:iCs/>
        </w:rPr>
        <w:t>N.</w:t>
      </w:r>
      <w:r w:rsidRPr="00631336">
        <w:rPr>
          <w:i/>
          <w:iCs/>
        </w:rPr>
        <w:t>Y</w:t>
      </w:r>
      <w:r>
        <w:rPr>
          <w:i/>
          <w:iCs/>
        </w:rPr>
        <w:t>.</w:t>
      </w:r>
      <w:r w:rsidRPr="00631336">
        <w:rPr>
          <w:i/>
          <w:iCs/>
        </w:rPr>
        <w:t xml:space="preserve"> Indep. Sys. Operator, Inc.</w:t>
      </w:r>
      <w:r w:rsidRPr="00631336">
        <w:t xml:space="preserve">, 190 FERC </w:t>
      </w:r>
      <w:r w:rsidRPr="00631336" w:rsidR="00BC13DF">
        <w:t>¶</w:t>
      </w:r>
      <w:r w:rsidR="00BC13DF">
        <w:t> </w:t>
      </w:r>
      <w:r w:rsidRPr="00631336" w:rsidR="00BC13DF">
        <w:t>6</w:t>
      </w:r>
      <w:r w:rsidRPr="00631336">
        <w:t>1,051</w:t>
      </w:r>
      <w:r w:rsidR="003F1407">
        <w:t xml:space="preserve">, </w:t>
      </w:r>
      <w:r w:rsidR="00985841">
        <w:t xml:space="preserve">at </w:t>
      </w:r>
      <w:r w:rsidR="00BC13DF">
        <w:t>P 4</w:t>
      </w:r>
      <w:r w:rsidRPr="00631336">
        <w:t xml:space="preserve"> (2025)</w:t>
      </w:r>
      <w:r>
        <w:t>.</w:t>
      </w:r>
    </w:p>
  </w:footnote>
  <w:footnote w:id="11">
    <w:p w:rsidR="00A66840" w:rsidRPr="00EA4AE7" w:rsidP="00BC13DF">
      <w:pPr>
        <w:pStyle w:val="FootnoteText"/>
        <w:widowControl/>
      </w:pPr>
      <w:r w:rsidRPr="00796361">
        <w:rPr>
          <w:rStyle w:val="FootnoteReference"/>
        </w:rPr>
        <w:footnoteRef/>
      </w:r>
      <w:r w:rsidRPr="00EA4AE7">
        <w:t xml:space="preserve"> </w:t>
      </w:r>
      <w:r w:rsidRPr="0047345B">
        <w:rPr>
          <w:i/>
          <w:iCs/>
        </w:rPr>
        <w:t xml:space="preserve">See Indep. </w:t>
      </w:r>
      <w:r w:rsidRPr="0047345B">
        <w:rPr>
          <w:i/>
        </w:rPr>
        <w:t>Power Producers of N.Y., Inc. v. FERC</w:t>
      </w:r>
      <w:r w:rsidRPr="0047345B">
        <w:t>, No. 21-1166, 2022 WL 3210362</w:t>
      </w:r>
      <w:r>
        <w:t>, at</w:t>
      </w:r>
      <w:r w:rsidRPr="0047345B">
        <w:t xml:space="preserve"> </w:t>
      </w:r>
      <w:r>
        <w:t xml:space="preserve">*1 </w:t>
      </w:r>
      <w:r w:rsidRPr="0047345B">
        <w:t>(D.C. Cir. Aug. 9, 2022</w:t>
      </w:r>
      <w:r>
        <w:t>).</w:t>
      </w:r>
    </w:p>
  </w:footnote>
  <w:footnote w:id="12">
    <w:p w:rsidR="00AD590E">
      <w:pPr>
        <w:pStyle w:val="FootnoteText"/>
      </w:pPr>
      <w:r>
        <w:rPr>
          <w:rStyle w:val="FootnoteReference"/>
        </w:rPr>
        <w:footnoteRef/>
      </w:r>
      <w:r>
        <w:t xml:space="preserve"> </w:t>
      </w:r>
      <w:r w:rsidR="00047CE5">
        <w:rPr>
          <w:i/>
          <w:iCs/>
        </w:rPr>
        <w:t>NYISO</w:t>
      </w:r>
      <w:r w:rsidR="00A64249">
        <w:t>, Filing, Docket No. ER25-5</w:t>
      </w:r>
      <w:r w:rsidR="006F64BB">
        <w:t>96-000</w:t>
      </w:r>
      <w:r w:rsidR="00C475AC">
        <w:t xml:space="preserve"> (filed Nov. 29, 2024) </w:t>
      </w:r>
      <w:r>
        <w:t>(</w:t>
      </w:r>
      <w:r w:rsidRPr="00C56161">
        <w:t xml:space="preserve">NYISO </w:t>
      </w:r>
      <w:r w:rsidRPr="00C56161" w:rsidR="00C475AC">
        <w:t xml:space="preserve">November 2024 </w:t>
      </w:r>
      <w:r w:rsidRPr="00C56161">
        <w:t>Demand Curve Reset Filing).</w:t>
      </w:r>
    </w:p>
  </w:footnote>
  <w:footnote w:id="13">
    <w:p w:rsidR="00594695" w:rsidP="00594695">
      <w:pPr>
        <w:pStyle w:val="FootnoteText"/>
      </w:pPr>
      <w:r>
        <w:rPr>
          <w:rStyle w:val="FootnoteReference"/>
        </w:rPr>
        <w:footnoteRef/>
      </w:r>
      <w:r>
        <w:t xml:space="preserve"> </w:t>
      </w:r>
      <w:r>
        <w:rPr>
          <w:i/>
          <w:iCs/>
        </w:rPr>
        <w:t>N.</w:t>
      </w:r>
      <w:r w:rsidRPr="00631336">
        <w:rPr>
          <w:i/>
          <w:iCs/>
        </w:rPr>
        <w:t>Y</w:t>
      </w:r>
      <w:r>
        <w:rPr>
          <w:i/>
          <w:iCs/>
        </w:rPr>
        <w:t>.</w:t>
      </w:r>
      <w:r w:rsidRPr="00631336">
        <w:rPr>
          <w:i/>
          <w:iCs/>
        </w:rPr>
        <w:t xml:space="preserve"> Indep. Sys. Operator, Inc.</w:t>
      </w:r>
      <w:r w:rsidRPr="00631336">
        <w:t xml:space="preserve">, 190 FERC </w:t>
      </w:r>
      <w:r w:rsidRPr="00631336" w:rsidR="00BC13DF">
        <w:t>¶</w:t>
      </w:r>
      <w:r w:rsidR="00BC13DF">
        <w:t> </w:t>
      </w:r>
      <w:r w:rsidRPr="00631336" w:rsidR="00BC13DF">
        <w:t>6</w:t>
      </w:r>
      <w:r w:rsidRPr="00631336">
        <w:t>1,051</w:t>
      </w:r>
      <w:r>
        <w:t>.</w:t>
      </w:r>
    </w:p>
  </w:footnote>
  <w:footnote w:id="14">
    <w:p w:rsidR="00007BBB" w:rsidP="00BC13DF">
      <w:pPr>
        <w:pStyle w:val="FootnoteText"/>
        <w:ind w:right="-270"/>
      </w:pPr>
      <w:r>
        <w:rPr>
          <w:rStyle w:val="FootnoteReference"/>
        </w:rPr>
        <w:footnoteRef/>
      </w:r>
      <w:r>
        <w:t xml:space="preserve"> NYISO November 2024 Demand Curve Reset Filing</w:t>
      </w:r>
      <w:r w:rsidR="009C55EB">
        <w:t>, Transmittal Letter</w:t>
      </w:r>
      <w:r>
        <w:t xml:space="preserve"> at 50-51.</w:t>
      </w:r>
    </w:p>
  </w:footnote>
  <w:footnote w:id="15">
    <w:p w:rsidR="00007BBB" w:rsidRPr="00B930AB" w:rsidP="00007BBB">
      <w:pPr>
        <w:pStyle w:val="FootnoteText"/>
      </w:pPr>
      <w:r>
        <w:rPr>
          <w:rStyle w:val="FootnoteReference"/>
        </w:rPr>
        <w:footnoteRef/>
      </w:r>
      <w:r>
        <w:t xml:space="preserve"> </w:t>
      </w:r>
      <w:r>
        <w:rPr>
          <w:i/>
          <w:iCs/>
        </w:rPr>
        <w:t>Id.</w:t>
      </w:r>
      <w:r>
        <w:t xml:space="preserve"> (referencing </w:t>
      </w:r>
      <w:r w:rsidR="004D692D">
        <w:t xml:space="preserve">NYISO, Services Tariff, </w:t>
      </w:r>
      <w:r w:rsidRPr="004F42C7" w:rsidR="004D692D">
        <w:t>15.2 MST Rate Schedule 2 - Payments for Supplying Voltage Su (1</w:t>
      </w:r>
      <w:r w:rsidR="004D692D">
        <w:t>4</w:t>
      </w:r>
      <w:r w:rsidRPr="004F42C7" w:rsidR="004D692D">
        <w:t>.0.0)</w:t>
      </w:r>
      <w:r w:rsidR="004D692D">
        <w:t xml:space="preserve"> (</w:t>
      </w:r>
      <w:r>
        <w:t>Services Tariff Rate Schedule 2</w:t>
      </w:r>
      <w:r w:rsidR="004D692D">
        <w:t>)</w:t>
      </w:r>
      <w:r>
        <w:t>).</w:t>
      </w:r>
    </w:p>
  </w:footnote>
  <w:footnote w:id="16">
    <w:p w:rsidR="003830C2" w:rsidP="000639AC">
      <w:pPr>
        <w:pStyle w:val="FootnoteText"/>
        <w:ind w:right="-90"/>
      </w:pPr>
      <w:r>
        <w:rPr>
          <w:rStyle w:val="FootnoteReference"/>
        </w:rPr>
        <w:footnoteRef/>
      </w:r>
      <w:r>
        <w:t xml:space="preserve"> Compliance Filing</w:t>
      </w:r>
      <w:r w:rsidR="007849D3">
        <w:t>, Transmittal Letter</w:t>
      </w:r>
      <w:r>
        <w:t xml:space="preserve"> at </w:t>
      </w:r>
      <w:r w:rsidR="005B0347">
        <w:t>5-6</w:t>
      </w:r>
      <w:r w:rsidR="00691A0E">
        <w:t xml:space="preserve">; NYISO, Services Tariff, </w:t>
      </w:r>
      <w:r w:rsidRPr="004D692D" w:rsidR="00A6574C">
        <w:t>15.2 MST Rate Schedule 2 - Payments for Supplying Voltage Su (16.0.0)</w:t>
      </w:r>
      <w:r w:rsidR="00D86D43">
        <w:t xml:space="preserve"> (Proposed Services </w:t>
      </w:r>
      <w:r w:rsidR="00373823">
        <w:t xml:space="preserve">Tariff </w:t>
      </w:r>
      <w:r w:rsidR="005E5C55">
        <w:t>Rate Schedule 2</w:t>
      </w:r>
      <w:r w:rsidR="0026070A">
        <w:t>)</w:t>
      </w:r>
      <w:r w:rsidR="005B0347">
        <w:t>.</w:t>
      </w:r>
    </w:p>
  </w:footnote>
  <w:footnote w:id="17">
    <w:p w:rsidR="002633E3" w:rsidP="007B6AC2">
      <w:pPr>
        <w:pStyle w:val="FootnoteText"/>
      </w:pPr>
      <w:r>
        <w:rPr>
          <w:rStyle w:val="FootnoteReference"/>
        </w:rPr>
        <w:footnoteRef/>
      </w:r>
      <w:r>
        <w:t xml:space="preserve"> The New York Transmission Owners that intervened in this </w:t>
      </w:r>
      <w:r w:rsidR="00161266">
        <w:t xml:space="preserve">proceeding </w:t>
      </w:r>
      <w:r>
        <w:t xml:space="preserve">are:  </w:t>
      </w:r>
      <w:r w:rsidR="00BC13DF">
        <w:t xml:space="preserve">  </w:t>
      </w:r>
      <w:r w:rsidRPr="00F1248E">
        <w:t>Central Hudson Gas &amp; Electric Corporation</w:t>
      </w:r>
      <w:r>
        <w:t>;</w:t>
      </w:r>
      <w:r w:rsidRPr="00F1248E">
        <w:t xml:space="preserve"> Consolidated Edison Company of </w:t>
      </w:r>
      <w:r w:rsidR="007B6AC2">
        <w:t xml:space="preserve">         </w:t>
      </w:r>
      <w:r w:rsidRPr="00F1248E">
        <w:t>New York, Inc.</w:t>
      </w:r>
      <w:r>
        <w:t>;</w:t>
      </w:r>
      <w:r w:rsidRPr="00F1248E">
        <w:t xml:space="preserve"> Long Island Power Authority</w:t>
      </w:r>
      <w:r>
        <w:t>;</w:t>
      </w:r>
      <w:r w:rsidRPr="00F1248E">
        <w:t xml:space="preserve"> New York Power Authority</w:t>
      </w:r>
      <w:r>
        <w:t>;</w:t>
      </w:r>
      <w:r w:rsidRPr="00F1248E">
        <w:t xml:space="preserve"> New York State Electric &amp; Gas Corporation</w:t>
      </w:r>
      <w:r>
        <w:t>;</w:t>
      </w:r>
      <w:r w:rsidRPr="00F1248E">
        <w:t xml:space="preserve"> Niagara Mohawk Power Corporation</w:t>
      </w:r>
      <w:r>
        <w:t>;</w:t>
      </w:r>
      <w:r w:rsidRPr="00F1248E">
        <w:t xml:space="preserve"> Orange and Rockland Utilities, Inc.</w:t>
      </w:r>
      <w:r>
        <w:t>;</w:t>
      </w:r>
      <w:r w:rsidRPr="00F1248E">
        <w:t xml:space="preserve"> and Rochester Gas and Electric Corporation</w:t>
      </w:r>
      <w:r>
        <w:t>.</w:t>
      </w:r>
    </w:p>
  </w:footnote>
  <w:footnote w:id="18">
    <w:p w:rsidR="00F17671">
      <w:pPr>
        <w:pStyle w:val="FootnoteText"/>
      </w:pPr>
      <w:r>
        <w:rPr>
          <w:rStyle w:val="FootnoteReference"/>
        </w:rPr>
        <w:footnoteRef/>
      </w:r>
      <w:r>
        <w:t xml:space="preserve"> </w:t>
      </w:r>
      <w:r w:rsidRPr="00AA23E7" w:rsidR="00C37B60">
        <w:t xml:space="preserve">Order No. </w:t>
      </w:r>
      <w:r w:rsidR="00C37B60">
        <w:t>904</w:t>
      </w:r>
      <w:r w:rsidRPr="00AA23E7" w:rsidR="00C37B60">
        <w:t xml:space="preserve">, </w:t>
      </w:r>
      <w:r w:rsidRPr="000029F6" w:rsidR="00C37B60">
        <w:t xml:space="preserve">189 FERC </w:t>
      </w:r>
      <w:r w:rsidRPr="000029F6" w:rsidR="00BC13DF">
        <w:t>¶</w:t>
      </w:r>
      <w:r w:rsidR="00BC13DF">
        <w:t> </w:t>
      </w:r>
      <w:r w:rsidRPr="000029F6" w:rsidR="00BC13DF">
        <w:t>6</w:t>
      </w:r>
      <w:r w:rsidRPr="000029F6" w:rsidR="00C37B60">
        <w:t>1,034</w:t>
      </w:r>
      <w:r w:rsidR="00C37B60">
        <w:t xml:space="preserve"> at P</w:t>
      </w:r>
      <w:r w:rsidR="00BC13DF">
        <w:t>P 2</w:t>
      </w:r>
      <w:r w:rsidR="00C37B60">
        <w:t>03, 206.</w:t>
      </w:r>
    </w:p>
  </w:footnote>
  <w:footnote w:id="19">
    <w:p w:rsidR="00DA2EE9" w:rsidP="00DA2EE9">
      <w:pPr>
        <w:pStyle w:val="FootnoteText"/>
      </w:pPr>
      <w:r>
        <w:rPr>
          <w:rStyle w:val="FootnoteReference"/>
        </w:rPr>
        <w:footnoteRef/>
      </w:r>
      <w:r>
        <w:t xml:space="preserve"> </w:t>
      </w:r>
      <w:r>
        <w:rPr>
          <w:i/>
          <w:iCs/>
        </w:rPr>
        <w:t>Id.</w:t>
      </w:r>
      <w:r>
        <w:t xml:space="preserve"> P</w:t>
      </w:r>
      <w:r w:rsidR="00BC13DF">
        <w:t>P 2</w:t>
      </w:r>
      <w:r>
        <w:t>04-206.</w:t>
      </w:r>
    </w:p>
  </w:footnote>
  <w:footnote w:id="20">
    <w:p w:rsidR="00DA2EE9" w:rsidP="004D692D">
      <w:pPr>
        <w:pStyle w:val="FootnoteText"/>
      </w:pPr>
      <w:r>
        <w:rPr>
          <w:rStyle w:val="FootnoteReference"/>
        </w:rPr>
        <w:footnoteRef/>
      </w:r>
      <w:r>
        <w:t xml:space="preserve"> </w:t>
      </w:r>
      <w:r>
        <w:rPr>
          <w:i/>
          <w:iCs/>
        </w:rPr>
        <w:t xml:space="preserve">See </w:t>
      </w:r>
      <w:r w:rsidR="00CF7B32">
        <w:rPr>
          <w:i/>
          <w:iCs/>
        </w:rPr>
        <w:t>id.</w:t>
      </w:r>
      <w:r w:rsidRPr="00BC13DF" w:rsidR="00CF7B32">
        <w:rPr>
          <w:iCs/>
        </w:rPr>
        <w:t xml:space="preserve"> </w:t>
      </w:r>
      <w:r w:rsidR="00BC13DF">
        <w:t>P 2</w:t>
      </w:r>
      <w:r w:rsidR="00CF7B32">
        <w:t xml:space="preserve">06 </w:t>
      </w:r>
      <w:r w:rsidR="004D692D">
        <w:t xml:space="preserve">(citing </w:t>
      </w:r>
      <w:r w:rsidRPr="0018603A" w:rsidR="004D692D">
        <w:rPr>
          <w:i/>
        </w:rPr>
        <w:t>Promoting Wholesale Competition Through Open Access Non-Discriminatory Transmission Servs. by Pub. Utils.; Recovery of Stranded Costs by Pub. Utils. &amp; Transmitting Utils.</w:t>
      </w:r>
      <w:r w:rsidRPr="0018603A" w:rsidR="004D692D">
        <w:t xml:space="preserve">, </w:t>
      </w:r>
      <w:r w:rsidRPr="008E0DA8" w:rsidR="004D692D">
        <w:t>Order No. 888, FERC Stats. &amp; Regs. ¶ 31,036</w:t>
      </w:r>
      <w:r w:rsidR="004D692D">
        <w:t>,</w:t>
      </w:r>
      <w:r w:rsidRPr="008E0DA8" w:rsidR="004D692D">
        <w:t xml:space="preserve"> at 31,760-63</w:t>
      </w:r>
      <w:r w:rsidR="004D692D">
        <w:t xml:space="preserve"> (</w:t>
      </w:r>
      <w:r w:rsidRPr="0018603A" w:rsidR="004D692D">
        <w:t>1996) (cross-referenced at 75 FERC ¶ 61,080)</w:t>
      </w:r>
      <w:r w:rsidR="004D692D">
        <w:t>;</w:t>
      </w:r>
      <w:r w:rsidRPr="00621F5B" w:rsidR="004D692D">
        <w:t xml:space="preserve"> </w:t>
      </w:r>
      <w:r w:rsidRPr="00D16049" w:rsidR="004D692D">
        <w:rPr>
          <w:i/>
        </w:rPr>
        <w:t>Standardization of Generator Interconnection Agreements &amp; Procs.</w:t>
      </w:r>
      <w:r w:rsidRPr="00D16049" w:rsidR="004D692D">
        <w:t xml:space="preserve">, </w:t>
      </w:r>
      <w:r w:rsidRPr="00FD2A31" w:rsidR="004D692D">
        <w:t>Order</w:t>
      </w:r>
      <w:r w:rsidR="004D692D">
        <w:t xml:space="preserve"> </w:t>
      </w:r>
      <w:r w:rsidRPr="00FD2A31" w:rsidR="004D692D">
        <w:t>No. 2003, 104 FERC ¶ 61,103</w:t>
      </w:r>
      <w:r w:rsidR="004D692D">
        <w:t>,</w:t>
      </w:r>
      <w:r w:rsidRPr="00FD2A31" w:rsidR="004D692D">
        <w:t xml:space="preserve"> at PP 822-</w:t>
      </w:r>
      <w:r w:rsidR="004D692D">
        <w:t>8</w:t>
      </w:r>
      <w:r w:rsidRPr="00FD2A31" w:rsidR="004D692D">
        <w:t>27</w:t>
      </w:r>
      <w:r w:rsidR="004D692D">
        <w:t xml:space="preserve"> (2003)</w:t>
      </w:r>
      <w:r w:rsidRPr="00FD2A31" w:rsidR="004D692D">
        <w:t xml:space="preserve">; </w:t>
      </w:r>
      <w:r w:rsidRPr="007B2802" w:rsidR="004D692D">
        <w:rPr>
          <w:i/>
        </w:rPr>
        <w:t>Standardization of Small Generator Interconnection Agreements &amp; Procs.</w:t>
      </w:r>
      <w:r w:rsidRPr="007B2802" w:rsidR="004D692D">
        <w:t xml:space="preserve">, </w:t>
      </w:r>
      <w:r w:rsidRPr="00FD2A31" w:rsidR="004D692D">
        <w:t>Order No. 2006, 111 FERC</w:t>
      </w:r>
      <w:r w:rsidR="004D692D">
        <w:t xml:space="preserve"> </w:t>
      </w:r>
      <w:r w:rsidRPr="00FD2A31" w:rsidR="004D692D">
        <w:t>¶</w:t>
      </w:r>
      <w:r w:rsidR="004D692D">
        <w:t xml:space="preserve"> </w:t>
      </w:r>
      <w:r w:rsidRPr="00FD2A31" w:rsidR="004D692D">
        <w:t>61,220</w:t>
      </w:r>
      <w:r w:rsidR="004D692D">
        <w:t xml:space="preserve">, </w:t>
      </w:r>
      <w:r w:rsidRPr="00FD2A31" w:rsidR="004D692D">
        <w:t>at PP 546-</w:t>
      </w:r>
      <w:r w:rsidR="004D692D">
        <w:t>5</w:t>
      </w:r>
      <w:r w:rsidRPr="00FD2A31" w:rsidR="004D692D">
        <w:t>50</w:t>
      </w:r>
      <w:r w:rsidR="004D692D">
        <w:t xml:space="preserve"> (2005)</w:t>
      </w:r>
      <w:r w:rsidRPr="00FD2A31" w:rsidR="004D692D">
        <w:t>).</w:t>
      </w:r>
    </w:p>
  </w:footnote>
  <w:footnote w:id="21">
    <w:p w:rsidR="009E5080">
      <w:pPr>
        <w:pStyle w:val="FootnoteText"/>
      </w:pPr>
      <w:r>
        <w:rPr>
          <w:rStyle w:val="FootnoteReference"/>
        </w:rPr>
        <w:footnoteRef/>
      </w:r>
      <w:r>
        <w:t xml:space="preserve"> NYISO defines a Transmission Customer as </w:t>
      </w:r>
      <w:r w:rsidR="00CF4D73">
        <w:t>“[a]</w:t>
      </w:r>
      <w:r w:rsidRPr="00CF4D73" w:rsidR="00CF4D73">
        <w:t>ny entity (or its designated agent) that requests or receives Transmission Service pursuant to a Service Agreement and the terms of the ISO OATT</w:t>
      </w:r>
      <w:r w:rsidR="00750DBF">
        <w:t xml:space="preserve">.”  </w:t>
      </w:r>
      <w:r w:rsidRPr="004D692D" w:rsidR="00750DBF">
        <w:t>NYISO, Services Tariff, NYISO MST, 2.20 MST Definitions - T (15.0.0)</w:t>
      </w:r>
      <w:r w:rsidR="00750DBF">
        <w:t>.</w:t>
      </w:r>
    </w:p>
  </w:footnote>
  <w:footnote w:id="22">
    <w:p w:rsidR="009E5080" w:rsidRPr="00E81123" w:rsidP="00394D51">
      <w:pPr>
        <w:pStyle w:val="FootnoteText"/>
        <w:rPr>
          <w:b/>
          <w:bCs/>
        </w:rPr>
      </w:pPr>
      <w:r>
        <w:rPr>
          <w:rStyle w:val="FootnoteReference"/>
        </w:rPr>
        <w:footnoteRef/>
      </w:r>
      <w:r>
        <w:t xml:space="preserve"> NYISO defines a Customer as</w:t>
      </w:r>
      <w:r w:rsidR="00394D51">
        <w:t xml:space="preserve"> “[a]</w:t>
      </w:r>
      <w:r w:rsidRPr="00394D51" w:rsidR="00394D51">
        <w:t>n entity which has complied with the requirements contained in the ISO Services Tariff, including having signed a Service Agreement, and is qualified to utilize the Market Services and the Control Area Services provided by the ISO under the ISO Services Tariff; provided, however, that a party taking services under the Tariff pursuant to an unsigned Service Agreement filed with the Commission by the ISO shall be deemed a Customer.</w:t>
      </w:r>
      <w:r w:rsidR="00394D51">
        <w:t>”</w:t>
      </w:r>
      <w:r w:rsidR="00014F47">
        <w:t xml:space="preserve">  NYISO, Services Tariff, </w:t>
      </w:r>
      <w:r w:rsidRPr="004D692D" w:rsidR="00713146">
        <w:t>NYISO MST, 2.3 MST Definitions - C (31.0.0)</w:t>
      </w:r>
      <w:r w:rsidR="00713146">
        <w:t>.</w:t>
      </w:r>
    </w:p>
  </w:footnote>
  <w:footnote w:id="23">
    <w:p w:rsidR="008D58F0" w:rsidP="008D58F0">
      <w:pPr>
        <w:pStyle w:val="FootnoteText"/>
      </w:pPr>
      <w:r>
        <w:rPr>
          <w:rStyle w:val="FootnoteReference"/>
        </w:rPr>
        <w:footnoteRef/>
      </w:r>
      <w:r>
        <w:t xml:space="preserve"> Compliance Filing</w:t>
      </w:r>
      <w:r w:rsidR="000109A6">
        <w:t>, Transmittal Letter</w:t>
      </w:r>
      <w:r>
        <w:t xml:space="preserve"> at 2.</w:t>
      </w:r>
    </w:p>
  </w:footnote>
  <w:footnote w:id="24">
    <w:p w:rsidR="008D58F0" w:rsidP="008D58F0">
      <w:pPr>
        <w:pStyle w:val="FootnoteText"/>
      </w:pPr>
      <w:r>
        <w:rPr>
          <w:rStyle w:val="FootnoteReference"/>
        </w:rPr>
        <w:footnoteRef/>
      </w:r>
      <w:r>
        <w:t xml:space="preserve"> </w:t>
      </w:r>
      <w:r w:rsidR="002C13FF">
        <w:rPr>
          <w:i/>
          <w:iCs/>
        </w:rPr>
        <w:t>Id.</w:t>
      </w:r>
      <w:r w:rsidRPr="00BC13DF" w:rsidR="002C13FF">
        <w:rPr>
          <w:iCs/>
        </w:rPr>
        <w:t xml:space="preserve"> </w:t>
      </w:r>
      <w:r>
        <w:t>at 2-3.</w:t>
      </w:r>
    </w:p>
  </w:footnote>
  <w:footnote w:id="25">
    <w:p w:rsidR="005E6253" w:rsidP="005E6253">
      <w:pPr>
        <w:pStyle w:val="FootnoteText"/>
      </w:pPr>
      <w:r>
        <w:rPr>
          <w:rStyle w:val="FootnoteReference"/>
        </w:rPr>
        <w:footnoteRef/>
      </w:r>
      <w:r>
        <w:t xml:space="preserve"> </w:t>
      </w:r>
      <w:r w:rsidR="002C13FF">
        <w:rPr>
          <w:i/>
          <w:iCs/>
        </w:rPr>
        <w:t>Id.</w:t>
      </w:r>
      <w:r w:rsidRPr="00BC13DF" w:rsidR="002C13FF">
        <w:rPr>
          <w:iCs/>
        </w:rPr>
        <w:t xml:space="preserve"> </w:t>
      </w:r>
      <w:r>
        <w:t xml:space="preserve">at 3 (citing </w:t>
      </w:r>
      <w:r w:rsidR="00172682">
        <w:t xml:space="preserve">NYISO, </w:t>
      </w:r>
      <w:r w:rsidRPr="006857DB" w:rsidR="00172682">
        <w:t xml:space="preserve">OATT, </w:t>
      </w:r>
      <w:r w:rsidRPr="004D692D" w:rsidR="00172682">
        <w:t>6.2 OATT Schedule 2 - Charges For Voltage Support Service (6.0.0)</w:t>
      </w:r>
      <w:r w:rsidRPr="003653A5" w:rsidR="00172682">
        <w:t xml:space="preserve"> (</w:t>
      </w:r>
      <w:r>
        <w:t>OATT Rate Schedule 2</w:t>
      </w:r>
      <w:r w:rsidR="00B528B8">
        <w:t>)</w:t>
      </w:r>
      <w:r>
        <w:t xml:space="preserve">, </w:t>
      </w:r>
      <w:r w:rsidR="00BC13DF">
        <w:t>§ </w:t>
      </w:r>
      <w:r w:rsidRPr="00B71438" w:rsidR="00BC13DF">
        <w:t>6</w:t>
      </w:r>
      <w:r w:rsidRPr="00B71438">
        <w:t>.2.2</w:t>
      </w:r>
      <w:r>
        <w:t>).</w:t>
      </w:r>
    </w:p>
  </w:footnote>
  <w:footnote w:id="26">
    <w:p w:rsidR="008D58F0" w:rsidP="008D58F0">
      <w:pPr>
        <w:pStyle w:val="FootnoteText"/>
      </w:pPr>
      <w:r>
        <w:rPr>
          <w:rStyle w:val="FootnoteReference"/>
        </w:rPr>
        <w:footnoteRef/>
      </w:r>
      <w:r>
        <w:t xml:space="preserve"> </w:t>
      </w:r>
      <w:r w:rsidR="002C13FF">
        <w:rPr>
          <w:i/>
          <w:iCs/>
        </w:rPr>
        <w:t>Id.</w:t>
      </w:r>
      <w:r w:rsidR="003E4404">
        <w:t xml:space="preserve"> (referencing </w:t>
      </w:r>
      <w:r w:rsidR="00280B3C">
        <w:t>Services Tariff Rate Schedule 2</w:t>
      </w:r>
      <w:r w:rsidRPr="00F618C2" w:rsidR="00280B3C">
        <w:t xml:space="preserve">, </w:t>
      </w:r>
      <w:r w:rsidRPr="00F618C2" w:rsidR="00BC13DF">
        <w:t>§</w:t>
      </w:r>
      <w:r w:rsidR="00BC13DF">
        <w:t> </w:t>
      </w:r>
      <w:r w:rsidRPr="00F16969" w:rsidR="00BC13DF">
        <w:t>1</w:t>
      </w:r>
      <w:r w:rsidRPr="00F16969" w:rsidR="00CF1A49">
        <w:t>5.2.2.1</w:t>
      </w:r>
      <w:r w:rsidR="007A24E9">
        <w:t>)</w:t>
      </w:r>
      <w:r w:rsidR="00BB1433">
        <w:t>.</w:t>
      </w:r>
    </w:p>
  </w:footnote>
  <w:footnote w:id="27">
    <w:p w:rsidR="008D58F0" w:rsidP="008D58F0">
      <w:pPr>
        <w:pStyle w:val="FootnoteText"/>
      </w:pPr>
      <w:r>
        <w:rPr>
          <w:rStyle w:val="FootnoteReference"/>
        </w:rPr>
        <w:footnoteRef/>
      </w:r>
      <w:r>
        <w:t xml:space="preserve"> </w:t>
      </w:r>
      <w:r w:rsidR="001D6289">
        <w:rPr>
          <w:i/>
          <w:iCs/>
        </w:rPr>
        <w:t>Id.</w:t>
      </w:r>
      <w:r w:rsidR="000F715E">
        <w:t xml:space="preserve">; </w:t>
      </w:r>
      <w:r w:rsidR="000F715E">
        <w:rPr>
          <w:i/>
          <w:iCs/>
        </w:rPr>
        <w:t>see</w:t>
      </w:r>
      <w:r w:rsidRPr="00BC13DF" w:rsidR="000F715E">
        <w:rPr>
          <w:iCs/>
        </w:rPr>
        <w:t xml:space="preserve"> </w:t>
      </w:r>
      <w:r w:rsidR="00280B3C">
        <w:t>Services Tariff Rate Schedule 2</w:t>
      </w:r>
      <w:r w:rsidRPr="00F618C2" w:rsidR="00F618C2">
        <w:t xml:space="preserve">, </w:t>
      </w:r>
      <w:r w:rsidRPr="00F618C2" w:rsidR="00BC13DF">
        <w:t>§</w:t>
      </w:r>
      <w:r w:rsidR="00BC13DF">
        <w:t> </w:t>
      </w:r>
      <w:r w:rsidRPr="006B78E8" w:rsidR="00BC13DF">
        <w:t>1</w:t>
      </w:r>
      <w:r w:rsidRPr="006B78E8" w:rsidR="00F618C2">
        <w:t>5.2.2.1</w:t>
      </w:r>
      <w:r w:rsidRPr="00F618C2" w:rsidR="00280B3C">
        <w:t>.</w:t>
      </w:r>
    </w:p>
  </w:footnote>
  <w:footnote w:id="28">
    <w:p w:rsidR="008D58F0" w:rsidP="008D58F0">
      <w:pPr>
        <w:pStyle w:val="FootnoteText"/>
      </w:pPr>
      <w:r>
        <w:rPr>
          <w:rStyle w:val="FootnoteReference"/>
        </w:rPr>
        <w:footnoteRef/>
      </w:r>
      <w:r>
        <w:t xml:space="preserve"> </w:t>
      </w:r>
      <w:r w:rsidR="000F715E">
        <w:t>Compliance Filing</w:t>
      </w:r>
      <w:r w:rsidR="000B045C">
        <w:t>, Transmittal Letter</w:t>
      </w:r>
      <w:r w:rsidR="000F715E">
        <w:t xml:space="preserve"> at 3 (citing </w:t>
      </w:r>
      <w:r w:rsidR="000123B8">
        <w:t xml:space="preserve">OATT Rate Schedule 2, </w:t>
      </w:r>
      <w:r w:rsidR="00BC13DF">
        <w:t>§ </w:t>
      </w:r>
      <w:r w:rsidRPr="00B71438" w:rsidR="00BC13DF">
        <w:t>6</w:t>
      </w:r>
      <w:r w:rsidRPr="00B71438" w:rsidR="000123B8">
        <w:t>.2.2</w:t>
      </w:r>
      <w:r w:rsidRPr="00211062">
        <w:t>.1</w:t>
      </w:r>
      <w:r w:rsidR="000F715E">
        <w:t>)</w:t>
      </w:r>
      <w:r>
        <w:t>.</w:t>
      </w:r>
    </w:p>
  </w:footnote>
  <w:footnote w:id="29">
    <w:p w:rsidR="00380011" w:rsidP="00380011">
      <w:pPr>
        <w:pStyle w:val="FootnoteText"/>
      </w:pPr>
      <w:r>
        <w:rPr>
          <w:rStyle w:val="FootnoteReference"/>
        </w:rPr>
        <w:footnoteRef/>
      </w:r>
      <w:r>
        <w:t xml:space="preserve"> </w:t>
      </w:r>
      <w:r w:rsidR="001D6289">
        <w:rPr>
          <w:i/>
          <w:iCs/>
        </w:rPr>
        <w:t>Id.</w:t>
      </w:r>
      <w:r w:rsidRPr="00BC13DF" w:rsidR="001D6289">
        <w:rPr>
          <w:iCs/>
        </w:rPr>
        <w:t xml:space="preserve"> </w:t>
      </w:r>
      <w:r>
        <w:t>at 5-6.</w:t>
      </w:r>
    </w:p>
  </w:footnote>
  <w:footnote w:id="30">
    <w:p w:rsidR="00CF2907">
      <w:pPr>
        <w:pStyle w:val="FootnoteText"/>
      </w:pPr>
      <w:r>
        <w:rPr>
          <w:rStyle w:val="FootnoteReference"/>
        </w:rPr>
        <w:footnoteRef/>
      </w:r>
      <w:r>
        <w:t xml:space="preserve"> </w:t>
      </w:r>
      <w:r w:rsidR="001D6289">
        <w:rPr>
          <w:i/>
          <w:iCs/>
        </w:rPr>
        <w:t>Id.</w:t>
      </w:r>
      <w:r w:rsidRPr="00BC13DF" w:rsidR="001D6289">
        <w:rPr>
          <w:iCs/>
        </w:rPr>
        <w:t xml:space="preserve"> </w:t>
      </w:r>
      <w:r w:rsidR="001D6289">
        <w:t xml:space="preserve">at </w:t>
      </w:r>
      <w:r w:rsidR="00ED7CC6">
        <w:t>6 (referencing Proposed Services Tariff Rate Schedule 2</w:t>
      </w:r>
      <w:r w:rsidRPr="00F618C2" w:rsidR="00ED7CC6">
        <w:t xml:space="preserve">, </w:t>
      </w:r>
      <w:r w:rsidRPr="00F618C2" w:rsidR="00BC13DF">
        <w:t>§</w:t>
      </w:r>
      <w:r w:rsidR="00BC13DF">
        <w:t> </w:t>
      </w:r>
      <w:r w:rsidRPr="00DF66BB" w:rsidR="00BC13DF">
        <w:t>1</w:t>
      </w:r>
      <w:r w:rsidRPr="00DF66BB" w:rsidR="00ED7CC6">
        <w:t>5.2.2.1</w:t>
      </w:r>
      <w:r w:rsidR="00305FF3">
        <w:t>)</w:t>
      </w:r>
      <w:r w:rsidR="00ED7CC6">
        <w:t>.</w:t>
      </w:r>
    </w:p>
  </w:footnote>
  <w:footnote w:id="31">
    <w:p w:rsidR="00380011" w:rsidRPr="002852DA" w:rsidP="000F190F">
      <w:pPr>
        <w:pStyle w:val="FootnoteText"/>
        <w:ind w:right="-360"/>
      </w:pPr>
      <w:r>
        <w:rPr>
          <w:rStyle w:val="FootnoteReference"/>
        </w:rPr>
        <w:footnoteRef/>
      </w:r>
      <w:r>
        <w:t xml:space="preserve"> </w:t>
      </w:r>
      <w:r w:rsidR="00A26647">
        <w:rPr>
          <w:i/>
          <w:iCs/>
        </w:rPr>
        <w:t>Id.</w:t>
      </w:r>
      <w:r>
        <w:t xml:space="preserve">; </w:t>
      </w:r>
      <w:r w:rsidR="00CD6211">
        <w:rPr>
          <w:i/>
          <w:iCs/>
        </w:rPr>
        <w:t>see also</w:t>
      </w:r>
      <w:r w:rsidRPr="00DB0143">
        <w:rPr>
          <w:szCs w:val="22"/>
        </w:rPr>
        <w:t xml:space="preserve"> </w:t>
      </w:r>
      <w:r w:rsidR="000123B8">
        <w:t xml:space="preserve">OATT Rate Schedule 2, </w:t>
      </w:r>
      <w:r w:rsidR="00BC13DF">
        <w:t>§ </w:t>
      </w:r>
      <w:r w:rsidRPr="00B71438" w:rsidR="00BC13DF">
        <w:t>6</w:t>
      </w:r>
      <w:r w:rsidRPr="00B71438" w:rsidR="000123B8">
        <w:t>.2.2</w:t>
      </w:r>
      <w:r w:rsidR="00435688">
        <w:t xml:space="preserve"> (providing for Transmission Customers, Customers, and LSEs to pay NYISO for VSS at a $/MWh rate based on the </w:t>
      </w:r>
      <w:r w:rsidR="000F190F">
        <w:t xml:space="preserve">  </w:t>
      </w:r>
      <w:r w:rsidR="00435688">
        <w:t xml:space="preserve">sum of projected NYISO payments </w:t>
      </w:r>
      <w:r w:rsidR="00703B16">
        <w:t>under</w:t>
      </w:r>
      <w:r w:rsidR="00435688">
        <w:t xml:space="preserve"> Services Tariff Rate Schedule 2 sections </w:t>
      </w:r>
      <w:r w:rsidRPr="005747EC" w:rsidR="00435688">
        <w:t>15.2.2.1, 15.2.2.2</w:t>
      </w:r>
      <w:r w:rsidR="00987815">
        <w:t>,</w:t>
      </w:r>
      <w:r w:rsidRPr="005747EC" w:rsidR="00435688">
        <w:t xml:space="preserve"> and 15.2.2.3</w:t>
      </w:r>
      <w:r w:rsidR="00435688">
        <w:t xml:space="preserve"> and a “Prior yea</w:t>
      </w:r>
      <w:r w:rsidR="009B33E6">
        <w:t>r</w:t>
      </w:r>
      <w:r w:rsidR="00435688">
        <w:t xml:space="preserve"> adjustment” </w:t>
      </w:r>
      <w:r w:rsidR="00987815">
        <w:t>equal to</w:t>
      </w:r>
      <w:r w:rsidR="00435688">
        <w:t xml:space="preserve"> the difference between the prior year’s total VSS payments to generators and those received by NYISO, all divided by the annual </w:t>
      </w:r>
      <w:r w:rsidRPr="00435688" w:rsidR="00435688">
        <w:t>forecasted transmission usage for the year</w:t>
      </w:r>
      <w:r w:rsidR="00435688">
        <w:t>)</w:t>
      </w:r>
      <w:r w:rsidR="00A02D46">
        <w:t xml:space="preserve">; </w:t>
      </w:r>
      <w:r w:rsidRPr="00FE3667" w:rsidR="00B528B8">
        <w:t>NYISO</w:t>
      </w:r>
      <w:r w:rsidR="00B528B8">
        <w:t>,</w:t>
      </w:r>
      <w:r w:rsidRPr="00FE3667" w:rsidR="00B528B8">
        <w:t xml:space="preserve"> OATT, </w:t>
      </w:r>
      <w:r w:rsidRPr="004D692D" w:rsidR="00B528B8">
        <w:t>30.14 OATT Att X Appendices (25.0.0)</w:t>
      </w:r>
      <w:r w:rsidR="00B528B8">
        <w:t>, app. 4 (</w:t>
      </w:r>
      <w:r w:rsidR="00A02D46">
        <w:t xml:space="preserve">NYISO </w:t>
      </w:r>
      <w:r w:rsidR="00A02D46">
        <w:rPr>
          <w:i/>
          <w:iCs/>
        </w:rPr>
        <w:t>pro forma</w:t>
      </w:r>
      <w:r w:rsidRPr="00BC13DF" w:rsidR="00A02D46">
        <w:rPr>
          <w:iCs/>
        </w:rPr>
        <w:t xml:space="preserve"> </w:t>
      </w:r>
      <w:r w:rsidR="00A02D46">
        <w:t>LGIA</w:t>
      </w:r>
      <w:r w:rsidR="00B528B8">
        <w:t>)</w:t>
      </w:r>
      <w:r w:rsidR="00A02D46">
        <w:t xml:space="preserve">, </w:t>
      </w:r>
      <w:r w:rsidR="00BC13DF">
        <w:t>§ </w:t>
      </w:r>
      <w:r w:rsidRPr="00C049EC" w:rsidR="00BC13DF">
        <w:t>9</w:t>
      </w:r>
      <w:r w:rsidRPr="00C049EC" w:rsidR="00A02D46">
        <w:t>.5.3;</w:t>
      </w:r>
      <w:r w:rsidR="00BC13DF">
        <w:t xml:space="preserve"> </w:t>
      </w:r>
      <w:r w:rsidRPr="00834B09" w:rsidR="00B528B8">
        <w:t>NYISO</w:t>
      </w:r>
      <w:r w:rsidRPr="00C049EC" w:rsidR="00B528B8">
        <w:t>,</w:t>
      </w:r>
      <w:r w:rsidRPr="00834B09" w:rsidR="00B528B8">
        <w:t xml:space="preserve"> OATT, </w:t>
      </w:r>
      <w:r w:rsidRPr="004D692D" w:rsidR="00B528B8">
        <w:t>32.5 OATT Att Z Appendices (26.0.0)</w:t>
      </w:r>
      <w:r w:rsidR="00B528B8">
        <w:t>, app. 7</w:t>
      </w:r>
      <w:r w:rsidRPr="00834B09" w:rsidR="00B528B8">
        <w:t xml:space="preserve"> (</w:t>
      </w:r>
      <w:r w:rsidR="00A02D46">
        <w:t>NYISO</w:t>
      </w:r>
      <w:r w:rsidRPr="00C049EC" w:rsidR="00A02D46">
        <w:t xml:space="preserve"> </w:t>
      </w:r>
      <w:r w:rsidRPr="00C049EC" w:rsidR="00A02D46">
        <w:rPr>
          <w:i/>
        </w:rPr>
        <w:t>pro forma</w:t>
      </w:r>
      <w:r w:rsidRPr="00BC13DF" w:rsidR="00A02D46">
        <w:t xml:space="preserve"> </w:t>
      </w:r>
      <w:r w:rsidRPr="00C049EC" w:rsidR="00A02D46">
        <w:t>SGIA</w:t>
      </w:r>
      <w:r w:rsidR="00B528B8">
        <w:t>)</w:t>
      </w:r>
      <w:r w:rsidRPr="00C049EC" w:rsidR="00A02D46">
        <w:t xml:space="preserve">, </w:t>
      </w:r>
      <w:r w:rsidRPr="00C049EC" w:rsidR="00BC13DF">
        <w:t>§</w:t>
      </w:r>
      <w:r w:rsidR="00BC13DF">
        <w:t> </w:t>
      </w:r>
      <w:r w:rsidRPr="00C049EC" w:rsidR="00BC13DF">
        <w:t>1</w:t>
      </w:r>
      <w:r w:rsidRPr="00C049EC" w:rsidR="00A02D46">
        <w:t>.8.2</w:t>
      </w:r>
      <w:r>
        <w:t>.</w:t>
      </w:r>
    </w:p>
  </w:footnote>
  <w:footnote w:id="32">
    <w:p w:rsidR="00BB02B8">
      <w:pPr>
        <w:pStyle w:val="FootnoteText"/>
      </w:pPr>
      <w:r>
        <w:rPr>
          <w:rStyle w:val="FootnoteReference"/>
        </w:rPr>
        <w:footnoteRef/>
      </w:r>
      <w:r>
        <w:t xml:space="preserve"> </w:t>
      </w:r>
      <w:r w:rsidRPr="00DF5768" w:rsidR="00DF5768">
        <w:t xml:space="preserve">Utility Intervention Unit </w:t>
      </w:r>
      <w:r w:rsidR="0045119B">
        <w:t>Protest at 4</w:t>
      </w:r>
      <w:r w:rsidR="00A26647">
        <w:t>, 5, 8, 11</w:t>
      </w:r>
      <w:r w:rsidR="0045119B">
        <w:t>.</w:t>
      </w:r>
    </w:p>
  </w:footnote>
  <w:footnote w:id="33">
    <w:p w:rsidR="00BE7917" w:rsidP="00BE7917">
      <w:pPr>
        <w:pStyle w:val="FootnoteText"/>
      </w:pPr>
      <w:r>
        <w:rPr>
          <w:rStyle w:val="FootnoteReference"/>
        </w:rPr>
        <w:footnoteRef/>
      </w:r>
      <w:r>
        <w:t xml:space="preserve"> NYISO Answer at 6-7.</w:t>
      </w:r>
    </w:p>
  </w:footnote>
  <w:footnote w:id="34">
    <w:p w:rsidR="00347DD9" w:rsidP="00347DD9">
      <w:pPr>
        <w:pStyle w:val="FootnoteText"/>
      </w:pPr>
      <w:r>
        <w:rPr>
          <w:rStyle w:val="FootnoteReference"/>
        </w:rPr>
        <w:footnoteRef/>
      </w:r>
      <w:r>
        <w:t xml:space="preserve"> </w:t>
      </w:r>
      <w:r w:rsidRPr="00AA23E7">
        <w:t xml:space="preserve">Order No. </w:t>
      </w:r>
      <w:r>
        <w:t>904</w:t>
      </w:r>
      <w:r w:rsidRPr="00AA23E7">
        <w:t xml:space="preserve">, </w:t>
      </w:r>
      <w:r w:rsidRPr="000029F6">
        <w:t xml:space="preserve">189 FERC </w:t>
      </w:r>
      <w:r w:rsidRPr="000029F6" w:rsidR="00BC13DF">
        <w:t>¶</w:t>
      </w:r>
      <w:r w:rsidR="00BC13DF">
        <w:t> </w:t>
      </w:r>
      <w:r w:rsidRPr="000029F6" w:rsidR="00BC13DF">
        <w:t>6</w:t>
      </w:r>
      <w:r w:rsidRPr="000029F6">
        <w:t>1,034</w:t>
      </w:r>
      <w:r>
        <w:t xml:space="preserve"> at P</w:t>
      </w:r>
      <w:r w:rsidR="00BC13DF">
        <w:t>P 2</w:t>
      </w:r>
      <w:r>
        <w:t>03, 206.</w:t>
      </w:r>
    </w:p>
  </w:footnote>
  <w:footnote w:id="35">
    <w:p w:rsidR="00C23A50" w:rsidP="00C23A50">
      <w:pPr>
        <w:pStyle w:val="FootnoteText"/>
      </w:pPr>
      <w:r>
        <w:rPr>
          <w:rStyle w:val="FootnoteReference"/>
        </w:rPr>
        <w:footnoteRef/>
      </w:r>
      <w:r>
        <w:t xml:space="preserve"> Compliance Filing</w:t>
      </w:r>
      <w:r w:rsidR="00372869">
        <w:t>, Transmittal Letter</w:t>
      </w:r>
      <w:r>
        <w:t xml:space="preserve"> at 5-6</w:t>
      </w:r>
      <w:r w:rsidR="00B308C2">
        <w:t>; Proposed Services Tariff Rate Schedule 2</w:t>
      </w:r>
      <w:r w:rsidRPr="00F618C2" w:rsidR="00C339C6">
        <w:t xml:space="preserve">, </w:t>
      </w:r>
      <w:r w:rsidRPr="00F618C2" w:rsidR="00BC13DF">
        <w:t>§</w:t>
      </w:r>
      <w:r w:rsidR="00BC13DF">
        <w:t> </w:t>
      </w:r>
      <w:r w:rsidRPr="00DF66BB" w:rsidR="00BC13DF">
        <w:t>1</w:t>
      </w:r>
      <w:r w:rsidRPr="00DF66BB" w:rsidR="00C339C6">
        <w:t>5.2.2.1</w:t>
      </w:r>
      <w:r>
        <w:t>.</w:t>
      </w:r>
    </w:p>
  </w:footnote>
  <w:footnote w:id="36">
    <w:p w:rsidR="00A55164" w:rsidRPr="00F77ADC" w:rsidP="007B6AC2">
      <w:pPr>
        <w:pStyle w:val="FootnoteText"/>
        <w:ind w:right="-180"/>
        <w:rPr>
          <w:highlight w:val="yellow"/>
        </w:rPr>
      </w:pPr>
      <w:r>
        <w:rPr>
          <w:rStyle w:val="FootnoteReference"/>
        </w:rPr>
        <w:footnoteRef/>
      </w:r>
      <w:r>
        <w:t xml:space="preserve"> Compliance Filing</w:t>
      </w:r>
      <w:r w:rsidR="00957536">
        <w:t>, Transmittal Letter</w:t>
      </w:r>
      <w:r>
        <w:t xml:space="preserve"> at 6; </w:t>
      </w:r>
      <w:r w:rsidRPr="00C049EC" w:rsidR="001E313B">
        <w:t xml:space="preserve">OATT </w:t>
      </w:r>
      <w:r w:rsidRPr="0088568C" w:rsidR="0088568C">
        <w:t xml:space="preserve">Rate Schedule </w:t>
      </w:r>
      <w:r w:rsidRPr="00C049EC" w:rsidR="001E313B">
        <w:t xml:space="preserve">2, </w:t>
      </w:r>
      <w:r w:rsidRPr="00C049EC" w:rsidR="00BC13DF">
        <w:t>§</w:t>
      </w:r>
      <w:r w:rsidR="00BC13DF">
        <w:t> </w:t>
      </w:r>
      <w:r w:rsidRPr="00C049EC" w:rsidR="00BC13DF">
        <w:t>6</w:t>
      </w:r>
      <w:r w:rsidRPr="00C049EC" w:rsidR="001E313B">
        <w:t>.2.</w:t>
      </w:r>
      <w:r w:rsidRPr="0088568C" w:rsidR="0088568C">
        <w:t>2</w:t>
      </w:r>
      <w:r w:rsidR="001D7170">
        <w:t xml:space="preserve"> (providing for Transmission Customers, Customers, and LSEs to pay NYISO for VSS at a $/MWh rate based on the sum of projected NYISO payments based on Services Tariff Rate Schedule 2 sections </w:t>
      </w:r>
      <w:r w:rsidRPr="005747EC" w:rsidR="001D7170">
        <w:t>15.2.2.1, 15.2.2.2 and 15.2.2.3</w:t>
      </w:r>
      <w:r w:rsidR="001D7170">
        <w:t xml:space="preserve"> and a “Prior yea</w:t>
      </w:r>
      <w:r w:rsidR="003025F0">
        <w:t>r</w:t>
      </w:r>
      <w:r w:rsidR="001D7170">
        <w:t xml:space="preserve"> adjustment” based on the difference between the prior year’s total VSS payments to generators and those received by NYISO, all divided by the annual </w:t>
      </w:r>
      <w:r w:rsidRPr="00435688" w:rsidR="001D7170">
        <w:t>forecasted transmission usage for the year</w:t>
      </w:r>
      <w:r w:rsidR="001D7170">
        <w:t>)</w:t>
      </w:r>
      <w:r w:rsidR="00F1793C">
        <w:t xml:space="preserve">; NYISO </w:t>
      </w:r>
      <w:r w:rsidR="00F1793C">
        <w:rPr>
          <w:i/>
          <w:iCs/>
        </w:rPr>
        <w:t>pro forma</w:t>
      </w:r>
      <w:r w:rsidRPr="00BC13DF" w:rsidR="00F1793C">
        <w:rPr>
          <w:iCs/>
        </w:rPr>
        <w:t xml:space="preserve"> </w:t>
      </w:r>
      <w:r w:rsidR="00F1793C">
        <w:t xml:space="preserve">LGIA, </w:t>
      </w:r>
      <w:r w:rsidR="00BC13DF">
        <w:t>§ </w:t>
      </w:r>
      <w:r w:rsidRPr="00C049EC" w:rsidR="00BC13DF">
        <w:t>9</w:t>
      </w:r>
      <w:r w:rsidRPr="00C049EC" w:rsidR="00F1793C">
        <w:t>.5.3 (“NYISO shall pay Developer for reactive power or voltage support service that Developer provides from the Large Generating Facility in accordance with the provisions of Rate Schedule 2 of the NYISO Services Tariff.”);</w:t>
      </w:r>
      <w:r w:rsidRPr="006D6CDD" w:rsidR="00F1793C">
        <w:t xml:space="preserve"> </w:t>
      </w:r>
      <w:r w:rsidR="00F1793C">
        <w:t>NYISO</w:t>
      </w:r>
      <w:r w:rsidRPr="00C049EC" w:rsidR="00F1793C">
        <w:t xml:space="preserve"> </w:t>
      </w:r>
      <w:r w:rsidRPr="00C049EC" w:rsidR="00F1793C">
        <w:rPr>
          <w:i/>
        </w:rPr>
        <w:t>pro forma</w:t>
      </w:r>
      <w:r w:rsidRPr="00BC13DF" w:rsidR="00F1793C">
        <w:t xml:space="preserve"> </w:t>
      </w:r>
      <w:r w:rsidRPr="00C049EC" w:rsidR="00F1793C">
        <w:t xml:space="preserve">SGIA, </w:t>
      </w:r>
      <w:r w:rsidRPr="00C049EC" w:rsidR="00BC13DF">
        <w:t>§</w:t>
      </w:r>
      <w:r w:rsidR="00BC13DF">
        <w:t> </w:t>
      </w:r>
      <w:r w:rsidRPr="00C049EC" w:rsidR="00BC13DF">
        <w:t>1</w:t>
      </w:r>
      <w:r w:rsidRPr="00C049EC" w:rsidR="00F1793C">
        <w:t xml:space="preserve">.8.2 (“NYISO is required to pay the Interconnection Customer for reactive power, or voltage support service, that the Interconnection Customer provides from the Small Generating Facility in accordance with Rate Schedule 2 of the NYISO Services Tariff.”).  </w:t>
      </w:r>
    </w:p>
  </w:footnote>
  <w:footnote w:id="37">
    <w:p w:rsidR="00E95E07" w:rsidP="007E365C">
      <w:pPr>
        <w:pStyle w:val="FootnoteText"/>
        <w:widowControl/>
      </w:pPr>
      <w:r w:rsidRPr="00796361">
        <w:rPr>
          <w:rStyle w:val="FootnoteReference"/>
        </w:rPr>
        <w:footnoteRef/>
      </w:r>
      <w:r>
        <w:t xml:space="preserve"> </w:t>
      </w:r>
      <w:r w:rsidRPr="00AA23E7">
        <w:t xml:space="preserve">Order No. </w:t>
      </w:r>
      <w:r>
        <w:t>904</w:t>
      </w:r>
      <w:r w:rsidRPr="00AA23E7">
        <w:t xml:space="preserve">, </w:t>
      </w:r>
      <w:r w:rsidRPr="000029F6">
        <w:t xml:space="preserve">189 FERC </w:t>
      </w:r>
      <w:r w:rsidRPr="000029F6" w:rsidR="00BC13DF">
        <w:t>¶</w:t>
      </w:r>
      <w:r w:rsidR="00BC13DF">
        <w:t> </w:t>
      </w:r>
      <w:r w:rsidRPr="000029F6" w:rsidR="00BC13DF">
        <w:t>6</w:t>
      </w:r>
      <w:r w:rsidRPr="000029F6">
        <w:t>1,034</w:t>
      </w:r>
      <w:r>
        <w:t xml:space="preserve"> at </w:t>
      </w:r>
      <w:r w:rsidR="00BC13DF">
        <w:t>P 2</w:t>
      </w:r>
      <w:r>
        <w:t>06</w:t>
      </w:r>
      <w:r w:rsidR="000B2CB4">
        <w:t xml:space="preserve"> (“[W]</w:t>
      </w:r>
      <w:r w:rsidRPr="000B2CB4" w:rsidR="000B2CB4">
        <w:t xml:space="preserve">e require each transmission provider to submit a compliance filing </w:t>
      </w:r>
      <w:r w:rsidR="00A45AB5">
        <w:t>.</w:t>
      </w:r>
      <w:r w:rsidR="00BC13DF">
        <w:t xml:space="preserve"> </w:t>
      </w:r>
      <w:r w:rsidR="00A45AB5">
        <w:t>.</w:t>
      </w:r>
      <w:r w:rsidR="00BC13DF">
        <w:t xml:space="preserve"> </w:t>
      </w:r>
      <w:r w:rsidR="00A45AB5">
        <w:t>.</w:t>
      </w:r>
      <w:r w:rsidRPr="000B2CB4" w:rsidR="000B2CB4">
        <w:t xml:space="preserve"> to make changes to their Schedule 2s or other OATT provisions relating to charges and payments for reactive power, as well as to their</w:t>
      </w:r>
      <w:r w:rsidR="00BC13DF">
        <w:t xml:space="preserve"> </w:t>
      </w:r>
      <w:r w:rsidRPr="000B2CB4" w:rsidR="000B2CB4">
        <w:rPr>
          <w:i/>
          <w:iCs/>
        </w:rPr>
        <w:t>pro forma</w:t>
      </w:r>
      <w:r w:rsidR="00BC13DF">
        <w:t xml:space="preserve"> </w:t>
      </w:r>
      <w:r w:rsidRPr="000B2CB4" w:rsidR="000B2CB4">
        <w:t>LGIAs and</w:t>
      </w:r>
      <w:r w:rsidR="00BC13DF">
        <w:t xml:space="preserve"> </w:t>
      </w:r>
      <w:r w:rsidRPr="000B2CB4" w:rsidR="000B2CB4">
        <w:rPr>
          <w:i/>
          <w:iCs/>
        </w:rPr>
        <w:t>pro forma</w:t>
      </w:r>
      <w:r w:rsidR="00BC13DF">
        <w:t xml:space="preserve"> </w:t>
      </w:r>
      <w:r w:rsidRPr="000B2CB4" w:rsidR="000B2CB4">
        <w:t>SGIAs in their OATTs.</w:t>
      </w:r>
      <w:r w:rsidR="00A45AB5">
        <w:t>”)</w:t>
      </w:r>
      <w:r>
        <w:t>.</w:t>
      </w:r>
    </w:p>
  </w:footnote>
  <w:footnote w:id="38">
    <w:p w:rsidR="00442096">
      <w:pPr>
        <w:pStyle w:val="FootnoteText"/>
      </w:pPr>
      <w:r>
        <w:rPr>
          <w:rStyle w:val="FootnoteReference"/>
        </w:rPr>
        <w:footnoteRef/>
      </w:r>
      <w:r>
        <w:t xml:space="preserve"> We note that, as part of its OATT and Services Tariff revisions to comply </w:t>
      </w:r>
      <w:r w:rsidR="00BC13DF">
        <w:t xml:space="preserve">    </w:t>
      </w:r>
      <w:r>
        <w:t xml:space="preserve">with the requirements of Order Nos. 2023 and 2023-A, </w:t>
      </w:r>
      <w:r w:rsidRPr="00CF6F2C">
        <w:rPr>
          <w:i/>
          <w:iCs/>
        </w:rPr>
        <w:t>Improvements to Generator Interconnection Procs. &amp; Agreements</w:t>
      </w:r>
      <w:r w:rsidRPr="00CF6F2C">
        <w:t xml:space="preserve">, Order No. 2023, 184 FERC </w:t>
      </w:r>
      <w:r w:rsidRPr="00CF6F2C" w:rsidR="00BC13DF">
        <w:t>¶</w:t>
      </w:r>
      <w:r w:rsidR="00BC13DF">
        <w:t> </w:t>
      </w:r>
      <w:r w:rsidRPr="00CF6F2C" w:rsidR="00BC13DF">
        <w:t>6</w:t>
      </w:r>
      <w:r w:rsidRPr="00CF6F2C">
        <w:t xml:space="preserve">1,054, </w:t>
      </w:r>
      <w:r w:rsidRPr="00CF6F2C">
        <w:rPr>
          <w:i/>
          <w:iCs/>
        </w:rPr>
        <w:t>order on reh’g</w:t>
      </w:r>
      <w:r w:rsidRPr="00CF6F2C">
        <w:t xml:space="preserve">, 185 FERC </w:t>
      </w:r>
      <w:r w:rsidRPr="00CF6F2C" w:rsidR="00BC13DF">
        <w:t>¶</w:t>
      </w:r>
      <w:r w:rsidR="00BC13DF">
        <w:t> </w:t>
      </w:r>
      <w:r w:rsidRPr="00CF6F2C" w:rsidR="00BC13DF">
        <w:t>6</w:t>
      </w:r>
      <w:r w:rsidRPr="00CF6F2C">
        <w:t xml:space="preserve">1,063 (2023), </w:t>
      </w:r>
      <w:r w:rsidRPr="00CF6F2C">
        <w:rPr>
          <w:i/>
          <w:iCs/>
        </w:rPr>
        <w:t>order on reh’g</w:t>
      </w:r>
      <w:r w:rsidRPr="00CF6F2C">
        <w:t xml:space="preserve">, Order No. 2023-A, 186 FERC </w:t>
      </w:r>
      <w:r w:rsidRPr="00CF6F2C" w:rsidR="00BC13DF">
        <w:t>¶</w:t>
      </w:r>
      <w:r w:rsidR="00BC13DF">
        <w:t> </w:t>
      </w:r>
      <w:r w:rsidRPr="00CF6F2C" w:rsidR="00BC13DF">
        <w:t>6</w:t>
      </w:r>
      <w:r w:rsidRPr="00CF6F2C">
        <w:t xml:space="preserve">1,199, </w:t>
      </w:r>
      <w:r w:rsidRPr="00CF6F2C">
        <w:rPr>
          <w:i/>
          <w:iCs/>
        </w:rPr>
        <w:t>errata notice</w:t>
      </w:r>
      <w:r w:rsidRPr="00CF6F2C">
        <w:t xml:space="preserve">, 188 FERC </w:t>
      </w:r>
      <w:r w:rsidRPr="00CF6F2C" w:rsidR="00BC13DF">
        <w:t>¶</w:t>
      </w:r>
      <w:r w:rsidR="00BC13DF">
        <w:t> </w:t>
      </w:r>
      <w:r w:rsidRPr="00CF6F2C" w:rsidR="00BC13DF">
        <w:t>6</w:t>
      </w:r>
      <w:r w:rsidRPr="00CF6F2C">
        <w:t>1,134 (2024)</w:t>
      </w:r>
      <w:r>
        <w:t xml:space="preserve">, NYISO </w:t>
      </w:r>
      <w:r w:rsidRPr="00F33895">
        <w:t xml:space="preserve">proposed </w:t>
      </w:r>
      <w:r>
        <w:t xml:space="preserve">a new OATT </w:t>
      </w:r>
      <w:r w:rsidRPr="00C36BC1">
        <w:t xml:space="preserve">Attachment HH </w:t>
      </w:r>
      <w:r w:rsidRPr="00F33895">
        <w:t xml:space="preserve">to </w:t>
      </w:r>
      <w:r>
        <w:t xml:space="preserve">implement consolidated Standard Interconnection Procedures, which include the </w:t>
      </w:r>
      <w:r w:rsidRPr="00F33895">
        <w:t>Standard Interconnection Agreement</w:t>
      </w:r>
      <w:r>
        <w:t xml:space="preserve">, that would subject small generating facilities to the same requirements as large facilities.  </w:t>
      </w:r>
      <w:r w:rsidRPr="00563BC0">
        <w:t>The Commission accepted NYISO’s proposed revisions in part</w:t>
      </w:r>
      <w:r w:rsidRPr="00563BC0">
        <w:rPr>
          <w:szCs w:val="22"/>
        </w:rPr>
        <w:t xml:space="preserve"> </w:t>
      </w:r>
      <w:r w:rsidRPr="00563BC0">
        <w:t>subject to a further compliance</w:t>
      </w:r>
      <w:r w:rsidRPr="004053C1">
        <w:t xml:space="preserve"> filing</w:t>
      </w:r>
      <w:r>
        <w:t xml:space="preserve"> effective </w:t>
      </w:r>
      <w:r w:rsidR="00BC13DF">
        <w:t xml:space="preserve">   </w:t>
      </w:r>
      <w:r>
        <w:t xml:space="preserve">May 1, 2024.  </w:t>
      </w:r>
      <w:r w:rsidRPr="00A83097">
        <w:rPr>
          <w:i/>
          <w:iCs/>
        </w:rPr>
        <w:t xml:space="preserve">See </w:t>
      </w:r>
      <w:r w:rsidRPr="00DF0E10">
        <w:rPr>
          <w:i/>
          <w:iCs/>
        </w:rPr>
        <w:t>N.Y. Indep</w:t>
      </w:r>
      <w:r>
        <w:rPr>
          <w:i/>
          <w:iCs/>
        </w:rPr>
        <w:t>.</w:t>
      </w:r>
      <w:r w:rsidRPr="00DF0E10">
        <w:rPr>
          <w:i/>
          <w:iCs/>
        </w:rPr>
        <w:t xml:space="preserve"> Sys</w:t>
      </w:r>
      <w:r>
        <w:rPr>
          <w:i/>
          <w:iCs/>
        </w:rPr>
        <w:t>.</w:t>
      </w:r>
      <w:r w:rsidRPr="00DF0E10">
        <w:rPr>
          <w:i/>
          <w:iCs/>
        </w:rPr>
        <w:t xml:space="preserve"> Operator, Inc.</w:t>
      </w:r>
      <w:r>
        <w:t xml:space="preserve">, </w:t>
      </w:r>
      <w:r w:rsidRPr="00E02536">
        <w:t xml:space="preserve">191 FERC </w:t>
      </w:r>
      <w:r w:rsidRPr="00E02536" w:rsidR="00BC13DF">
        <w:t>¶</w:t>
      </w:r>
      <w:r w:rsidR="00BC13DF">
        <w:t> </w:t>
      </w:r>
      <w:r w:rsidRPr="00E02536" w:rsidR="00BC13DF">
        <w:t>6</w:t>
      </w:r>
      <w:r w:rsidRPr="00E02536">
        <w:t>1,049</w:t>
      </w:r>
      <w:r>
        <w:t>, at P</w:t>
      </w:r>
      <w:r w:rsidR="00BC13DF">
        <w:t>P 9</w:t>
      </w:r>
      <w:r>
        <w:t xml:space="preserve">, </w:t>
      </w:r>
      <w:r w:rsidR="00BC13DF">
        <w:t xml:space="preserve">            </w:t>
      </w:r>
      <w:r>
        <w:t>21 (</w:t>
      </w:r>
      <w:r w:rsidRPr="00563BC0">
        <w:t xml:space="preserve">2025); NYISO, OATT, </w:t>
      </w:r>
      <w:r w:rsidRPr="003877BE">
        <w:t>40 Attachment HH - Standard Interconnection Procedures (0.0.0)</w:t>
      </w:r>
      <w:r w:rsidRPr="00563BC0">
        <w:t xml:space="preserve">.  </w:t>
      </w:r>
      <w:r>
        <w:t xml:space="preserve">Like OATT Rate Schedule 2 and the NYISO </w:t>
      </w:r>
      <w:r w:rsidRPr="00866602">
        <w:rPr>
          <w:i/>
          <w:iCs/>
        </w:rPr>
        <w:t>pro forma</w:t>
      </w:r>
      <w:r w:rsidRPr="00866602">
        <w:t xml:space="preserve"> LGIA and </w:t>
      </w:r>
      <w:r>
        <w:t xml:space="preserve">NYISO </w:t>
      </w:r>
      <w:r w:rsidR="00BC13DF">
        <w:t xml:space="preserve">     </w:t>
      </w:r>
      <w:r w:rsidRPr="00866602">
        <w:rPr>
          <w:i/>
          <w:iCs/>
        </w:rPr>
        <w:t>pro forma</w:t>
      </w:r>
      <w:r w:rsidRPr="00866602">
        <w:t xml:space="preserve"> SGIA</w:t>
      </w:r>
      <w:r>
        <w:t>,</w:t>
      </w:r>
      <w:r w:rsidRPr="00F33895">
        <w:t xml:space="preserve"> </w:t>
      </w:r>
      <w:r>
        <w:t xml:space="preserve">the </w:t>
      </w:r>
      <w:r w:rsidRPr="00F33895">
        <w:t>Standard Interconnection Agreement also provides fo</w:t>
      </w:r>
      <w:r w:rsidRPr="00C73DCD">
        <w:t>r compensation based on the provisions of Rate Schedule 2 of the Services Tariff and therefore, with the acceptance of the compliance filing in the instant proceeding,</w:t>
      </w:r>
      <w:r w:rsidRPr="00F33895">
        <w:t xml:space="preserve"> </w:t>
      </w:r>
      <w:r>
        <w:t xml:space="preserve">automatically </w:t>
      </w:r>
      <w:r w:rsidRPr="00F33895">
        <w:t xml:space="preserve">eliminates charges for reactive power within the standard power factor range.  NYISO, OATT, </w:t>
      </w:r>
      <w:r w:rsidRPr="003877BE">
        <w:t>40.25.15 OATT Att HH Appendix 15 Standard Interconnection Ag (0.0.0)</w:t>
      </w:r>
      <w:r w:rsidRPr="00F33895">
        <w:t xml:space="preserve">, </w:t>
      </w:r>
      <w:r w:rsidRPr="00F33895" w:rsidR="00BC13DF">
        <w:t>§</w:t>
      </w:r>
      <w:r w:rsidR="00BC13DF">
        <w:t> </w:t>
      </w:r>
      <w:r w:rsidRPr="00F33895" w:rsidR="00BC13DF">
        <w:t>9</w:t>
      </w:r>
      <w:r w:rsidRPr="00F33895">
        <w:t>.5.3 (“NYISO shall pay Interconnection Customer for reactive power or voltage support service that Interconnection Customer provides from the Facility in accordance with the provisions of Rate Schedule 2 of the ISO Services Tariff.”).</w:t>
      </w:r>
      <w:r>
        <w:t xml:space="preserve">  </w:t>
      </w:r>
      <w:r w:rsidRPr="007F69E3">
        <w:t xml:space="preserve">Therefore, NYISO’s proposed revisions to Services Tariff section 15.2 satisfy Order </w:t>
      </w:r>
      <w:r w:rsidR="00BC13DF">
        <w:t xml:space="preserve">   </w:t>
      </w:r>
      <w:r w:rsidRPr="007F69E3">
        <w:t xml:space="preserve">No. 904’s “independent entity variation standard” for RTO/ISO deviations from the </w:t>
      </w:r>
      <w:r w:rsidR="00BC13DF">
        <w:t xml:space="preserve">    </w:t>
      </w:r>
      <w:r w:rsidRPr="007F69E3">
        <w:rPr>
          <w:i/>
          <w:iCs/>
        </w:rPr>
        <w:t>pro forma</w:t>
      </w:r>
      <w:r w:rsidRPr="007F69E3">
        <w:t xml:space="preserve"> LGIA and </w:t>
      </w:r>
      <w:r w:rsidRPr="007F69E3">
        <w:rPr>
          <w:i/>
          <w:iCs/>
        </w:rPr>
        <w:t>pro forma</w:t>
      </w:r>
      <w:r w:rsidRPr="007F69E3">
        <w:t xml:space="preserve"> SGIA under the terms of the Standard Interconnection Agreement as well</w:t>
      </w:r>
      <w:r>
        <w:t>.</w:t>
      </w:r>
    </w:p>
  </w:footnote>
  <w:footnote w:id="39">
    <w:p w:rsidR="00727E97" w:rsidP="00727E97">
      <w:pPr>
        <w:pStyle w:val="FootnoteText"/>
      </w:pPr>
      <w:r>
        <w:rPr>
          <w:rStyle w:val="FootnoteReference"/>
        </w:rPr>
        <w:footnoteRef/>
      </w:r>
      <w:r>
        <w:t xml:space="preserve"> </w:t>
      </w:r>
      <w:r w:rsidRPr="00DF5768" w:rsidR="0093313B">
        <w:t xml:space="preserve">Utility Intervention Unit </w:t>
      </w:r>
      <w:r w:rsidR="0093313B">
        <w:t>Protest at 8.</w:t>
      </w:r>
    </w:p>
  </w:footnote>
  <w:footnote w:id="40">
    <w:p w:rsidR="0074561F" w:rsidP="0074561F">
      <w:pPr>
        <w:pStyle w:val="FootnoteText"/>
      </w:pPr>
      <w:r>
        <w:rPr>
          <w:rStyle w:val="FootnoteReference"/>
        </w:rPr>
        <w:footnoteRef/>
      </w:r>
      <w:r>
        <w:t xml:space="preserve"> </w:t>
      </w:r>
      <w:r w:rsidRPr="00AA23E7">
        <w:t xml:space="preserve">Order No. </w:t>
      </w:r>
      <w:r>
        <w:t>904</w:t>
      </w:r>
      <w:r w:rsidRPr="00AA23E7">
        <w:t xml:space="preserve">, </w:t>
      </w:r>
      <w:r w:rsidRPr="000029F6">
        <w:t xml:space="preserve">189 FERC </w:t>
      </w:r>
      <w:r w:rsidRPr="000029F6" w:rsidR="00BC13DF">
        <w:t>¶</w:t>
      </w:r>
      <w:r w:rsidR="00BC13DF">
        <w:t> </w:t>
      </w:r>
      <w:r w:rsidRPr="000029F6" w:rsidR="00BC13DF">
        <w:t>6</w:t>
      </w:r>
      <w:r w:rsidRPr="000029F6">
        <w:t>1,034</w:t>
      </w:r>
      <w:r>
        <w:t xml:space="preserve"> at </w:t>
      </w:r>
      <w:r w:rsidR="00BC13DF">
        <w:t>P 8</w:t>
      </w:r>
      <w:r>
        <w:t>9.</w:t>
      </w:r>
    </w:p>
  </w:footnote>
  <w:footnote w:id="41">
    <w:p w:rsidR="005146CA" w:rsidRPr="00B97225" w:rsidP="00BC13DF">
      <w:pPr>
        <w:pStyle w:val="FootnoteText"/>
        <w:ind w:right="-180"/>
      </w:pPr>
      <w:r>
        <w:rPr>
          <w:rStyle w:val="FootnoteReference"/>
        </w:rPr>
        <w:footnoteRef/>
      </w:r>
      <w:r>
        <w:t xml:space="preserve"> </w:t>
      </w:r>
      <w:r w:rsidR="00873721">
        <w:rPr>
          <w:i/>
          <w:iCs/>
        </w:rPr>
        <w:t>Id.</w:t>
      </w:r>
      <w:r>
        <w:t xml:space="preserve"> P</w:t>
      </w:r>
      <w:r w:rsidR="00BC13DF">
        <w:t>P 2</w:t>
      </w:r>
      <w:r>
        <w:t>0</w:t>
      </w:r>
      <w:r w:rsidR="00F45869">
        <w:t xml:space="preserve">3-206.  </w:t>
      </w:r>
      <w:r w:rsidR="00F45869">
        <w:rPr>
          <w:i/>
          <w:iCs/>
        </w:rPr>
        <w:t>See also id.</w:t>
      </w:r>
      <w:r w:rsidR="00F45869">
        <w:t xml:space="preserve"> </w:t>
      </w:r>
      <w:r w:rsidR="00BC13DF">
        <w:t>P 2</w:t>
      </w:r>
      <w:r w:rsidR="00F45869">
        <w:t>04</w:t>
      </w:r>
      <w:r w:rsidR="00B97225">
        <w:t xml:space="preserve"> (explaining that the proposed revision to the </w:t>
      </w:r>
      <w:r w:rsidR="00B97225">
        <w:rPr>
          <w:i/>
          <w:iCs/>
        </w:rPr>
        <w:t>pro forma</w:t>
      </w:r>
      <w:r w:rsidRPr="00BC13DF" w:rsidR="00B97225">
        <w:rPr>
          <w:iCs/>
        </w:rPr>
        <w:t xml:space="preserve"> </w:t>
      </w:r>
      <w:r w:rsidR="00B97225">
        <w:t>LGIA also “</w:t>
      </w:r>
      <w:r w:rsidRPr="00B97225" w:rsidR="00B97225">
        <w:t>prohibits a transmission provider from including in its transmission rates any charges associated with the supply of reactive power within the specified power factor range from a generating facility</w:t>
      </w:r>
      <w:r w:rsidR="00B97225">
        <w:t>”).</w:t>
      </w:r>
    </w:p>
  </w:footnote>
  <w:footnote w:id="42">
    <w:p w:rsidR="00527FDB" w:rsidP="00BC13DF">
      <w:pPr>
        <w:pStyle w:val="FootnoteText"/>
        <w:ind w:right="-360"/>
      </w:pPr>
      <w:r w:rsidRPr="006A5706">
        <w:rPr>
          <w:rStyle w:val="FootnoteReference"/>
        </w:rPr>
        <w:footnoteRef/>
      </w:r>
      <w:r w:rsidRPr="006A5706">
        <w:t xml:space="preserve"> </w:t>
      </w:r>
      <w:r w:rsidRPr="006A5706" w:rsidR="002A73C4">
        <w:t xml:space="preserve">Rather, the Commission expressly acknowledged that </w:t>
      </w:r>
      <w:r w:rsidRPr="006A5706" w:rsidR="002E7334">
        <w:t xml:space="preserve">Order No. 904 would allow for continued reactive power compensation outside the standard power factor range.  </w:t>
      </w:r>
      <w:r w:rsidRPr="00694D05">
        <w:rPr>
          <w:i/>
          <w:iCs/>
        </w:rPr>
        <w:t>Id.</w:t>
      </w:r>
      <w:r w:rsidRPr="006A5706">
        <w:t xml:space="preserve"> </w:t>
      </w:r>
      <w:r w:rsidRPr="006A5706" w:rsidR="00BC13DF">
        <w:t>P</w:t>
      </w:r>
      <w:r w:rsidR="00BC13DF">
        <w:t> </w:t>
      </w:r>
      <w:r w:rsidRPr="006A5706" w:rsidR="00BC13DF">
        <w:t>1</w:t>
      </w:r>
      <w:r w:rsidRPr="006A5706" w:rsidR="005250EB">
        <w:t xml:space="preserve"> </w:t>
      </w:r>
      <w:r w:rsidRPr="006A5706" w:rsidR="002E7334">
        <w:t xml:space="preserve">(“As a result of this final rule, transmission providers will be required to pay an interconnection customer for reactive power only when the transmission provider requests or directs the interconnection customer to operate its facility </w:t>
      </w:r>
      <w:r w:rsidRPr="006A5706" w:rsidR="002E7334">
        <w:rPr>
          <w:i/>
        </w:rPr>
        <w:t>outside</w:t>
      </w:r>
      <w:r w:rsidRPr="006A5706" w:rsidR="002E7334">
        <w:t xml:space="preserve"> the standard power factor range set forth in its interconnection agreement</w:t>
      </w:r>
      <w:r w:rsidRPr="006A5706" w:rsidR="00E336C8">
        <w:t>.”</w:t>
      </w:r>
      <w:r w:rsidRPr="006A5706" w:rsidR="002E7334">
        <w:t xml:space="preserve"> </w:t>
      </w:r>
      <w:r w:rsidRPr="006A5706" w:rsidR="005250EB">
        <w:t>(emphasis in original)</w:t>
      </w:r>
      <w:r w:rsidRPr="006A5706" w:rsidR="00E336C8">
        <w:t>)</w:t>
      </w:r>
      <w:r w:rsidRPr="006A5706">
        <w:t>.</w:t>
      </w:r>
    </w:p>
  </w:footnote>
  <w:footnote w:id="43">
    <w:p w:rsidR="00240196" w:rsidP="00240196">
      <w:pPr>
        <w:pStyle w:val="FootnoteText"/>
      </w:pPr>
      <w:r>
        <w:rPr>
          <w:rStyle w:val="FootnoteReference"/>
        </w:rPr>
        <w:footnoteRef/>
      </w:r>
      <w:r>
        <w:t xml:space="preserve"> Compliance Filing</w:t>
      </w:r>
      <w:r w:rsidR="009260CA">
        <w:t>, Transmittal Letter</w:t>
      </w:r>
      <w:r>
        <w:t xml:space="preserve"> at 3-5.</w:t>
      </w:r>
    </w:p>
  </w:footnote>
  <w:footnote w:id="44">
    <w:p w:rsidR="00240196" w:rsidP="00240196">
      <w:pPr>
        <w:pStyle w:val="FootnoteText"/>
      </w:pPr>
      <w:r>
        <w:rPr>
          <w:rStyle w:val="FootnoteReference"/>
        </w:rPr>
        <w:footnoteRef/>
      </w:r>
      <w:r>
        <w:t xml:space="preserve"> </w:t>
      </w:r>
      <w:r w:rsidRPr="006112CB">
        <w:rPr>
          <w:i/>
          <w:iCs/>
        </w:rPr>
        <w:t>See</w:t>
      </w:r>
      <w:r w:rsidRPr="006112CB">
        <w:t xml:space="preserve"> Services Tariff </w:t>
      </w:r>
      <w:r w:rsidR="009148A1">
        <w:t xml:space="preserve">5.14, </w:t>
      </w:r>
      <w:r w:rsidRPr="006112CB" w:rsidR="00BC13DF">
        <w:t>§</w:t>
      </w:r>
      <w:r w:rsidR="00BC13DF">
        <w:t> </w:t>
      </w:r>
      <w:r w:rsidRPr="006112CB" w:rsidR="00BC13DF">
        <w:t>5</w:t>
      </w:r>
      <w:r w:rsidRPr="006112CB">
        <w:t>.14.1.2.2.</w:t>
      </w:r>
    </w:p>
  </w:footnote>
  <w:footnote w:id="45">
    <w:p w:rsidR="00240196" w:rsidP="00BC13DF">
      <w:pPr>
        <w:pStyle w:val="FootnoteText"/>
        <w:widowControl/>
      </w:pPr>
      <w:r w:rsidRPr="00796361">
        <w:rPr>
          <w:rStyle w:val="FootnoteReference"/>
        </w:rPr>
        <w:footnoteRef/>
      </w:r>
      <w:r>
        <w:t xml:space="preserve"> Compliance Filing</w:t>
      </w:r>
      <w:r w:rsidR="009260CA">
        <w:t>, Transmittal Letter</w:t>
      </w:r>
      <w:r>
        <w:t xml:space="preserve"> at 3 (citing </w:t>
      </w:r>
      <w:r w:rsidRPr="00DF66BB" w:rsidR="00B940F2">
        <w:t>NYISO November 2024 Demand Curve Reset Filing</w:t>
      </w:r>
      <w:r w:rsidR="001E0F24">
        <w:t>, Transmittal Letter</w:t>
      </w:r>
      <w:r w:rsidRPr="00A375F6" w:rsidR="00B940F2">
        <w:t xml:space="preserve"> at </w:t>
      </w:r>
      <w:r w:rsidRPr="00A375F6">
        <w:t>50-51</w:t>
      </w:r>
      <w:r>
        <w:t>)</w:t>
      </w:r>
      <w:r w:rsidRPr="00846214">
        <w:t>.</w:t>
      </w:r>
    </w:p>
  </w:footnote>
  <w:footnote w:id="46">
    <w:p w:rsidR="00240196" w:rsidP="00240196">
      <w:pPr>
        <w:pStyle w:val="FootnoteText"/>
      </w:pPr>
      <w:r>
        <w:rPr>
          <w:rStyle w:val="FootnoteReference"/>
        </w:rPr>
        <w:footnoteRef/>
      </w:r>
      <w:r>
        <w:t xml:space="preserve"> </w:t>
      </w:r>
      <w:r w:rsidR="006C4F20">
        <w:rPr>
          <w:i/>
          <w:iCs/>
        </w:rPr>
        <w:t>Id.</w:t>
      </w:r>
      <w:r w:rsidRPr="00BC13DF" w:rsidR="006C4F20">
        <w:rPr>
          <w:iCs/>
        </w:rPr>
        <w:t xml:space="preserve"> </w:t>
      </w:r>
      <w:r>
        <w:t>at 3-4.</w:t>
      </w:r>
    </w:p>
  </w:footnote>
  <w:footnote w:id="47">
    <w:p w:rsidR="00240196" w:rsidP="00240196">
      <w:pPr>
        <w:pStyle w:val="FootnoteText"/>
      </w:pPr>
      <w:r>
        <w:rPr>
          <w:rStyle w:val="FootnoteReference"/>
        </w:rPr>
        <w:footnoteRef/>
      </w:r>
      <w:r>
        <w:t xml:space="preserve"> </w:t>
      </w:r>
      <w:r w:rsidR="006C4F20">
        <w:rPr>
          <w:i/>
          <w:iCs/>
        </w:rPr>
        <w:t>Id.</w:t>
      </w:r>
      <w:r w:rsidR="006C4F20">
        <w:t xml:space="preserve"> </w:t>
      </w:r>
      <w:r>
        <w:t xml:space="preserve">(citing </w:t>
      </w:r>
      <w:r w:rsidRPr="00BC37A4" w:rsidR="003034E5">
        <w:t>NYISO November 2024 Demand Curve Reset Filing</w:t>
      </w:r>
      <w:r w:rsidR="001E0F24">
        <w:t>, Transmittal Letter at</w:t>
      </w:r>
      <w:r w:rsidRPr="00BC37A4" w:rsidR="003034E5">
        <w:t xml:space="preserve"> </w:t>
      </w:r>
      <w:r w:rsidRPr="00BC37A4">
        <w:t>51</w:t>
      </w:r>
      <w:r w:rsidR="00BA1023">
        <w:t>,</w:t>
      </w:r>
      <w:r w:rsidRPr="00BC37A4">
        <w:t xml:space="preserve"> 68</w:t>
      </w:r>
      <w:r>
        <w:t>).</w:t>
      </w:r>
    </w:p>
  </w:footnote>
  <w:footnote w:id="48">
    <w:p w:rsidR="00240196" w:rsidP="00240196">
      <w:pPr>
        <w:pStyle w:val="FootnoteText"/>
      </w:pPr>
      <w:r>
        <w:rPr>
          <w:rStyle w:val="FootnoteReference"/>
        </w:rPr>
        <w:footnoteRef/>
      </w:r>
      <w:r>
        <w:t xml:space="preserve"> </w:t>
      </w:r>
      <w:r w:rsidR="006C4F20">
        <w:rPr>
          <w:i/>
          <w:iCs/>
        </w:rPr>
        <w:t>Id.</w:t>
      </w:r>
      <w:r w:rsidRPr="00BC13DF" w:rsidR="006C4F20">
        <w:rPr>
          <w:iCs/>
        </w:rPr>
        <w:t xml:space="preserve"> </w:t>
      </w:r>
      <w:r>
        <w:t xml:space="preserve">at 4; </w:t>
      </w:r>
      <w:r w:rsidR="00330DF1">
        <w:rPr>
          <w:i/>
          <w:iCs/>
        </w:rPr>
        <w:t>see also</w:t>
      </w:r>
      <w:r w:rsidRPr="00BC13DF" w:rsidR="00330DF1">
        <w:rPr>
          <w:iCs/>
        </w:rPr>
        <w:t xml:space="preserve"> </w:t>
      </w:r>
      <w:r w:rsidRPr="00DF66BB" w:rsidR="003034E5">
        <w:t>NYISO November 2024 Demand Curve Reset Filing</w:t>
      </w:r>
      <w:r w:rsidR="00885959">
        <w:t>, Transmittal Letter at</w:t>
      </w:r>
      <w:r w:rsidRPr="00C049EC" w:rsidR="003034E5">
        <w:t xml:space="preserve"> </w:t>
      </w:r>
      <w:r w:rsidRPr="00C049EC">
        <w:t>50-51</w:t>
      </w:r>
      <w:r>
        <w:t xml:space="preserve">; </w:t>
      </w:r>
      <w:r>
        <w:rPr>
          <w:i/>
          <w:iCs/>
        </w:rPr>
        <w:t>N.</w:t>
      </w:r>
      <w:r w:rsidRPr="00631336">
        <w:rPr>
          <w:i/>
          <w:iCs/>
        </w:rPr>
        <w:t>Y</w:t>
      </w:r>
      <w:r>
        <w:rPr>
          <w:i/>
          <w:iCs/>
        </w:rPr>
        <w:t>.</w:t>
      </w:r>
      <w:r w:rsidRPr="00631336">
        <w:rPr>
          <w:i/>
          <w:iCs/>
        </w:rPr>
        <w:t xml:space="preserve"> Indep. Sys. Operator, Inc.</w:t>
      </w:r>
      <w:r w:rsidRPr="00631336">
        <w:t xml:space="preserve">, 190 FERC </w:t>
      </w:r>
      <w:r w:rsidRPr="00631336" w:rsidR="00BC13DF">
        <w:t>¶</w:t>
      </w:r>
      <w:r w:rsidR="00BC13DF">
        <w:t> </w:t>
      </w:r>
      <w:r w:rsidRPr="00631336" w:rsidR="00BC13DF">
        <w:t>6</w:t>
      </w:r>
      <w:r w:rsidRPr="00631336">
        <w:t>1,051</w:t>
      </w:r>
      <w:r>
        <w:t>.</w:t>
      </w:r>
    </w:p>
  </w:footnote>
  <w:footnote w:id="49">
    <w:p w:rsidR="00240196" w:rsidP="00240196">
      <w:pPr>
        <w:pStyle w:val="FootnoteText"/>
      </w:pPr>
      <w:r>
        <w:rPr>
          <w:rStyle w:val="FootnoteReference"/>
        </w:rPr>
        <w:footnoteRef/>
      </w:r>
      <w:r>
        <w:t xml:space="preserve"> Compliance Filing</w:t>
      </w:r>
      <w:r w:rsidR="00FB65D4">
        <w:t>, Transmittal Letter</w:t>
      </w:r>
      <w:r>
        <w:t xml:space="preserve"> at 4, 7.  NYISO explains that the </w:t>
      </w:r>
      <w:r w:rsidRPr="00A81D2E">
        <w:t>ICAP Demand Curves are updated annually and cover a Capability Year, i.e. May 1 through April 30 or a Summer Capability Period followed by a Winter Capability Period</w:t>
      </w:r>
      <w:r>
        <w:t xml:space="preserve">.  </w:t>
      </w:r>
      <w:r w:rsidR="008B73EF">
        <w:rPr>
          <w:i/>
          <w:iCs/>
        </w:rPr>
        <w:t>Id.</w:t>
      </w:r>
      <w:r w:rsidRPr="00BC13DF" w:rsidR="008B73EF">
        <w:rPr>
          <w:iCs/>
        </w:rPr>
        <w:t xml:space="preserve"> </w:t>
      </w:r>
      <w:r>
        <w:t xml:space="preserve">at 4 n.20. </w:t>
      </w:r>
    </w:p>
  </w:footnote>
  <w:footnote w:id="50">
    <w:p w:rsidR="00652E0B" w:rsidP="00652E0B">
      <w:pPr>
        <w:pStyle w:val="FootnoteText"/>
      </w:pPr>
      <w:r>
        <w:rPr>
          <w:rStyle w:val="FootnoteReference"/>
        </w:rPr>
        <w:footnoteRef/>
      </w:r>
      <w:r>
        <w:t xml:space="preserve"> </w:t>
      </w:r>
      <w:r w:rsidRPr="00DF5768" w:rsidR="003034E5">
        <w:t xml:space="preserve">Utility Intervention Unit </w:t>
      </w:r>
      <w:r w:rsidR="00326B43">
        <w:t xml:space="preserve">Protest at </w:t>
      </w:r>
      <w:r w:rsidR="00C078D8">
        <w:t>3</w:t>
      </w:r>
      <w:r w:rsidR="006D7881">
        <w:t>-5, 8, 10-11</w:t>
      </w:r>
      <w:r w:rsidR="00C078D8">
        <w:t>.</w:t>
      </w:r>
    </w:p>
  </w:footnote>
  <w:footnote w:id="51">
    <w:p w:rsidR="00240196" w:rsidRPr="00A1434B" w:rsidP="00240196">
      <w:pPr>
        <w:pStyle w:val="FootnoteText"/>
        <w:rPr>
          <w:szCs w:val="26"/>
        </w:rPr>
      </w:pPr>
      <w:r w:rsidRPr="00A1434B">
        <w:rPr>
          <w:rStyle w:val="FootnoteReference"/>
          <w:szCs w:val="26"/>
        </w:rPr>
        <w:footnoteRef/>
      </w:r>
      <w:r w:rsidRPr="00A1434B">
        <w:rPr>
          <w:szCs w:val="26"/>
        </w:rPr>
        <w:t xml:space="preserve"> NYISO Answer at 3</w:t>
      </w:r>
      <w:r>
        <w:rPr>
          <w:szCs w:val="26"/>
        </w:rPr>
        <w:t>-5</w:t>
      </w:r>
      <w:r w:rsidRPr="00A1434B">
        <w:rPr>
          <w:szCs w:val="26"/>
        </w:rPr>
        <w:t>.</w:t>
      </w:r>
    </w:p>
  </w:footnote>
  <w:footnote w:id="52">
    <w:p w:rsidR="00240196" w:rsidRPr="00E6382D" w:rsidP="00240196">
      <w:pPr>
        <w:pStyle w:val="FootnoteText"/>
      </w:pPr>
      <w:r>
        <w:rPr>
          <w:rStyle w:val="FootnoteReference"/>
        </w:rPr>
        <w:footnoteRef/>
      </w:r>
      <w:r>
        <w:t xml:space="preserve"> NYISO states that its proposed compliance proposal is expected to increase consumer costs in the capacity market by approximately $68 million annually while saving consumers $48 million annually in reduced VSS program costs.  </w:t>
      </w:r>
      <w:r w:rsidR="006D7881">
        <w:rPr>
          <w:i/>
          <w:iCs/>
        </w:rPr>
        <w:t>Id.</w:t>
      </w:r>
      <w:r w:rsidRPr="00BC13DF" w:rsidR="006D7881">
        <w:rPr>
          <w:iCs/>
        </w:rPr>
        <w:t xml:space="preserve"> </w:t>
      </w:r>
      <w:r>
        <w:t xml:space="preserve">at 5.  NYISO claims that discontinuing VSS payments altogether, in contrast, would likely increase consumer capacity market costs by approximately $130 million annually while annually saving approximately $78 million in VSS payments.  </w:t>
      </w:r>
      <w:r>
        <w:rPr>
          <w:i/>
          <w:iCs/>
        </w:rPr>
        <w:t>Id.</w:t>
      </w:r>
    </w:p>
  </w:footnote>
  <w:footnote w:id="53">
    <w:p w:rsidR="00240196" w:rsidP="00240196">
      <w:pPr>
        <w:pStyle w:val="FootnoteText"/>
      </w:pPr>
      <w:r>
        <w:rPr>
          <w:rStyle w:val="FootnoteReference"/>
        </w:rPr>
        <w:footnoteRef/>
      </w:r>
      <w:r>
        <w:t xml:space="preserve"> </w:t>
      </w:r>
      <w:r w:rsidR="00794C7F">
        <w:rPr>
          <w:i/>
          <w:iCs/>
        </w:rPr>
        <w:t>Id.</w:t>
      </w:r>
      <w:r w:rsidRPr="00BC13DF" w:rsidR="00794C7F">
        <w:rPr>
          <w:iCs/>
        </w:rPr>
        <w:t xml:space="preserve"> </w:t>
      </w:r>
      <w:r>
        <w:t xml:space="preserve">at 5-6 (citing </w:t>
      </w:r>
      <w:r>
        <w:rPr>
          <w:i/>
          <w:iCs/>
        </w:rPr>
        <w:t>N.</w:t>
      </w:r>
      <w:r w:rsidRPr="00631336">
        <w:rPr>
          <w:i/>
          <w:iCs/>
        </w:rPr>
        <w:t>Y</w:t>
      </w:r>
      <w:r>
        <w:rPr>
          <w:i/>
          <w:iCs/>
        </w:rPr>
        <w:t>.</w:t>
      </w:r>
      <w:r w:rsidRPr="00631336">
        <w:rPr>
          <w:i/>
          <w:iCs/>
        </w:rPr>
        <w:t xml:space="preserve"> Indep. Sys. Operator, Inc.</w:t>
      </w:r>
      <w:r w:rsidRPr="00631336">
        <w:t xml:space="preserve">, 190 FERC </w:t>
      </w:r>
      <w:r w:rsidRPr="00631336" w:rsidR="00BC13DF">
        <w:t>¶</w:t>
      </w:r>
      <w:r w:rsidR="00BC13DF">
        <w:t> </w:t>
      </w:r>
      <w:r w:rsidRPr="00631336" w:rsidR="00BC13DF">
        <w:t>6</w:t>
      </w:r>
      <w:r w:rsidRPr="00631336">
        <w:t>1,051</w:t>
      </w:r>
      <w:r>
        <w:t>).</w:t>
      </w:r>
    </w:p>
  </w:footnote>
  <w:footnote w:id="54">
    <w:p w:rsidR="00D60197">
      <w:pPr>
        <w:pStyle w:val="FootnoteText"/>
      </w:pPr>
      <w:r>
        <w:rPr>
          <w:rStyle w:val="FootnoteReference"/>
        </w:rPr>
        <w:footnoteRef/>
      </w:r>
      <w:r>
        <w:t xml:space="preserve"> </w:t>
      </w:r>
      <w:r w:rsidR="00A53128">
        <w:t>Order No. 904,</w:t>
      </w:r>
      <w:r w:rsidRPr="00396243" w:rsidR="00A53128">
        <w:t xml:space="preserve"> </w:t>
      </w:r>
      <w:r w:rsidRPr="000029F6" w:rsidR="00A53128">
        <w:t xml:space="preserve">189 FERC </w:t>
      </w:r>
      <w:r w:rsidRPr="000029F6" w:rsidR="00BC13DF">
        <w:t>¶</w:t>
      </w:r>
      <w:r w:rsidR="00BC13DF">
        <w:t> </w:t>
      </w:r>
      <w:r w:rsidRPr="000029F6" w:rsidR="00BC13DF">
        <w:t>6</w:t>
      </w:r>
      <w:r w:rsidRPr="000029F6" w:rsidR="00A53128">
        <w:t>1,034</w:t>
      </w:r>
      <w:r w:rsidR="00A53128">
        <w:t xml:space="preserve"> at </w:t>
      </w:r>
      <w:r w:rsidR="00BC13DF">
        <w:t>P 2</w:t>
      </w:r>
      <w:r w:rsidR="00A53128">
        <w:t>24.</w:t>
      </w:r>
    </w:p>
  </w:footnote>
  <w:footnote w:id="55">
    <w:p w:rsidR="00364D50" w:rsidRPr="008A5B83" w:rsidP="00364D50">
      <w:pPr>
        <w:pStyle w:val="FootnoteText"/>
        <w:rPr>
          <w:szCs w:val="26"/>
          <w:u w:val="single"/>
        </w:rPr>
      </w:pPr>
      <w:r w:rsidRPr="00A1434B">
        <w:rPr>
          <w:rStyle w:val="FootnoteReference"/>
          <w:szCs w:val="26"/>
        </w:rPr>
        <w:footnoteRef/>
      </w:r>
      <w:r w:rsidRPr="00A1434B">
        <w:rPr>
          <w:szCs w:val="26"/>
        </w:rPr>
        <w:t xml:space="preserve"> </w:t>
      </w:r>
      <w:r w:rsidRPr="003877BE" w:rsidR="003877BE">
        <w:t>NYISO Answer</w:t>
      </w:r>
      <w:r w:rsidRPr="00BC13DF" w:rsidR="003F2F53">
        <w:rPr>
          <w:iCs/>
        </w:rPr>
        <w:t xml:space="preserve"> </w:t>
      </w:r>
      <w:r w:rsidRPr="00A1434B">
        <w:rPr>
          <w:szCs w:val="26"/>
        </w:rPr>
        <w:t>at 3</w:t>
      </w:r>
      <w:r>
        <w:rPr>
          <w:szCs w:val="26"/>
        </w:rPr>
        <w:t>-5</w:t>
      </w:r>
      <w:r w:rsidR="005F2754">
        <w:rPr>
          <w:szCs w:val="26"/>
        </w:rPr>
        <w:t>.</w:t>
      </w:r>
      <w:r w:rsidR="003D2EDA">
        <w:rPr>
          <w:szCs w:val="26"/>
        </w:rPr>
        <w:t xml:space="preserve"> </w:t>
      </w:r>
    </w:p>
  </w:footnote>
  <w:footnote w:id="56">
    <w:p w:rsidR="0064234B" w:rsidRPr="002D56A4">
      <w:pPr>
        <w:pStyle w:val="FootnoteText"/>
      </w:pPr>
      <w:r>
        <w:rPr>
          <w:rStyle w:val="FootnoteReference"/>
        </w:rPr>
        <w:footnoteRef/>
      </w:r>
      <w:r>
        <w:t xml:space="preserve"> </w:t>
      </w:r>
      <w:r w:rsidRPr="00694D05">
        <w:rPr>
          <w:i/>
          <w:iCs/>
        </w:rPr>
        <w:t>See</w:t>
      </w:r>
      <w:r w:rsidRPr="00694D05">
        <w:t xml:space="preserve"> </w:t>
      </w:r>
      <w:r w:rsidRPr="00694D05" w:rsidR="002D56A4">
        <w:rPr>
          <w:i/>
          <w:iCs/>
        </w:rPr>
        <w:t>supra</w:t>
      </w:r>
      <w:r w:rsidRPr="00BC13DF" w:rsidR="002D56A4">
        <w:rPr>
          <w:iCs/>
        </w:rPr>
        <w:t xml:space="preserve"> </w:t>
      </w:r>
      <w:r w:rsidRPr="00694D05" w:rsidR="00BC13DF">
        <w:t>P</w:t>
      </w:r>
      <w:r w:rsidR="00BC13DF">
        <w:t> </w:t>
      </w:r>
      <w:r w:rsidRPr="00694D05" w:rsidR="00BC13DF">
        <w:t>2</w:t>
      </w:r>
      <w:r w:rsidRPr="00694D05" w:rsidR="002D56A4">
        <w:t>1.</w:t>
      </w:r>
    </w:p>
  </w:footnote>
  <w:footnote w:id="57">
    <w:p w:rsidR="005F2754" w:rsidP="007B6AC2">
      <w:pPr>
        <w:pStyle w:val="FootnoteText"/>
        <w:ind w:right="-90"/>
      </w:pPr>
      <w:r>
        <w:rPr>
          <w:rStyle w:val="FootnoteReference"/>
        </w:rPr>
        <w:footnoteRef/>
      </w:r>
      <w:r>
        <w:t xml:space="preserve"> </w:t>
      </w:r>
      <w:r>
        <w:rPr>
          <w:i/>
          <w:iCs/>
        </w:rPr>
        <w:t>See</w:t>
      </w:r>
      <w:r w:rsidRPr="00BC13DF">
        <w:rPr>
          <w:iCs/>
        </w:rPr>
        <w:t xml:space="preserve"> </w:t>
      </w:r>
      <w:r>
        <w:t xml:space="preserve">Services Tariff 5.14, </w:t>
      </w:r>
      <w:r w:rsidR="00BC13DF">
        <w:t>§ </w:t>
      </w:r>
      <w:r w:rsidRPr="00C959BF" w:rsidR="00BC13DF">
        <w:t>5</w:t>
      </w:r>
      <w:r w:rsidRPr="00C959BF">
        <w:t>.14.1.2.2</w:t>
      </w:r>
      <w:r>
        <w:t xml:space="preserve"> (providing for NYISO to update the </w:t>
      </w:r>
      <w:r w:rsidR="007B6AC2">
        <w:t xml:space="preserve">   </w:t>
      </w:r>
      <w:r>
        <w:t xml:space="preserve">ICAP Demand Curves annually, including based on a net Energy and Ancillary Services revenues </w:t>
      </w:r>
      <w:r w:rsidR="00332486">
        <w:t xml:space="preserve">offset </w:t>
      </w:r>
      <w:r w:rsidR="00D45AEF">
        <w:t xml:space="preserve">and net Energy and Ancillary Services </w:t>
      </w:r>
      <w:r w:rsidR="009B2066">
        <w:t xml:space="preserve">revenue </w:t>
      </w:r>
      <w:r>
        <w:t xml:space="preserve">adder identified in NYISO’s periodic </w:t>
      </w:r>
      <w:r w:rsidR="003F7A85">
        <w:t>ICAP D</w:t>
      </w:r>
      <w:r>
        <w:t xml:space="preserve">emand </w:t>
      </w:r>
      <w:r w:rsidR="003F7A85">
        <w:t>C</w:t>
      </w:r>
      <w:r>
        <w:t>urve reset filings)</w:t>
      </w:r>
      <w:r>
        <w:rPr>
          <w:szCs w:val="26"/>
        </w:rPr>
        <w:t>;</w:t>
      </w:r>
      <w:r>
        <w:t xml:space="preserve"> </w:t>
      </w:r>
      <w:r>
        <w:rPr>
          <w:i/>
          <w:iCs/>
        </w:rPr>
        <w:t>N.</w:t>
      </w:r>
      <w:r w:rsidRPr="00631336">
        <w:rPr>
          <w:i/>
          <w:iCs/>
        </w:rPr>
        <w:t>Y</w:t>
      </w:r>
      <w:r>
        <w:rPr>
          <w:i/>
          <w:iCs/>
        </w:rPr>
        <w:t>.</w:t>
      </w:r>
      <w:r w:rsidRPr="00631336">
        <w:rPr>
          <w:i/>
          <w:iCs/>
        </w:rPr>
        <w:t xml:space="preserve"> Indep. Sys. Operator, Inc.</w:t>
      </w:r>
      <w:r w:rsidRPr="00631336">
        <w:t xml:space="preserve">, </w:t>
      </w:r>
      <w:r w:rsidR="007B6AC2">
        <w:t xml:space="preserve"> </w:t>
      </w:r>
      <w:r w:rsidRPr="00631336">
        <w:t xml:space="preserve">190 FERC </w:t>
      </w:r>
      <w:r w:rsidRPr="00631336" w:rsidR="00BC13DF">
        <w:t>¶</w:t>
      </w:r>
      <w:r w:rsidR="00BC13DF">
        <w:t> </w:t>
      </w:r>
      <w:r w:rsidRPr="00631336" w:rsidR="00BC13DF">
        <w:t>6</w:t>
      </w:r>
      <w:r w:rsidRPr="00631336">
        <w:t>1,051</w:t>
      </w:r>
      <w:r>
        <w:t xml:space="preserve"> at </w:t>
      </w:r>
      <w:r w:rsidR="00BC13DF">
        <w:t>P 1</w:t>
      </w:r>
      <w:r>
        <w:t>8 (accepting the NYISO November 2024 Demand Curve Reset Filing, which provides for the Energy and Ancillary Services revenues adder to account for likely VSS revenues based on the compensation structure described in Rate Schedule 2 of the Services Tariff); NYISO November 2024 Demand Curve Reset Filing, Transmittal Letter at 50-51.</w:t>
      </w:r>
    </w:p>
  </w:footnote>
  <w:footnote w:id="58">
    <w:p w:rsidR="00932A7B" w:rsidP="00932A7B">
      <w:pPr>
        <w:pStyle w:val="FootnoteText"/>
      </w:pPr>
      <w:r>
        <w:rPr>
          <w:rStyle w:val="FootnoteReference"/>
        </w:rPr>
        <w:footnoteRef/>
      </w:r>
      <w:r>
        <w:t xml:space="preserve"> Order No. 904</w:t>
      </w:r>
      <w:r w:rsidR="00396243">
        <w:t>,</w:t>
      </w:r>
      <w:r w:rsidRPr="00396243" w:rsidR="00396243">
        <w:t xml:space="preserve"> </w:t>
      </w:r>
      <w:r w:rsidRPr="000029F6" w:rsidR="00396243">
        <w:t xml:space="preserve">189 FERC </w:t>
      </w:r>
      <w:r w:rsidRPr="000029F6" w:rsidR="00BC13DF">
        <w:t>¶</w:t>
      </w:r>
      <w:r w:rsidR="00BC13DF">
        <w:t> </w:t>
      </w:r>
      <w:r w:rsidRPr="000029F6" w:rsidR="00BC13DF">
        <w:t>6</w:t>
      </w:r>
      <w:r w:rsidRPr="000029F6" w:rsidR="00396243">
        <w:t>1,034</w:t>
      </w:r>
      <w:r>
        <w:t xml:space="preserve"> at P</w:t>
      </w:r>
      <w:r w:rsidR="00BC13DF">
        <w:t>P 2</w:t>
      </w:r>
      <w:r>
        <w:t>24-228.</w:t>
      </w:r>
    </w:p>
  </w:footnote>
  <w:footnote w:id="59">
    <w:p w:rsidR="00240196" w:rsidP="00240196">
      <w:pPr>
        <w:pStyle w:val="FootnoteText"/>
      </w:pPr>
      <w:r>
        <w:rPr>
          <w:rStyle w:val="FootnoteReference"/>
        </w:rPr>
        <w:footnoteRef/>
      </w:r>
      <w:r>
        <w:t xml:space="preserve"> Compliance Filing</w:t>
      </w:r>
      <w:r w:rsidR="00AB7495">
        <w:t>, Transmittal Letter</w:t>
      </w:r>
      <w:r>
        <w:t xml:space="preserve"> at 7.</w:t>
      </w:r>
    </w:p>
  </w:footnote>
  <w:footnote w:id="60">
    <w:p w:rsidR="00240196" w:rsidRPr="006A689A" w:rsidP="00240196">
      <w:pPr>
        <w:pStyle w:val="FootnoteText"/>
      </w:pPr>
      <w:r>
        <w:rPr>
          <w:rStyle w:val="FootnoteReference"/>
        </w:rPr>
        <w:footnoteRef/>
      </w:r>
      <w:r>
        <w:t xml:space="preserve"> </w:t>
      </w:r>
      <w:r>
        <w:rPr>
          <w:i/>
          <w:iCs/>
        </w:rPr>
        <w:t>Id.</w:t>
      </w:r>
      <w:r>
        <w:t xml:space="preserve"> (citing </w:t>
      </w:r>
      <w:r w:rsidRPr="00AA23E7">
        <w:t xml:space="preserve">Order No. </w:t>
      </w:r>
      <w:r>
        <w:t>904</w:t>
      </w:r>
      <w:r w:rsidRPr="00AA23E7">
        <w:t xml:space="preserve">, </w:t>
      </w:r>
      <w:r w:rsidRPr="000029F6">
        <w:t xml:space="preserve">189 FERC </w:t>
      </w:r>
      <w:r w:rsidRPr="000029F6" w:rsidR="00BC13DF">
        <w:t>¶</w:t>
      </w:r>
      <w:r w:rsidR="00BC13DF">
        <w:t> </w:t>
      </w:r>
      <w:r w:rsidRPr="000029F6" w:rsidR="00BC13DF">
        <w:t>6</w:t>
      </w:r>
      <w:r w:rsidRPr="000029F6">
        <w:t>1,034</w:t>
      </w:r>
      <w:r>
        <w:t xml:space="preserve"> at </w:t>
      </w:r>
      <w:r w:rsidR="00BC13DF">
        <w:t>P 2</w:t>
      </w:r>
      <w:r>
        <w:t>24).</w:t>
      </w:r>
    </w:p>
  </w:footnote>
  <w:footnote w:id="61">
    <w:p w:rsidR="00305014">
      <w:pPr>
        <w:pStyle w:val="FootnoteText"/>
      </w:pPr>
      <w:r>
        <w:rPr>
          <w:rStyle w:val="FootnoteReference"/>
        </w:rPr>
        <w:footnoteRef/>
      </w:r>
      <w:r>
        <w:t xml:space="preserve"> </w:t>
      </w:r>
      <w:r w:rsidRPr="00AA23E7" w:rsidR="008C6662">
        <w:t xml:space="preserve">Order No. </w:t>
      </w:r>
      <w:r w:rsidR="008C6662">
        <w:t>904</w:t>
      </w:r>
      <w:r w:rsidRPr="00AA23E7" w:rsidR="008C6662">
        <w:t xml:space="preserve">, </w:t>
      </w:r>
      <w:r w:rsidRPr="000029F6" w:rsidR="008C6662">
        <w:t xml:space="preserve">189 FERC </w:t>
      </w:r>
      <w:r w:rsidRPr="000029F6" w:rsidR="00BC13DF">
        <w:t>¶</w:t>
      </w:r>
      <w:r w:rsidR="00BC13DF">
        <w:t> </w:t>
      </w:r>
      <w:r w:rsidRPr="000029F6" w:rsidR="00BC13DF">
        <w:t>6</w:t>
      </w:r>
      <w:r w:rsidRPr="000029F6" w:rsidR="008C6662">
        <w:t>1,034</w:t>
      </w:r>
      <w:r w:rsidR="008C6662">
        <w:t xml:space="preserve"> at </w:t>
      </w:r>
      <w:r w:rsidR="00BC13DF">
        <w:t>P 2</w:t>
      </w:r>
      <w:r w:rsidR="008C6662">
        <w:t>24.</w:t>
      </w:r>
    </w:p>
  </w:footnote>
  <w:footnote w:id="62">
    <w:p w:rsidR="002531A4" w:rsidP="002531A4">
      <w:pPr>
        <w:pStyle w:val="FootnoteText"/>
      </w:pPr>
      <w:r>
        <w:rPr>
          <w:rStyle w:val="FootnoteReference"/>
        </w:rPr>
        <w:footnoteRef/>
      </w:r>
      <w:r>
        <w:t xml:space="preserve"> Compliance Filing</w:t>
      </w:r>
      <w:r w:rsidR="00AB7495">
        <w:t>, Transmittal Letter</w:t>
      </w:r>
      <w:r>
        <w:t xml:space="preserve"> at 3-5.</w:t>
      </w:r>
    </w:p>
  </w:footnote>
  <w:footnote w:id="63">
    <w:p w:rsidR="00DE6D29">
      <w:pPr>
        <w:pStyle w:val="FootnoteText"/>
      </w:pPr>
      <w:r>
        <w:rPr>
          <w:rStyle w:val="FootnoteReference"/>
        </w:rPr>
        <w:footnoteRef/>
      </w:r>
      <w:r>
        <w:t xml:space="preserve"> </w:t>
      </w:r>
      <w:r w:rsidR="0084173E">
        <w:rPr>
          <w:i/>
          <w:iCs/>
        </w:rPr>
        <w:t>See i</w:t>
      </w:r>
      <w:r w:rsidR="00F0133E">
        <w:rPr>
          <w:i/>
          <w:iCs/>
        </w:rPr>
        <w:t>d.</w:t>
      </w:r>
      <w:r w:rsidRPr="00BC13DF" w:rsidR="00F0133E">
        <w:rPr>
          <w:iCs/>
        </w:rPr>
        <w:t xml:space="preserve"> </w:t>
      </w:r>
      <w:r>
        <w:t>at 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BF5E94">
    <w:pPr>
      <w:pStyle w:val="Header"/>
      <w:tabs>
        <w:tab w:val="clear" w:pos="4680"/>
      </w:tabs>
      <w:spacing w:after="240"/>
    </w:pPr>
    <w:r>
      <w:t>Docket No. ER25-1</w:t>
    </w:r>
    <w:r w:rsidR="007450DB">
      <w:t>812</w:t>
    </w:r>
    <w:r>
      <w:t>-000</w:t>
      <w:tab/>
    </w:r>
    <w:r>
      <w:fldChar w:fldCharType="begin"/>
    </w:r>
    <w:r>
      <w:instrText xml:space="preserve"> PAGE  \* MERGEFORMAT </w:instrText>
    </w:r>
    <w:r>
      <w:fldChar w:fldCharType="separate"/>
    </w:r>
    <w:r>
      <w:rPr>
        <w:noProof/>
      </w:rPr>
      <w:t>- 17 -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BD1642"/>
    <w:multiLevelType w:val="hybridMultilevel"/>
    <w:tmpl w:val="EA3208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3">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6">
    <w:nsid w:val="3AEF2A78"/>
    <w:multiLevelType w:val="hybridMultilevel"/>
    <w:tmpl w:val="9ED6EC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301D75"/>
    <w:multiLevelType w:val="hybridMultilevel"/>
    <w:tmpl w:val="66320138"/>
    <w:lvl w:ilvl="0">
      <w:start w:val="1"/>
      <w:numFmt w:val="lowerLetter"/>
      <w:lvlText w:val="%1."/>
      <w:lvlJc w:val="left"/>
      <w:pPr>
        <w:tabs>
          <w:tab w:val="num" w:pos="2160"/>
        </w:tabs>
        <w:ind w:left="2160" w:hanging="72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19">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E70F30"/>
    <w:multiLevelType w:val="hybridMultilevel"/>
    <w:tmpl w:val="BBDA1DB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2">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93743A7"/>
    <w:multiLevelType w:val="hybridMultilevel"/>
    <w:tmpl w:val="1CDC74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6E0C0DFA"/>
    <w:multiLevelType w:val="hybridMultilevel"/>
    <w:tmpl w:val="D70C9E2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6">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2"/>
  </w:num>
  <w:num w:numId="13">
    <w:abstractNumId w:val="14"/>
  </w:num>
  <w:num w:numId="14">
    <w:abstractNumId w:val="25"/>
  </w:num>
  <w:num w:numId="15">
    <w:abstractNumId w:val="2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5"/>
  </w:num>
  <w:num w:numId="20">
    <w:abstractNumId w:val="13"/>
  </w:num>
  <w:num w:numId="21">
    <w:abstractNumId w:val="27"/>
  </w:num>
  <w:num w:numId="22">
    <w:abstractNumId w:val="17"/>
  </w:num>
  <w:num w:numId="23">
    <w:abstractNumId w:val="19"/>
  </w:num>
  <w:num w:numId="24">
    <w:abstractNumId w:val="26"/>
  </w:num>
  <w:num w:numId="25">
    <w:abstractNumId w:val="11"/>
  </w:num>
  <w:num w:numId="26">
    <w:abstractNumId w:val="23"/>
  </w:num>
  <w:num w:numId="27">
    <w:abstractNumId w:val="16"/>
  </w:num>
  <w:num w:numId="28">
    <w:abstractNumId w:val="18"/>
  </w:num>
  <w:num w:numId="29">
    <w:abstractNumId w:val="24"/>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BF5E94"/>
    <w:rsid w:val="000007A9"/>
    <w:rsid w:val="00000803"/>
    <w:rsid w:val="000010F1"/>
    <w:rsid w:val="00001103"/>
    <w:rsid w:val="00001596"/>
    <w:rsid w:val="000024DD"/>
    <w:rsid w:val="000026C7"/>
    <w:rsid w:val="000029E5"/>
    <w:rsid w:val="000029F6"/>
    <w:rsid w:val="00002E1E"/>
    <w:rsid w:val="00003340"/>
    <w:rsid w:val="00003459"/>
    <w:rsid w:val="00003D94"/>
    <w:rsid w:val="00004106"/>
    <w:rsid w:val="00004354"/>
    <w:rsid w:val="000049AA"/>
    <w:rsid w:val="00005BD7"/>
    <w:rsid w:val="00005F43"/>
    <w:rsid w:val="00006332"/>
    <w:rsid w:val="00006796"/>
    <w:rsid w:val="00007071"/>
    <w:rsid w:val="00007176"/>
    <w:rsid w:val="0000731D"/>
    <w:rsid w:val="0000761A"/>
    <w:rsid w:val="00007BBB"/>
    <w:rsid w:val="0001080C"/>
    <w:rsid w:val="000109A6"/>
    <w:rsid w:val="00010B69"/>
    <w:rsid w:val="00010FA6"/>
    <w:rsid w:val="00011664"/>
    <w:rsid w:val="000116C5"/>
    <w:rsid w:val="000118C8"/>
    <w:rsid w:val="000118D3"/>
    <w:rsid w:val="000119F5"/>
    <w:rsid w:val="000123B8"/>
    <w:rsid w:val="000128AF"/>
    <w:rsid w:val="00012D21"/>
    <w:rsid w:val="00013019"/>
    <w:rsid w:val="000131CF"/>
    <w:rsid w:val="00013482"/>
    <w:rsid w:val="00013DE5"/>
    <w:rsid w:val="000143AA"/>
    <w:rsid w:val="000145CA"/>
    <w:rsid w:val="00014F0A"/>
    <w:rsid w:val="00014F47"/>
    <w:rsid w:val="00014F88"/>
    <w:rsid w:val="000150FF"/>
    <w:rsid w:val="00015320"/>
    <w:rsid w:val="000159DB"/>
    <w:rsid w:val="000168F0"/>
    <w:rsid w:val="00016E7C"/>
    <w:rsid w:val="00016F43"/>
    <w:rsid w:val="0001756E"/>
    <w:rsid w:val="0002042F"/>
    <w:rsid w:val="0002075E"/>
    <w:rsid w:val="00020D7C"/>
    <w:rsid w:val="00021053"/>
    <w:rsid w:val="000212A6"/>
    <w:rsid w:val="000218D2"/>
    <w:rsid w:val="00021B0F"/>
    <w:rsid w:val="000227A0"/>
    <w:rsid w:val="00022A33"/>
    <w:rsid w:val="0002355F"/>
    <w:rsid w:val="0002398F"/>
    <w:rsid w:val="00024C9A"/>
    <w:rsid w:val="0002558C"/>
    <w:rsid w:val="00025AF9"/>
    <w:rsid w:val="00025DAC"/>
    <w:rsid w:val="00025E2C"/>
    <w:rsid w:val="00026146"/>
    <w:rsid w:val="00026815"/>
    <w:rsid w:val="00026A57"/>
    <w:rsid w:val="00026BEE"/>
    <w:rsid w:val="00026ED2"/>
    <w:rsid w:val="00027D1A"/>
    <w:rsid w:val="00027E8C"/>
    <w:rsid w:val="00030D61"/>
    <w:rsid w:val="00031443"/>
    <w:rsid w:val="000328FF"/>
    <w:rsid w:val="00032BFA"/>
    <w:rsid w:val="00033342"/>
    <w:rsid w:val="0003382F"/>
    <w:rsid w:val="00033DDF"/>
    <w:rsid w:val="00034180"/>
    <w:rsid w:val="000341F7"/>
    <w:rsid w:val="00034468"/>
    <w:rsid w:val="000345D0"/>
    <w:rsid w:val="0003473B"/>
    <w:rsid w:val="000353A8"/>
    <w:rsid w:val="000357B5"/>
    <w:rsid w:val="00035898"/>
    <w:rsid w:val="000358E1"/>
    <w:rsid w:val="00035DE5"/>
    <w:rsid w:val="0003604C"/>
    <w:rsid w:val="00036479"/>
    <w:rsid w:val="000364E5"/>
    <w:rsid w:val="00036534"/>
    <w:rsid w:val="00036946"/>
    <w:rsid w:val="0003722E"/>
    <w:rsid w:val="00037610"/>
    <w:rsid w:val="000407AD"/>
    <w:rsid w:val="00040B09"/>
    <w:rsid w:val="00040F8B"/>
    <w:rsid w:val="00041009"/>
    <w:rsid w:val="0004105D"/>
    <w:rsid w:val="000410A5"/>
    <w:rsid w:val="0004121E"/>
    <w:rsid w:val="00041B6F"/>
    <w:rsid w:val="0004236D"/>
    <w:rsid w:val="000428C4"/>
    <w:rsid w:val="00042BD9"/>
    <w:rsid w:val="000431D7"/>
    <w:rsid w:val="0004394F"/>
    <w:rsid w:val="00043987"/>
    <w:rsid w:val="00043ACA"/>
    <w:rsid w:val="00044411"/>
    <w:rsid w:val="0004624A"/>
    <w:rsid w:val="000463C7"/>
    <w:rsid w:val="00047852"/>
    <w:rsid w:val="00047940"/>
    <w:rsid w:val="00047CE5"/>
    <w:rsid w:val="00050986"/>
    <w:rsid w:val="000509DB"/>
    <w:rsid w:val="00050B18"/>
    <w:rsid w:val="00050F11"/>
    <w:rsid w:val="0005135D"/>
    <w:rsid w:val="00051885"/>
    <w:rsid w:val="00051D17"/>
    <w:rsid w:val="00051EEB"/>
    <w:rsid w:val="00052210"/>
    <w:rsid w:val="0005248C"/>
    <w:rsid w:val="00052C08"/>
    <w:rsid w:val="00053AEC"/>
    <w:rsid w:val="0005400A"/>
    <w:rsid w:val="000541BE"/>
    <w:rsid w:val="00054537"/>
    <w:rsid w:val="000550DC"/>
    <w:rsid w:val="000553AC"/>
    <w:rsid w:val="000554D8"/>
    <w:rsid w:val="000557C4"/>
    <w:rsid w:val="00055852"/>
    <w:rsid w:val="00055BD7"/>
    <w:rsid w:val="00055F5F"/>
    <w:rsid w:val="00056871"/>
    <w:rsid w:val="00056ADA"/>
    <w:rsid w:val="00056B02"/>
    <w:rsid w:val="0005773D"/>
    <w:rsid w:val="00057824"/>
    <w:rsid w:val="00057FF6"/>
    <w:rsid w:val="00060B1C"/>
    <w:rsid w:val="00060D22"/>
    <w:rsid w:val="00060E4B"/>
    <w:rsid w:val="00061136"/>
    <w:rsid w:val="0006117F"/>
    <w:rsid w:val="00062180"/>
    <w:rsid w:val="000623FF"/>
    <w:rsid w:val="000624BC"/>
    <w:rsid w:val="000624D4"/>
    <w:rsid w:val="00062656"/>
    <w:rsid w:val="00062732"/>
    <w:rsid w:val="000639AC"/>
    <w:rsid w:val="00063E83"/>
    <w:rsid w:val="0006476A"/>
    <w:rsid w:val="00064CF9"/>
    <w:rsid w:val="00064E85"/>
    <w:rsid w:val="00064F8D"/>
    <w:rsid w:val="00065325"/>
    <w:rsid w:val="00066029"/>
    <w:rsid w:val="000663E3"/>
    <w:rsid w:val="000666DA"/>
    <w:rsid w:val="00066BBB"/>
    <w:rsid w:val="00066CE0"/>
    <w:rsid w:val="00066E36"/>
    <w:rsid w:val="0006703C"/>
    <w:rsid w:val="0006708E"/>
    <w:rsid w:val="000673A2"/>
    <w:rsid w:val="0006758D"/>
    <w:rsid w:val="00067B75"/>
    <w:rsid w:val="00070857"/>
    <w:rsid w:val="0007146F"/>
    <w:rsid w:val="000716E1"/>
    <w:rsid w:val="0007202B"/>
    <w:rsid w:val="000735DE"/>
    <w:rsid w:val="0007377C"/>
    <w:rsid w:val="0007383F"/>
    <w:rsid w:val="00074246"/>
    <w:rsid w:val="00074A8B"/>
    <w:rsid w:val="000750C8"/>
    <w:rsid w:val="000753EF"/>
    <w:rsid w:val="00075A0C"/>
    <w:rsid w:val="00075B01"/>
    <w:rsid w:val="00075E44"/>
    <w:rsid w:val="00076191"/>
    <w:rsid w:val="0007636C"/>
    <w:rsid w:val="00076442"/>
    <w:rsid w:val="00077A08"/>
    <w:rsid w:val="000803F6"/>
    <w:rsid w:val="00080943"/>
    <w:rsid w:val="00080BA7"/>
    <w:rsid w:val="00080D84"/>
    <w:rsid w:val="00080F74"/>
    <w:rsid w:val="00081704"/>
    <w:rsid w:val="000822F2"/>
    <w:rsid w:val="000828ED"/>
    <w:rsid w:val="00083D77"/>
    <w:rsid w:val="000843C8"/>
    <w:rsid w:val="0008478C"/>
    <w:rsid w:val="000847A7"/>
    <w:rsid w:val="00084A31"/>
    <w:rsid w:val="00086216"/>
    <w:rsid w:val="00086963"/>
    <w:rsid w:val="00086B6B"/>
    <w:rsid w:val="00086D98"/>
    <w:rsid w:val="00087190"/>
    <w:rsid w:val="0008778D"/>
    <w:rsid w:val="00087E80"/>
    <w:rsid w:val="00090527"/>
    <w:rsid w:val="000910A4"/>
    <w:rsid w:val="00091119"/>
    <w:rsid w:val="000912D8"/>
    <w:rsid w:val="000913B5"/>
    <w:rsid w:val="000914EF"/>
    <w:rsid w:val="000919C7"/>
    <w:rsid w:val="00092634"/>
    <w:rsid w:val="00092E68"/>
    <w:rsid w:val="00092F2D"/>
    <w:rsid w:val="0009309D"/>
    <w:rsid w:val="000930CB"/>
    <w:rsid w:val="0009457C"/>
    <w:rsid w:val="000949E1"/>
    <w:rsid w:val="00094A69"/>
    <w:rsid w:val="00094D4B"/>
    <w:rsid w:val="00094F2D"/>
    <w:rsid w:val="000959BF"/>
    <w:rsid w:val="00096589"/>
    <w:rsid w:val="000965CC"/>
    <w:rsid w:val="00096685"/>
    <w:rsid w:val="0009685B"/>
    <w:rsid w:val="00096C02"/>
    <w:rsid w:val="00096EB2"/>
    <w:rsid w:val="00097791"/>
    <w:rsid w:val="00097C05"/>
    <w:rsid w:val="00097DC6"/>
    <w:rsid w:val="000A1390"/>
    <w:rsid w:val="000A19CA"/>
    <w:rsid w:val="000A220F"/>
    <w:rsid w:val="000A307A"/>
    <w:rsid w:val="000A3D2F"/>
    <w:rsid w:val="000A4CB4"/>
    <w:rsid w:val="000A5151"/>
    <w:rsid w:val="000A6512"/>
    <w:rsid w:val="000A6568"/>
    <w:rsid w:val="000A6835"/>
    <w:rsid w:val="000A6AFC"/>
    <w:rsid w:val="000A6C08"/>
    <w:rsid w:val="000A6C93"/>
    <w:rsid w:val="000A75FD"/>
    <w:rsid w:val="000B045C"/>
    <w:rsid w:val="000B0637"/>
    <w:rsid w:val="000B0BBE"/>
    <w:rsid w:val="000B0BCA"/>
    <w:rsid w:val="000B0DB9"/>
    <w:rsid w:val="000B0F4C"/>
    <w:rsid w:val="000B116C"/>
    <w:rsid w:val="000B11A8"/>
    <w:rsid w:val="000B121C"/>
    <w:rsid w:val="000B1A1C"/>
    <w:rsid w:val="000B2BFA"/>
    <w:rsid w:val="000B2CB4"/>
    <w:rsid w:val="000B35CE"/>
    <w:rsid w:val="000B366E"/>
    <w:rsid w:val="000B4124"/>
    <w:rsid w:val="000B413F"/>
    <w:rsid w:val="000B51CD"/>
    <w:rsid w:val="000B5969"/>
    <w:rsid w:val="000B59F9"/>
    <w:rsid w:val="000B63E1"/>
    <w:rsid w:val="000B7486"/>
    <w:rsid w:val="000B7A33"/>
    <w:rsid w:val="000B7B93"/>
    <w:rsid w:val="000B7E62"/>
    <w:rsid w:val="000C0253"/>
    <w:rsid w:val="000C0978"/>
    <w:rsid w:val="000C0BCB"/>
    <w:rsid w:val="000C14AF"/>
    <w:rsid w:val="000C1546"/>
    <w:rsid w:val="000C1DDB"/>
    <w:rsid w:val="000C1FCA"/>
    <w:rsid w:val="000C2326"/>
    <w:rsid w:val="000C26C2"/>
    <w:rsid w:val="000C2D30"/>
    <w:rsid w:val="000C37BD"/>
    <w:rsid w:val="000C383B"/>
    <w:rsid w:val="000C4A0B"/>
    <w:rsid w:val="000C5316"/>
    <w:rsid w:val="000C5317"/>
    <w:rsid w:val="000C5A99"/>
    <w:rsid w:val="000C5CE1"/>
    <w:rsid w:val="000C6869"/>
    <w:rsid w:val="000C73F8"/>
    <w:rsid w:val="000C751D"/>
    <w:rsid w:val="000D0087"/>
    <w:rsid w:val="000D0934"/>
    <w:rsid w:val="000D0EE6"/>
    <w:rsid w:val="000D116B"/>
    <w:rsid w:val="000D1897"/>
    <w:rsid w:val="000D1D4B"/>
    <w:rsid w:val="000D1F30"/>
    <w:rsid w:val="000D1FB6"/>
    <w:rsid w:val="000D2F9A"/>
    <w:rsid w:val="000D4122"/>
    <w:rsid w:val="000D4530"/>
    <w:rsid w:val="000D47DA"/>
    <w:rsid w:val="000D603A"/>
    <w:rsid w:val="000D65C9"/>
    <w:rsid w:val="000D662B"/>
    <w:rsid w:val="000D663E"/>
    <w:rsid w:val="000D6744"/>
    <w:rsid w:val="000D739B"/>
    <w:rsid w:val="000D7DD4"/>
    <w:rsid w:val="000D7E4E"/>
    <w:rsid w:val="000D7E96"/>
    <w:rsid w:val="000E0082"/>
    <w:rsid w:val="000E065C"/>
    <w:rsid w:val="000E082C"/>
    <w:rsid w:val="000E0857"/>
    <w:rsid w:val="000E0CE5"/>
    <w:rsid w:val="000E0FB3"/>
    <w:rsid w:val="000E1224"/>
    <w:rsid w:val="000E1AE7"/>
    <w:rsid w:val="000E2B9D"/>
    <w:rsid w:val="000E2BFA"/>
    <w:rsid w:val="000E2D08"/>
    <w:rsid w:val="000E3521"/>
    <w:rsid w:val="000E3E2A"/>
    <w:rsid w:val="000E46EE"/>
    <w:rsid w:val="000E4C18"/>
    <w:rsid w:val="000E4D34"/>
    <w:rsid w:val="000E5521"/>
    <w:rsid w:val="000E761A"/>
    <w:rsid w:val="000E7DDA"/>
    <w:rsid w:val="000F044D"/>
    <w:rsid w:val="000F05EF"/>
    <w:rsid w:val="000F1180"/>
    <w:rsid w:val="000F1813"/>
    <w:rsid w:val="000F190F"/>
    <w:rsid w:val="000F1E48"/>
    <w:rsid w:val="000F1FF3"/>
    <w:rsid w:val="000F27B9"/>
    <w:rsid w:val="000F29B5"/>
    <w:rsid w:val="000F2A60"/>
    <w:rsid w:val="000F2DC1"/>
    <w:rsid w:val="000F325F"/>
    <w:rsid w:val="000F3391"/>
    <w:rsid w:val="000F3653"/>
    <w:rsid w:val="000F372C"/>
    <w:rsid w:val="000F3B1E"/>
    <w:rsid w:val="000F411F"/>
    <w:rsid w:val="000F4E36"/>
    <w:rsid w:val="000F4F8D"/>
    <w:rsid w:val="000F5273"/>
    <w:rsid w:val="000F5518"/>
    <w:rsid w:val="000F5A55"/>
    <w:rsid w:val="000F603B"/>
    <w:rsid w:val="000F61E2"/>
    <w:rsid w:val="000F6403"/>
    <w:rsid w:val="000F64FF"/>
    <w:rsid w:val="000F6630"/>
    <w:rsid w:val="000F6757"/>
    <w:rsid w:val="000F68F6"/>
    <w:rsid w:val="000F6C7F"/>
    <w:rsid w:val="000F715E"/>
    <w:rsid w:val="000F73F1"/>
    <w:rsid w:val="000F76BB"/>
    <w:rsid w:val="0010065B"/>
    <w:rsid w:val="00100E1B"/>
    <w:rsid w:val="001010B5"/>
    <w:rsid w:val="00101107"/>
    <w:rsid w:val="001014E8"/>
    <w:rsid w:val="0010165B"/>
    <w:rsid w:val="001017E9"/>
    <w:rsid w:val="001019DE"/>
    <w:rsid w:val="00102736"/>
    <w:rsid w:val="0010290F"/>
    <w:rsid w:val="00102C89"/>
    <w:rsid w:val="00102E9D"/>
    <w:rsid w:val="00103944"/>
    <w:rsid w:val="00103AA9"/>
    <w:rsid w:val="00104660"/>
    <w:rsid w:val="00104F76"/>
    <w:rsid w:val="00105AB0"/>
    <w:rsid w:val="0010601B"/>
    <w:rsid w:val="00106D1B"/>
    <w:rsid w:val="00110777"/>
    <w:rsid w:val="00110804"/>
    <w:rsid w:val="00110EDB"/>
    <w:rsid w:val="00111EDF"/>
    <w:rsid w:val="00111F9D"/>
    <w:rsid w:val="00112796"/>
    <w:rsid w:val="00112C26"/>
    <w:rsid w:val="00113548"/>
    <w:rsid w:val="001142B0"/>
    <w:rsid w:val="001147F8"/>
    <w:rsid w:val="001149CF"/>
    <w:rsid w:val="00114C90"/>
    <w:rsid w:val="00115311"/>
    <w:rsid w:val="00115882"/>
    <w:rsid w:val="001160CD"/>
    <w:rsid w:val="0011635B"/>
    <w:rsid w:val="001165FF"/>
    <w:rsid w:val="00116C45"/>
    <w:rsid w:val="00116DC5"/>
    <w:rsid w:val="00117CF6"/>
    <w:rsid w:val="00117FD4"/>
    <w:rsid w:val="00120603"/>
    <w:rsid w:val="001208A2"/>
    <w:rsid w:val="001209EF"/>
    <w:rsid w:val="001219A1"/>
    <w:rsid w:val="0012201A"/>
    <w:rsid w:val="0012207B"/>
    <w:rsid w:val="00122A4E"/>
    <w:rsid w:val="00122C76"/>
    <w:rsid w:val="00123519"/>
    <w:rsid w:val="001236E4"/>
    <w:rsid w:val="00123F24"/>
    <w:rsid w:val="0012408B"/>
    <w:rsid w:val="00124C66"/>
    <w:rsid w:val="001251DE"/>
    <w:rsid w:val="00125846"/>
    <w:rsid w:val="00126C70"/>
    <w:rsid w:val="0012713F"/>
    <w:rsid w:val="00127193"/>
    <w:rsid w:val="00127478"/>
    <w:rsid w:val="001279B9"/>
    <w:rsid w:val="00130311"/>
    <w:rsid w:val="0013058D"/>
    <w:rsid w:val="001307AE"/>
    <w:rsid w:val="00130917"/>
    <w:rsid w:val="00130CCE"/>
    <w:rsid w:val="00131471"/>
    <w:rsid w:val="0013205B"/>
    <w:rsid w:val="001322ED"/>
    <w:rsid w:val="00132405"/>
    <w:rsid w:val="00132B26"/>
    <w:rsid w:val="00132D57"/>
    <w:rsid w:val="00132F1A"/>
    <w:rsid w:val="00134733"/>
    <w:rsid w:val="00135649"/>
    <w:rsid w:val="00135A55"/>
    <w:rsid w:val="00136018"/>
    <w:rsid w:val="001371F5"/>
    <w:rsid w:val="001372F2"/>
    <w:rsid w:val="00137B4A"/>
    <w:rsid w:val="00141120"/>
    <w:rsid w:val="001421AA"/>
    <w:rsid w:val="00142621"/>
    <w:rsid w:val="00142C3D"/>
    <w:rsid w:val="00142C7F"/>
    <w:rsid w:val="00142F29"/>
    <w:rsid w:val="00143E7D"/>
    <w:rsid w:val="0014433F"/>
    <w:rsid w:val="00144F41"/>
    <w:rsid w:val="00144F82"/>
    <w:rsid w:val="0014502B"/>
    <w:rsid w:val="00145A2D"/>
    <w:rsid w:val="00145C00"/>
    <w:rsid w:val="00146074"/>
    <w:rsid w:val="0014620B"/>
    <w:rsid w:val="00146A50"/>
    <w:rsid w:val="00146BDF"/>
    <w:rsid w:val="00146EB8"/>
    <w:rsid w:val="00147246"/>
    <w:rsid w:val="001475EF"/>
    <w:rsid w:val="0014789C"/>
    <w:rsid w:val="00147932"/>
    <w:rsid w:val="00147CBF"/>
    <w:rsid w:val="00147D9C"/>
    <w:rsid w:val="00150E4B"/>
    <w:rsid w:val="001512A7"/>
    <w:rsid w:val="00151722"/>
    <w:rsid w:val="0015196C"/>
    <w:rsid w:val="00151AA3"/>
    <w:rsid w:val="00151EC0"/>
    <w:rsid w:val="001520D4"/>
    <w:rsid w:val="001526F8"/>
    <w:rsid w:val="00152F71"/>
    <w:rsid w:val="00153B31"/>
    <w:rsid w:val="00154003"/>
    <w:rsid w:val="0015417A"/>
    <w:rsid w:val="001544D0"/>
    <w:rsid w:val="001549DE"/>
    <w:rsid w:val="00154BFD"/>
    <w:rsid w:val="00154C7A"/>
    <w:rsid w:val="001551BD"/>
    <w:rsid w:val="00155A85"/>
    <w:rsid w:val="00155C1C"/>
    <w:rsid w:val="001560AA"/>
    <w:rsid w:val="00156BDD"/>
    <w:rsid w:val="00157462"/>
    <w:rsid w:val="00157BAD"/>
    <w:rsid w:val="00160371"/>
    <w:rsid w:val="0016056C"/>
    <w:rsid w:val="00160769"/>
    <w:rsid w:val="00160E20"/>
    <w:rsid w:val="0016104A"/>
    <w:rsid w:val="00161266"/>
    <w:rsid w:val="001613BF"/>
    <w:rsid w:val="00161875"/>
    <w:rsid w:val="001636BB"/>
    <w:rsid w:val="00163D9A"/>
    <w:rsid w:val="00164088"/>
    <w:rsid w:val="001647DC"/>
    <w:rsid w:val="00164FD1"/>
    <w:rsid w:val="0016531B"/>
    <w:rsid w:val="00165A6E"/>
    <w:rsid w:val="00166259"/>
    <w:rsid w:val="001666D1"/>
    <w:rsid w:val="00166AF2"/>
    <w:rsid w:val="001678C7"/>
    <w:rsid w:val="00167E20"/>
    <w:rsid w:val="00167EB0"/>
    <w:rsid w:val="00171A99"/>
    <w:rsid w:val="00172682"/>
    <w:rsid w:val="00172FAE"/>
    <w:rsid w:val="001733AC"/>
    <w:rsid w:val="001739C5"/>
    <w:rsid w:val="00173AC9"/>
    <w:rsid w:val="00173D9C"/>
    <w:rsid w:val="00174F2C"/>
    <w:rsid w:val="00175006"/>
    <w:rsid w:val="0017518A"/>
    <w:rsid w:val="0017541E"/>
    <w:rsid w:val="001754AA"/>
    <w:rsid w:val="00175A93"/>
    <w:rsid w:val="00175D29"/>
    <w:rsid w:val="00175F6C"/>
    <w:rsid w:val="001760E2"/>
    <w:rsid w:val="001761D2"/>
    <w:rsid w:val="0017696A"/>
    <w:rsid w:val="00176CAB"/>
    <w:rsid w:val="0017701D"/>
    <w:rsid w:val="00177A6B"/>
    <w:rsid w:val="00177AE1"/>
    <w:rsid w:val="00177B76"/>
    <w:rsid w:val="0018050F"/>
    <w:rsid w:val="001812C7"/>
    <w:rsid w:val="00181B05"/>
    <w:rsid w:val="00181FA7"/>
    <w:rsid w:val="001820C0"/>
    <w:rsid w:val="001820C4"/>
    <w:rsid w:val="001830A4"/>
    <w:rsid w:val="001841D9"/>
    <w:rsid w:val="00184C59"/>
    <w:rsid w:val="00184E6E"/>
    <w:rsid w:val="00184FB1"/>
    <w:rsid w:val="001851BC"/>
    <w:rsid w:val="001851D1"/>
    <w:rsid w:val="001857C3"/>
    <w:rsid w:val="00185879"/>
    <w:rsid w:val="0018599E"/>
    <w:rsid w:val="00185DA9"/>
    <w:rsid w:val="00185EA4"/>
    <w:rsid w:val="00185F75"/>
    <w:rsid w:val="0018603A"/>
    <w:rsid w:val="0018645F"/>
    <w:rsid w:val="0018648B"/>
    <w:rsid w:val="0018758C"/>
    <w:rsid w:val="00187598"/>
    <w:rsid w:val="001914F0"/>
    <w:rsid w:val="00191617"/>
    <w:rsid w:val="00191913"/>
    <w:rsid w:val="001921E6"/>
    <w:rsid w:val="0019240A"/>
    <w:rsid w:val="0019292E"/>
    <w:rsid w:val="001936FC"/>
    <w:rsid w:val="00193888"/>
    <w:rsid w:val="001939E7"/>
    <w:rsid w:val="00193FF6"/>
    <w:rsid w:val="0019423E"/>
    <w:rsid w:val="001947F1"/>
    <w:rsid w:val="00194CDA"/>
    <w:rsid w:val="00194FC9"/>
    <w:rsid w:val="00195692"/>
    <w:rsid w:val="0019570B"/>
    <w:rsid w:val="00195716"/>
    <w:rsid w:val="0019573E"/>
    <w:rsid w:val="00195AA4"/>
    <w:rsid w:val="001960DD"/>
    <w:rsid w:val="00196FDF"/>
    <w:rsid w:val="001A0C5F"/>
    <w:rsid w:val="001A0CBD"/>
    <w:rsid w:val="001A1234"/>
    <w:rsid w:val="001A1641"/>
    <w:rsid w:val="001A1693"/>
    <w:rsid w:val="001A16C7"/>
    <w:rsid w:val="001A1B59"/>
    <w:rsid w:val="001A1D8C"/>
    <w:rsid w:val="001A1EB0"/>
    <w:rsid w:val="001A2418"/>
    <w:rsid w:val="001A247A"/>
    <w:rsid w:val="001A25D6"/>
    <w:rsid w:val="001A2782"/>
    <w:rsid w:val="001A2AA9"/>
    <w:rsid w:val="001A2AF1"/>
    <w:rsid w:val="001A33D6"/>
    <w:rsid w:val="001A3440"/>
    <w:rsid w:val="001A3670"/>
    <w:rsid w:val="001A3E36"/>
    <w:rsid w:val="001A4137"/>
    <w:rsid w:val="001A45FD"/>
    <w:rsid w:val="001A4F08"/>
    <w:rsid w:val="001A5423"/>
    <w:rsid w:val="001A563A"/>
    <w:rsid w:val="001A6AA8"/>
    <w:rsid w:val="001A7114"/>
    <w:rsid w:val="001A7D46"/>
    <w:rsid w:val="001B010E"/>
    <w:rsid w:val="001B042B"/>
    <w:rsid w:val="001B0E02"/>
    <w:rsid w:val="001B1127"/>
    <w:rsid w:val="001B13AD"/>
    <w:rsid w:val="001B17C3"/>
    <w:rsid w:val="001B1F01"/>
    <w:rsid w:val="001B1FE9"/>
    <w:rsid w:val="001B2C6D"/>
    <w:rsid w:val="001B2DF9"/>
    <w:rsid w:val="001B2E3E"/>
    <w:rsid w:val="001B3336"/>
    <w:rsid w:val="001B3563"/>
    <w:rsid w:val="001B362D"/>
    <w:rsid w:val="001B45E5"/>
    <w:rsid w:val="001B47C8"/>
    <w:rsid w:val="001B49F3"/>
    <w:rsid w:val="001B4FB2"/>
    <w:rsid w:val="001B52B5"/>
    <w:rsid w:val="001B57F4"/>
    <w:rsid w:val="001B5975"/>
    <w:rsid w:val="001B6162"/>
    <w:rsid w:val="001B6397"/>
    <w:rsid w:val="001B7230"/>
    <w:rsid w:val="001B73DE"/>
    <w:rsid w:val="001C1D17"/>
    <w:rsid w:val="001C29D2"/>
    <w:rsid w:val="001C2A20"/>
    <w:rsid w:val="001C2FBB"/>
    <w:rsid w:val="001C3837"/>
    <w:rsid w:val="001C3A43"/>
    <w:rsid w:val="001C524C"/>
    <w:rsid w:val="001C52DD"/>
    <w:rsid w:val="001C5B60"/>
    <w:rsid w:val="001C5B87"/>
    <w:rsid w:val="001C6F59"/>
    <w:rsid w:val="001C75E9"/>
    <w:rsid w:val="001C7930"/>
    <w:rsid w:val="001C7AD6"/>
    <w:rsid w:val="001D03A1"/>
    <w:rsid w:val="001D050A"/>
    <w:rsid w:val="001D1C23"/>
    <w:rsid w:val="001D264B"/>
    <w:rsid w:val="001D2DE3"/>
    <w:rsid w:val="001D3413"/>
    <w:rsid w:val="001D36CB"/>
    <w:rsid w:val="001D371E"/>
    <w:rsid w:val="001D3B0D"/>
    <w:rsid w:val="001D3F53"/>
    <w:rsid w:val="001D42F9"/>
    <w:rsid w:val="001D4A3A"/>
    <w:rsid w:val="001D513B"/>
    <w:rsid w:val="001D544E"/>
    <w:rsid w:val="001D578E"/>
    <w:rsid w:val="001D58D6"/>
    <w:rsid w:val="001D59E0"/>
    <w:rsid w:val="001D5FC0"/>
    <w:rsid w:val="001D6289"/>
    <w:rsid w:val="001D6831"/>
    <w:rsid w:val="001D6935"/>
    <w:rsid w:val="001D6C61"/>
    <w:rsid w:val="001D6DA0"/>
    <w:rsid w:val="001D7170"/>
    <w:rsid w:val="001D72B5"/>
    <w:rsid w:val="001D78FD"/>
    <w:rsid w:val="001D7927"/>
    <w:rsid w:val="001E0355"/>
    <w:rsid w:val="001E0795"/>
    <w:rsid w:val="001E0ABA"/>
    <w:rsid w:val="001E0BD3"/>
    <w:rsid w:val="001E0F24"/>
    <w:rsid w:val="001E23E8"/>
    <w:rsid w:val="001E2910"/>
    <w:rsid w:val="001E2C8B"/>
    <w:rsid w:val="001E313B"/>
    <w:rsid w:val="001E32D5"/>
    <w:rsid w:val="001E34A4"/>
    <w:rsid w:val="001E3767"/>
    <w:rsid w:val="001E3FBB"/>
    <w:rsid w:val="001E4C03"/>
    <w:rsid w:val="001E538F"/>
    <w:rsid w:val="001E571D"/>
    <w:rsid w:val="001E59F9"/>
    <w:rsid w:val="001E60B7"/>
    <w:rsid w:val="001E60D5"/>
    <w:rsid w:val="001E66EE"/>
    <w:rsid w:val="001E679C"/>
    <w:rsid w:val="001E6AFF"/>
    <w:rsid w:val="001E6FAA"/>
    <w:rsid w:val="001E753B"/>
    <w:rsid w:val="001E7A8F"/>
    <w:rsid w:val="001E7D8A"/>
    <w:rsid w:val="001F01EB"/>
    <w:rsid w:val="001F060A"/>
    <w:rsid w:val="001F1429"/>
    <w:rsid w:val="001F1985"/>
    <w:rsid w:val="001F203F"/>
    <w:rsid w:val="001F2369"/>
    <w:rsid w:val="001F28F8"/>
    <w:rsid w:val="001F36D3"/>
    <w:rsid w:val="001F3972"/>
    <w:rsid w:val="001F3F1A"/>
    <w:rsid w:val="001F498C"/>
    <w:rsid w:val="001F511E"/>
    <w:rsid w:val="001F51A0"/>
    <w:rsid w:val="001F5628"/>
    <w:rsid w:val="001F5CC6"/>
    <w:rsid w:val="001F5EBC"/>
    <w:rsid w:val="001F61C5"/>
    <w:rsid w:val="001F6C3A"/>
    <w:rsid w:val="001F6CA0"/>
    <w:rsid w:val="001F6DDB"/>
    <w:rsid w:val="001F6FDF"/>
    <w:rsid w:val="001F7496"/>
    <w:rsid w:val="001F7507"/>
    <w:rsid w:val="001F753B"/>
    <w:rsid w:val="001F77D8"/>
    <w:rsid w:val="001F7EC3"/>
    <w:rsid w:val="00200011"/>
    <w:rsid w:val="0020020B"/>
    <w:rsid w:val="00200794"/>
    <w:rsid w:val="00201625"/>
    <w:rsid w:val="002026BC"/>
    <w:rsid w:val="00202734"/>
    <w:rsid w:val="00202AD7"/>
    <w:rsid w:val="00202BC3"/>
    <w:rsid w:val="00202D12"/>
    <w:rsid w:val="00203440"/>
    <w:rsid w:val="002038E3"/>
    <w:rsid w:val="00203911"/>
    <w:rsid w:val="002039D4"/>
    <w:rsid w:val="00204F44"/>
    <w:rsid w:val="0020583C"/>
    <w:rsid w:val="0020639D"/>
    <w:rsid w:val="00206854"/>
    <w:rsid w:val="002072CF"/>
    <w:rsid w:val="00207C7C"/>
    <w:rsid w:val="00211062"/>
    <w:rsid w:val="00211765"/>
    <w:rsid w:val="002118A3"/>
    <w:rsid w:val="002118DD"/>
    <w:rsid w:val="00211D94"/>
    <w:rsid w:val="00212275"/>
    <w:rsid w:val="00212AFF"/>
    <w:rsid w:val="002132FD"/>
    <w:rsid w:val="002136E7"/>
    <w:rsid w:val="00213CB4"/>
    <w:rsid w:val="00214389"/>
    <w:rsid w:val="00215064"/>
    <w:rsid w:val="00216A63"/>
    <w:rsid w:val="00216C5D"/>
    <w:rsid w:val="002177A7"/>
    <w:rsid w:val="00217F13"/>
    <w:rsid w:val="00217F5F"/>
    <w:rsid w:val="002206DB"/>
    <w:rsid w:val="00220E3E"/>
    <w:rsid w:val="00220F11"/>
    <w:rsid w:val="0022182D"/>
    <w:rsid w:val="002227AB"/>
    <w:rsid w:val="00222CE7"/>
    <w:rsid w:val="0022342A"/>
    <w:rsid w:val="0022455D"/>
    <w:rsid w:val="00224859"/>
    <w:rsid w:val="0022509B"/>
    <w:rsid w:val="0022524E"/>
    <w:rsid w:val="0022575C"/>
    <w:rsid w:val="00225A12"/>
    <w:rsid w:val="00225BB8"/>
    <w:rsid w:val="002261B3"/>
    <w:rsid w:val="00226738"/>
    <w:rsid w:val="00226EA3"/>
    <w:rsid w:val="002276B5"/>
    <w:rsid w:val="00227BD2"/>
    <w:rsid w:val="00230560"/>
    <w:rsid w:val="002306A4"/>
    <w:rsid w:val="002318B6"/>
    <w:rsid w:val="00231F08"/>
    <w:rsid w:val="0023322D"/>
    <w:rsid w:val="002335E3"/>
    <w:rsid w:val="00233CEF"/>
    <w:rsid w:val="00233D01"/>
    <w:rsid w:val="00233FD0"/>
    <w:rsid w:val="00234B94"/>
    <w:rsid w:val="00234D87"/>
    <w:rsid w:val="00235061"/>
    <w:rsid w:val="002352B0"/>
    <w:rsid w:val="002354E4"/>
    <w:rsid w:val="00235D7E"/>
    <w:rsid w:val="00235F5C"/>
    <w:rsid w:val="00236789"/>
    <w:rsid w:val="00237751"/>
    <w:rsid w:val="00237809"/>
    <w:rsid w:val="002378C0"/>
    <w:rsid w:val="0023799D"/>
    <w:rsid w:val="00237B7E"/>
    <w:rsid w:val="00237C84"/>
    <w:rsid w:val="0024003F"/>
    <w:rsid w:val="00240196"/>
    <w:rsid w:val="00240240"/>
    <w:rsid w:val="00240493"/>
    <w:rsid w:val="00240B46"/>
    <w:rsid w:val="00240B65"/>
    <w:rsid w:val="00240B8D"/>
    <w:rsid w:val="00240FCA"/>
    <w:rsid w:val="00241860"/>
    <w:rsid w:val="0024210E"/>
    <w:rsid w:val="00242391"/>
    <w:rsid w:val="0024262A"/>
    <w:rsid w:val="00242774"/>
    <w:rsid w:val="0024287B"/>
    <w:rsid w:val="00242C33"/>
    <w:rsid w:val="00242C8B"/>
    <w:rsid w:val="0024321A"/>
    <w:rsid w:val="00243591"/>
    <w:rsid w:val="00243942"/>
    <w:rsid w:val="00243A7A"/>
    <w:rsid w:val="00243D9E"/>
    <w:rsid w:val="00243DEC"/>
    <w:rsid w:val="0024411F"/>
    <w:rsid w:val="0024510C"/>
    <w:rsid w:val="0024575D"/>
    <w:rsid w:val="00245855"/>
    <w:rsid w:val="00245CE1"/>
    <w:rsid w:val="002464E8"/>
    <w:rsid w:val="0024710C"/>
    <w:rsid w:val="00247247"/>
    <w:rsid w:val="002475D7"/>
    <w:rsid w:val="00247619"/>
    <w:rsid w:val="00247C44"/>
    <w:rsid w:val="00247FDE"/>
    <w:rsid w:val="00250719"/>
    <w:rsid w:val="0025131A"/>
    <w:rsid w:val="00251682"/>
    <w:rsid w:val="00251AF5"/>
    <w:rsid w:val="002523E4"/>
    <w:rsid w:val="002524EE"/>
    <w:rsid w:val="002525DB"/>
    <w:rsid w:val="00252686"/>
    <w:rsid w:val="002531A4"/>
    <w:rsid w:val="0025330A"/>
    <w:rsid w:val="0025365C"/>
    <w:rsid w:val="00253776"/>
    <w:rsid w:val="00253D07"/>
    <w:rsid w:val="00254569"/>
    <w:rsid w:val="00254574"/>
    <w:rsid w:val="0025471D"/>
    <w:rsid w:val="00254A71"/>
    <w:rsid w:val="00255417"/>
    <w:rsid w:val="002554DD"/>
    <w:rsid w:val="00255FB4"/>
    <w:rsid w:val="00256C65"/>
    <w:rsid w:val="00257414"/>
    <w:rsid w:val="00257782"/>
    <w:rsid w:val="00257989"/>
    <w:rsid w:val="00260517"/>
    <w:rsid w:val="0026052A"/>
    <w:rsid w:val="0026070A"/>
    <w:rsid w:val="0026133B"/>
    <w:rsid w:val="00261580"/>
    <w:rsid w:val="002619C9"/>
    <w:rsid w:val="00261A02"/>
    <w:rsid w:val="00261D65"/>
    <w:rsid w:val="00262657"/>
    <w:rsid w:val="00262758"/>
    <w:rsid w:val="00262FED"/>
    <w:rsid w:val="002633E3"/>
    <w:rsid w:val="00263424"/>
    <w:rsid w:val="00263E09"/>
    <w:rsid w:val="00264408"/>
    <w:rsid w:val="00264F2E"/>
    <w:rsid w:val="002657AD"/>
    <w:rsid w:val="002657E9"/>
    <w:rsid w:val="00265990"/>
    <w:rsid w:val="00267328"/>
    <w:rsid w:val="00267918"/>
    <w:rsid w:val="00267960"/>
    <w:rsid w:val="00270269"/>
    <w:rsid w:val="0027093E"/>
    <w:rsid w:val="002710B5"/>
    <w:rsid w:val="0027167C"/>
    <w:rsid w:val="002719E6"/>
    <w:rsid w:val="0027209C"/>
    <w:rsid w:val="00273402"/>
    <w:rsid w:val="0027388F"/>
    <w:rsid w:val="002739E1"/>
    <w:rsid w:val="002741E4"/>
    <w:rsid w:val="00274405"/>
    <w:rsid w:val="00274963"/>
    <w:rsid w:val="00276421"/>
    <w:rsid w:val="0027678D"/>
    <w:rsid w:val="00276A91"/>
    <w:rsid w:val="00280273"/>
    <w:rsid w:val="00280528"/>
    <w:rsid w:val="00280890"/>
    <w:rsid w:val="00280B3C"/>
    <w:rsid w:val="00280FEC"/>
    <w:rsid w:val="002817CE"/>
    <w:rsid w:val="00281C70"/>
    <w:rsid w:val="0028338C"/>
    <w:rsid w:val="00283AA6"/>
    <w:rsid w:val="00283EAC"/>
    <w:rsid w:val="0028415A"/>
    <w:rsid w:val="0028432C"/>
    <w:rsid w:val="00284448"/>
    <w:rsid w:val="0028446D"/>
    <w:rsid w:val="00284AAE"/>
    <w:rsid w:val="00284E46"/>
    <w:rsid w:val="002851AB"/>
    <w:rsid w:val="002852DA"/>
    <w:rsid w:val="002857E2"/>
    <w:rsid w:val="00285BC7"/>
    <w:rsid w:val="00286471"/>
    <w:rsid w:val="00286494"/>
    <w:rsid w:val="002870A9"/>
    <w:rsid w:val="002874DA"/>
    <w:rsid w:val="002904EC"/>
    <w:rsid w:val="00290608"/>
    <w:rsid w:val="0029067C"/>
    <w:rsid w:val="00290ABD"/>
    <w:rsid w:val="002912F1"/>
    <w:rsid w:val="002919E2"/>
    <w:rsid w:val="00291D4D"/>
    <w:rsid w:val="00291D5F"/>
    <w:rsid w:val="00291E9A"/>
    <w:rsid w:val="00292DAB"/>
    <w:rsid w:val="00293585"/>
    <w:rsid w:val="00293E05"/>
    <w:rsid w:val="0029557F"/>
    <w:rsid w:val="002957A2"/>
    <w:rsid w:val="00295A77"/>
    <w:rsid w:val="00295D48"/>
    <w:rsid w:val="00296708"/>
    <w:rsid w:val="00296E80"/>
    <w:rsid w:val="002972F9"/>
    <w:rsid w:val="0029736D"/>
    <w:rsid w:val="00297A15"/>
    <w:rsid w:val="002A026E"/>
    <w:rsid w:val="002A04CE"/>
    <w:rsid w:val="002A0840"/>
    <w:rsid w:val="002A0A53"/>
    <w:rsid w:val="002A0B4A"/>
    <w:rsid w:val="002A131C"/>
    <w:rsid w:val="002A1600"/>
    <w:rsid w:val="002A1D0A"/>
    <w:rsid w:val="002A2CC8"/>
    <w:rsid w:val="002A3310"/>
    <w:rsid w:val="002A34C1"/>
    <w:rsid w:val="002A3CF3"/>
    <w:rsid w:val="002A46FB"/>
    <w:rsid w:val="002A4BF1"/>
    <w:rsid w:val="002A4FC1"/>
    <w:rsid w:val="002A5161"/>
    <w:rsid w:val="002A55D2"/>
    <w:rsid w:val="002A57CA"/>
    <w:rsid w:val="002A580D"/>
    <w:rsid w:val="002A5C43"/>
    <w:rsid w:val="002A63C1"/>
    <w:rsid w:val="002A641C"/>
    <w:rsid w:val="002A65CC"/>
    <w:rsid w:val="002A6D1B"/>
    <w:rsid w:val="002A729E"/>
    <w:rsid w:val="002A73C4"/>
    <w:rsid w:val="002A7503"/>
    <w:rsid w:val="002A7889"/>
    <w:rsid w:val="002A7AD0"/>
    <w:rsid w:val="002A7FB5"/>
    <w:rsid w:val="002B0ABB"/>
    <w:rsid w:val="002B0B07"/>
    <w:rsid w:val="002B0E10"/>
    <w:rsid w:val="002B0FD6"/>
    <w:rsid w:val="002B1198"/>
    <w:rsid w:val="002B120A"/>
    <w:rsid w:val="002B1D7D"/>
    <w:rsid w:val="002B262D"/>
    <w:rsid w:val="002B2A7C"/>
    <w:rsid w:val="002B2CA3"/>
    <w:rsid w:val="002B34CE"/>
    <w:rsid w:val="002B35F2"/>
    <w:rsid w:val="002B367A"/>
    <w:rsid w:val="002B4842"/>
    <w:rsid w:val="002B5AE7"/>
    <w:rsid w:val="002B5B8E"/>
    <w:rsid w:val="002B6125"/>
    <w:rsid w:val="002B613D"/>
    <w:rsid w:val="002B6152"/>
    <w:rsid w:val="002B65D0"/>
    <w:rsid w:val="002B67DD"/>
    <w:rsid w:val="002B7BD9"/>
    <w:rsid w:val="002B7E0C"/>
    <w:rsid w:val="002C026C"/>
    <w:rsid w:val="002C0620"/>
    <w:rsid w:val="002C0A1D"/>
    <w:rsid w:val="002C0D8A"/>
    <w:rsid w:val="002C123D"/>
    <w:rsid w:val="002C13FF"/>
    <w:rsid w:val="002C1953"/>
    <w:rsid w:val="002C1A7A"/>
    <w:rsid w:val="002C1B52"/>
    <w:rsid w:val="002C1CB8"/>
    <w:rsid w:val="002C1FA6"/>
    <w:rsid w:val="002C2751"/>
    <w:rsid w:val="002C2A04"/>
    <w:rsid w:val="002C32CF"/>
    <w:rsid w:val="002C3F69"/>
    <w:rsid w:val="002C42BE"/>
    <w:rsid w:val="002C47C8"/>
    <w:rsid w:val="002C4FC0"/>
    <w:rsid w:val="002C54CA"/>
    <w:rsid w:val="002C57E5"/>
    <w:rsid w:val="002C7704"/>
    <w:rsid w:val="002C7804"/>
    <w:rsid w:val="002C79DB"/>
    <w:rsid w:val="002C7D92"/>
    <w:rsid w:val="002C7F13"/>
    <w:rsid w:val="002D0398"/>
    <w:rsid w:val="002D0905"/>
    <w:rsid w:val="002D12A8"/>
    <w:rsid w:val="002D133A"/>
    <w:rsid w:val="002D1528"/>
    <w:rsid w:val="002D1558"/>
    <w:rsid w:val="002D1AE5"/>
    <w:rsid w:val="002D206A"/>
    <w:rsid w:val="002D211D"/>
    <w:rsid w:val="002D2A01"/>
    <w:rsid w:val="002D30F9"/>
    <w:rsid w:val="002D3264"/>
    <w:rsid w:val="002D358E"/>
    <w:rsid w:val="002D3C8C"/>
    <w:rsid w:val="002D3E51"/>
    <w:rsid w:val="002D4033"/>
    <w:rsid w:val="002D47FC"/>
    <w:rsid w:val="002D4D44"/>
    <w:rsid w:val="002D5059"/>
    <w:rsid w:val="002D56A4"/>
    <w:rsid w:val="002D65B3"/>
    <w:rsid w:val="002D65DB"/>
    <w:rsid w:val="002D6BFC"/>
    <w:rsid w:val="002D73AF"/>
    <w:rsid w:val="002D755C"/>
    <w:rsid w:val="002D7D30"/>
    <w:rsid w:val="002D7D6B"/>
    <w:rsid w:val="002D7FB6"/>
    <w:rsid w:val="002E0A2F"/>
    <w:rsid w:val="002E1A2D"/>
    <w:rsid w:val="002E1A86"/>
    <w:rsid w:val="002E1B2B"/>
    <w:rsid w:val="002E1DB8"/>
    <w:rsid w:val="002E1EEA"/>
    <w:rsid w:val="002E2247"/>
    <w:rsid w:val="002E22CE"/>
    <w:rsid w:val="002E2B64"/>
    <w:rsid w:val="002E2BC2"/>
    <w:rsid w:val="002E2D87"/>
    <w:rsid w:val="002E2F93"/>
    <w:rsid w:val="002E31A2"/>
    <w:rsid w:val="002E3202"/>
    <w:rsid w:val="002E37E3"/>
    <w:rsid w:val="002E3F2A"/>
    <w:rsid w:val="002E4E8A"/>
    <w:rsid w:val="002E52E1"/>
    <w:rsid w:val="002E5644"/>
    <w:rsid w:val="002E5952"/>
    <w:rsid w:val="002E5E83"/>
    <w:rsid w:val="002E6042"/>
    <w:rsid w:val="002E60B8"/>
    <w:rsid w:val="002E64DD"/>
    <w:rsid w:val="002E6786"/>
    <w:rsid w:val="002E718D"/>
    <w:rsid w:val="002E7334"/>
    <w:rsid w:val="002E750C"/>
    <w:rsid w:val="002F0337"/>
    <w:rsid w:val="002F08DF"/>
    <w:rsid w:val="002F1067"/>
    <w:rsid w:val="002F118A"/>
    <w:rsid w:val="002F11EA"/>
    <w:rsid w:val="002F1C0D"/>
    <w:rsid w:val="002F2828"/>
    <w:rsid w:val="002F31E8"/>
    <w:rsid w:val="002F37DE"/>
    <w:rsid w:val="002F3D39"/>
    <w:rsid w:val="002F52A9"/>
    <w:rsid w:val="002F56FB"/>
    <w:rsid w:val="002F59D0"/>
    <w:rsid w:val="002F5BD7"/>
    <w:rsid w:val="002F6059"/>
    <w:rsid w:val="002F63A6"/>
    <w:rsid w:val="002F649A"/>
    <w:rsid w:val="002F65D0"/>
    <w:rsid w:val="002F6834"/>
    <w:rsid w:val="00300F2A"/>
    <w:rsid w:val="0030114B"/>
    <w:rsid w:val="00301499"/>
    <w:rsid w:val="00301D68"/>
    <w:rsid w:val="0030229E"/>
    <w:rsid w:val="003024AE"/>
    <w:rsid w:val="003025F0"/>
    <w:rsid w:val="00302846"/>
    <w:rsid w:val="00302A54"/>
    <w:rsid w:val="003031DA"/>
    <w:rsid w:val="003032F3"/>
    <w:rsid w:val="003034E5"/>
    <w:rsid w:val="003036E1"/>
    <w:rsid w:val="00303ABC"/>
    <w:rsid w:val="003040F9"/>
    <w:rsid w:val="00304A87"/>
    <w:rsid w:val="00304C59"/>
    <w:rsid w:val="00304F17"/>
    <w:rsid w:val="00305014"/>
    <w:rsid w:val="00305D87"/>
    <w:rsid w:val="00305E10"/>
    <w:rsid w:val="00305FF3"/>
    <w:rsid w:val="003067A0"/>
    <w:rsid w:val="00306DC3"/>
    <w:rsid w:val="00306E88"/>
    <w:rsid w:val="003078DB"/>
    <w:rsid w:val="00307C56"/>
    <w:rsid w:val="00310BB6"/>
    <w:rsid w:val="00311314"/>
    <w:rsid w:val="00311391"/>
    <w:rsid w:val="0031177C"/>
    <w:rsid w:val="00312651"/>
    <w:rsid w:val="00312C5F"/>
    <w:rsid w:val="003133E2"/>
    <w:rsid w:val="00313634"/>
    <w:rsid w:val="0031434F"/>
    <w:rsid w:val="00314859"/>
    <w:rsid w:val="00314B8D"/>
    <w:rsid w:val="00315C1F"/>
    <w:rsid w:val="00316247"/>
    <w:rsid w:val="00316544"/>
    <w:rsid w:val="0031654E"/>
    <w:rsid w:val="00316DCE"/>
    <w:rsid w:val="00316E53"/>
    <w:rsid w:val="003172ED"/>
    <w:rsid w:val="00317337"/>
    <w:rsid w:val="00317410"/>
    <w:rsid w:val="00317C0B"/>
    <w:rsid w:val="0032092A"/>
    <w:rsid w:val="00320E81"/>
    <w:rsid w:val="003211D2"/>
    <w:rsid w:val="003212E0"/>
    <w:rsid w:val="00321CA0"/>
    <w:rsid w:val="00321E5F"/>
    <w:rsid w:val="00322038"/>
    <w:rsid w:val="00322679"/>
    <w:rsid w:val="00322F05"/>
    <w:rsid w:val="003231D0"/>
    <w:rsid w:val="003233EF"/>
    <w:rsid w:val="0032388D"/>
    <w:rsid w:val="00323986"/>
    <w:rsid w:val="00323D91"/>
    <w:rsid w:val="003242DE"/>
    <w:rsid w:val="00324483"/>
    <w:rsid w:val="0032454C"/>
    <w:rsid w:val="0032485A"/>
    <w:rsid w:val="00324F79"/>
    <w:rsid w:val="0032626E"/>
    <w:rsid w:val="00326586"/>
    <w:rsid w:val="00326B43"/>
    <w:rsid w:val="00327123"/>
    <w:rsid w:val="00327401"/>
    <w:rsid w:val="00327410"/>
    <w:rsid w:val="0033019A"/>
    <w:rsid w:val="00330881"/>
    <w:rsid w:val="003308B5"/>
    <w:rsid w:val="00330DF1"/>
    <w:rsid w:val="00330E53"/>
    <w:rsid w:val="003311D7"/>
    <w:rsid w:val="0033130F"/>
    <w:rsid w:val="00331545"/>
    <w:rsid w:val="00332204"/>
    <w:rsid w:val="00332486"/>
    <w:rsid w:val="0033293E"/>
    <w:rsid w:val="00332C0F"/>
    <w:rsid w:val="00332E00"/>
    <w:rsid w:val="0033303F"/>
    <w:rsid w:val="0033344E"/>
    <w:rsid w:val="00333F5E"/>
    <w:rsid w:val="003346EB"/>
    <w:rsid w:val="00334AA6"/>
    <w:rsid w:val="00334EBF"/>
    <w:rsid w:val="003353C4"/>
    <w:rsid w:val="00335933"/>
    <w:rsid w:val="00335C25"/>
    <w:rsid w:val="00335EE7"/>
    <w:rsid w:val="00336189"/>
    <w:rsid w:val="003363A7"/>
    <w:rsid w:val="003363FB"/>
    <w:rsid w:val="00337018"/>
    <w:rsid w:val="003370E4"/>
    <w:rsid w:val="00340205"/>
    <w:rsid w:val="003402F0"/>
    <w:rsid w:val="00340398"/>
    <w:rsid w:val="00340851"/>
    <w:rsid w:val="00340C05"/>
    <w:rsid w:val="00341AB5"/>
    <w:rsid w:val="003426AC"/>
    <w:rsid w:val="00342C79"/>
    <w:rsid w:val="00342F85"/>
    <w:rsid w:val="00343075"/>
    <w:rsid w:val="0034337E"/>
    <w:rsid w:val="00343693"/>
    <w:rsid w:val="003437BD"/>
    <w:rsid w:val="00343AD6"/>
    <w:rsid w:val="00343CB1"/>
    <w:rsid w:val="00343D67"/>
    <w:rsid w:val="0034405C"/>
    <w:rsid w:val="003441E8"/>
    <w:rsid w:val="003448EB"/>
    <w:rsid w:val="00344D37"/>
    <w:rsid w:val="00345593"/>
    <w:rsid w:val="00345ACF"/>
    <w:rsid w:val="00346034"/>
    <w:rsid w:val="0034651B"/>
    <w:rsid w:val="003465BF"/>
    <w:rsid w:val="003468C7"/>
    <w:rsid w:val="00347089"/>
    <w:rsid w:val="003471AA"/>
    <w:rsid w:val="003478CF"/>
    <w:rsid w:val="00347DD9"/>
    <w:rsid w:val="00347F15"/>
    <w:rsid w:val="00347F1A"/>
    <w:rsid w:val="0035011A"/>
    <w:rsid w:val="003505B2"/>
    <w:rsid w:val="00350C3D"/>
    <w:rsid w:val="00350E98"/>
    <w:rsid w:val="00350EF5"/>
    <w:rsid w:val="00350FC8"/>
    <w:rsid w:val="00351511"/>
    <w:rsid w:val="003520AD"/>
    <w:rsid w:val="00352348"/>
    <w:rsid w:val="00352419"/>
    <w:rsid w:val="00352958"/>
    <w:rsid w:val="00353342"/>
    <w:rsid w:val="0035382D"/>
    <w:rsid w:val="00353C59"/>
    <w:rsid w:val="00354DD8"/>
    <w:rsid w:val="00355364"/>
    <w:rsid w:val="00356733"/>
    <w:rsid w:val="003575F1"/>
    <w:rsid w:val="00357B75"/>
    <w:rsid w:val="00357FD4"/>
    <w:rsid w:val="00360802"/>
    <w:rsid w:val="003608E7"/>
    <w:rsid w:val="00360AA1"/>
    <w:rsid w:val="00360D9A"/>
    <w:rsid w:val="00361955"/>
    <w:rsid w:val="00362109"/>
    <w:rsid w:val="003627AC"/>
    <w:rsid w:val="00362A7C"/>
    <w:rsid w:val="00363916"/>
    <w:rsid w:val="00364CE5"/>
    <w:rsid w:val="00364D50"/>
    <w:rsid w:val="00364E6F"/>
    <w:rsid w:val="0036500A"/>
    <w:rsid w:val="003653A5"/>
    <w:rsid w:val="00365F37"/>
    <w:rsid w:val="00365F92"/>
    <w:rsid w:val="00366C9E"/>
    <w:rsid w:val="00367577"/>
    <w:rsid w:val="00367A0D"/>
    <w:rsid w:val="00371462"/>
    <w:rsid w:val="0037186F"/>
    <w:rsid w:val="003726D3"/>
    <w:rsid w:val="00372869"/>
    <w:rsid w:val="00372D63"/>
    <w:rsid w:val="003730E9"/>
    <w:rsid w:val="00373241"/>
    <w:rsid w:val="00373499"/>
    <w:rsid w:val="00373823"/>
    <w:rsid w:val="00373AB6"/>
    <w:rsid w:val="00373CE1"/>
    <w:rsid w:val="0037433D"/>
    <w:rsid w:val="00374532"/>
    <w:rsid w:val="00374788"/>
    <w:rsid w:val="00374868"/>
    <w:rsid w:val="00374E7E"/>
    <w:rsid w:val="00374F77"/>
    <w:rsid w:val="00375096"/>
    <w:rsid w:val="00375155"/>
    <w:rsid w:val="0037552E"/>
    <w:rsid w:val="00375DF4"/>
    <w:rsid w:val="00375F1D"/>
    <w:rsid w:val="00376313"/>
    <w:rsid w:val="00376DE8"/>
    <w:rsid w:val="00376FF7"/>
    <w:rsid w:val="003773A8"/>
    <w:rsid w:val="00377D22"/>
    <w:rsid w:val="00380011"/>
    <w:rsid w:val="003806BA"/>
    <w:rsid w:val="00380DA3"/>
    <w:rsid w:val="003810A4"/>
    <w:rsid w:val="0038135F"/>
    <w:rsid w:val="00381B4D"/>
    <w:rsid w:val="00381C4F"/>
    <w:rsid w:val="0038229A"/>
    <w:rsid w:val="00382482"/>
    <w:rsid w:val="00382DE2"/>
    <w:rsid w:val="00383004"/>
    <w:rsid w:val="003830C2"/>
    <w:rsid w:val="003830CE"/>
    <w:rsid w:val="00383162"/>
    <w:rsid w:val="003836CF"/>
    <w:rsid w:val="00383B11"/>
    <w:rsid w:val="00384622"/>
    <w:rsid w:val="00384F08"/>
    <w:rsid w:val="00384F55"/>
    <w:rsid w:val="0038551A"/>
    <w:rsid w:val="00385647"/>
    <w:rsid w:val="00385A21"/>
    <w:rsid w:val="00385A4B"/>
    <w:rsid w:val="00385E2D"/>
    <w:rsid w:val="00386A66"/>
    <w:rsid w:val="003871F8"/>
    <w:rsid w:val="003877BE"/>
    <w:rsid w:val="00390E87"/>
    <w:rsid w:val="003912AB"/>
    <w:rsid w:val="00392258"/>
    <w:rsid w:val="0039262E"/>
    <w:rsid w:val="003936C7"/>
    <w:rsid w:val="003937F3"/>
    <w:rsid w:val="00393C4B"/>
    <w:rsid w:val="00394697"/>
    <w:rsid w:val="00394822"/>
    <w:rsid w:val="00394A41"/>
    <w:rsid w:val="00394D0D"/>
    <w:rsid w:val="00394D51"/>
    <w:rsid w:val="00395835"/>
    <w:rsid w:val="003958CA"/>
    <w:rsid w:val="00395923"/>
    <w:rsid w:val="00396243"/>
    <w:rsid w:val="00396360"/>
    <w:rsid w:val="0039644F"/>
    <w:rsid w:val="00396A72"/>
    <w:rsid w:val="00396AA7"/>
    <w:rsid w:val="00397333"/>
    <w:rsid w:val="0039763C"/>
    <w:rsid w:val="00397C53"/>
    <w:rsid w:val="003A029D"/>
    <w:rsid w:val="003A03A1"/>
    <w:rsid w:val="003A045A"/>
    <w:rsid w:val="003A04E4"/>
    <w:rsid w:val="003A0533"/>
    <w:rsid w:val="003A08B6"/>
    <w:rsid w:val="003A140B"/>
    <w:rsid w:val="003A15D6"/>
    <w:rsid w:val="003A1796"/>
    <w:rsid w:val="003A28F3"/>
    <w:rsid w:val="003A2BA1"/>
    <w:rsid w:val="003A384F"/>
    <w:rsid w:val="003A38B8"/>
    <w:rsid w:val="003A4054"/>
    <w:rsid w:val="003A4B08"/>
    <w:rsid w:val="003A4D84"/>
    <w:rsid w:val="003A4EED"/>
    <w:rsid w:val="003A5145"/>
    <w:rsid w:val="003A5B8D"/>
    <w:rsid w:val="003A5F57"/>
    <w:rsid w:val="003A6411"/>
    <w:rsid w:val="003A6766"/>
    <w:rsid w:val="003A6A10"/>
    <w:rsid w:val="003A6A46"/>
    <w:rsid w:val="003A6F0D"/>
    <w:rsid w:val="003A70A4"/>
    <w:rsid w:val="003A7A1E"/>
    <w:rsid w:val="003B0103"/>
    <w:rsid w:val="003B070A"/>
    <w:rsid w:val="003B0728"/>
    <w:rsid w:val="003B0F3C"/>
    <w:rsid w:val="003B152A"/>
    <w:rsid w:val="003B178C"/>
    <w:rsid w:val="003B1CE1"/>
    <w:rsid w:val="003B2445"/>
    <w:rsid w:val="003B2546"/>
    <w:rsid w:val="003B2618"/>
    <w:rsid w:val="003B2669"/>
    <w:rsid w:val="003B2E7F"/>
    <w:rsid w:val="003B2F01"/>
    <w:rsid w:val="003B3A95"/>
    <w:rsid w:val="003B3AB1"/>
    <w:rsid w:val="003B4096"/>
    <w:rsid w:val="003B482E"/>
    <w:rsid w:val="003B4C75"/>
    <w:rsid w:val="003B54E4"/>
    <w:rsid w:val="003B55B2"/>
    <w:rsid w:val="003B5B27"/>
    <w:rsid w:val="003B5EDB"/>
    <w:rsid w:val="003B5FCA"/>
    <w:rsid w:val="003B612D"/>
    <w:rsid w:val="003B624B"/>
    <w:rsid w:val="003B6263"/>
    <w:rsid w:val="003B6A29"/>
    <w:rsid w:val="003B6A5F"/>
    <w:rsid w:val="003B7E9A"/>
    <w:rsid w:val="003B7F05"/>
    <w:rsid w:val="003B7FB7"/>
    <w:rsid w:val="003C02E2"/>
    <w:rsid w:val="003C06C9"/>
    <w:rsid w:val="003C0AD2"/>
    <w:rsid w:val="003C0E44"/>
    <w:rsid w:val="003C130A"/>
    <w:rsid w:val="003C17E4"/>
    <w:rsid w:val="003C1B27"/>
    <w:rsid w:val="003C22D1"/>
    <w:rsid w:val="003C27CD"/>
    <w:rsid w:val="003C281F"/>
    <w:rsid w:val="003C3028"/>
    <w:rsid w:val="003C30C7"/>
    <w:rsid w:val="003C3A1E"/>
    <w:rsid w:val="003C3E78"/>
    <w:rsid w:val="003C3F03"/>
    <w:rsid w:val="003C42BC"/>
    <w:rsid w:val="003C43D9"/>
    <w:rsid w:val="003C505B"/>
    <w:rsid w:val="003C515A"/>
    <w:rsid w:val="003C52E7"/>
    <w:rsid w:val="003C55C2"/>
    <w:rsid w:val="003C5B6E"/>
    <w:rsid w:val="003C642B"/>
    <w:rsid w:val="003C64C0"/>
    <w:rsid w:val="003C6AC8"/>
    <w:rsid w:val="003C6D8A"/>
    <w:rsid w:val="003C6F0F"/>
    <w:rsid w:val="003C71CF"/>
    <w:rsid w:val="003C72B3"/>
    <w:rsid w:val="003C7890"/>
    <w:rsid w:val="003C789D"/>
    <w:rsid w:val="003C78F8"/>
    <w:rsid w:val="003C7974"/>
    <w:rsid w:val="003C7BDB"/>
    <w:rsid w:val="003C7EC1"/>
    <w:rsid w:val="003D0066"/>
    <w:rsid w:val="003D09A6"/>
    <w:rsid w:val="003D1574"/>
    <w:rsid w:val="003D1807"/>
    <w:rsid w:val="003D184F"/>
    <w:rsid w:val="003D239C"/>
    <w:rsid w:val="003D260B"/>
    <w:rsid w:val="003D2BA5"/>
    <w:rsid w:val="003D2CA7"/>
    <w:rsid w:val="003D2EDA"/>
    <w:rsid w:val="003D4297"/>
    <w:rsid w:val="003D45DB"/>
    <w:rsid w:val="003D4A56"/>
    <w:rsid w:val="003D576B"/>
    <w:rsid w:val="003D5827"/>
    <w:rsid w:val="003D6552"/>
    <w:rsid w:val="003D6A61"/>
    <w:rsid w:val="003D6FD2"/>
    <w:rsid w:val="003D7699"/>
    <w:rsid w:val="003D7B2C"/>
    <w:rsid w:val="003E0545"/>
    <w:rsid w:val="003E0569"/>
    <w:rsid w:val="003E09E2"/>
    <w:rsid w:val="003E0CDA"/>
    <w:rsid w:val="003E17AB"/>
    <w:rsid w:val="003E18ED"/>
    <w:rsid w:val="003E1917"/>
    <w:rsid w:val="003E1AD7"/>
    <w:rsid w:val="003E259A"/>
    <w:rsid w:val="003E354E"/>
    <w:rsid w:val="003E40B2"/>
    <w:rsid w:val="003E42F8"/>
    <w:rsid w:val="003E4404"/>
    <w:rsid w:val="003E4B74"/>
    <w:rsid w:val="003E4DC7"/>
    <w:rsid w:val="003E5211"/>
    <w:rsid w:val="003E6C45"/>
    <w:rsid w:val="003E6F4E"/>
    <w:rsid w:val="003E734F"/>
    <w:rsid w:val="003F004B"/>
    <w:rsid w:val="003F01A8"/>
    <w:rsid w:val="003F04D3"/>
    <w:rsid w:val="003F0CBC"/>
    <w:rsid w:val="003F0D58"/>
    <w:rsid w:val="003F0DA8"/>
    <w:rsid w:val="003F0FEA"/>
    <w:rsid w:val="003F128E"/>
    <w:rsid w:val="003F1407"/>
    <w:rsid w:val="003F1657"/>
    <w:rsid w:val="003F198C"/>
    <w:rsid w:val="003F1D26"/>
    <w:rsid w:val="003F221D"/>
    <w:rsid w:val="003F2320"/>
    <w:rsid w:val="003F2480"/>
    <w:rsid w:val="003F2549"/>
    <w:rsid w:val="003F2B47"/>
    <w:rsid w:val="003F2F53"/>
    <w:rsid w:val="003F31D2"/>
    <w:rsid w:val="003F3291"/>
    <w:rsid w:val="003F3716"/>
    <w:rsid w:val="003F37B1"/>
    <w:rsid w:val="003F39A6"/>
    <w:rsid w:val="003F3DC0"/>
    <w:rsid w:val="003F3FC1"/>
    <w:rsid w:val="003F4845"/>
    <w:rsid w:val="003F4DBE"/>
    <w:rsid w:val="003F5262"/>
    <w:rsid w:val="003F52CD"/>
    <w:rsid w:val="003F557E"/>
    <w:rsid w:val="003F588E"/>
    <w:rsid w:val="003F5FD1"/>
    <w:rsid w:val="003F69E5"/>
    <w:rsid w:val="003F6B98"/>
    <w:rsid w:val="003F75DD"/>
    <w:rsid w:val="003F7A85"/>
    <w:rsid w:val="003F7CC5"/>
    <w:rsid w:val="00400130"/>
    <w:rsid w:val="00400445"/>
    <w:rsid w:val="00400477"/>
    <w:rsid w:val="0040062B"/>
    <w:rsid w:val="00400907"/>
    <w:rsid w:val="00400965"/>
    <w:rsid w:val="00400BA7"/>
    <w:rsid w:val="00400D68"/>
    <w:rsid w:val="00400E4D"/>
    <w:rsid w:val="0040170B"/>
    <w:rsid w:val="00401A63"/>
    <w:rsid w:val="00401E16"/>
    <w:rsid w:val="00402AC4"/>
    <w:rsid w:val="00402AEB"/>
    <w:rsid w:val="00403072"/>
    <w:rsid w:val="0040320A"/>
    <w:rsid w:val="004032D9"/>
    <w:rsid w:val="004036A7"/>
    <w:rsid w:val="00403E52"/>
    <w:rsid w:val="00403E7E"/>
    <w:rsid w:val="00403EC0"/>
    <w:rsid w:val="00403FBF"/>
    <w:rsid w:val="004043F7"/>
    <w:rsid w:val="00404D2C"/>
    <w:rsid w:val="004053C1"/>
    <w:rsid w:val="00406337"/>
    <w:rsid w:val="00406369"/>
    <w:rsid w:val="00406655"/>
    <w:rsid w:val="004067AD"/>
    <w:rsid w:val="00406DE4"/>
    <w:rsid w:val="00407155"/>
    <w:rsid w:val="00407BE6"/>
    <w:rsid w:val="00407DC4"/>
    <w:rsid w:val="00407EE0"/>
    <w:rsid w:val="004103C3"/>
    <w:rsid w:val="004104E8"/>
    <w:rsid w:val="00411ACE"/>
    <w:rsid w:val="0041352C"/>
    <w:rsid w:val="00413725"/>
    <w:rsid w:val="00413926"/>
    <w:rsid w:val="00413E02"/>
    <w:rsid w:val="00413ED1"/>
    <w:rsid w:val="00414265"/>
    <w:rsid w:val="00414806"/>
    <w:rsid w:val="00415039"/>
    <w:rsid w:val="00415338"/>
    <w:rsid w:val="004157D4"/>
    <w:rsid w:val="004157D8"/>
    <w:rsid w:val="004158D6"/>
    <w:rsid w:val="00416357"/>
    <w:rsid w:val="004163B2"/>
    <w:rsid w:val="00416481"/>
    <w:rsid w:val="00416B04"/>
    <w:rsid w:val="00417603"/>
    <w:rsid w:val="00417724"/>
    <w:rsid w:val="00417DDD"/>
    <w:rsid w:val="00417FCC"/>
    <w:rsid w:val="00420215"/>
    <w:rsid w:val="004205B1"/>
    <w:rsid w:val="00420862"/>
    <w:rsid w:val="004213E5"/>
    <w:rsid w:val="00421425"/>
    <w:rsid w:val="00423EC9"/>
    <w:rsid w:val="00424175"/>
    <w:rsid w:val="0042456B"/>
    <w:rsid w:val="00424637"/>
    <w:rsid w:val="00424AAB"/>
    <w:rsid w:val="00424B78"/>
    <w:rsid w:val="00424D2A"/>
    <w:rsid w:val="00426B61"/>
    <w:rsid w:val="0042745C"/>
    <w:rsid w:val="004274AC"/>
    <w:rsid w:val="0043031D"/>
    <w:rsid w:val="004304FE"/>
    <w:rsid w:val="004307DA"/>
    <w:rsid w:val="0043155F"/>
    <w:rsid w:val="00431818"/>
    <w:rsid w:val="00431941"/>
    <w:rsid w:val="004321B1"/>
    <w:rsid w:val="00432DD8"/>
    <w:rsid w:val="004335E8"/>
    <w:rsid w:val="0043363F"/>
    <w:rsid w:val="00433880"/>
    <w:rsid w:val="00433ACE"/>
    <w:rsid w:val="00433CB4"/>
    <w:rsid w:val="00433E10"/>
    <w:rsid w:val="0043468B"/>
    <w:rsid w:val="004346EB"/>
    <w:rsid w:val="0043558B"/>
    <w:rsid w:val="00435688"/>
    <w:rsid w:val="00435780"/>
    <w:rsid w:val="00435963"/>
    <w:rsid w:val="004359A7"/>
    <w:rsid w:val="00435D08"/>
    <w:rsid w:val="00435EE3"/>
    <w:rsid w:val="00436232"/>
    <w:rsid w:val="00436A3E"/>
    <w:rsid w:val="00436B14"/>
    <w:rsid w:val="00436D89"/>
    <w:rsid w:val="0043723E"/>
    <w:rsid w:val="004378D7"/>
    <w:rsid w:val="00437D1E"/>
    <w:rsid w:val="004400C4"/>
    <w:rsid w:val="00440B24"/>
    <w:rsid w:val="00440D78"/>
    <w:rsid w:val="00441A2A"/>
    <w:rsid w:val="00442096"/>
    <w:rsid w:val="004420F6"/>
    <w:rsid w:val="0044341E"/>
    <w:rsid w:val="00443488"/>
    <w:rsid w:val="0044359A"/>
    <w:rsid w:val="00444F65"/>
    <w:rsid w:val="004450E1"/>
    <w:rsid w:val="004451D6"/>
    <w:rsid w:val="00445A16"/>
    <w:rsid w:val="004464E4"/>
    <w:rsid w:val="00446720"/>
    <w:rsid w:val="00446E61"/>
    <w:rsid w:val="00447272"/>
    <w:rsid w:val="00447593"/>
    <w:rsid w:val="004476C6"/>
    <w:rsid w:val="00447B25"/>
    <w:rsid w:val="0045022D"/>
    <w:rsid w:val="004507D4"/>
    <w:rsid w:val="0045096D"/>
    <w:rsid w:val="0045119B"/>
    <w:rsid w:val="0045130C"/>
    <w:rsid w:val="00451452"/>
    <w:rsid w:val="00451697"/>
    <w:rsid w:val="004519BA"/>
    <w:rsid w:val="00451DC5"/>
    <w:rsid w:val="0045350E"/>
    <w:rsid w:val="00453578"/>
    <w:rsid w:val="00453937"/>
    <w:rsid w:val="00453C3D"/>
    <w:rsid w:val="0045482C"/>
    <w:rsid w:val="00454A58"/>
    <w:rsid w:val="00454E3B"/>
    <w:rsid w:val="00455214"/>
    <w:rsid w:val="00455773"/>
    <w:rsid w:val="00456136"/>
    <w:rsid w:val="0045615B"/>
    <w:rsid w:val="00456AD6"/>
    <w:rsid w:val="00456D5A"/>
    <w:rsid w:val="004570E3"/>
    <w:rsid w:val="00457179"/>
    <w:rsid w:val="0045727B"/>
    <w:rsid w:val="004601A0"/>
    <w:rsid w:val="00460651"/>
    <w:rsid w:val="00460B6E"/>
    <w:rsid w:val="00460DA7"/>
    <w:rsid w:val="00460E9D"/>
    <w:rsid w:val="00460EB7"/>
    <w:rsid w:val="0046133D"/>
    <w:rsid w:val="004618DF"/>
    <w:rsid w:val="00461B3F"/>
    <w:rsid w:val="004626E4"/>
    <w:rsid w:val="00462CE4"/>
    <w:rsid w:val="00463FB9"/>
    <w:rsid w:val="00464328"/>
    <w:rsid w:val="00465A78"/>
    <w:rsid w:val="00466500"/>
    <w:rsid w:val="00466712"/>
    <w:rsid w:val="0046761F"/>
    <w:rsid w:val="004677C6"/>
    <w:rsid w:val="00470CEA"/>
    <w:rsid w:val="0047194B"/>
    <w:rsid w:val="00472325"/>
    <w:rsid w:val="00472C9B"/>
    <w:rsid w:val="00472DF1"/>
    <w:rsid w:val="0047345B"/>
    <w:rsid w:val="00473A5E"/>
    <w:rsid w:val="004744C5"/>
    <w:rsid w:val="004744F1"/>
    <w:rsid w:val="00474ABA"/>
    <w:rsid w:val="00474C5B"/>
    <w:rsid w:val="00475570"/>
    <w:rsid w:val="0047585F"/>
    <w:rsid w:val="004758A9"/>
    <w:rsid w:val="004759F4"/>
    <w:rsid w:val="00475D77"/>
    <w:rsid w:val="00476273"/>
    <w:rsid w:val="00477013"/>
    <w:rsid w:val="004772A9"/>
    <w:rsid w:val="00477399"/>
    <w:rsid w:val="00477887"/>
    <w:rsid w:val="00477AA9"/>
    <w:rsid w:val="00477E90"/>
    <w:rsid w:val="0048020B"/>
    <w:rsid w:val="00480216"/>
    <w:rsid w:val="004806D2"/>
    <w:rsid w:val="00481087"/>
    <w:rsid w:val="004812C2"/>
    <w:rsid w:val="004813EF"/>
    <w:rsid w:val="00481612"/>
    <w:rsid w:val="00483632"/>
    <w:rsid w:val="00483C3A"/>
    <w:rsid w:val="00485A1F"/>
    <w:rsid w:val="00485B94"/>
    <w:rsid w:val="004863A0"/>
    <w:rsid w:val="004864DA"/>
    <w:rsid w:val="00486811"/>
    <w:rsid w:val="00486DBB"/>
    <w:rsid w:val="00487059"/>
    <w:rsid w:val="004871BE"/>
    <w:rsid w:val="004872AF"/>
    <w:rsid w:val="004872BC"/>
    <w:rsid w:val="004874A4"/>
    <w:rsid w:val="00487C6D"/>
    <w:rsid w:val="00490626"/>
    <w:rsid w:val="00491FCB"/>
    <w:rsid w:val="0049257A"/>
    <w:rsid w:val="0049269F"/>
    <w:rsid w:val="00492E55"/>
    <w:rsid w:val="004931CA"/>
    <w:rsid w:val="00493202"/>
    <w:rsid w:val="0049342E"/>
    <w:rsid w:val="00493986"/>
    <w:rsid w:val="00494355"/>
    <w:rsid w:val="00494945"/>
    <w:rsid w:val="00495A4D"/>
    <w:rsid w:val="00495E07"/>
    <w:rsid w:val="00496670"/>
    <w:rsid w:val="00496BA4"/>
    <w:rsid w:val="00496CAA"/>
    <w:rsid w:val="00496FD4"/>
    <w:rsid w:val="004972B7"/>
    <w:rsid w:val="0049735F"/>
    <w:rsid w:val="00497658"/>
    <w:rsid w:val="004977CF"/>
    <w:rsid w:val="00497D7B"/>
    <w:rsid w:val="00497F5A"/>
    <w:rsid w:val="00497F70"/>
    <w:rsid w:val="004A03E5"/>
    <w:rsid w:val="004A0BBB"/>
    <w:rsid w:val="004A2743"/>
    <w:rsid w:val="004A31A6"/>
    <w:rsid w:val="004A397A"/>
    <w:rsid w:val="004A467D"/>
    <w:rsid w:val="004A503D"/>
    <w:rsid w:val="004A529F"/>
    <w:rsid w:val="004A54AA"/>
    <w:rsid w:val="004A5855"/>
    <w:rsid w:val="004A5A0B"/>
    <w:rsid w:val="004A5C35"/>
    <w:rsid w:val="004A6127"/>
    <w:rsid w:val="004A619B"/>
    <w:rsid w:val="004A67F7"/>
    <w:rsid w:val="004A6947"/>
    <w:rsid w:val="004A714A"/>
    <w:rsid w:val="004A7210"/>
    <w:rsid w:val="004A7476"/>
    <w:rsid w:val="004A7D5F"/>
    <w:rsid w:val="004A7F11"/>
    <w:rsid w:val="004B0EF8"/>
    <w:rsid w:val="004B0FC3"/>
    <w:rsid w:val="004B12D2"/>
    <w:rsid w:val="004B141F"/>
    <w:rsid w:val="004B1C45"/>
    <w:rsid w:val="004B3055"/>
    <w:rsid w:val="004B4473"/>
    <w:rsid w:val="004B4A8D"/>
    <w:rsid w:val="004B4CD9"/>
    <w:rsid w:val="004B4F37"/>
    <w:rsid w:val="004B5449"/>
    <w:rsid w:val="004B594F"/>
    <w:rsid w:val="004B66EB"/>
    <w:rsid w:val="004B6AF6"/>
    <w:rsid w:val="004B6EAE"/>
    <w:rsid w:val="004B721F"/>
    <w:rsid w:val="004C0E28"/>
    <w:rsid w:val="004C10BF"/>
    <w:rsid w:val="004C190E"/>
    <w:rsid w:val="004C1CC8"/>
    <w:rsid w:val="004C2F62"/>
    <w:rsid w:val="004C313E"/>
    <w:rsid w:val="004C3A8C"/>
    <w:rsid w:val="004C3E94"/>
    <w:rsid w:val="004C40D1"/>
    <w:rsid w:val="004C435F"/>
    <w:rsid w:val="004C4449"/>
    <w:rsid w:val="004C456B"/>
    <w:rsid w:val="004C4D5F"/>
    <w:rsid w:val="004C4F56"/>
    <w:rsid w:val="004C51E4"/>
    <w:rsid w:val="004C5971"/>
    <w:rsid w:val="004C5DC3"/>
    <w:rsid w:val="004C5F46"/>
    <w:rsid w:val="004C6412"/>
    <w:rsid w:val="004C752B"/>
    <w:rsid w:val="004C7928"/>
    <w:rsid w:val="004D0CA6"/>
    <w:rsid w:val="004D0E15"/>
    <w:rsid w:val="004D10C3"/>
    <w:rsid w:val="004D10ED"/>
    <w:rsid w:val="004D32BB"/>
    <w:rsid w:val="004D35B1"/>
    <w:rsid w:val="004D35E8"/>
    <w:rsid w:val="004D3C63"/>
    <w:rsid w:val="004D3D5B"/>
    <w:rsid w:val="004D3FAE"/>
    <w:rsid w:val="004D4A88"/>
    <w:rsid w:val="004D521C"/>
    <w:rsid w:val="004D5A7A"/>
    <w:rsid w:val="004D5FDD"/>
    <w:rsid w:val="004D614C"/>
    <w:rsid w:val="004D692D"/>
    <w:rsid w:val="004D69EB"/>
    <w:rsid w:val="004D6C85"/>
    <w:rsid w:val="004D6F0D"/>
    <w:rsid w:val="004D700A"/>
    <w:rsid w:val="004E0590"/>
    <w:rsid w:val="004E1442"/>
    <w:rsid w:val="004E156B"/>
    <w:rsid w:val="004E176C"/>
    <w:rsid w:val="004E1C9D"/>
    <w:rsid w:val="004E1DAE"/>
    <w:rsid w:val="004E25A6"/>
    <w:rsid w:val="004E2811"/>
    <w:rsid w:val="004E2B58"/>
    <w:rsid w:val="004E2ED5"/>
    <w:rsid w:val="004E344F"/>
    <w:rsid w:val="004E3772"/>
    <w:rsid w:val="004E3DE1"/>
    <w:rsid w:val="004E4FB7"/>
    <w:rsid w:val="004E6022"/>
    <w:rsid w:val="004E64E6"/>
    <w:rsid w:val="004E6501"/>
    <w:rsid w:val="004E6C64"/>
    <w:rsid w:val="004E7928"/>
    <w:rsid w:val="004E7C4B"/>
    <w:rsid w:val="004E7D80"/>
    <w:rsid w:val="004F0009"/>
    <w:rsid w:val="004F0767"/>
    <w:rsid w:val="004F09C1"/>
    <w:rsid w:val="004F0F28"/>
    <w:rsid w:val="004F0FDD"/>
    <w:rsid w:val="004F1187"/>
    <w:rsid w:val="004F1F6F"/>
    <w:rsid w:val="004F2001"/>
    <w:rsid w:val="004F2D66"/>
    <w:rsid w:val="004F3F3F"/>
    <w:rsid w:val="004F425D"/>
    <w:rsid w:val="004F42C7"/>
    <w:rsid w:val="004F4B07"/>
    <w:rsid w:val="004F4CE8"/>
    <w:rsid w:val="004F536F"/>
    <w:rsid w:val="004F5759"/>
    <w:rsid w:val="004F5B88"/>
    <w:rsid w:val="004F5CD6"/>
    <w:rsid w:val="004F5CEF"/>
    <w:rsid w:val="004F6038"/>
    <w:rsid w:val="004F6475"/>
    <w:rsid w:val="004F6AFF"/>
    <w:rsid w:val="004F7145"/>
    <w:rsid w:val="004F73BB"/>
    <w:rsid w:val="004F7405"/>
    <w:rsid w:val="004F76D7"/>
    <w:rsid w:val="004F7819"/>
    <w:rsid w:val="004F7B30"/>
    <w:rsid w:val="004F7D87"/>
    <w:rsid w:val="0050001C"/>
    <w:rsid w:val="0050090E"/>
    <w:rsid w:val="00500938"/>
    <w:rsid w:val="00500F54"/>
    <w:rsid w:val="0050109F"/>
    <w:rsid w:val="005012A6"/>
    <w:rsid w:val="00501477"/>
    <w:rsid w:val="00501B4F"/>
    <w:rsid w:val="005023EC"/>
    <w:rsid w:val="00502FCB"/>
    <w:rsid w:val="005047DF"/>
    <w:rsid w:val="00504E21"/>
    <w:rsid w:val="00504ED0"/>
    <w:rsid w:val="005052C8"/>
    <w:rsid w:val="0050593A"/>
    <w:rsid w:val="005064B2"/>
    <w:rsid w:val="005065F1"/>
    <w:rsid w:val="0050677A"/>
    <w:rsid w:val="00506E71"/>
    <w:rsid w:val="00507052"/>
    <w:rsid w:val="00507155"/>
    <w:rsid w:val="005072CC"/>
    <w:rsid w:val="005107C8"/>
    <w:rsid w:val="00510B77"/>
    <w:rsid w:val="00513261"/>
    <w:rsid w:val="0051370E"/>
    <w:rsid w:val="00513C91"/>
    <w:rsid w:val="00513E14"/>
    <w:rsid w:val="00514194"/>
    <w:rsid w:val="005145EA"/>
    <w:rsid w:val="005146CA"/>
    <w:rsid w:val="00514B14"/>
    <w:rsid w:val="005154C1"/>
    <w:rsid w:val="005162AB"/>
    <w:rsid w:val="00516688"/>
    <w:rsid w:val="00520375"/>
    <w:rsid w:val="00520BDD"/>
    <w:rsid w:val="00520D40"/>
    <w:rsid w:val="00521122"/>
    <w:rsid w:val="0052152A"/>
    <w:rsid w:val="00521DD3"/>
    <w:rsid w:val="00522618"/>
    <w:rsid w:val="00522696"/>
    <w:rsid w:val="00522F82"/>
    <w:rsid w:val="00522FC4"/>
    <w:rsid w:val="0052337E"/>
    <w:rsid w:val="0052351B"/>
    <w:rsid w:val="00523631"/>
    <w:rsid w:val="00524194"/>
    <w:rsid w:val="00524FFA"/>
    <w:rsid w:val="005250EB"/>
    <w:rsid w:val="00525792"/>
    <w:rsid w:val="00525B27"/>
    <w:rsid w:val="00525CFD"/>
    <w:rsid w:val="00525D53"/>
    <w:rsid w:val="00525F1A"/>
    <w:rsid w:val="005262EA"/>
    <w:rsid w:val="005264F1"/>
    <w:rsid w:val="005266F0"/>
    <w:rsid w:val="00526811"/>
    <w:rsid w:val="00526A94"/>
    <w:rsid w:val="005271BC"/>
    <w:rsid w:val="0052733F"/>
    <w:rsid w:val="00527354"/>
    <w:rsid w:val="005277A1"/>
    <w:rsid w:val="00527FDB"/>
    <w:rsid w:val="00527FE1"/>
    <w:rsid w:val="005304CE"/>
    <w:rsid w:val="00530E72"/>
    <w:rsid w:val="005311F9"/>
    <w:rsid w:val="00531964"/>
    <w:rsid w:val="00532E6B"/>
    <w:rsid w:val="00533002"/>
    <w:rsid w:val="005330B3"/>
    <w:rsid w:val="005332C4"/>
    <w:rsid w:val="0053338D"/>
    <w:rsid w:val="00533591"/>
    <w:rsid w:val="00533D02"/>
    <w:rsid w:val="00533F3D"/>
    <w:rsid w:val="005348EE"/>
    <w:rsid w:val="00534AE3"/>
    <w:rsid w:val="00534D4A"/>
    <w:rsid w:val="005350EC"/>
    <w:rsid w:val="00535125"/>
    <w:rsid w:val="005353D5"/>
    <w:rsid w:val="00535720"/>
    <w:rsid w:val="00535D91"/>
    <w:rsid w:val="0053612D"/>
    <w:rsid w:val="005362CB"/>
    <w:rsid w:val="00537F13"/>
    <w:rsid w:val="0054020F"/>
    <w:rsid w:val="0054046D"/>
    <w:rsid w:val="005404C7"/>
    <w:rsid w:val="00541146"/>
    <w:rsid w:val="00541331"/>
    <w:rsid w:val="0054151F"/>
    <w:rsid w:val="00541A49"/>
    <w:rsid w:val="00542814"/>
    <w:rsid w:val="005433AE"/>
    <w:rsid w:val="005435EE"/>
    <w:rsid w:val="00543DEF"/>
    <w:rsid w:val="00544082"/>
    <w:rsid w:val="005440A4"/>
    <w:rsid w:val="005448AD"/>
    <w:rsid w:val="00544C23"/>
    <w:rsid w:val="00545050"/>
    <w:rsid w:val="00545653"/>
    <w:rsid w:val="00545C1A"/>
    <w:rsid w:val="00545CC2"/>
    <w:rsid w:val="00546238"/>
    <w:rsid w:val="00546A6B"/>
    <w:rsid w:val="00547174"/>
    <w:rsid w:val="0054732B"/>
    <w:rsid w:val="0054740E"/>
    <w:rsid w:val="00547D3F"/>
    <w:rsid w:val="00547D4D"/>
    <w:rsid w:val="00550E23"/>
    <w:rsid w:val="00550FCF"/>
    <w:rsid w:val="0055122A"/>
    <w:rsid w:val="00551948"/>
    <w:rsid w:val="00552268"/>
    <w:rsid w:val="00552271"/>
    <w:rsid w:val="00552880"/>
    <w:rsid w:val="005528C0"/>
    <w:rsid w:val="00552A11"/>
    <w:rsid w:val="00552DC9"/>
    <w:rsid w:val="00552E50"/>
    <w:rsid w:val="0055322B"/>
    <w:rsid w:val="00553346"/>
    <w:rsid w:val="00553359"/>
    <w:rsid w:val="005535C0"/>
    <w:rsid w:val="00553A96"/>
    <w:rsid w:val="00554B93"/>
    <w:rsid w:val="00554C8C"/>
    <w:rsid w:val="005556F0"/>
    <w:rsid w:val="00555919"/>
    <w:rsid w:val="00556A1F"/>
    <w:rsid w:val="00556FA4"/>
    <w:rsid w:val="005577D9"/>
    <w:rsid w:val="005578F1"/>
    <w:rsid w:val="005605F7"/>
    <w:rsid w:val="00560616"/>
    <w:rsid w:val="00560B4C"/>
    <w:rsid w:val="005616FD"/>
    <w:rsid w:val="00561DA8"/>
    <w:rsid w:val="00561E30"/>
    <w:rsid w:val="005626FE"/>
    <w:rsid w:val="00562CB2"/>
    <w:rsid w:val="005633BC"/>
    <w:rsid w:val="005634DB"/>
    <w:rsid w:val="00563B3F"/>
    <w:rsid w:val="00563B5B"/>
    <w:rsid w:val="00563BC0"/>
    <w:rsid w:val="00563C5C"/>
    <w:rsid w:val="00564282"/>
    <w:rsid w:val="005651D2"/>
    <w:rsid w:val="005657CE"/>
    <w:rsid w:val="00565ABD"/>
    <w:rsid w:val="00565D3E"/>
    <w:rsid w:val="00566070"/>
    <w:rsid w:val="00566875"/>
    <w:rsid w:val="00567A93"/>
    <w:rsid w:val="00567FE1"/>
    <w:rsid w:val="00570E33"/>
    <w:rsid w:val="0057112E"/>
    <w:rsid w:val="005712D0"/>
    <w:rsid w:val="00571B13"/>
    <w:rsid w:val="00571D6D"/>
    <w:rsid w:val="00572F46"/>
    <w:rsid w:val="00573427"/>
    <w:rsid w:val="005738A9"/>
    <w:rsid w:val="00573F5B"/>
    <w:rsid w:val="0057441B"/>
    <w:rsid w:val="005747EC"/>
    <w:rsid w:val="00574A02"/>
    <w:rsid w:val="005752E2"/>
    <w:rsid w:val="005755C9"/>
    <w:rsid w:val="005762FB"/>
    <w:rsid w:val="00576363"/>
    <w:rsid w:val="00576A54"/>
    <w:rsid w:val="00577DC6"/>
    <w:rsid w:val="00577FB4"/>
    <w:rsid w:val="00580135"/>
    <w:rsid w:val="005802CD"/>
    <w:rsid w:val="005803EE"/>
    <w:rsid w:val="00581366"/>
    <w:rsid w:val="005816F4"/>
    <w:rsid w:val="00581BDF"/>
    <w:rsid w:val="0058217F"/>
    <w:rsid w:val="00582746"/>
    <w:rsid w:val="00582B51"/>
    <w:rsid w:val="00583257"/>
    <w:rsid w:val="0058327B"/>
    <w:rsid w:val="005832D3"/>
    <w:rsid w:val="005841D7"/>
    <w:rsid w:val="005846F0"/>
    <w:rsid w:val="0058471A"/>
    <w:rsid w:val="00584BA2"/>
    <w:rsid w:val="00584C85"/>
    <w:rsid w:val="00585020"/>
    <w:rsid w:val="00585174"/>
    <w:rsid w:val="00585579"/>
    <w:rsid w:val="0058573F"/>
    <w:rsid w:val="00585B76"/>
    <w:rsid w:val="00585C2D"/>
    <w:rsid w:val="00585F8E"/>
    <w:rsid w:val="00586090"/>
    <w:rsid w:val="0058639D"/>
    <w:rsid w:val="005872C0"/>
    <w:rsid w:val="00587B48"/>
    <w:rsid w:val="00587CF3"/>
    <w:rsid w:val="0059038C"/>
    <w:rsid w:val="005907D1"/>
    <w:rsid w:val="005907E8"/>
    <w:rsid w:val="00590DF9"/>
    <w:rsid w:val="0059102D"/>
    <w:rsid w:val="005914B2"/>
    <w:rsid w:val="005918C9"/>
    <w:rsid w:val="00591D6F"/>
    <w:rsid w:val="005921E2"/>
    <w:rsid w:val="00592321"/>
    <w:rsid w:val="0059249E"/>
    <w:rsid w:val="00592B20"/>
    <w:rsid w:val="00592FAD"/>
    <w:rsid w:val="005938B5"/>
    <w:rsid w:val="00593B01"/>
    <w:rsid w:val="00593DFE"/>
    <w:rsid w:val="005941EB"/>
    <w:rsid w:val="005944B5"/>
    <w:rsid w:val="00594695"/>
    <w:rsid w:val="00594E87"/>
    <w:rsid w:val="005950E5"/>
    <w:rsid w:val="00595383"/>
    <w:rsid w:val="00595B3F"/>
    <w:rsid w:val="005963F1"/>
    <w:rsid w:val="005968DF"/>
    <w:rsid w:val="00596A14"/>
    <w:rsid w:val="00596AFE"/>
    <w:rsid w:val="00597309"/>
    <w:rsid w:val="005A0B69"/>
    <w:rsid w:val="005A0CD1"/>
    <w:rsid w:val="005A1772"/>
    <w:rsid w:val="005A1AC9"/>
    <w:rsid w:val="005A1B68"/>
    <w:rsid w:val="005A1E25"/>
    <w:rsid w:val="005A1FA3"/>
    <w:rsid w:val="005A2122"/>
    <w:rsid w:val="005A2A03"/>
    <w:rsid w:val="005A328C"/>
    <w:rsid w:val="005A433E"/>
    <w:rsid w:val="005A4CD3"/>
    <w:rsid w:val="005A4FB4"/>
    <w:rsid w:val="005A508B"/>
    <w:rsid w:val="005A519B"/>
    <w:rsid w:val="005A59E1"/>
    <w:rsid w:val="005A5F9B"/>
    <w:rsid w:val="005A62B0"/>
    <w:rsid w:val="005A6725"/>
    <w:rsid w:val="005A6ACC"/>
    <w:rsid w:val="005A6E59"/>
    <w:rsid w:val="005A6F30"/>
    <w:rsid w:val="005A6F7C"/>
    <w:rsid w:val="005A76DF"/>
    <w:rsid w:val="005B0347"/>
    <w:rsid w:val="005B0461"/>
    <w:rsid w:val="005B0A07"/>
    <w:rsid w:val="005B132F"/>
    <w:rsid w:val="005B15EB"/>
    <w:rsid w:val="005B16CD"/>
    <w:rsid w:val="005B1758"/>
    <w:rsid w:val="005B18B2"/>
    <w:rsid w:val="005B1A8E"/>
    <w:rsid w:val="005B1B45"/>
    <w:rsid w:val="005B1B9C"/>
    <w:rsid w:val="005B1D65"/>
    <w:rsid w:val="005B2717"/>
    <w:rsid w:val="005B29E5"/>
    <w:rsid w:val="005B2CD2"/>
    <w:rsid w:val="005B38E7"/>
    <w:rsid w:val="005B3B39"/>
    <w:rsid w:val="005B40A6"/>
    <w:rsid w:val="005B4536"/>
    <w:rsid w:val="005B6323"/>
    <w:rsid w:val="005B6DA7"/>
    <w:rsid w:val="005B6E3E"/>
    <w:rsid w:val="005B6E97"/>
    <w:rsid w:val="005B6EE8"/>
    <w:rsid w:val="005B719C"/>
    <w:rsid w:val="005B7A05"/>
    <w:rsid w:val="005B7AD4"/>
    <w:rsid w:val="005B7ED1"/>
    <w:rsid w:val="005C0180"/>
    <w:rsid w:val="005C01B7"/>
    <w:rsid w:val="005C1697"/>
    <w:rsid w:val="005C198A"/>
    <w:rsid w:val="005C1B61"/>
    <w:rsid w:val="005C2F89"/>
    <w:rsid w:val="005C3007"/>
    <w:rsid w:val="005C3A83"/>
    <w:rsid w:val="005C3BA6"/>
    <w:rsid w:val="005C3E5D"/>
    <w:rsid w:val="005C3F84"/>
    <w:rsid w:val="005C422E"/>
    <w:rsid w:val="005C4325"/>
    <w:rsid w:val="005C432D"/>
    <w:rsid w:val="005C4CA2"/>
    <w:rsid w:val="005C62E1"/>
    <w:rsid w:val="005C68FF"/>
    <w:rsid w:val="005C695C"/>
    <w:rsid w:val="005C6A45"/>
    <w:rsid w:val="005C76EE"/>
    <w:rsid w:val="005D026F"/>
    <w:rsid w:val="005D074B"/>
    <w:rsid w:val="005D109E"/>
    <w:rsid w:val="005D14C4"/>
    <w:rsid w:val="005D184D"/>
    <w:rsid w:val="005D2250"/>
    <w:rsid w:val="005D2A79"/>
    <w:rsid w:val="005D3004"/>
    <w:rsid w:val="005D3471"/>
    <w:rsid w:val="005D3D39"/>
    <w:rsid w:val="005D4FD6"/>
    <w:rsid w:val="005D5BF7"/>
    <w:rsid w:val="005D6C95"/>
    <w:rsid w:val="005D7114"/>
    <w:rsid w:val="005D74DC"/>
    <w:rsid w:val="005D787E"/>
    <w:rsid w:val="005D7C39"/>
    <w:rsid w:val="005E0251"/>
    <w:rsid w:val="005E07C2"/>
    <w:rsid w:val="005E0E70"/>
    <w:rsid w:val="005E13D2"/>
    <w:rsid w:val="005E13DF"/>
    <w:rsid w:val="005E1C75"/>
    <w:rsid w:val="005E21BE"/>
    <w:rsid w:val="005E2291"/>
    <w:rsid w:val="005E273F"/>
    <w:rsid w:val="005E28E9"/>
    <w:rsid w:val="005E2910"/>
    <w:rsid w:val="005E2DE4"/>
    <w:rsid w:val="005E387D"/>
    <w:rsid w:val="005E3907"/>
    <w:rsid w:val="005E3B75"/>
    <w:rsid w:val="005E3D15"/>
    <w:rsid w:val="005E44A5"/>
    <w:rsid w:val="005E4C65"/>
    <w:rsid w:val="005E52DF"/>
    <w:rsid w:val="005E545D"/>
    <w:rsid w:val="005E5485"/>
    <w:rsid w:val="005E5540"/>
    <w:rsid w:val="005E5C01"/>
    <w:rsid w:val="005E5C55"/>
    <w:rsid w:val="005E5F09"/>
    <w:rsid w:val="005E6253"/>
    <w:rsid w:val="005E6717"/>
    <w:rsid w:val="005E6BC7"/>
    <w:rsid w:val="005E6E6E"/>
    <w:rsid w:val="005E6FC6"/>
    <w:rsid w:val="005E7144"/>
    <w:rsid w:val="005E7930"/>
    <w:rsid w:val="005F0641"/>
    <w:rsid w:val="005F0961"/>
    <w:rsid w:val="005F0C63"/>
    <w:rsid w:val="005F0CC1"/>
    <w:rsid w:val="005F162D"/>
    <w:rsid w:val="005F1ADF"/>
    <w:rsid w:val="005F1C4F"/>
    <w:rsid w:val="005F1E0E"/>
    <w:rsid w:val="005F20AF"/>
    <w:rsid w:val="005F2754"/>
    <w:rsid w:val="005F27EB"/>
    <w:rsid w:val="005F2946"/>
    <w:rsid w:val="005F2F28"/>
    <w:rsid w:val="005F34C6"/>
    <w:rsid w:val="005F365A"/>
    <w:rsid w:val="005F379E"/>
    <w:rsid w:val="005F38A5"/>
    <w:rsid w:val="005F3936"/>
    <w:rsid w:val="005F39D4"/>
    <w:rsid w:val="005F4318"/>
    <w:rsid w:val="005F4562"/>
    <w:rsid w:val="005F46E0"/>
    <w:rsid w:val="005F4F8E"/>
    <w:rsid w:val="005F54A4"/>
    <w:rsid w:val="005F5FF9"/>
    <w:rsid w:val="005F63DB"/>
    <w:rsid w:val="005F657D"/>
    <w:rsid w:val="005F71D1"/>
    <w:rsid w:val="005F737D"/>
    <w:rsid w:val="005F77EF"/>
    <w:rsid w:val="005F7B61"/>
    <w:rsid w:val="005F7CAC"/>
    <w:rsid w:val="0060035F"/>
    <w:rsid w:val="00600816"/>
    <w:rsid w:val="00600E4A"/>
    <w:rsid w:val="006022D5"/>
    <w:rsid w:val="00602932"/>
    <w:rsid w:val="00603F6C"/>
    <w:rsid w:val="00604E7E"/>
    <w:rsid w:val="0060625F"/>
    <w:rsid w:val="00607205"/>
    <w:rsid w:val="0060737B"/>
    <w:rsid w:val="006074E4"/>
    <w:rsid w:val="0061043E"/>
    <w:rsid w:val="006105D6"/>
    <w:rsid w:val="00610797"/>
    <w:rsid w:val="006112CB"/>
    <w:rsid w:val="006112D1"/>
    <w:rsid w:val="006112FA"/>
    <w:rsid w:val="00611CDE"/>
    <w:rsid w:val="00612980"/>
    <w:rsid w:val="00613198"/>
    <w:rsid w:val="006133CE"/>
    <w:rsid w:val="0061458E"/>
    <w:rsid w:val="00615B47"/>
    <w:rsid w:val="00616094"/>
    <w:rsid w:val="0061718C"/>
    <w:rsid w:val="00617639"/>
    <w:rsid w:val="006177F8"/>
    <w:rsid w:val="00617C67"/>
    <w:rsid w:val="00617FC6"/>
    <w:rsid w:val="00620006"/>
    <w:rsid w:val="006201F8"/>
    <w:rsid w:val="00620205"/>
    <w:rsid w:val="006206F0"/>
    <w:rsid w:val="00620B5E"/>
    <w:rsid w:val="006211EA"/>
    <w:rsid w:val="00621F0D"/>
    <w:rsid w:val="00621F5B"/>
    <w:rsid w:val="00622018"/>
    <w:rsid w:val="00622450"/>
    <w:rsid w:val="00622D42"/>
    <w:rsid w:val="00622F63"/>
    <w:rsid w:val="00623402"/>
    <w:rsid w:val="0062341F"/>
    <w:rsid w:val="0062423B"/>
    <w:rsid w:val="006242DA"/>
    <w:rsid w:val="00624553"/>
    <w:rsid w:val="00624AE6"/>
    <w:rsid w:val="00624B34"/>
    <w:rsid w:val="00625B93"/>
    <w:rsid w:val="00626A53"/>
    <w:rsid w:val="00626A94"/>
    <w:rsid w:val="00626AD6"/>
    <w:rsid w:val="00626BBE"/>
    <w:rsid w:val="0062712F"/>
    <w:rsid w:val="006275AD"/>
    <w:rsid w:val="006308E9"/>
    <w:rsid w:val="00630C20"/>
    <w:rsid w:val="00631336"/>
    <w:rsid w:val="006321A2"/>
    <w:rsid w:val="00632318"/>
    <w:rsid w:val="0063303D"/>
    <w:rsid w:val="00633352"/>
    <w:rsid w:val="00633563"/>
    <w:rsid w:val="00633A0B"/>
    <w:rsid w:val="00633D0E"/>
    <w:rsid w:val="006346D3"/>
    <w:rsid w:val="00634985"/>
    <w:rsid w:val="00634D0A"/>
    <w:rsid w:val="00635A06"/>
    <w:rsid w:val="00636271"/>
    <w:rsid w:val="00636C95"/>
    <w:rsid w:val="00637180"/>
    <w:rsid w:val="00640103"/>
    <w:rsid w:val="00640277"/>
    <w:rsid w:val="00640407"/>
    <w:rsid w:val="00640732"/>
    <w:rsid w:val="006407A4"/>
    <w:rsid w:val="0064098B"/>
    <w:rsid w:val="00640F62"/>
    <w:rsid w:val="006410A0"/>
    <w:rsid w:val="00641426"/>
    <w:rsid w:val="0064162E"/>
    <w:rsid w:val="00641A12"/>
    <w:rsid w:val="00641DEF"/>
    <w:rsid w:val="0064234B"/>
    <w:rsid w:val="00642423"/>
    <w:rsid w:val="00642FE7"/>
    <w:rsid w:val="00643505"/>
    <w:rsid w:val="00643C5A"/>
    <w:rsid w:val="00643F07"/>
    <w:rsid w:val="00644360"/>
    <w:rsid w:val="00644663"/>
    <w:rsid w:val="0064499C"/>
    <w:rsid w:val="006453D1"/>
    <w:rsid w:val="00645438"/>
    <w:rsid w:val="00645639"/>
    <w:rsid w:val="006457BD"/>
    <w:rsid w:val="006463D1"/>
    <w:rsid w:val="006474ED"/>
    <w:rsid w:val="00647832"/>
    <w:rsid w:val="00647882"/>
    <w:rsid w:val="00650218"/>
    <w:rsid w:val="006502FA"/>
    <w:rsid w:val="006504BF"/>
    <w:rsid w:val="006505DB"/>
    <w:rsid w:val="00650627"/>
    <w:rsid w:val="00650C3D"/>
    <w:rsid w:val="00651FE2"/>
    <w:rsid w:val="00652435"/>
    <w:rsid w:val="006526F3"/>
    <w:rsid w:val="00652D30"/>
    <w:rsid w:val="00652E0B"/>
    <w:rsid w:val="00653671"/>
    <w:rsid w:val="00653787"/>
    <w:rsid w:val="00653C57"/>
    <w:rsid w:val="00653D8D"/>
    <w:rsid w:val="00654059"/>
    <w:rsid w:val="0065405A"/>
    <w:rsid w:val="006547B7"/>
    <w:rsid w:val="0065520F"/>
    <w:rsid w:val="00655A06"/>
    <w:rsid w:val="00655A79"/>
    <w:rsid w:val="00656217"/>
    <w:rsid w:val="00656DD5"/>
    <w:rsid w:val="006577DF"/>
    <w:rsid w:val="00657B47"/>
    <w:rsid w:val="00660084"/>
    <w:rsid w:val="00661C8C"/>
    <w:rsid w:val="00662279"/>
    <w:rsid w:val="006629A8"/>
    <w:rsid w:val="00662BC9"/>
    <w:rsid w:val="0066305B"/>
    <w:rsid w:val="006635DA"/>
    <w:rsid w:val="0066393F"/>
    <w:rsid w:val="00664513"/>
    <w:rsid w:val="00664C32"/>
    <w:rsid w:val="0066511B"/>
    <w:rsid w:val="00665A6B"/>
    <w:rsid w:val="006660D9"/>
    <w:rsid w:val="00667B22"/>
    <w:rsid w:val="00671063"/>
    <w:rsid w:val="0067109B"/>
    <w:rsid w:val="006710C1"/>
    <w:rsid w:val="006711FA"/>
    <w:rsid w:val="00671210"/>
    <w:rsid w:val="0067137A"/>
    <w:rsid w:val="00671A9B"/>
    <w:rsid w:val="00671AB6"/>
    <w:rsid w:val="0067230A"/>
    <w:rsid w:val="006724E9"/>
    <w:rsid w:val="006728DE"/>
    <w:rsid w:val="0067304E"/>
    <w:rsid w:val="00673493"/>
    <w:rsid w:val="0067370B"/>
    <w:rsid w:val="00674252"/>
    <w:rsid w:val="006745E5"/>
    <w:rsid w:val="00674FFB"/>
    <w:rsid w:val="00675766"/>
    <w:rsid w:val="00675B65"/>
    <w:rsid w:val="006769C5"/>
    <w:rsid w:val="00676E67"/>
    <w:rsid w:val="0067701C"/>
    <w:rsid w:val="00677254"/>
    <w:rsid w:val="0067765C"/>
    <w:rsid w:val="00677A0E"/>
    <w:rsid w:val="00677F51"/>
    <w:rsid w:val="00680788"/>
    <w:rsid w:val="00681181"/>
    <w:rsid w:val="00682099"/>
    <w:rsid w:val="0068215A"/>
    <w:rsid w:val="00682352"/>
    <w:rsid w:val="00682521"/>
    <w:rsid w:val="00682BF1"/>
    <w:rsid w:val="00682E85"/>
    <w:rsid w:val="006831C2"/>
    <w:rsid w:val="006840EC"/>
    <w:rsid w:val="006842B4"/>
    <w:rsid w:val="00684909"/>
    <w:rsid w:val="006849ED"/>
    <w:rsid w:val="0068577C"/>
    <w:rsid w:val="006857DB"/>
    <w:rsid w:val="00685A22"/>
    <w:rsid w:val="00685C32"/>
    <w:rsid w:val="00685E44"/>
    <w:rsid w:val="00686648"/>
    <w:rsid w:val="0068678E"/>
    <w:rsid w:val="00687AB5"/>
    <w:rsid w:val="006901C0"/>
    <w:rsid w:val="00690320"/>
    <w:rsid w:val="00690B76"/>
    <w:rsid w:val="00691A0E"/>
    <w:rsid w:val="00691F2F"/>
    <w:rsid w:val="006921D1"/>
    <w:rsid w:val="006922AC"/>
    <w:rsid w:val="006926AF"/>
    <w:rsid w:val="006932C6"/>
    <w:rsid w:val="006936F5"/>
    <w:rsid w:val="0069376A"/>
    <w:rsid w:val="006939AD"/>
    <w:rsid w:val="00693C85"/>
    <w:rsid w:val="00693F42"/>
    <w:rsid w:val="00694D05"/>
    <w:rsid w:val="00694D8A"/>
    <w:rsid w:val="00694F3D"/>
    <w:rsid w:val="00695D48"/>
    <w:rsid w:val="006978C9"/>
    <w:rsid w:val="0069799D"/>
    <w:rsid w:val="00697A2B"/>
    <w:rsid w:val="00697E6D"/>
    <w:rsid w:val="006A044A"/>
    <w:rsid w:val="006A04A9"/>
    <w:rsid w:val="006A05C4"/>
    <w:rsid w:val="006A0B77"/>
    <w:rsid w:val="006A17EA"/>
    <w:rsid w:val="006A18B6"/>
    <w:rsid w:val="006A1E33"/>
    <w:rsid w:val="006A1EDC"/>
    <w:rsid w:val="006A2345"/>
    <w:rsid w:val="006A25D6"/>
    <w:rsid w:val="006A2823"/>
    <w:rsid w:val="006A3F1B"/>
    <w:rsid w:val="006A4261"/>
    <w:rsid w:val="006A4342"/>
    <w:rsid w:val="006A46A1"/>
    <w:rsid w:val="006A4994"/>
    <w:rsid w:val="006A55CC"/>
    <w:rsid w:val="006A5706"/>
    <w:rsid w:val="006A581A"/>
    <w:rsid w:val="006A5A82"/>
    <w:rsid w:val="006A5B0F"/>
    <w:rsid w:val="006A5BAF"/>
    <w:rsid w:val="006A5ED6"/>
    <w:rsid w:val="006A5FF3"/>
    <w:rsid w:val="006A689A"/>
    <w:rsid w:val="006A6D16"/>
    <w:rsid w:val="006A7CAB"/>
    <w:rsid w:val="006B16F5"/>
    <w:rsid w:val="006B1E66"/>
    <w:rsid w:val="006B20EE"/>
    <w:rsid w:val="006B2AB0"/>
    <w:rsid w:val="006B2C78"/>
    <w:rsid w:val="006B315B"/>
    <w:rsid w:val="006B3404"/>
    <w:rsid w:val="006B356B"/>
    <w:rsid w:val="006B3B8F"/>
    <w:rsid w:val="006B3D60"/>
    <w:rsid w:val="006B3F5B"/>
    <w:rsid w:val="006B4672"/>
    <w:rsid w:val="006B47E6"/>
    <w:rsid w:val="006B4826"/>
    <w:rsid w:val="006B4FD6"/>
    <w:rsid w:val="006B51EF"/>
    <w:rsid w:val="006B5897"/>
    <w:rsid w:val="006B5B8D"/>
    <w:rsid w:val="006B5D9C"/>
    <w:rsid w:val="006B5F52"/>
    <w:rsid w:val="006B62C7"/>
    <w:rsid w:val="006B66D1"/>
    <w:rsid w:val="006B6B8D"/>
    <w:rsid w:val="006B73DC"/>
    <w:rsid w:val="006B74A4"/>
    <w:rsid w:val="006B78E8"/>
    <w:rsid w:val="006B7CB1"/>
    <w:rsid w:val="006C01D5"/>
    <w:rsid w:val="006C0333"/>
    <w:rsid w:val="006C08A4"/>
    <w:rsid w:val="006C0941"/>
    <w:rsid w:val="006C0CE9"/>
    <w:rsid w:val="006C0D6E"/>
    <w:rsid w:val="006C0F84"/>
    <w:rsid w:val="006C1370"/>
    <w:rsid w:val="006C1614"/>
    <w:rsid w:val="006C1853"/>
    <w:rsid w:val="006C1D8C"/>
    <w:rsid w:val="006C1F2F"/>
    <w:rsid w:val="006C2B2E"/>
    <w:rsid w:val="006C2D66"/>
    <w:rsid w:val="006C2E0C"/>
    <w:rsid w:val="006C3143"/>
    <w:rsid w:val="006C4F20"/>
    <w:rsid w:val="006C515B"/>
    <w:rsid w:val="006C51D5"/>
    <w:rsid w:val="006C7273"/>
    <w:rsid w:val="006C7482"/>
    <w:rsid w:val="006D01F6"/>
    <w:rsid w:val="006D025A"/>
    <w:rsid w:val="006D19E5"/>
    <w:rsid w:val="006D1E49"/>
    <w:rsid w:val="006D2553"/>
    <w:rsid w:val="006D2DA4"/>
    <w:rsid w:val="006D353C"/>
    <w:rsid w:val="006D42CC"/>
    <w:rsid w:val="006D432E"/>
    <w:rsid w:val="006D467B"/>
    <w:rsid w:val="006D4D84"/>
    <w:rsid w:val="006D4EFD"/>
    <w:rsid w:val="006D51AC"/>
    <w:rsid w:val="006D58EC"/>
    <w:rsid w:val="006D5B0E"/>
    <w:rsid w:val="006D5C9B"/>
    <w:rsid w:val="006D6B42"/>
    <w:rsid w:val="006D6C78"/>
    <w:rsid w:val="006D6CDD"/>
    <w:rsid w:val="006D6F30"/>
    <w:rsid w:val="006D7001"/>
    <w:rsid w:val="006D7296"/>
    <w:rsid w:val="006D735E"/>
    <w:rsid w:val="006D75A8"/>
    <w:rsid w:val="006D7881"/>
    <w:rsid w:val="006D7A0A"/>
    <w:rsid w:val="006D7E2A"/>
    <w:rsid w:val="006E00B2"/>
    <w:rsid w:val="006E103E"/>
    <w:rsid w:val="006E1049"/>
    <w:rsid w:val="006E1CF4"/>
    <w:rsid w:val="006E21BF"/>
    <w:rsid w:val="006E2917"/>
    <w:rsid w:val="006E2AE6"/>
    <w:rsid w:val="006E34E5"/>
    <w:rsid w:val="006E35E7"/>
    <w:rsid w:val="006E3A43"/>
    <w:rsid w:val="006E3C14"/>
    <w:rsid w:val="006E43EA"/>
    <w:rsid w:val="006E4894"/>
    <w:rsid w:val="006E4D25"/>
    <w:rsid w:val="006E596B"/>
    <w:rsid w:val="006E59A3"/>
    <w:rsid w:val="006E6044"/>
    <w:rsid w:val="006E68E9"/>
    <w:rsid w:val="006E6E16"/>
    <w:rsid w:val="006E7155"/>
    <w:rsid w:val="006E73D5"/>
    <w:rsid w:val="006E743F"/>
    <w:rsid w:val="006E76B0"/>
    <w:rsid w:val="006E79D4"/>
    <w:rsid w:val="006E7ED4"/>
    <w:rsid w:val="006F0AFA"/>
    <w:rsid w:val="006F0F28"/>
    <w:rsid w:val="006F12BA"/>
    <w:rsid w:val="006F1B24"/>
    <w:rsid w:val="006F1B52"/>
    <w:rsid w:val="006F2409"/>
    <w:rsid w:val="006F26AF"/>
    <w:rsid w:val="006F27A6"/>
    <w:rsid w:val="006F381A"/>
    <w:rsid w:val="006F39A4"/>
    <w:rsid w:val="006F42DE"/>
    <w:rsid w:val="006F43A7"/>
    <w:rsid w:val="006F4883"/>
    <w:rsid w:val="006F4B06"/>
    <w:rsid w:val="006F55BE"/>
    <w:rsid w:val="006F5D08"/>
    <w:rsid w:val="006F60AC"/>
    <w:rsid w:val="006F6249"/>
    <w:rsid w:val="006F64BB"/>
    <w:rsid w:val="006F656E"/>
    <w:rsid w:val="006F6AE8"/>
    <w:rsid w:val="006F6C9A"/>
    <w:rsid w:val="00700132"/>
    <w:rsid w:val="00700BFD"/>
    <w:rsid w:val="00700DA6"/>
    <w:rsid w:val="007013B4"/>
    <w:rsid w:val="007015DA"/>
    <w:rsid w:val="007016A4"/>
    <w:rsid w:val="00701962"/>
    <w:rsid w:val="00702D1A"/>
    <w:rsid w:val="00702DCC"/>
    <w:rsid w:val="00703046"/>
    <w:rsid w:val="00703B16"/>
    <w:rsid w:val="00703B97"/>
    <w:rsid w:val="00704148"/>
    <w:rsid w:val="00704298"/>
    <w:rsid w:val="007044AD"/>
    <w:rsid w:val="00704503"/>
    <w:rsid w:val="00704FE4"/>
    <w:rsid w:val="00705B33"/>
    <w:rsid w:val="00705C4D"/>
    <w:rsid w:val="0070615E"/>
    <w:rsid w:val="00706C4B"/>
    <w:rsid w:val="00707512"/>
    <w:rsid w:val="00707B9F"/>
    <w:rsid w:val="00707CB7"/>
    <w:rsid w:val="00710115"/>
    <w:rsid w:val="0071065E"/>
    <w:rsid w:val="0071069B"/>
    <w:rsid w:val="00710A58"/>
    <w:rsid w:val="00710BEF"/>
    <w:rsid w:val="00711674"/>
    <w:rsid w:val="007116AC"/>
    <w:rsid w:val="007118EA"/>
    <w:rsid w:val="0071207D"/>
    <w:rsid w:val="007124A2"/>
    <w:rsid w:val="007129B9"/>
    <w:rsid w:val="00712BC5"/>
    <w:rsid w:val="00713146"/>
    <w:rsid w:val="007133ED"/>
    <w:rsid w:val="007147C5"/>
    <w:rsid w:val="007148C1"/>
    <w:rsid w:val="007155E4"/>
    <w:rsid w:val="007157D5"/>
    <w:rsid w:val="00716E8A"/>
    <w:rsid w:val="007205B5"/>
    <w:rsid w:val="007208CA"/>
    <w:rsid w:val="00720CD7"/>
    <w:rsid w:val="007216FC"/>
    <w:rsid w:val="0072236F"/>
    <w:rsid w:val="007230D6"/>
    <w:rsid w:val="00723E4B"/>
    <w:rsid w:val="00723F56"/>
    <w:rsid w:val="007240F6"/>
    <w:rsid w:val="00724553"/>
    <w:rsid w:val="007255B9"/>
    <w:rsid w:val="0072563F"/>
    <w:rsid w:val="00725950"/>
    <w:rsid w:val="00726375"/>
    <w:rsid w:val="00726584"/>
    <w:rsid w:val="00726FBD"/>
    <w:rsid w:val="0072714C"/>
    <w:rsid w:val="007276E8"/>
    <w:rsid w:val="00727CCE"/>
    <w:rsid w:val="00727DB0"/>
    <w:rsid w:val="00727E97"/>
    <w:rsid w:val="0073007D"/>
    <w:rsid w:val="007302F4"/>
    <w:rsid w:val="00730323"/>
    <w:rsid w:val="00730D9F"/>
    <w:rsid w:val="00731022"/>
    <w:rsid w:val="007311FA"/>
    <w:rsid w:val="00731B2C"/>
    <w:rsid w:val="00731DEE"/>
    <w:rsid w:val="00731FBE"/>
    <w:rsid w:val="0073206E"/>
    <w:rsid w:val="007325D6"/>
    <w:rsid w:val="00732A06"/>
    <w:rsid w:val="00732CFA"/>
    <w:rsid w:val="00732E2C"/>
    <w:rsid w:val="00733398"/>
    <w:rsid w:val="00733683"/>
    <w:rsid w:val="00734468"/>
    <w:rsid w:val="007346DD"/>
    <w:rsid w:val="00735ECF"/>
    <w:rsid w:val="007368A2"/>
    <w:rsid w:val="00736DE9"/>
    <w:rsid w:val="007370C0"/>
    <w:rsid w:val="0073710A"/>
    <w:rsid w:val="00737676"/>
    <w:rsid w:val="007406E0"/>
    <w:rsid w:val="00740877"/>
    <w:rsid w:val="00740B80"/>
    <w:rsid w:val="007419FA"/>
    <w:rsid w:val="00741AEF"/>
    <w:rsid w:val="0074209F"/>
    <w:rsid w:val="00742439"/>
    <w:rsid w:val="007428BB"/>
    <w:rsid w:val="00742BFC"/>
    <w:rsid w:val="00743063"/>
    <w:rsid w:val="007434E0"/>
    <w:rsid w:val="007436E8"/>
    <w:rsid w:val="0074395C"/>
    <w:rsid w:val="00743A10"/>
    <w:rsid w:val="00743A4D"/>
    <w:rsid w:val="00744C06"/>
    <w:rsid w:val="00744C6D"/>
    <w:rsid w:val="007450DB"/>
    <w:rsid w:val="007451F4"/>
    <w:rsid w:val="00745605"/>
    <w:rsid w:val="0074561F"/>
    <w:rsid w:val="00745E97"/>
    <w:rsid w:val="00745F1C"/>
    <w:rsid w:val="007465A9"/>
    <w:rsid w:val="00746BB3"/>
    <w:rsid w:val="0074718A"/>
    <w:rsid w:val="00747610"/>
    <w:rsid w:val="00747C10"/>
    <w:rsid w:val="00747C15"/>
    <w:rsid w:val="00747C45"/>
    <w:rsid w:val="00747D06"/>
    <w:rsid w:val="00750DBF"/>
    <w:rsid w:val="00750FED"/>
    <w:rsid w:val="00751794"/>
    <w:rsid w:val="007517A5"/>
    <w:rsid w:val="0075181A"/>
    <w:rsid w:val="00752014"/>
    <w:rsid w:val="0075290D"/>
    <w:rsid w:val="00753584"/>
    <w:rsid w:val="00753A8C"/>
    <w:rsid w:val="00753D1C"/>
    <w:rsid w:val="00753E0F"/>
    <w:rsid w:val="00754570"/>
    <w:rsid w:val="00754A0D"/>
    <w:rsid w:val="007552B2"/>
    <w:rsid w:val="007552C1"/>
    <w:rsid w:val="007553C8"/>
    <w:rsid w:val="007562E2"/>
    <w:rsid w:val="00756804"/>
    <w:rsid w:val="007569E4"/>
    <w:rsid w:val="00756B47"/>
    <w:rsid w:val="007577C2"/>
    <w:rsid w:val="007600B3"/>
    <w:rsid w:val="00760222"/>
    <w:rsid w:val="00760364"/>
    <w:rsid w:val="00760A8F"/>
    <w:rsid w:val="00760C43"/>
    <w:rsid w:val="00760D58"/>
    <w:rsid w:val="00761125"/>
    <w:rsid w:val="00761721"/>
    <w:rsid w:val="00761B4C"/>
    <w:rsid w:val="00761F92"/>
    <w:rsid w:val="00762891"/>
    <w:rsid w:val="00762A29"/>
    <w:rsid w:val="00762F2B"/>
    <w:rsid w:val="0076315B"/>
    <w:rsid w:val="0076328E"/>
    <w:rsid w:val="00763644"/>
    <w:rsid w:val="0076395C"/>
    <w:rsid w:val="00763FC3"/>
    <w:rsid w:val="0076494E"/>
    <w:rsid w:val="0076561E"/>
    <w:rsid w:val="007660F1"/>
    <w:rsid w:val="007661B0"/>
    <w:rsid w:val="00766A3D"/>
    <w:rsid w:val="00767E91"/>
    <w:rsid w:val="00767F85"/>
    <w:rsid w:val="0077040A"/>
    <w:rsid w:val="00771216"/>
    <w:rsid w:val="007715E9"/>
    <w:rsid w:val="007716FB"/>
    <w:rsid w:val="0077187D"/>
    <w:rsid w:val="00771988"/>
    <w:rsid w:val="0077201D"/>
    <w:rsid w:val="00772310"/>
    <w:rsid w:val="00772E91"/>
    <w:rsid w:val="00773353"/>
    <w:rsid w:val="007738C1"/>
    <w:rsid w:val="0077459B"/>
    <w:rsid w:val="00774F30"/>
    <w:rsid w:val="00774F84"/>
    <w:rsid w:val="00774FFC"/>
    <w:rsid w:val="0077527D"/>
    <w:rsid w:val="00775844"/>
    <w:rsid w:val="00776164"/>
    <w:rsid w:val="0077698A"/>
    <w:rsid w:val="00776B8D"/>
    <w:rsid w:val="0077719F"/>
    <w:rsid w:val="0077725B"/>
    <w:rsid w:val="00777268"/>
    <w:rsid w:val="0077757C"/>
    <w:rsid w:val="0077774B"/>
    <w:rsid w:val="00777AF2"/>
    <w:rsid w:val="00777D77"/>
    <w:rsid w:val="00780109"/>
    <w:rsid w:val="00780A45"/>
    <w:rsid w:val="00781143"/>
    <w:rsid w:val="00781EAD"/>
    <w:rsid w:val="00782B99"/>
    <w:rsid w:val="00783842"/>
    <w:rsid w:val="00783A50"/>
    <w:rsid w:val="00783A5B"/>
    <w:rsid w:val="0078426D"/>
    <w:rsid w:val="00784314"/>
    <w:rsid w:val="007844BC"/>
    <w:rsid w:val="007849D3"/>
    <w:rsid w:val="00784D7B"/>
    <w:rsid w:val="0078553B"/>
    <w:rsid w:val="00785628"/>
    <w:rsid w:val="00786D93"/>
    <w:rsid w:val="007876E3"/>
    <w:rsid w:val="00787FE6"/>
    <w:rsid w:val="0079012E"/>
    <w:rsid w:val="00790CDD"/>
    <w:rsid w:val="007910E0"/>
    <w:rsid w:val="007913A7"/>
    <w:rsid w:val="00791B14"/>
    <w:rsid w:val="00791DF9"/>
    <w:rsid w:val="00792318"/>
    <w:rsid w:val="007925F5"/>
    <w:rsid w:val="007928AD"/>
    <w:rsid w:val="00792A0E"/>
    <w:rsid w:val="00792FD0"/>
    <w:rsid w:val="00793BB5"/>
    <w:rsid w:val="00793C9F"/>
    <w:rsid w:val="007943C1"/>
    <w:rsid w:val="00794525"/>
    <w:rsid w:val="00794724"/>
    <w:rsid w:val="00794BC1"/>
    <w:rsid w:val="00794C7F"/>
    <w:rsid w:val="00794F1B"/>
    <w:rsid w:val="00795373"/>
    <w:rsid w:val="0079541E"/>
    <w:rsid w:val="007956FE"/>
    <w:rsid w:val="00795CB2"/>
    <w:rsid w:val="00795F55"/>
    <w:rsid w:val="00796361"/>
    <w:rsid w:val="00797184"/>
    <w:rsid w:val="0079744F"/>
    <w:rsid w:val="0079785D"/>
    <w:rsid w:val="00797943"/>
    <w:rsid w:val="007A0174"/>
    <w:rsid w:val="007A040C"/>
    <w:rsid w:val="007A0517"/>
    <w:rsid w:val="007A0BB2"/>
    <w:rsid w:val="007A1011"/>
    <w:rsid w:val="007A12AE"/>
    <w:rsid w:val="007A1BC6"/>
    <w:rsid w:val="007A1C3A"/>
    <w:rsid w:val="007A24E9"/>
    <w:rsid w:val="007A2C94"/>
    <w:rsid w:val="007A2D53"/>
    <w:rsid w:val="007A3750"/>
    <w:rsid w:val="007A4555"/>
    <w:rsid w:val="007A4E8B"/>
    <w:rsid w:val="007A4EAE"/>
    <w:rsid w:val="007A5131"/>
    <w:rsid w:val="007A5146"/>
    <w:rsid w:val="007A5FD8"/>
    <w:rsid w:val="007A62FF"/>
    <w:rsid w:val="007A718C"/>
    <w:rsid w:val="007B1043"/>
    <w:rsid w:val="007B10EA"/>
    <w:rsid w:val="007B118D"/>
    <w:rsid w:val="007B14AD"/>
    <w:rsid w:val="007B159A"/>
    <w:rsid w:val="007B2802"/>
    <w:rsid w:val="007B294B"/>
    <w:rsid w:val="007B2F41"/>
    <w:rsid w:val="007B3699"/>
    <w:rsid w:val="007B4019"/>
    <w:rsid w:val="007B44FA"/>
    <w:rsid w:val="007B46C6"/>
    <w:rsid w:val="007B491C"/>
    <w:rsid w:val="007B4CEF"/>
    <w:rsid w:val="007B4FA1"/>
    <w:rsid w:val="007B55D1"/>
    <w:rsid w:val="007B56D5"/>
    <w:rsid w:val="007B5FCC"/>
    <w:rsid w:val="007B647D"/>
    <w:rsid w:val="007B66A0"/>
    <w:rsid w:val="007B6AC2"/>
    <w:rsid w:val="007B6B96"/>
    <w:rsid w:val="007B6E4E"/>
    <w:rsid w:val="007B70B0"/>
    <w:rsid w:val="007B71E9"/>
    <w:rsid w:val="007B78CA"/>
    <w:rsid w:val="007B7B59"/>
    <w:rsid w:val="007B7CB5"/>
    <w:rsid w:val="007C052F"/>
    <w:rsid w:val="007C0E57"/>
    <w:rsid w:val="007C1702"/>
    <w:rsid w:val="007C17B0"/>
    <w:rsid w:val="007C41D1"/>
    <w:rsid w:val="007C48C7"/>
    <w:rsid w:val="007C4B9A"/>
    <w:rsid w:val="007C5674"/>
    <w:rsid w:val="007C5D58"/>
    <w:rsid w:val="007C66F9"/>
    <w:rsid w:val="007C69D6"/>
    <w:rsid w:val="007C72C6"/>
    <w:rsid w:val="007C77D4"/>
    <w:rsid w:val="007C7803"/>
    <w:rsid w:val="007C7C82"/>
    <w:rsid w:val="007C7E69"/>
    <w:rsid w:val="007D0614"/>
    <w:rsid w:val="007D10D1"/>
    <w:rsid w:val="007D1246"/>
    <w:rsid w:val="007D12A8"/>
    <w:rsid w:val="007D13E4"/>
    <w:rsid w:val="007D150A"/>
    <w:rsid w:val="007D17E5"/>
    <w:rsid w:val="007D1E92"/>
    <w:rsid w:val="007D1E9D"/>
    <w:rsid w:val="007D27D5"/>
    <w:rsid w:val="007D2815"/>
    <w:rsid w:val="007D2B53"/>
    <w:rsid w:val="007D2CEB"/>
    <w:rsid w:val="007D3591"/>
    <w:rsid w:val="007D396D"/>
    <w:rsid w:val="007D45BA"/>
    <w:rsid w:val="007D485D"/>
    <w:rsid w:val="007D5033"/>
    <w:rsid w:val="007D5189"/>
    <w:rsid w:val="007D5387"/>
    <w:rsid w:val="007D56B6"/>
    <w:rsid w:val="007D5B36"/>
    <w:rsid w:val="007D5BC2"/>
    <w:rsid w:val="007D61A5"/>
    <w:rsid w:val="007D6683"/>
    <w:rsid w:val="007D7204"/>
    <w:rsid w:val="007D7475"/>
    <w:rsid w:val="007E065F"/>
    <w:rsid w:val="007E079F"/>
    <w:rsid w:val="007E1786"/>
    <w:rsid w:val="007E1CF0"/>
    <w:rsid w:val="007E1D3C"/>
    <w:rsid w:val="007E2EAC"/>
    <w:rsid w:val="007E365C"/>
    <w:rsid w:val="007E3A8B"/>
    <w:rsid w:val="007E3F34"/>
    <w:rsid w:val="007E45B1"/>
    <w:rsid w:val="007E5B2E"/>
    <w:rsid w:val="007E5EF7"/>
    <w:rsid w:val="007E6167"/>
    <w:rsid w:val="007E6689"/>
    <w:rsid w:val="007E6B28"/>
    <w:rsid w:val="007E6E2C"/>
    <w:rsid w:val="007E74C5"/>
    <w:rsid w:val="007E7613"/>
    <w:rsid w:val="007E7C8C"/>
    <w:rsid w:val="007E7D69"/>
    <w:rsid w:val="007F0416"/>
    <w:rsid w:val="007F0961"/>
    <w:rsid w:val="007F0992"/>
    <w:rsid w:val="007F0A24"/>
    <w:rsid w:val="007F0E34"/>
    <w:rsid w:val="007F1171"/>
    <w:rsid w:val="007F1D70"/>
    <w:rsid w:val="007F2DFD"/>
    <w:rsid w:val="007F32C6"/>
    <w:rsid w:val="007F32EA"/>
    <w:rsid w:val="007F4165"/>
    <w:rsid w:val="007F529A"/>
    <w:rsid w:val="007F57EF"/>
    <w:rsid w:val="007F5892"/>
    <w:rsid w:val="007F5AC7"/>
    <w:rsid w:val="007F6368"/>
    <w:rsid w:val="007F69E3"/>
    <w:rsid w:val="007F709E"/>
    <w:rsid w:val="007F7A52"/>
    <w:rsid w:val="007F7B7F"/>
    <w:rsid w:val="007F7F3C"/>
    <w:rsid w:val="008003EF"/>
    <w:rsid w:val="00800985"/>
    <w:rsid w:val="00801890"/>
    <w:rsid w:val="008018FC"/>
    <w:rsid w:val="00802964"/>
    <w:rsid w:val="00802AD3"/>
    <w:rsid w:val="0080311A"/>
    <w:rsid w:val="008040FD"/>
    <w:rsid w:val="008043DE"/>
    <w:rsid w:val="0080498D"/>
    <w:rsid w:val="00805509"/>
    <w:rsid w:val="00805A1F"/>
    <w:rsid w:val="00805B9A"/>
    <w:rsid w:val="0080606A"/>
    <w:rsid w:val="008061A6"/>
    <w:rsid w:val="008062AD"/>
    <w:rsid w:val="008065F0"/>
    <w:rsid w:val="00807677"/>
    <w:rsid w:val="00807C2F"/>
    <w:rsid w:val="00810090"/>
    <w:rsid w:val="00810B67"/>
    <w:rsid w:val="00811478"/>
    <w:rsid w:val="00811716"/>
    <w:rsid w:val="00812295"/>
    <w:rsid w:val="00812330"/>
    <w:rsid w:val="0081281F"/>
    <w:rsid w:val="008129C6"/>
    <w:rsid w:val="00812E0A"/>
    <w:rsid w:val="0081352B"/>
    <w:rsid w:val="008136F0"/>
    <w:rsid w:val="008140C1"/>
    <w:rsid w:val="008144EE"/>
    <w:rsid w:val="00814514"/>
    <w:rsid w:val="008146F8"/>
    <w:rsid w:val="00814CCF"/>
    <w:rsid w:val="0081594A"/>
    <w:rsid w:val="00815B81"/>
    <w:rsid w:val="00815CF6"/>
    <w:rsid w:val="008168AB"/>
    <w:rsid w:val="00816E12"/>
    <w:rsid w:val="00820B72"/>
    <w:rsid w:val="008212C9"/>
    <w:rsid w:val="00821399"/>
    <w:rsid w:val="008218B7"/>
    <w:rsid w:val="00821C12"/>
    <w:rsid w:val="00821F94"/>
    <w:rsid w:val="00821FF8"/>
    <w:rsid w:val="008222C8"/>
    <w:rsid w:val="00822E66"/>
    <w:rsid w:val="0082340E"/>
    <w:rsid w:val="0082342C"/>
    <w:rsid w:val="008236AA"/>
    <w:rsid w:val="008237E2"/>
    <w:rsid w:val="00824455"/>
    <w:rsid w:val="0082514D"/>
    <w:rsid w:val="008255E4"/>
    <w:rsid w:val="0082585B"/>
    <w:rsid w:val="0082666E"/>
    <w:rsid w:val="00826A72"/>
    <w:rsid w:val="00827BAD"/>
    <w:rsid w:val="008300A0"/>
    <w:rsid w:val="008302F0"/>
    <w:rsid w:val="008303B3"/>
    <w:rsid w:val="00830639"/>
    <w:rsid w:val="008306C2"/>
    <w:rsid w:val="008309C9"/>
    <w:rsid w:val="00830B06"/>
    <w:rsid w:val="00830BC7"/>
    <w:rsid w:val="00831EEA"/>
    <w:rsid w:val="00832073"/>
    <w:rsid w:val="0083211B"/>
    <w:rsid w:val="00832387"/>
    <w:rsid w:val="008325DD"/>
    <w:rsid w:val="008335E0"/>
    <w:rsid w:val="008335E3"/>
    <w:rsid w:val="00833AAC"/>
    <w:rsid w:val="00833E28"/>
    <w:rsid w:val="00834896"/>
    <w:rsid w:val="00834B09"/>
    <w:rsid w:val="00834DCB"/>
    <w:rsid w:val="008352DE"/>
    <w:rsid w:val="008354E6"/>
    <w:rsid w:val="0083573A"/>
    <w:rsid w:val="0083590A"/>
    <w:rsid w:val="00835E3F"/>
    <w:rsid w:val="00835E92"/>
    <w:rsid w:val="0083639D"/>
    <w:rsid w:val="00836673"/>
    <w:rsid w:val="008366F5"/>
    <w:rsid w:val="00836D88"/>
    <w:rsid w:val="008375F2"/>
    <w:rsid w:val="00837E9D"/>
    <w:rsid w:val="00840143"/>
    <w:rsid w:val="00840A1A"/>
    <w:rsid w:val="00840C01"/>
    <w:rsid w:val="00840C42"/>
    <w:rsid w:val="0084167C"/>
    <w:rsid w:val="0084173E"/>
    <w:rsid w:val="00841DE5"/>
    <w:rsid w:val="00842A5A"/>
    <w:rsid w:val="008439D5"/>
    <w:rsid w:val="00844148"/>
    <w:rsid w:val="0084424B"/>
    <w:rsid w:val="008442D6"/>
    <w:rsid w:val="00844F10"/>
    <w:rsid w:val="00845186"/>
    <w:rsid w:val="00845BBC"/>
    <w:rsid w:val="00845E38"/>
    <w:rsid w:val="00846214"/>
    <w:rsid w:val="00846489"/>
    <w:rsid w:val="008464E5"/>
    <w:rsid w:val="00846C6A"/>
    <w:rsid w:val="00846DCC"/>
    <w:rsid w:val="00846F4A"/>
    <w:rsid w:val="0084701D"/>
    <w:rsid w:val="0084708B"/>
    <w:rsid w:val="008470A7"/>
    <w:rsid w:val="008478EF"/>
    <w:rsid w:val="00847E29"/>
    <w:rsid w:val="00847F2B"/>
    <w:rsid w:val="00850048"/>
    <w:rsid w:val="00850493"/>
    <w:rsid w:val="008508FB"/>
    <w:rsid w:val="008513D8"/>
    <w:rsid w:val="0085160E"/>
    <w:rsid w:val="00851E74"/>
    <w:rsid w:val="00851E8B"/>
    <w:rsid w:val="0085207D"/>
    <w:rsid w:val="00852C25"/>
    <w:rsid w:val="008530E9"/>
    <w:rsid w:val="00854128"/>
    <w:rsid w:val="00854E7A"/>
    <w:rsid w:val="00855799"/>
    <w:rsid w:val="00855A6C"/>
    <w:rsid w:val="00855AB6"/>
    <w:rsid w:val="00855D43"/>
    <w:rsid w:val="008561D7"/>
    <w:rsid w:val="008563CA"/>
    <w:rsid w:val="00856BE1"/>
    <w:rsid w:val="00856F70"/>
    <w:rsid w:val="008607B4"/>
    <w:rsid w:val="00860B22"/>
    <w:rsid w:val="00861074"/>
    <w:rsid w:val="00861768"/>
    <w:rsid w:val="00861BC9"/>
    <w:rsid w:val="00861CAE"/>
    <w:rsid w:val="00862752"/>
    <w:rsid w:val="00862785"/>
    <w:rsid w:val="008627B8"/>
    <w:rsid w:val="0086289B"/>
    <w:rsid w:val="008634C1"/>
    <w:rsid w:val="008636FC"/>
    <w:rsid w:val="00863D58"/>
    <w:rsid w:val="00863DB6"/>
    <w:rsid w:val="00864891"/>
    <w:rsid w:val="00864B72"/>
    <w:rsid w:val="00865521"/>
    <w:rsid w:val="008656DF"/>
    <w:rsid w:val="00865B86"/>
    <w:rsid w:val="0086641D"/>
    <w:rsid w:val="00866602"/>
    <w:rsid w:val="0086739D"/>
    <w:rsid w:val="00870368"/>
    <w:rsid w:val="00870C77"/>
    <w:rsid w:val="00870D8E"/>
    <w:rsid w:val="00870E10"/>
    <w:rsid w:val="00871164"/>
    <w:rsid w:val="00871222"/>
    <w:rsid w:val="00871749"/>
    <w:rsid w:val="00871CEA"/>
    <w:rsid w:val="00871E77"/>
    <w:rsid w:val="008726CE"/>
    <w:rsid w:val="0087298C"/>
    <w:rsid w:val="00873721"/>
    <w:rsid w:val="00873BC6"/>
    <w:rsid w:val="00873D3D"/>
    <w:rsid w:val="00873E53"/>
    <w:rsid w:val="00873FFE"/>
    <w:rsid w:val="00874989"/>
    <w:rsid w:val="00874FB1"/>
    <w:rsid w:val="008750D2"/>
    <w:rsid w:val="0087573A"/>
    <w:rsid w:val="00875844"/>
    <w:rsid w:val="00875A0C"/>
    <w:rsid w:val="00875F40"/>
    <w:rsid w:val="008767A1"/>
    <w:rsid w:val="00876B9B"/>
    <w:rsid w:val="00876D30"/>
    <w:rsid w:val="008771F4"/>
    <w:rsid w:val="00877648"/>
    <w:rsid w:val="00877912"/>
    <w:rsid w:val="008801D8"/>
    <w:rsid w:val="008802E8"/>
    <w:rsid w:val="00880902"/>
    <w:rsid w:val="00880AB5"/>
    <w:rsid w:val="00880CCE"/>
    <w:rsid w:val="008813AC"/>
    <w:rsid w:val="00881451"/>
    <w:rsid w:val="00881A03"/>
    <w:rsid w:val="00881E3C"/>
    <w:rsid w:val="0088225B"/>
    <w:rsid w:val="008829AE"/>
    <w:rsid w:val="00882A93"/>
    <w:rsid w:val="00882E1D"/>
    <w:rsid w:val="00883097"/>
    <w:rsid w:val="00883230"/>
    <w:rsid w:val="0088568C"/>
    <w:rsid w:val="00885959"/>
    <w:rsid w:val="00885AF5"/>
    <w:rsid w:val="008861B6"/>
    <w:rsid w:val="0088683F"/>
    <w:rsid w:val="00886C92"/>
    <w:rsid w:val="00887079"/>
    <w:rsid w:val="0088740E"/>
    <w:rsid w:val="008876F6"/>
    <w:rsid w:val="00887A00"/>
    <w:rsid w:val="008900C6"/>
    <w:rsid w:val="008901D3"/>
    <w:rsid w:val="00890617"/>
    <w:rsid w:val="00890B9D"/>
    <w:rsid w:val="00890E4F"/>
    <w:rsid w:val="00892A4E"/>
    <w:rsid w:val="00893538"/>
    <w:rsid w:val="00893B05"/>
    <w:rsid w:val="00893E3B"/>
    <w:rsid w:val="008945E8"/>
    <w:rsid w:val="00894762"/>
    <w:rsid w:val="00894A27"/>
    <w:rsid w:val="00894B6C"/>
    <w:rsid w:val="008956E6"/>
    <w:rsid w:val="008964A0"/>
    <w:rsid w:val="0089699D"/>
    <w:rsid w:val="00896A4C"/>
    <w:rsid w:val="00896AE9"/>
    <w:rsid w:val="00896CB6"/>
    <w:rsid w:val="00896EBA"/>
    <w:rsid w:val="00896F4F"/>
    <w:rsid w:val="008972BD"/>
    <w:rsid w:val="00897355"/>
    <w:rsid w:val="0089735D"/>
    <w:rsid w:val="0089797F"/>
    <w:rsid w:val="00897A72"/>
    <w:rsid w:val="008A0494"/>
    <w:rsid w:val="008A1683"/>
    <w:rsid w:val="008A1AF3"/>
    <w:rsid w:val="008A1C97"/>
    <w:rsid w:val="008A23C9"/>
    <w:rsid w:val="008A2E88"/>
    <w:rsid w:val="008A39F8"/>
    <w:rsid w:val="008A3C97"/>
    <w:rsid w:val="008A4062"/>
    <w:rsid w:val="008A44D6"/>
    <w:rsid w:val="008A56C9"/>
    <w:rsid w:val="008A582D"/>
    <w:rsid w:val="008A5B83"/>
    <w:rsid w:val="008A6067"/>
    <w:rsid w:val="008A62FA"/>
    <w:rsid w:val="008A6705"/>
    <w:rsid w:val="008A68BF"/>
    <w:rsid w:val="008A72A1"/>
    <w:rsid w:val="008A7380"/>
    <w:rsid w:val="008A73B9"/>
    <w:rsid w:val="008A77C3"/>
    <w:rsid w:val="008A7AB2"/>
    <w:rsid w:val="008B07F1"/>
    <w:rsid w:val="008B0B3A"/>
    <w:rsid w:val="008B0EF2"/>
    <w:rsid w:val="008B118A"/>
    <w:rsid w:val="008B14FD"/>
    <w:rsid w:val="008B17EC"/>
    <w:rsid w:val="008B1F7D"/>
    <w:rsid w:val="008B1FA8"/>
    <w:rsid w:val="008B28E9"/>
    <w:rsid w:val="008B2B0A"/>
    <w:rsid w:val="008B30FA"/>
    <w:rsid w:val="008B32A9"/>
    <w:rsid w:val="008B330F"/>
    <w:rsid w:val="008B3319"/>
    <w:rsid w:val="008B3861"/>
    <w:rsid w:val="008B3BC3"/>
    <w:rsid w:val="008B4017"/>
    <w:rsid w:val="008B412A"/>
    <w:rsid w:val="008B4338"/>
    <w:rsid w:val="008B43FC"/>
    <w:rsid w:val="008B5D89"/>
    <w:rsid w:val="008B6182"/>
    <w:rsid w:val="008B6EAA"/>
    <w:rsid w:val="008B73EF"/>
    <w:rsid w:val="008B7C1E"/>
    <w:rsid w:val="008B7D8F"/>
    <w:rsid w:val="008C0083"/>
    <w:rsid w:val="008C113C"/>
    <w:rsid w:val="008C1B40"/>
    <w:rsid w:val="008C1EC0"/>
    <w:rsid w:val="008C23E2"/>
    <w:rsid w:val="008C27D1"/>
    <w:rsid w:val="008C2EDB"/>
    <w:rsid w:val="008C354E"/>
    <w:rsid w:val="008C35C4"/>
    <w:rsid w:val="008C3FFD"/>
    <w:rsid w:val="008C4619"/>
    <w:rsid w:val="008C51B6"/>
    <w:rsid w:val="008C54B0"/>
    <w:rsid w:val="008C5D27"/>
    <w:rsid w:val="008C6662"/>
    <w:rsid w:val="008C6C9A"/>
    <w:rsid w:val="008C6DEE"/>
    <w:rsid w:val="008C701E"/>
    <w:rsid w:val="008C70E1"/>
    <w:rsid w:val="008C7C09"/>
    <w:rsid w:val="008D13B6"/>
    <w:rsid w:val="008D1B64"/>
    <w:rsid w:val="008D1C58"/>
    <w:rsid w:val="008D257A"/>
    <w:rsid w:val="008D2D9B"/>
    <w:rsid w:val="008D3084"/>
    <w:rsid w:val="008D33D5"/>
    <w:rsid w:val="008D3B20"/>
    <w:rsid w:val="008D3F5D"/>
    <w:rsid w:val="008D4162"/>
    <w:rsid w:val="008D4D53"/>
    <w:rsid w:val="008D4E54"/>
    <w:rsid w:val="008D5088"/>
    <w:rsid w:val="008D58F0"/>
    <w:rsid w:val="008D612D"/>
    <w:rsid w:val="008D6617"/>
    <w:rsid w:val="008D6B64"/>
    <w:rsid w:val="008D6CA0"/>
    <w:rsid w:val="008D77A6"/>
    <w:rsid w:val="008D78D8"/>
    <w:rsid w:val="008E050D"/>
    <w:rsid w:val="008E0AE0"/>
    <w:rsid w:val="008E0DA8"/>
    <w:rsid w:val="008E1392"/>
    <w:rsid w:val="008E149F"/>
    <w:rsid w:val="008E168A"/>
    <w:rsid w:val="008E26F4"/>
    <w:rsid w:val="008E29C9"/>
    <w:rsid w:val="008E29DC"/>
    <w:rsid w:val="008E2D55"/>
    <w:rsid w:val="008E3139"/>
    <w:rsid w:val="008E3473"/>
    <w:rsid w:val="008E37B3"/>
    <w:rsid w:val="008E3E98"/>
    <w:rsid w:val="008E412F"/>
    <w:rsid w:val="008E44CF"/>
    <w:rsid w:val="008E463C"/>
    <w:rsid w:val="008E4C89"/>
    <w:rsid w:val="008E51AF"/>
    <w:rsid w:val="008E5201"/>
    <w:rsid w:val="008E545B"/>
    <w:rsid w:val="008E548A"/>
    <w:rsid w:val="008E5B6B"/>
    <w:rsid w:val="008E5E60"/>
    <w:rsid w:val="008E5EF4"/>
    <w:rsid w:val="008E610D"/>
    <w:rsid w:val="008E6517"/>
    <w:rsid w:val="008E67FE"/>
    <w:rsid w:val="008E6948"/>
    <w:rsid w:val="008E74A2"/>
    <w:rsid w:val="008E7714"/>
    <w:rsid w:val="008E7E2D"/>
    <w:rsid w:val="008F09AF"/>
    <w:rsid w:val="008F0A79"/>
    <w:rsid w:val="008F0F21"/>
    <w:rsid w:val="008F0F23"/>
    <w:rsid w:val="008F1325"/>
    <w:rsid w:val="008F1670"/>
    <w:rsid w:val="008F16A9"/>
    <w:rsid w:val="008F1974"/>
    <w:rsid w:val="008F1CF8"/>
    <w:rsid w:val="008F1DCF"/>
    <w:rsid w:val="008F29D5"/>
    <w:rsid w:val="008F3038"/>
    <w:rsid w:val="008F3278"/>
    <w:rsid w:val="008F33CE"/>
    <w:rsid w:val="008F3F4F"/>
    <w:rsid w:val="008F4163"/>
    <w:rsid w:val="008F4B82"/>
    <w:rsid w:val="008F562C"/>
    <w:rsid w:val="008F6C34"/>
    <w:rsid w:val="008F747E"/>
    <w:rsid w:val="008F7598"/>
    <w:rsid w:val="008F7603"/>
    <w:rsid w:val="008F7967"/>
    <w:rsid w:val="008F7BE2"/>
    <w:rsid w:val="00900370"/>
    <w:rsid w:val="009005F9"/>
    <w:rsid w:val="009006A6"/>
    <w:rsid w:val="0090099B"/>
    <w:rsid w:val="00900B06"/>
    <w:rsid w:val="00901481"/>
    <w:rsid w:val="009016D7"/>
    <w:rsid w:val="0090184B"/>
    <w:rsid w:val="0090186E"/>
    <w:rsid w:val="00902675"/>
    <w:rsid w:val="00902B87"/>
    <w:rsid w:val="00902FD3"/>
    <w:rsid w:val="00903AC3"/>
    <w:rsid w:val="0090412E"/>
    <w:rsid w:val="00904536"/>
    <w:rsid w:val="00904710"/>
    <w:rsid w:val="0090478A"/>
    <w:rsid w:val="00905270"/>
    <w:rsid w:val="00905E66"/>
    <w:rsid w:val="009060B6"/>
    <w:rsid w:val="00906310"/>
    <w:rsid w:val="009064EB"/>
    <w:rsid w:val="009102A7"/>
    <w:rsid w:val="00911650"/>
    <w:rsid w:val="00911D86"/>
    <w:rsid w:val="00911F65"/>
    <w:rsid w:val="00912938"/>
    <w:rsid w:val="00913435"/>
    <w:rsid w:val="00913A42"/>
    <w:rsid w:val="0091421F"/>
    <w:rsid w:val="009144B5"/>
    <w:rsid w:val="009146F6"/>
    <w:rsid w:val="009148A1"/>
    <w:rsid w:val="009156DF"/>
    <w:rsid w:val="00915863"/>
    <w:rsid w:val="00915EFD"/>
    <w:rsid w:val="0091607F"/>
    <w:rsid w:val="00916ED7"/>
    <w:rsid w:val="00917CBF"/>
    <w:rsid w:val="009200F0"/>
    <w:rsid w:val="00920765"/>
    <w:rsid w:val="0092088E"/>
    <w:rsid w:val="00921619"/>
    <w:rsid w:val="00922E70"/>
    <w:rsid w:val="00923413"/>
    <w:rsid w:val="00923B92"/>
    <w:rsid w:val="0092439D"/>
    <w:rsid w:val="009251DE"/>
    <w:rsid w:val="0092565D"/>
    <w:rsid w:val="00925867"/>
    <w:rsid w:val="009260CA"/>
    <w:rsid w:val="0092617C"/>
    <w:rsid w:val="009265BF"/>
    <w:rsid w:val="00926E69"/>
    <w:rsid w:val="00927244"/>
    <w:rsid w:val="009272EB"/>
    <w:rsid w:val="009275F5"/>
    <w:rsid w:val="009276F0"/>
    <w:rsid w:val="00927971"/>
    <w:rsid w:val="00927F4E"/>
    <w:rsid w:val="00930043"/>
    <w:rsid w:val="009304BB"/>
    <w:rsid w:val="0093086D"/>
    <w:rsid w:val="00930998"/>
    <w:rsid w:val="00930AE4"/>
    <w:rsid w:val="00930C88"/>
    <w:rsid w:val="00930EF7"/>
    <w:rsid w:val="00931137"/>
    <w:rsid w:val="009311DB"/>
    <w:rsid w:val="0093125C"/>
    <w:rsid w:val="009317B8"/>
    <w:rsid w:val="0093200F"/>
    <w:rsid w:val="009325F7"/>
    <w:rsid w:val="00932848"/>
    <w:rsid w:val="009328B7"/>
    <w:rsid w:val="00932A7B"/>
    <w:rsid w:val="0093313B"/>
    <w:rsid w:val="00933190"/>
    <w:rsid w:val="00934094"/>
    <w:rsid w:val="009341DA"/>
    <w:rsid w:val="0093451B"/>
    <w:rsid w:val="00935135"/>
    <w:rsid w:val="0093533A"/>
    <w:rsid w:val="009358AD"/>
    <w:rsid w:val="0093591D"/>
    <w:rsid w:val="009360D6"/>
    <w:rsid w:val="00936282"/>
    <w:rsid w:val="00936510"/>
    <w:rsid w:val="0093690D"/>
    <w:rsid w:val="00936B7F"/>
    <w:rsid w:val="00936E52"/>
    <w:rsid w:val="00937233"/>
    <w:rsid w:val="009375A8"/>
    <w:rsid w:val="00937F33"/>
    <w:rsid w:val="0094064E"/>
    <w:rsid w:val="00941129"/>
    <w:rsid w:val="00941336"/>
    <w:rsid w:val="009413BF"/>
    <w:rsid w:val="009413EE"/>
    <w:rsid w:val="0094170F"/>
    <w:rsid w:val="00941A7E"/>
    <w:rsid w:val="00941CF5"/>
    <w:rsid w:val="00941E7C"/>
    <w:rsid w:val="009423E0"/>
    <w:rsid w:val="00943133"/>
    <w:rsid w:val="009449EE"/>
    <w:rsid w:val="00944A18"/>
    <w:rsid w:val="00945476"/>
    <w:rsid w:val="00945E92"/>
    <w:rsid w:val="00945EDC"/>
    <w:rsid w:val="00946011"/>
    <w:rsid w:val="0094626B"/>
    <w:rsid w:val="009463A2"/>
    <w:rsid w:val="00946489"/>
    <w:rsid w:val="00946697"/>
    <w:rsid w:val="009466EE"/>
    <w:rsid w:val="0094698E"/>
    <w:rsid w:val="009469EB"/>
    <w:rsid w:val="00946F41"/>
    <w:rsid w:val="009472B9"/>
    <w:rsid w:val="00947B0E"/>
    <w:rsid w:val="00950351"/>
    <w:rsid w:val="009511A3"/>
    <w:rsid w:val="00951898"/>
    <w:rsid w:val="00951BE2"/>
    <w:rsid w:val="00951CE6"/>
    <w:rsid w:val="00951F82"/>
    <w:rsid w:val="00952062"/>
    <w:rsid w:val="00952302"/>
    <w:rsid w:val="0095243C"/>
    <w:rsid w:val="00952807"/>
    <w:rsid w:val="00952B41"/>
    <w:rsid w:val="00953501"/>
    <w:rsid w:val="00953534"/>
    <w:rsid w:val="00953D7F"/>
    <w:rsid w:val="00953F9A"/>
    <w:rsid w:val="00954100"/>
    <w:rsid w:val="009553BC"/>
    <w:rsid w:val="00956292"/>
    <w:rsid w:val="009564A4"/>
    <w:rsid w:val="00956814"/>
    <w:rsid w:val="009569B9"/>
    <w:rsid w:val="00956CD5"/>
    <w:rsid w:val="00956F05"/>
    <w:rsid w:val="00956FA3"/>
    <w:rsid w:val="00957210"/>
    <w:rsid w:val="00957536"/>
    <w:rsid w:val="00957540"/>
    <w:rsid w:val="009575E1"/>
    <w:rsid w:val="00960294"/>
    <w:rsid w:val="0096044B"/>
    <w:rsid w:val="00960BC7"/>
    <w:rsid w:val="00960ECE"/>
    <w:rsid w:val="00962129"/>
    <w:rsid w:val="009627BC"/>
    <w:rsid w:val="00962C89"/>
    <w:rsid w:val="00962ED9"/>
    <w:rsid w:val="0096323C"/>
    <w:rsid w:val="009632C9"/>
    <w:rsid w:val="00963813"/>
    <w:rsid w:val="00963986"/>
    <w:rsid w:val="0096399C"/>
    <w:rsid w:val="0096443C"/>
    <w:rsid w:val="009645FF"/>
    <w:rsid w:val="00964625"/>
    <w:rsid w:val="0096559E"/>
    <w:rsid w:val="00965869"/>
    <w:rsid w:val="009667EE"/>
    <w:rsid w:val="00966A77"/>
    <w:rsid w:val="00966FD4"/>
    <w:rsid w:val="00966FF4"/>
    <w:rsid w:val="0096712F"/>
    <w:rsid w:val="00967C59"/>
    <w:rsid w:val="00967EE3"/>
    <w:rsid w:val="00970117"/>
    <w:rsid w:val="009702A9"/>
    <w:rsid w:val="0097067A"/>
    <w:rsid w:val="009707AC"/>
    <w:rsid w:val="00970BAD"/>
    <w:rsid w:val="00970DA1"/>
    <w:rsid w:val="009714CB"/>
    <w:rsid w:val="00971670"/>
    <w:rsid w:val="009720B6"/>
    <w:rsid w:val="009722FF"/>
    <w:rsid w:val="00972A81"/>
    <w:rsid w:val="0097305B"/>
    <w:rsid w:val="0097316B"/>
    <w:rsid w:val="0097334D"/>
    <w:rsid w:val="0097354A"/>
    <w:rsid w:val="009735AC"/>
    <w:rsid w:val="009739CC"/>
    <w:rsid w:val="009745B7"/>
    <w:rsid w:val="009747F0"/>
    <w:rsid w:val="0097495E"/>
    <w:rsid w:val="00974A73"/>
    <w:rsid w:val="00974BB3"/>
    <w:rsid w:val="00974FAA"/>
    <w:rsid w:val="0097576D"/>
    <w:rsid w:val="00975A36"/>
    <w:rsid w:val="00975DE7"/>
    <w:rsid w:val="00977184"/>
    <w:rsid w:val="0097718F"/>
    <w:rsid w:val="009779E9"/>
    <w:rsid w:val="00977A22"/>
    <w:rsid w:val="00977C6B"/>
    <w:rsid w:val="00980074"/>
    <w:rsid w:val="009802C9"/>
    <w:rsid w:val="009805F0"/>
    <w:rsid w:val="00980AEA"/>
    <w:rsid w:val="00982CF6"/>
    <w:rsid w:val="00982D49"/>
    <w:rsid w:val="00983725"/>
    <w:rsid w:val="00984A18"/>
    <w:rsid w:val="009852C3"/>
    <w:rsid w:val="00985588"/>
    <w:rsid w:val="009856D6"/>
    <w:rsid w:val="00985841"/>
    <w:rsid w:val="00985ABF"/>
    <w:rsid w:val="00985D47"/>
    <w:rsid w:val="00986599"/>
    <w:rsid w:val="00986636"/>
    <w:rsid w:val="00986907"/>
    <w:rsid w:val="00986CE8"/>
    <w:rsid w:val="00987408"/>
    <w:rsid w:val="00987815"/>
    <w:rsid w:val="00987B28"/>
    <w:rsid w:val="00987F9E"/>
    <w:rsid w:val="009901CA"/>
    <w:rsid w:val="009905F0"/>
    <w:rsid w:val="00991013"/>
    <w:rsid w:val="0099120F"/>
    <w:rsid w:val="00991247"/>
    <w:rsid w:val="00991347"/>
    <w:rsid w:val="00991685"/>
    <w:rsid w:val="0099173E"/>
    <w:rsid w:val="00991DCD"/>
    <w:rsid w:val="009923DE"/>
    <w:rsid w:val="009925E6"/>
    <w:rsid w:val="009927FA"/>
    <w:rsid w:val="00992E9F"/>
    <w:rsid w:val="00993410"/>
    <w:rsid w:val="00993A9D"/>
    <w:rsid w:val="00993D01"/>
    <w:rsid w:val="009942EB"/>
    <w:rsid w:val="00994549"/>
    <w:rsid w:val="00994E9F"/>
    <w:rsid w:val="0099592D"/>
    <w:rsid w:val="00995E60"/>
    <w:rsid w:val="009964FB"/>
    <w:rsid w:val="009967F2"/>
    <w:rsid w:val="0099724D"/>
    <w:rsid w:val="00997271"/>
    <w:rsid w:val="0099750E"/>
    <w:rsid w:val="00997790"/>
    <w:rsid w:val="009A0896"/>
    <w:rsid w:val="009A0C3C"/>
    <w:rsid w:val="009A0E97"/>
    <w:rsid w:val="009A118E"/>
    <w:rsid w:val="009A19E5"/>
    <w:rsid w:val="009A1AEE"/>
    <w:rsid w:val="009A2167"/>
    <w:rsid w:val="009A2169"/>
    <w:rsid w:val="009A28A2"/>
    <w:rsid w:val="009A33F3"/>
    <w:rsid w:val="009A3BBA"/>
    <w:rsid w:val="009A3C9A"/>
    <w:rsid w:val="009A4782"/>
    <w:rsid w:val="009A4E11"/>
    <w:rsid w:val="009A5A76"/>
    <w:rsid w:val="009A5B22"/>
    <w:rsid w:val="009A5BF2"/>
    <w:rsid w:val="009A66D0"/>
    <w:rsid w:val="009A6A07"/>
    <w:rsid w:val="009A7122"/>
    <w:rsid w:val="009A795F"/>
    <w:rsid w:val="009A7DF1"/>
    <w:rsid w:val="009B004F"/>
    <w:rsid w:val="009B00A1"/>
    <w:rsid w:val="009B00BA"/>
    <w:rsid w:val="009B01FC"/>
    <w:rsid w:val="009B03FD"/>
    <w:rsid w:val="009B0A4E"/>
    <w:rsid w:val="009B1A4F"/>
    <w:rsid w:val="009B1BFE"/>
    <w:rsid w:val="009B1D21"/>
    <w:rsid w:val="009B2066"/>
    <w:rsid w:val="009B2160"/>
    <w:rsid w:val="009B2231"/>
    <w:rsid w:val="009B2751"/>
    <w:rsid w:val="009B2B32"/>
    <w:rsid w:val="009B2C6D"/>
    <w:rsid w:val="009B3200"/>
    <w:rsid w:val="009B33E6"/>
    <w:rsid w:val="009B42E8"/>
    <w:rsid w:val="009B4403"/>
    <w:rsid w:val="009B4963"/>
    <w:rsid w:val="009B4D3A"/>
    <w:rsid w:val="009B50BD"/>
    <w:rsid w:val="009B531C"/>
    <w:rsid w:val="009B5BA9"/>
    <w:rsid w:val="009B6014"/>
    <w:rsid w:val="009B63F9"/>
    <w:rsid w:val="009B7367"/>
    <w:rsid w:val="009B74EE"/>
    <w:rsid w:val="009B75C5"/>
    <w:rsid w:val="009B760A"/>
    <w:rsid w:val="009B7676"/>
    <w:rsid w:val="009B7D15"/>
    <w:rsid w:val="009C0024"/>
    <w:rsid w:val="009C04B1"/>
    <w:rsid w:val="009C0A69"/>
    <w:rsid w:val="009C0F90"/>
    <w:rsid w:val="009C0F9E"/>
    <w:rsid w:val="009C1BD2"/>
    <w:rsid w:val="009C244A"/>
    <w:rsid w:val="009C27EF"/>
    <w:rsid w:val="009C2E92"/>
    <w:rsid w:val="009C31DF"/>
    <w:rsid w:val="009C33E0"/>
    <w:rsid w:val="009C34DC"/>
    <w:rsid w:val="009C457A"/>
    <w:rsid w:val="009C4DA6"/>
    <w:rsid w:val="009C55EB"/>
    <w:rsid w:val="009C569B"/>
    <w:rsid w:val="009C5F6F"/>
    <w:rsid w:val="009C6298"/>
    <w:rsid w:val="009C6394"/>
    <w:rsid w:val="009C6AFA"/>
    <w:rsid w:val="009C6C56"/>
    <w:rsid w:val="009C7456"/>
    <w:rsid w:val="009C74D2"/>
    <w:rsid w:val="009D0DCB"/>
    <w:rsid w:val="009D0E11"/>
    <w:rsid w:val="009D10E4"/>
    <w:rsid w:val="009D16E4"/>
    <w:rsid w:val="009D1E28"/>
    <w:rsid w:val="009D305E"/>
    <w:rsid w:val="009D31F9"/>
    <w:rsid w:val="009D3B7E"/>
    <w:rsid w:val="009D3F76"/>
    <w:rsid w:val="009D451F"/>
    <w:rsid w:val="009D47BE"/>
    <w:rsid w:val="009D5072"/>
    <w:rsid w:val="009D53B7"/>
    <w:rsid w:val="009D562D"/>
    <w:rsid w:val="009D6741"/>
    <w:rsid w:val="009E06C8"/>
    <w:rsid w:val="009E0AB8"/>
    <w:rsid w:val="009E0CA4"/>
    <w:rsid w:val="009E0EA2"/>
    <w:rsid w:val="009E1263"/>
    <w:rsid w:val="009E16E9"/>
    <w:rsid w:val="009E1EAC"/>
    <w:rsid w:val="009E214D"/>
    <w:rsid w:val="009E28D1"/>
    <w:rsid w:val="009E28EC"/>
    <w:rsid w:val="009E2932"/>
    <w:rsid w:val="009E2B5A"/>
    <w:rsid w:val="009E315A"/>
    <w:rsid w:val="009E3CD0"/>
    <w:rsid w:val="009E4030"/>
    <w:rsid w:val="009E460C"/>
    <w:rsid w:val="009E47D7"/>
    <w:rsid w:val="009E4841"/>
    <w:rsid w:val="009E4887"/>
    <w:rsid w:val="009E4898"/>
    <w:rsid w:val="009E5080"/>
    <w:rsid w:val="009E5265"/>
    <w:rsid w:val="009E53F2"/>
    <w:rsid w:val="009E5C26"/>
    <w:rsid w:val="009E60A0"/>
    <w:rsid w:val="009E62C0"/>
    <w:rsid w:val="009E6C6B"/>
    <w:rsid w:val="009E77BE"/>
    <w:rsid w:val="009E78E7"/>
    <w:rsid w:val="009E7983"/>
    <w:rsid w:val="009E7A15"/>
    <w:rsid w:val="009E7C40"/>
    <w:rsid w:val="009E7D0F"/>
    <w:rsid w:val="009F02A0"/>
    <w:rsid w:val="009F0309"/>
    <w:rsid w:val="009F0EDA"/>
    <w:rsid w:val="009F1163"/>
    <w:rsid w:val="009F146E"/>
    <w:rsid w:val="009F1732"/>
    <w:rsid w:val="009F1787"/>
    <w:rsid w:val="009F1BC8"/>
    <w:rsid w:val="009F1BD2"/>
    <w:rsid w:val="009F1F9A"/>
    <w:rsid w:val="009F1F9F"/>
    <w:rsid w:val="009F264E"/>
    <w:rsid w:val="009F2998"/>
    <w:rsid w:val="009F2E31"/>
    <w:rsid w:val="009F32D6"/>
    <w:rsid w:val="009F3490"/>
    <w:rsid w:val="009F3987"/>
    <w:rsid w:val="009F3A3D"/>
    <w:rsid w:val="009F3F1F"/>
    <w:rsid w:val="009F41F1"/>
    <w:rsid w:val="009F4FB3"/>
    <w:rsid w:val="009F547E"/>
    <w:rsid w:val="009F571A"/>
    <w:rsid w:val="009F5913"/>
    <w:rsid w:val="009F5964"/>
    <w:rsid w:val="009F5B49"/>
    <w:rsid w:val="009F5C0E"/>
    <w:rsid w:val="009F5CB1"/>
    <w:rsid w:val="009F6300"/>
    <w:rsid w:val="009F6B79"/>
    <w:rsid w:val="009F6D11"/>
    <w:rsid w:val="009F6F85"/>
    <w:rsid w:val="009F70D7"/>
    <w:rsid w:val="009F71D1"/>
    <w:rsid w:val="00A002E3"/>
    <w:rsid w:val="00A00576"/>
    <w:rsid w:val="00A0058A"/>
    <w:rsid w:val="00A00887"/>
    <w:rsid w:val="00A00DD6"/>
    <w:rsid w:val="00A013DB"/>
    <w:rsid w:val="00A01788"/>
    <w:rsid w:val="00A017BA"/>
    <w:rsid w:val="00A01E58"/>
    <w:rsid w:val="00A01EFD"/>
    <w:rsid w:val="00A026DF"/>
    <w:rsid w:val="00A027E8"/>
    <w:rsid w:val="00A02A3A"/>
    <w:rsid w:val="00A02C63"/>
    <w:rsid w:val="00A02C8D"/>
    <w:rsid w:val="00A02D46"/>
    <w:rsid w:val="00A03114"/>
    <w:rsid w:val="00A0316A"/>
    <w:rsid w:val="00A03529"/>
    <w:rsid w:val="00A03958"/>
    <w:rsid w:val="00A03A48"/>
    <w:rsid w:val="00A03A5F"/>
    <w:rsid w:val="00A03E2C"/>
    <w:rsid w:val="00A0408E"/>
    <w:rsid w:val="00A04100"/>
    <w:rsid w:val="00A0593A"/>
    <w:rsid w:val="00A061FD"/>
    <w:rsid w:val="00A066DE"/>
    <w:rsid w:val="00A06DE8"/>
    <w:rsid w:val="00A06E12"/>
    <w:rsid w:val="00A075C8"/>
    <w:rsid w:val="00A07AF1"/>
    <w:rsid w:val="00A10793"/>
    <w:rsid w:val="00A10B65"/>
    <w:rsid w:val="00A10C03"/>
    <w:rsid w:val="00A11B5E"/>
    <w:rsid w:val="00A11E5D"/>
    <w:rsid w:val="00A120FF"/>
    <w:rsid w:val="00A12511"/>
    <w:rsid w:val="00A13D0E"/>
    <w:rsid w:val="00A13D1C"/>
    <w:rsid w:val="00A14195"/>
    <w:rsid w:val="00A141E5"/>
    <w:rsid w:val="00A1434B"/>
    <w:rsid w:val="00A1458A"/>
    <w:rsid w:val="00A14734"/>
    <w:rsid w:val="00A14C1D"/>
    <w:rsid w:val="00A150D3"/>
    <w:rsid w:val="00A1530A"/>
    <w:rsid w:val="00A15581"/>
    <w:rsid w:val="00A1593F"/>
    <w:rsid w:val="00A15B57"/>
    <w:rsid w:val="00A1600A"/>
    <w:rsid w:val="00A16632"/>
    <w:rsid w:val="00A17079"/>
    <w:rsid w:val="00A171A1"/>
    <w:rsid w:val="00A1762F"/>
    <w:rsid w:val="00A17CC3"/>
    <w:rsid w:val="00A201D2"/>
    <w:rsid w:val="00A206A6"/>
    <w:rsid w:val="00A21F50"/>
    <w:rsid w:val="00A21F92"/>
    <w:rsid w:val="00A223FD"/>
    <w:rsid w:val="00A2353D"/>
    <w:rsid w:val="00A242CD"/>
    <w:rsid w:val="00A2460A"/>
    <w:rsid w:val="00A25278"/>
    <w:rsid w:val="00A2536F"/>
    <w:rsid w:val="00A263F4"/>
    <w:rsid w:val="00A26647"/>
    <w:rsid w:val="00A26984"/>
    <w:rsid w:val="00A26AF6"/>
    <w:rsid w:val="00A26F48"/>
    <w:rsid w:val="00A30AF9"/>
    <w:rsid w:val="00A30CF2"/>
    <w:rsid w:val="00A30DB3"/>
    <w:rsid w:val="00A31499"/>
    <w:rsid w:val="00A31594"/>
    <w:rsid w:val="00A3165C"/>
    <w:rsid w:val="00A31F64"/>
    <w:rsid w:val="00A33199"/>
    <w:rsid w:val="00A331D6"/>
    <w:rsid w:val="00A33A09"/>
    <w:rsid w:val="00A33F7C"/>
    <w:rsid w:val="00A3418F"/>
    <w:rsid w:val="00A34448"/>
    <w:rsid w:val="00A344A6"/>
    <w:rsid w:val="00A3452F"/>
    <w:rsid w:val="00A3453A"/>
    <w:rsid w:val="00A34783"/>
    <w:rsid w:val="00A36324"/>
    <w:rsid w:val="00A36B5A"/>
    <w:rsid w:val="00A373B0"/>
    <w:rsid w:val="00A375F6"/>
    <w:rsid w:val="00A3790E"/>
    <w:rsid w:val="00A4035B"/>
    <w:rsid w:val="00A403E9"/>
    <w:rsid w:val="00A406DC"/>
    <w:rsid w:val="00A40DA4"/>
    <w:rsid w:val="00A41119"/>
    <w:rsid w:val="00A41194"/>
    <w:rsid w:val="00A4207B"/>
    <w:rsid w:val="00A427C9"/>
    <w:rsid w:val="00A43226"/>
    <w:rsid w:val="00A4347E"/>
    <w:rsid w:val="00A434CF"/>
    <w:rsid w:val="00A43507"/>
    <w:rsid w:val="00A43544"/>
    <w:rsid w:val="00A4381E"/>
    <w:rsid w:val="00A43DE8"/>
    <w:rsid w:val="00A43F28"/>
    <w:rsid w:val="00A447A0"/>
    <w:rsid w:val="00A44DAB"/>
    <w:rsid w:val="00A44EA0"/>
    <w:rsid w:val="00A45317"/>
    <w:rsid w:val="00A45A1D"/>
    <w:rsid w:val="00A45AB5"/>
    <w:rsid w:val="00A4630E"/>
    <w:rsid w:val="00A46344"/>
    <w:rsid w:val="00A466B4"/>
    <w:rsid w:val="00A470EC"/>
    <w:rsid w:val="00A473B0"/>
    <w:rsid w:val="00A4771A"/>
    <w:rsid w:val="00A478D0"/>
    <w:rsid w:val="00A47B28"/>
    <w:rsid w:val="00A47DE3"/>
    <w:rsid w:val="00A506DF"/>
    <w:rsid w:val="00A519EB"/>
    <w:rsid w:val="00A51A78"/>
    <w:rsid w:val="00A51BFA"/>
    <w:rsid w:val="00A51F66"/>
    <w:rsid w:val="00A5227A"/>
    <w:rsid w:val="00A52797"/>
    <w:rsid w:val="00A529AD"/>
    <w:rsid w:val="00A53128"/>
    <w:rsid w:val="00A53932"/>
    <w:rsid w:val="00A53C4C"/>
    <w:rsid w:val="00A545CF"/>
    <w:rsid w:val="00A55164"/>
    <w:rsid w:val="00A552E1"/>
    <w:rsid w:val="00A55A52"/>
    <w:rsid w:val="00A55DE0"/>
    <w:rsid w:val="00A56033"/>
    <w:rsid w:val="00A56386"/>
    <w:rsid w:val="00A563A9"/>
    <w:rsid w:val="00A564B8"/>
    <w:rsid w:val="00A565E8"/>
    <w:rsid w:val="00A56BB4"/>
    <w:rsid w:val="00A570A2"/>
    <w:rsid w:val="00A576F8"/>
    <w:rsid w:val="00A57AB4"/>
    <w:rsid w:val="00A57D42"/>
    <w:rsid w:val="00A60BBB"/>
    <w:rsid w:val="00A60C83"/>
    <w:rsid w:val="00A615D6"/>
    <w:rsid w:val="00A61758"/>
    <w:rsid w:val="00A61909"/>
    <w:rsid w:val="00A61E81"/>
    <w:rsid w:val="00A6247A"/>
    <w:rsid w:val="00A626EF"/>
    <w:rsid w:val="00A62BD2"/>
    <w:rsid w:val="00A63A99"/>
    <w:rsid w:val="00A63DD0"/>
    <w:rsid w:val="00A64249"/>
    <w:rsid w:val="00A64AE9"/>
    <w:rsid w:val="00A64F5B"/>
    <w:rsid w:val="00A64FB2"/>
    <w:rsid w:val="00A654C3"/>
    <w:rsid w:val="00A6574C"/>
    <w:rsid w:val="00A65BE5"/>
    <w:rsid w:val="00A65C5F"/>
    <w:rsid w:val="00A65F1E"/>
    <w:rsid w:val="00A65FDC"/>
    <w:rsid w:val="00A661BE"/>
    <w:rsid w:val="00A663EC"/>
    <w:rsid w:val="00A66840"/>
    <w:rsid w:val="00A66B53"/>
    <w:rsid w:val="00A675BA"/>
    <w:rsid w:val="00A705D1"/>
    <w:rsid w:val="00A7118A"/>
    <w:rsid w:val="00A71656"/>
    <w:rsid w:val="00A71BAF"/>
    <w:rsid w:val="00A71EBA"/>
    <w:rsid w:val="00A728E1"/>
    <w:rsid w:val="00A728F1"/>
    <w:rsid w:val="00A72CE3"/>
    <w:rsid w:val="00A72F88"/>
    <w:rsid w:val="00A739AD"/>
    <w:rsid w:val="00A73D7F"/>
    <w:rsid w:val="00A7404F"/>
    <w:rsid w:val="00A74912"/>
    <w:rsid w:val="00A74EB8"/>
    <w:rsid w:val="00A75A12"/>
    <w:rsid w:val="00A76299"/>
    <w:rsid w:val="00A768D4"/>
    <w:rsid w:val="00A779DF"/>
    <w:rsid w:val="00A80222"/>
    <w:rsid w:val="00A80964"/>
    <w:rsid w:val="00A80CDF"/>
    <w:rsid w:val="00A81772"/>
    <w:rsid w:val="00A81965"/>
    <w:rsid w:val="00A81D2E"/>
    <w:rsid w:val="00A8251F"/>
    <w:rsid w:val="00A82E56"/>
    <w:rsid w:val="00A83097"/>
    <w:rsid w:val="00A83111"/>
    <w:rsid w:val="00A83592"/>
    <w:rsid w:val="00A84047"/>
    <w:rsid w:val="00A84AAA"/>
    <w:rsid w:val="00A84F38"/>
    <w:rsid w:val="00A855AA"/>
    <w:rsid w:val="00A857C6"/>
    <w:rsid w:val="00A85982"/>
    <w:rsid w:val="00A85B59"/>
    <w:rsid w:val="00A85DDC"/>
    <w:rsid w:val="00A8614A"/>
    <w:rsid w:val="00A8664E"/>
    <w:rsid w:val="00A869BB"/>
    <w:rsid w:val="00A90123"/>
    <w:rsid w:val="00A904A0"/>
    <w:rsid w:val="00A904A9"/>
    <w:rsid w:val="00A90F7F"/>
    <w:rsid w:val="00A91036"/>
    <w:rsid w:val="00A91272"/>
    <w:rsid w:val="00A91DFE"/>
    <w:rsid w:val="00A92BC2"/>
    <w:rsid w:val="00A92DBE"/>
    <w:rsid w:val="00A93022"/>
    <w:rsid w:val="00A930A6"/>
    <w:rsid w:val="00A932C4"/>
    <w:rsid w:val="00A934C1"/>
    <w:rsid w:val="00A9351C"/>
    <w:rsid w:val="00A93E9E"/>
    <w:rsid w:val="00A94163"/>
    <w:rsid w:val="00A94F52"/>
    <w:rsid w:val="00A9598B"/>
    <w:rsid w:val="00A95B87"/>
    <w:rsid w:val="00A95C2E"/>
    <w:rsid w:val="00A95C64"/>
    <w:rsid w:val="00A95DAE"/>
    <w:rsid w:val="00A95DC6"/>
    <w:rsid w:val="00A9670B"/>
    <w:rsid w:val="00A96802"/>
    <w:rsid w:val="00A9699F"/>
    <w:rsid w:val="00A96C1A"/>
    <w:rsid w:val="00A972FF"/>
    <w:rsid w:val="00A976D4"/>
    <w:rsid w:val="00A9792D"/>
    <w:rsid w:val="00AA0D42"/>
    <w:rsid w:val="00AA0E83"/>
    <w:rsid w:val="00AA0FE7"/>
    <w:rsid w:val="00AA1355"/>
    <w:rsid w:val="00AA138A"/>
    <w:rsid w:val="00AA1A7B"/>
    <w:rsid w:val="00AA2127"/>
    <w:rsid w:val="00AA22FC"/>
    <w:rsid w:val="00AA23E7"/>
    <w:rsid w:val="00AA2BF2"/>
    <w:rsid w:val="00AA314C"/>
    <w:rsid w:val="00AA333C"/>
    <w:rsid w:val="00AA38B7"/>
    <w:rsid w:val="00AA3C95"/>
    <w:rsid w:val="00AA4143"/>
    <w:rsid w:val="00AA535D"/>
    <w:rsid w:val="00AA6497"/>
    <w:rsid w:val="00AA75C9"/>
    <w:rsid w:val="00AA76E2"/>
    <w:rsid w:val="00AA7993"/>
    <w:rsid w:val="00AA7CC9"/>
    <w:rsid w:val="00AB042A"/>
    <w:rsid w:val="00AB05BB"/>
    <w:rsid w:val="00AB0683"/>
    <w:rsid w:val="00AB07B8"/>
    <w:rsid w:val="00AB179B"/>
    <w:rsid w:val="00AB197C"/>
    <w:rsid w:val="00AB199E"/>
    <w:rsid w:val="00AB2620"/>
    <w:rsid w:val="00AB26CA"/>
    <w:rsid w:val="00AB2A7E"/>
    <w:rsid w:val="00AB2DA9"/>
    <w:rsid w:val="00AB2DDB"/>
    <w:rsid w:val="00AB2EDD"/>
    <w:rsid w:val="00AB313F"/>
    <w:rsid w:val="00AB322B"/>
    <w:rsid w:val="00AB3377"/>
    <w:rsid w:val="00AB3474"/>
    <w:rsid w:val="00AB37F8"/>
    <w:rsid w:val="00AB416D"/>
    <w:rsid w:val="00AB468D"/>
    <w:rsid w:val="00AB4ECC"/>
    <w:rsid w:val="00AB5052"/>
    <w:rsid w:val="00AB5560"/>
    <w:rsid w:val="00AB5BC3"/>
    <w:rsid w:val="00AB5D25"/>
    <w:rsid w:val="00AB5FDC"/>
    <w:rsid w:val="00AB651F"/>
    <w:rsid w:val="00AB6803"/>
    <w:rsid w:val="00AB7495"/>
    <w:rsid w:val="00AB7871"/>
    <w:rsid w:val="00AB7D29"/>
    <w:rsid w:val="00AB7DEA"/>
    <w:rsid w:val="00AB7F3D"/>
    <w:rsid w:val="00AC03B1"/>
    <w:rsid w:val="00AC03F2"/>
    <w:rsid w:val="00AC083B"/>
    <w:rsid w:val="00AC0E18"/>
    <w:rsid w:val="00AC0E25"/>
    <w:rsid w:val="00AC1553"/>
    <w:rsid w:val="00AC1AB6"/>
    <w:rsid w:val="00AC1EB2"/>
    <w:rsid w:val="00AC2AD3"/>
    <w:rsid w:val="00AC2E42"/>
    <w:rsid w:val="00AC2F1A"/>
    <w:rsid w:val="00AC3C69"/>
    <w:rsid w:val="00AC4C46"/>
    <w:rsid w:val="00AC5361"/>
    <w:rsid w:val="00AC58FC"/>
    <w:rsid w:val="00AC5AB3"/>
    <w:rsid w:val="00AC5DB4"/>
    <w:rsid w:val="00AC5E0E"/>
    <w:rsid w:val="00AC6F90"/>
    <w:rsid w:val="00AC713B"/>
    <w:rsid w:val="00AC73BD"/>
    <w:rsid w:val="00AC75B1"/>
    <w:rsid w:val="00AC7D76"/>
    <w:rsid w:val="00AD05C6"/>
    <w:rsid w:val="00AD2623"/>
    <w:rsid w:val="00AD2DA2"/>
    <w:rsid w:val="00AD2DBC"/>
    <w:rsid w:val="00AD2E33"/>
    <w:rsid w:val="00AD3F44"/>
    <w:rsid w:val="00AD42A2"/>
    <w:rsid w:val="00AD48BE"/>
    <w:rsid w:val="00AD507B"/>
    <w:rsid w:val="00AD5620"/>
    <w:rsid w:val="00AD590E"/>
    <w:rsid w:val="00AD5E69"/>
    <w:rsid w:val="00AD609E"/>
    <w:rsid w:val="00AD7545"/>
    <w:rsid w:val="00AD7651"/>
    <w:rsid w:val="00AD782D"/>
    <w:rsid w:val="00AD7AA1"/>
    <w:rsid w:val="00AE050D"/>
    <w:rsid w:val="00AE0E6D"/>
    <w:rsid w:val="00AE16EC"/>
    <w:rsid w:val="00AE1F3A"/>
    <w:rsid w:val="00AE2123"/>
    <w:rsid w:val="00AE2FF9"/>
    <w:rsid w:val="00AE3BC7"/>
    <w:rsid w:val="00AE3EB4"/>
    <w:rsid w:val="00AE45A6"/>
    <w:rsid w:val="00AE49D6"/>
    <w:rsid w:val="00AE4C2F"/>
    <w:rsid w:val="00AE5422"/>
    <w:rsid w:val="00AE600C"/>
    <w:rsid w:val="00AE6014"/>
    <w:rsid w:val="00AE6CF1"/>
    <w:rsid w:val="00AE6FC6"/>
    <w:rsid w:val="00AE71D1"/>
    <w:rsid w:val="00AE72C3"/>
    <w:rsid w:val="00AE735D"/>
    <w:rsid w:val="00AE78EA"/>
    <w:rsid w:val="00AE7B86"/>
    <w:rsid w:val="00AF037D"/>
    <w:rsid w:val="00AF077F"/>
    <w:rsid w:val="00AF0AD5"/>
    <w:rsid w:val="00AF0E37"/>
    <w:rsid w:val="00AF1BFC"/>
    <w:rsid w:val="00AF2305"/>
    <w:rsid w:val="00AF28F5"/>
    <w:rsid w:val="00AF2A93"/>
    <w:rsid w:val="00AF2E74"/>
    <w:rsid w:val="00AF2EBF"/>
    <w:rsid w:val="00AF3666"/>
    <w:rsid w:val="00AF39D9"/>
    <w:rsid w:val="00AF3AB8"/>
    <w:rsid w:val="00AF46AA"/>
    <w:rsid w:val="00AF4B63"/>
    <w:rsid w:val="00AF54C5"/>
    <w:rsid w:val="00AF5A48"/>
    <w:rsid w:val="00AF5B0F"/>
    <w:rsid w:val="00AF5D98"/>
    <w:rsid w:val="00AF626F"/>
    <w:rsid w:val="00AF6597"/>
    <w:rsid w:val="00AF6769"/>
    <w:rsid w:val="00AF6D58"/>
    <w:rsid w:val="00AF7307"/>
    <w:rsid w:val="00AF7626"/>
    <w:rsid w:val="00B00361"/>
    <w:rsid w:val="00B0092A"/>
    <w:rsid w:val="00B009A8"/>
    <w:rsid w:val="00B00ECD"/>
    <w:rsid w:val="00B010E3"/>
    <w:rsid w:val="00B01689"/>
    <w:rsid w:val="00B02578"/>
    <w:rsid w:val="00B02C68"/>
    <w:rsid w:val="00B0308C"/>
    <w:rsid w:val="00B03A57"/>
    <w:rsid w:val="00B03AD6"/>
    <w:rsid w:val="00B044C6"/>
    <w:rsid w:val="00B047F1"/>
    <w:rsid w:val="00B05898"/>
    <w:rsid w:val="00B05939"/>
    <w:rsid w:val="00B05976"/>
    <w:rsid w:val="00B06239"/>
    <w:rsid w:val="00B06B35"/>
    <w:rsid w:val="00B0760E"/>
    <w:rsid w:val="00B079C1"/>
    <w:rsid w:val="00B1030F"/>
    <w:rsid w:val="00B110B1"/>
    <w:rsid w:val="00B11FF2"/>
    <w:rsid w:val="00B12193"/>
    <w:rsid w:val="00B122D4"/>
    <w:rsid w:val="00B12583"/>
    <w:rsid w:val="00B1287A"/>
    <w:rsid w:val="00B12CAD"/>
    <w:rsid w:val="00B13505"/>
    <w:rsid w:val="00B13CB1"/>
    <w:rsid w:val="00B143E0"/>
    <w:rsid w:val="00B1447E"/>
    <w:rsid w:val="00B144F4"/>
    <w:rsid w:val="00B1467A"/>
    <w:rsid w:val="00B14D5C"/>
    <w:rsid w:val="00B14F5D"/>
    <w:rsid w:val="00B15252"/>
    <w:rsid w:val="00B154D9"/>
    <w:rsid w:val="00B15622"/>
    <w:rsid w:val="00B163B1"/>
    <w:rsid w:val="00B16784"/>
    <w:rsid w:val="00B16850"/>
    <w:rsid w:val="00B16CF3"/>
    <w:rsid w:val="00B174FC"/>
    <w:rsid w:val="00B1768C"/>
    <w:rsid w:val="00B17908"/>
    <w:rsid w:val="00B17F61"/>
    <w:rsid w:val="00B20B15"/>
    <w:rsid w:val="00B20E55"/>
    <w:rsid w:val="00B218A9"/>
    <w:rsid w:val="00B21EBF"/>
    <w:rsid w:val="00B2222C"/>
    <w:rsid w:val="00B22823"/>
    <w:rsid w:val="00B22AD8"/>
    <w:rsid w:val="00B22C96"/>
    <w:rsid w:val="00B231AC"/>
    <w:rsid w:val="00B2420D"/>
    <w:rsid w:val="00B2489A"/>
    <w:rsid w:val="00B24F31"/>
    <w:rsid w:val="00B24F9D"/>
    <w:rsid w:val="00B25393"/>
    <w:rsid w:val="00B25E7F"/>
    <w:rsid w:val="00B26021"/>
    <w:rsid w:val="00B26221"/>
    <w:rsid w:val="00B26610"/>
    <w:rsid w:val="00B2772F"/>
    <w:rsid w:val="00B2796F"/>
    <w:rsid w:val="00B27A34"/>
    <w:rsid w:val="00B300B1"/>
    <w:rsid w:val="00B30513"/>
    <w:rsid w:val="00B308C2"/>
    <w:rsid w:val="00B30B9B"/>
    <w:rsid w:val="00B30C18"/>
    <w:rsid w:val="00B311FE"/>
    <w:rsid w:val="00B31535"/>
    <w:rsid w:val="00B319CB"/>
    <w:rsid w:val="00B32529"/>
    <w:rsid w:val="00B32E49"/>
    <w:rsid w:val="00B332E9"/>
    <w:rsid w:val="00B34F63"/>
    <w:rsid w:val="00B352DA"/>
    <w:rsid w:val="00B35386"/>
    <w:rsid w:val="00B35670"/>
    <w:rsid w:val="00B35AB1"/>
    <w:rsid w:val="00B35EA8"/>
    <w:rsid w:val="00B36FC4"/>
    <w:rsid w:val="00B37A40"/>
    <w:rsid w:val="00B4012B"/>
    <w:rsid w:val="00B401ED"/>
    <w:rsid w:val="00B401F5"/>
    <w:rsid w:val="00B40272"/>
    <w:rsid w:val="00B40817"/>
    <w:rsid w:val="00B40EDB"/>
    <w:rsid w:val="00B41119"/>
    <w:rsid w:val="00B41FBE"/>
    <w:rsid w:val="00B42F0B"/>
    <w:rsid w:val="00B43126"/>
    <w:rsid w:val="00B435AA"/>
    <w:rsid w:val="00B43D75"/>
    <w:rsid w:val="00B43E0C"/>
    <w:rsid w:val="00B44546"/>
    <w:rsid w:val="00B44791"/>
    <w:rsid w:val="00B447CB"/>
    <w:rsid w:val="00B462E7"/>
    <w:rsid w:val="00B462F3"/>
    <w:rsid w:val="00B4639A"/>
    <w:rsid w:val="00B46A37"/>
    <w:rsid w:val="00B46CB1"/>
    <w:rsid w:val="00B4720A"/>
    <w:rsid w:val="00B47426"/>
    <w:rsid w:val="00B47460"/>
    <w:rsid w:val="00B476C8"/>
    <w:rsid w:val="00B51345"/>
    <w:rsid w:val="00B518E7"/>
    <w:rsid w:val="00B526CB"/>
    <w:rsid w:val="00B5275C"/>
    <w:rsid w:val="00B528B8"/>
    <w:rsid w:val="00B53589"/>
    <w:rsid w:val="00B53986"/>
    <w:rsid w:val="00B53A21"/>
    <w:rsid w:val="00B53B49"/>
    <w:rsid w:val="00B53EFC"/>
    <w:rsid w:val="00B5416A"/>
    <w:rsid w:val="00B543B5"/>
    <w:rsid w:val="00B545E1"/>
    <w:rsid w:val="00B5462E"/>
    <w:rsid w:val="00B54748"/>
    <w:rsid w:val="00B54870"/>
    <w:rsid w:val="00B548FA"/>
    <w:rsid w:val="00B54A0A"/>
    <w:rsid w:val="00B54F17"/>
    <w:rsid w:val="00B56FF3"/>
    <w:rsid w:val="00B57AFD"/>
    <w:rsid w:val="00B57BD3"/>
    <w:rsid w:val="00B57EA9"/>
    <w:rsid w:val="00B61320"/>
    <w:rsid w:val="00B617DE"/>
    <w:rsid w:val="00B61941"/>
    <w:rsid w:val="00B619D2"/>
    <w:rsid w:val="00B61D39"/>
    <w:rsid w:val="00B631A3"/>
    <w:rsid w:val="00B6330E"/>
    <w:rsid w:val="00B63DFC"/>
    <w:rsid w:val="00B6418B"/>
    <w:rsid w:val="00B641F8"/>
    <w:rsid w:val="00B64399"/>
    <w:rsid w:val="00B64565"/>
    <w:rsid w:val="00B65AB1"/>
    <w:rsid w:val="00B65C2E"/>
    <w:rsid w:val="00B65D7F"/>
    <w:rsid w:val="00B66CC8"/>
    <w:rsid w:val="00B6738D"/>
    <w:rsid w:val="00B67A6F"/>
    <w:rsid w:val="00B67BD3"/>
    <w:rsid w:val="00B702B2"/>
    <w:rsid w:val="00B71065"/>
    <w:rsid w:val="00B7126C"/>
    <w:rsid w:val="00B71438"/>
    <w:rsid w:val="00B71741"/>
    <w:rsid w:val="00B71F89"/>
    <w:rsid w:val="00B7228A"/>
    <w:rsid w:val="00B72FC4"/>
    <w:rsid w:val="00B74163"/>
    <w:rsid w:val="00B756CB"/>
    <w:rsid w:val="00B75A8F"/>
    <w:rsid w:val="00B75CDF"/>
    <w:rsid w:val="00B7662E"/>
    <w:rsid w:val="00B7686D"/>
    <w:rsid w:val="00B769C9"/>
    <w:rsid w:val="00B76BF5"/>
    <w:rsid w:val="00B775AF"/>
    <w:rsid w:val="00B77FDD"/>
    <w:rsid w:val="00B80B62"/>
    <w:rsid w:val="00B80D21"/>
    <w:rsid w:val="00B82086"/>
    <w:rsid w:val="00B829AB"/>
    <w:rsid w:val="00B83CAB"/>
    <w:rsid w:val="00B8404F"/>
    <w:rsid w:val="00B84373"/>
    <w:rsid w:val="00B843E3"/>
    <w:rsid w:val="00B844CC"/>
    <w:rsid w:val="00B85922"/>
    <w:rsid w:val="00B85DC8"/>
    <w:rsid w:val="00B86679"/>
    <w:rsid w:val="00B90850"/>
    <w:rsid w:val="00B91263"/>
    <w:rsid w:val="00B91908"/>
    <w:rsid w:val="00B91FCE"/>
    <w:rsid w:val="00B927E5"/>
    <w:rsid w:val="00B92A72"/>
    <w:rsid w:val="00B930AB"/>
    <w:rsid w:val="00B93133"/>
    <w:rsid w:val="00B9369B"/>
    <w:rsid w:val="00B940BA"/>
    <w:rsid w:val="00B940F2"/>
    <w:rsid w:val="00B94108"/>
    <w:rsid w:val="00B9433B"/>
    <w:rsid w:val="00B94E40"/>
    <w:rsid w:val="00B94EC6"/>
    <w:rsid w:val="00B956E2"/>
    <w:rsid w:val="00B959E1"/>
    <w:rsid w:val="00B95ADC"/>
    <w:rsid w:val="00B95E19"/>
    <w:rsid w:val="00B95E63"/>
    <w:rsid w:val="00B95E98"/>
    <w:rsid w:val="00B96818"/>
    <w:rsid w:val="00B96A41"/>
    <w:rsid w:val="00B96E6B"/>
    <w:rsid w:val="00B971D0"/>
    <w:rsid w:val="00B97225"/>
    <w:rsid w:val="00B975F3"/>
    <w:rsid w:val="00B97A6D"/>
    <w:rsid w:val="00B97F5B"/>
    <w:rsid w:val="00BA04FF"/>
    <w:rsid w:val="00BA0C6E"/>
    <w:rsid w:val="00BA0D55"/>
    <w:rsid w:val="00BA0F6F"/>
    <w:rsid w:val="00BA1023"/>
    <w:rsid w:val="00BA1765"/>
    <w:rsid w:val="00BA1D91"/>
    <w:rsid w:val="00BA1E11"/>
    <w:rsid w:val="00BA3138"/>
    <w:rsid w:val="00BA32CE"/>
    <w:rsid w:val="00BA34FF"/>
    <w:rsid w:val="00BA3BC2"/>
    <w:rsid w:val="00BA51BF"/>
    <w:rsid w:val="00BA5500"/>
    <w:rsid w:val="00BA5E82"/>
    <w:rsid w:val="00BA601B"/>
    <w:rsid w:val="00BA647D"/>
    <w:rsid w:val="00BA689F"/>
    <w:rsid w:val="00BA6B09"/>
    <w:rsid w:val="00BA6B39"/>
    <w:rsid w:val="00BA6CAB"/>
    <w:rsid w:val="00BB02B8"/>
    <w:rsid w:val="00BB0C14"/>
    <w:rsid w:val="00BB1433"/>
    <w:rsid w:val="00BB3291"/>
    <w:rsid w:val="00BB36F6"/>
    <w:rsid w:val="00BB3B42"/>
    <w:rsid w:val="00BB4B6E"/>
    <w:rsid w:val="00BB4F7D"/>
    <w:rsid w:val="00BB529F"/>
    <w:rsid w:val="00BB5A50"/>
    <w:rsid w:val="00BB65FC"/>
    <w:rsid w:val="00BB692C"/>
    <w:rsid w:val="00BB69A5"/>
    <w:rsid w:val="00BB6BA7"/>
    <w:rsid w:val="00BB7D4F"/>
    <w:rsid w:val="00BB7F8F"/>
    <w:rsid w:val="00BC0051"/>
    <w:rsid w:val="00BC0EFB"/>
    <w:rsid w:val="00BC1000"/>
    <w:rsid w:val="00BC1112"/>
    <w:rsid w:val="00BC124F"/>
    <w:rsid w:val="00BC13DF"/>
    <w:rsid w:val="00BC15A4"/>
    <w:rsid w:val="00BC1746"/>
    <w:rsid w:val="00BC175B"/>
    <w:rsid w:val="00BC21EE"/>
    <w:rsid w:val="00BC321D"/>
    <w:rsid w:val="00BC33DD"/>
    <w:rsid w:val="00BC35F3"/>
    <w:rsid w:val="00BC37A4"/>
    <w:rsid w:val="00BC4211"/>
    <w:rsid w:val="00BC4B40"/>
    <w:rsid w:val="00BC52B5"/>
    <w:rsid w:val="00BC629C"/>
    <w:rsid w:val="00BC64F9"/>
    <w:rsid w:val="00BC65D8"/>
    <w:rsid w:val="00BC6928"/>
    <w:rsid w:val="00BC721F"/>
    <w:rsid w:val="00BC73E4"/>
    <w:rsid w:val="00BC7518"/>
    <w:rsid w:val="00BD031D"/>
    <w:rsid w:val="00BD033F"/>
    <w:rsid w:val="00BD055F"/>
    <w:rsid w:val="00BD0B2B"/>
    <w:rsid w:val="00BD1215"/>
    <w:rsid w:val="00BD122B"/>
    <w:rsid w:val="00BD1415"/>
    <w:rsid w:val="00BD215B"/>
    <w:rsid w:val="00BD22EC"/>
    <w:rsid w:val="00BD29E6"/>
    <w:rsid w:val="00BD316B"/>
    <w:rsid w:val="00BD3516"/>
    <w:rsid w:val="00BD37A1"/>
    <w:rsid w:val="00BD45BC"/>
    <w:rsid w:val="00BD4653"/>
    <w:rsid w:val="00BD47AB"/>
    <w:rsid w:val="00BD4BD3"/>
    <w:rsid w:val="00BD560B"/>
    <w:rsid w:val="00BD587A"/>
    <w:rsid w:val="00BD6475"/>
    <w:rsid w:val="00BD6501"/>
    <w:rsid w:val="00BD7091"/>
    <w:rsid w:val="00BD73C0"/>
    <w:rsid w:val="00BD7430"/>
    <w:rsid w:val="00BD7F11"/>
    <w:rsid w:val="00BE0746"/>
    <w:rsid w:val="00BE11DF"/>
    <w:rsid w:val="00BE15EA"/>
    <w:rsid w:val="00BE2499"/>
    <w:rsid w:val="00BE2A6E"/>
    <w:rsid w:val="00BE30F3"/>
    <w:rsid w:val="00BE3489"/>
    <w:rsid w:val="00BE3B70"/>
    <w:rsid w:val="00BE3F6B"/>
    <w:rsid w:val="00BE5C95"/>
    <w:rsid w:val="00BE5DC2"/>
    <w:rsid w:val="00BE61C1"/>
    <w:rsid w:val="00BE62A6"/>
    <w:rsid w:val="00BE6721"/>
    <w:rsid w:val="00BE6984"/>
    <w:rsid w:val="00BE78A0"/>
    <w:rsid w:val="00BE7917"/>
    <w:rsid w:val="00BE79C9"/>
    <w:rsid w:val="00BF0271"/>
    <w:rsid w:val="00BF02A6"/>
    <w:rsid w:val="00BF06BD"/>
    <w:rsid w:val="00BF06DD"/>
    <w:rsid w:val="00BF0A53"/>
    <w:rsid w:val="00BF0EEF"/>
    <w:rsid w:val="00BF12C4"/>
    <w:rsid w:val="00BF28CE"/>
    <w:rsid w:val="00BF2C0E"/>
    <w:rsid w:val="00BF30F3"/>
    <w:rsid w:val="00BF327E"/>
    <w:rsid w:val="00BF4895"/>
    <w:rsid w:val="00BF4A21"/>
    <w:rsid w:val="00BF4ABE"/>
    <w:rsid w:val="00BF51CA"/>
    <w:rsid w:val="00BF56A8"/>
    <w:rsid w:val="00BF5865"/>
    <w:rsid w:val="00BF5BE1"/>
    <w:rsid w:val="00BF5D60"/>
    <w:rsid w:val="00BF5E81"/>
    <w:rsid w:val="00BF5E94"/>
    <w:rsid w:val="00BF65CA"/>
    <w:rsid w:val="00BF6C0B"/>
    <w:rsid w:val="00BF6C31"/>
    <w:rsid w:val="00BF780A"/>
    <w:rsid w:val="00BF7851"/>
    <w:rsid w:val="00C0016C"/>
    <w:rsid w:val="00C00F9F"/>
    <w:rsid w:val="00C01123"/>
    <w:rsid w:val="00C01525"/>
    <w:rsid w:val="00C0186D"/>
    <w:rsid w:val="00C018CD"/>
    <w:rsid w:val="00C0213C"/>
    <w:rsid w:val="00C02427"/>
    <w:rsid w:val="00C02916"/>
    <w:rsid w:val="00C02A9A"/>
    <w:rsid w:val="00C03A44"/>
    <w:rsid w:val="00C03A88"/>
    <w:rsid w:val="00C03FF8"/>
    <w:rsid w:val="00C04365"/>
    <w:rsid w:val="00C049EC"/>
    <w:rsid w:val="00C04CFE"/>
    <w:rsid w:val="00C052F5"/>
    <w:rsid w:val="00C05D08"/>
    <w:rsid w:val="00C065E3"/>
    <w:rsid w:val="00C06CDA"/>
    <w:rsid w:val="00C06F95"/>
    <w:rsid w:val="00C07845"/>
    <w:rsid w:val="00C078D8"/>
    <w:rsid w:val="00C07D92"/>
    <w:rsid w:val="00C07FCE"/>
    <w:rsid w:val="00C10679"/>
    <w:rsid w:val="00C10B24"/>
    <w:rsid w:val="00C1110D"/>
    <w:rsid w:val="00C116F9"/>
    <w:rsid w:val="00C11A50"/>
    <w:rsid w:val="00C12704"/>
    <w:rsid w:val="00C127B1"/>
    <w:rsid w:val="00C128D8"/>
    <w:rsid w:val="00C12BEA"/>
    <w:rsid w:val="00C12E90"/>
    <w:rsid w:val="00C12F74"/>
    <w:rsid w:val="00C1319B"/>
    <w:rsid w:val="00C134B7"/>
    <w:rsid w:val="00C13EFC"/>
    <w:rsid w:val="00C13F4A"/>
    <w:rsid w:val="00C14B5A"/>
    <w:rsid w:val="00C14B76"/>
    <w:rsid w:val="00C14FFF"/>
    <w:rsid w:val="00C152A2"/>
    <w:rsid w:val="00C15B78"/>
    <w:rsid w:val="00C15E87"/>
    <w:rsid w:val="00C15EBD"/>
    <w:rsid w:val="00C165BF"/>
    <w:rsid w:val="00C16762"/>
    <w:rsid w:val="00C169C9"/>
    <w:rsid w:val="00C17254"/>
    <w:rsid w:val="00C172A4"/>
    <w:rsid w:val="00C173A7"/>
    <w:rsid w:val="00C173E7"/>
    <w:rsid w:val="00C175D0"/>
    <w:rsid w:val="00C17B1D"/>
    <w:rsid w:val="00C2020F"/>
    <w:rsid w:val="00C20216"/>
    <w:rsid w:val="00C203E0"/>
    <w:rsid w:val="00C20621"/>
    <w:rsid w:val="00C20660"/>
    <w:rsid w:val="00C2096B"/>
    <w:rsid w:val="00C20A5E"/>
    <w:rsid w:val="00C21254"/>
    <w:rsid w:val="00C2125E"/>
    <w:rsid w:val="00C2170D"/>
    <w:rsid w:val="00C21A8D"/>
    <w:rsid w:val="00C21E2C"/>
    <w:rsid w:val="00C22013"/>
    <w:rsid w:val="00C2240E"/>
    <w:rsid w:val="00C22D43"/>
    <w:rsid w:val="00C22D8B"/>
    <w:rsid w:val="00C23541"/>
    <w:rsid w:val="00C23A50"/>
    <w:rsid w:val="00C24500"/>
    <w:rsid w:val="00C24C35"/>
    <w:rsid w:val="00C24DB0"/>
    <w:rsid w:val="00C257B0"/>
    <w:rsid w:val="00C26B1C"/>
    <w:rsid w:val="00C27359"/>
    <w:rsid w:val="00C274AA"/>
    <w:rsid w:val="00C27DCB"/>
    <w:rsid w:val="00C30C69"/>
    <w:rsid w:val="00C3137F"/>
    <w:rsid w:val="00C31603"/>
    <w:rsid w:val="00C32965"/>
    <w:rsid w:val="00C32A9C"/>
    <w:rsid w:val="00C32AB7"/>
    <w:rsid w:val="00C32BCD"/>
    <w:rsid w:val="00C32DB9"/>
    <w:rsid w:val="00C33850"/>
    <w:rsid w:val="00C339C6"/>
    <w:rsid w:val="00C33CF7"/>
    <w:rsid w:val="00C33E74"/>
    <w:rsid w:val="00C33ED9"/>
    <w:rsid w:val="00C33FC3"/>
    <w:rsid w:val="00C3426D"/>
    <w:rsid w:val="00C34721"/>
    <w:rsid w:val="00C34C74"/>
    <w:rsid w:val="00C359F5"/>
    <w:rsid w:val="00C35C85"/>
    <w:rsid w:val="00C363E9"/>
    <w:rsid w:val="00C366AB"/>
    <w:rsid w:val="00C36BC1"/>
    <w:rsid w:val="00C3751E"/>
    <w:rsid w:val="00C37755"/>
    <w:rsid w:val="00C37B60"/>
    <w:rsid w:val="00C37D91"/>
    <w:rsid w:val="00C40CE0"/>
    <w:rsid w:val="00C41FCD"/>
    <w:rsid w:val="00C421D1"/>
    <w:rsid w:val="00C43764"/>
    <w:rsid w:val="00C44582"/>
    <w:rsid w:val="00C44794"/>
    <w:rsid w:val="00C44885"/>
    <w:rsid w:val="00C44ADA"/>
    <w:rsid w:val="00C44E71"/>
    <w:rsid w:val="00C4500B"/>
    <w:rsid w:val="00C45906"/>
    <w:rsid w:val="00C45956"/>
    <w:rsid w:val="00C46060"/>
    <w:rsid w:val="00C460BB"/>
    <w:rsid w:val="00C46BA4"/>
    <w:rsid w:val="00C475AC"/>
    <w:rsid w:val="00C476E9"/>
    <w:rsid w:val="00C47DD6"/>
    <w:rsid w:val="00C50711"/>
    <w:rsid w:val="00C50800"/>
    <w:rsid w:val="00C50D79"/>
    <w:rsid w:val="00C51BF0"/>
    <w:rsid w:val="00C523C6"/>
    <w:rsid w:val="00C525BA"/>
    <w:rsid w:val="00C53065"/>
    <w:rsid w:val="00C531AF"/>
    <w:rsid w:val="00C53233"/>
    <w:rsid w:val="00C5323F"/>
    <w:rsid w:val="00C536AD"/>
    <w:rsid w:val="00C53BCD"/>
    <w:rsid w:val="00C53EE7"/>
    <w:rsid w:val="00C54032"/>
    <w:rsid w:val="00C54204"/>
    <w:rsid w:val="00C54B62"/>
    <w:rsid w:val="00C54D03"/>
    <w:rsid w:val="00C55300"/>
    <w:rsid w:val="00C5537E"/>
    <w:rsid w:val="00C555F7"/>
    <w:rsid w:val="00C5567D"/>
    <w:rsid w:val="00C55EF8"/>
    <w:rsid w:val="00C56161"/>
    <w:rsid w:val="00C56446"/>
    <w:rsid w:val="00C60863"/>
    <w:rsid w:val="00C60FB4"/>
    <w:rsid w:val="00C61394"/>
    <w:rsid w:val="00C61C06"/>
    <w:rsid w:val="00C6285D"/>
    <w:rsid w:val="00C62EDA"/>
    <w:rsid w:val="00C6314E"/>
    <w:rsid w:val="00C6348A"/>
    <w:rsid w:val="00C639E3"/>
    <w:rsid w:val="00C63B9F"/>
    <w:rsid w:val="00C63E3F"/>
    <w:rsid w:val="00C640E3"/>
    <w:rsid w:val="00C647F9"/>
    <w:rsid w:val="00C65186"/>
    <w:rsid w:val="00C656F5"/>
    <w:rsid w:val="00C65ABC"/>
    <w:rsid w:val="00C65CF4"/>
    <w:rsid w:val="00C65E0D"/>
    <w:rsid w:val="00C66018"/>
    <w:rsid w:val="00C6645F"/>
    <w:rsid w:val="00C664FF"/>
    <w:rsid w:val="00C66949"/>
    <w:rsid w:val="00C66A1A"/>
    <w:rsid w:val="00C66AD8"/>
    <w:rsid w:val="00C671C2"/>
    <w:rsid w:val="00C672C2"/>
    <w:rsid w:val="00C6799E"/>
    <w:rsid w:val="00C7037F"/>
    <w:rsid w:val="00C70446"/>
    <w:rsid w:val="00C70563"/>
    <w:rsid w:val="00C70573"/>
    <w:rsid w:val="00C708DB"/>
    <w:rsid w:val="00C70980"/>
    <w:rsid w:val="00C71279"/>
    <w:rsid w:val="00C71292"/>
    <w:rsid w:val="00C71484"/>
    <w:rsid w:val="00C7164F"/>
    <w:rsid w:val="00C716CA"/>
    <w:rsid w:val="00C71A10"/>
    <w:rsid w:val="00C71CD0"/>
    <w:rsid w:val="00C71FF8"/>
    <w:rsid w:val="00C72305"/>
    <w:rsid w:val="00C72C04"/>
    <w:rsid w:val="00C72E28"/>
    <w:rsid w:val="00C731A3"/>
    <w:rsid w:val="00C73206"/>
    <w:rsid w:val="00C73448"/>
    <w:rsid w:val="00C735A7"/>
    <w:rsid w:val="00C73A2D"/>
    <w:rsid w:val="00C73DCD"/>
    <w:rsid w:val="00C73F0E"/>
    <w:rsid w:val="00C7453E"/>
    <w:rsid w:val="00C745F2"/>
    <w:rsid w:val="00C75383"/>
    <w:rsid w:val="00C756B7"/>
    <w:rsid w:val="00C763C7"/>
    <w:rsid w:val="00C76754"/>
    <w:rsid w:val="00C76FAC"/>
    <w:rsid w:val="00C77E22"/>
    <w:rsid w:val="00C802ED"/>
    <w:rsid w:val="00C803E4"/>
    <w:rsid w:val="00C81231"/>
    <w:rsid w:val="00C8140A"/>
    <w:rsid w:val="00C81523"/>
    <w:rsid w:val="00C81E8B"/>
    <w:rsid w:val="00C81F8C"/>
    <w:rsid w:val="00C82283"/>
    <w:rsid w:val="00C82B5A"/>
    <w:rsid w:val="00C82CDA"/>
    <w:rsid w:val="00C836D9"/>
    <w:rsid w:val="00C839AF"/>
    <w:rsid w:val="00C83B5B"/>
    <w:rsid w:val="00C84565"/>
    <w:rsid w:val="00C8486E"/>
    <w:rsid w:val="00C84A20"/>
    <w:rsid w:val="00C851B7"/>
    <w:rsid w:val="00C8566F"/>
    <w:rsid w:val="00C859AE"/>
    <w:rsid w:val="00C85B94"/>
    <w:rsid w:val="00C872F3"/>
    <w:rsid w:val="00C87A6C"/>
    <w:rsid w:val="00C87C43"/>
    <w:rsid w:val="00C90B2F"/>
    <w:rsid w:val="00C90EE9"/>
    <w:rsid w:val="00C9143C"/>
    <w:rsid w:val="00C9285A"/>
    <w:rsid w:val="00C929C3"/>
    <w:rsid w:val="00C9344F"/>
    <w:rsid w:val="00C934A0"/>
    <w:rsid w:val="00C93735"/>
    <w:rsid w:val="00C939A7"/>
    <w:rsid w:val="00C93B0E"/>
    <w:rsid w:val="00C941B4"/>
    <w:rsid w:val="00C94831"/>
    <w:rsid w:val="00C94ABE"/>
    <w:rsid w:val="00C94BC7"/>
    <w:rsid w:val="00C95034"/>
    <w:rsid w:val="00C9539A"/>
    <w:rsid w:val="00C959BF"/>
    <w:rsid w:val="00C95F76"/>
    <w:rsid w:val="00C96B01"/>
    <w:rsid w:val="00C96C42"/>
    <w:rsid w:val="00C9726B"/>
    <w:rsid w:val="00C979D0"/>
    <w:rsid w:val="00C97AD0"/>
    <w:rsid w:val="00C97C56"/>
    <w:rsid w:val="00CA096D"/>
    <w:rsid w:val="00CA0B8B"/>
    <w:rsid w:val="00CA1000"/>
    <w:rsid w:val="00CA1263"/>
    <w:rsid w:val="00CA1C93"/>
    <w:rsid w:val="00CA2731"/>
    <w:rsid w:val="00CA2B06"/>
    <w:rsid w:val="00CA3C30"/>
    <w:rsid w:val="00CA3E3D"/>
    <w:rsid w:val="00CA410E"/>
    <w:rsid w:val="00CA418D"/>
    <w:rsid w:val="00CA42F6"/>
    <w:rsid w:val="00CA447E"/>
    <w:rsid w:val="00CA4854"/>
    <w:rsid w:val="00CA4D8C"/>
    <w:rsid w:val="00CA5393"/>
    <w:rsid w:val="00CA58A0"/>
    <w:rsid w:val="00CA5D82"/>
    <w:rsid w:val="00CA5FC0"/>
    <w:rsid w:val="00CA6001"/>
    <w:rsid w:val="00CA6216"/>
    <w:rsid w:val="00CA62EE"/>
    <w:rsid w:val="00CA7281"/>
    <w:rsid w:val="00CA78E4"/>
    <w:rsid w:val="00CA7F62"/>
    <w:rsid w:val="00CB030F"/>
    <w:rsid w:val="00CB06D0"/>
    <w:rsid w:val="00CB0745"/>
    <w:rsid w:val="00CB0CDF"/>
    <w:rsid w:val="00CB0FE7"/>
    <w:rsid w:val="00CB1A6B"/>
    <w:rsid w:val="00CB1DDE"/>
    <w:rsid w:val="00CB1F64"/>
    <w:rsid w:val="00CB27FD"/>
    <w:rsid w:val="00CB2AE8"/>
    <w:rsid w:val="00CB3957"/>
    <w:rsid w:val="00CB3A03"/>
    <w:rsid w:val="00CB3E64"/>
    <w:rsid w:val="00CB428F"/>
    <w:rsid w:val="00CB4971"/>
    <w:rsid w:val="00CB4B4F"/>
    <w:rsid w:val="00CB4CB1"/>
    <w:rsid w:val="00CB4E63"/>
    <w:rsid w:val="00CB528D"/>
    <w:rsid w:val="00CB5303"/>
    <w:rsid w:val="00CB635C"/>
    <w:rsid w:val="00CB6490"/>
    <w:rsid w:val="00CB71B0"/>
    <w:rsid w:val="00CB7321"/>
    <w:rsid w:val="00CB7739"/>
    <w:rsid w:val="00CB7D1F"/>
    <w:rsid w:val="00CB7E0A"/>
    <w:rsid w:val="00CB7F23"/>
    <w:rsid w:val="00CC0299"/>
    <w:rsid w:val="00CC03C0"/>
    <w:rsid w:val="00CC1818"/>
    <w:rsid w:val="00CC18A7"/>
    <w:rsid w:val="00CC272A"/>
    <w:rsid w:val="00CC2B07"/>
    <w:rsid w:val="00CC3027"/>
    <w:rsid w:val="00CC33AC"/>
    <w:rsid w:val="00CC37F1"/>
    <w:rsid w:val="00CC390D"/>
    <w:rsid w:val="00CC3CC2"/>
    <w:rsid w:val="00CC421B"/>
    <w:rsid w:val="00CC4746"/>
    <w:rsid w:val="00CC4B99"/>
    <w:rsid w:val="00CC4E7D"/>
    <w:rsid w:val="00CC562D"/>
    <w:rsid w:val="00CC570C"/>
    <w:rsid w:val="00CC60B6"/>
    <w:rsid w:val="00CC7020"/>
    <w:rsid w:val="00CC71D5"/>
    <w:rsid w:val="00CC75A1"/>
    <w:rsid w:val="00CC7A30"/>
    <w:rsid w:val="00CD0111"/>
    <w:rsid w:val="00CD07D7"/>
    <w:rsid w:val="00CD0B92"/>
    <w:rsid w:val="00CD0C2B"/>
    <w:rsid w:val="00CD0E23"/>
    <w:rsid w:val="00CD1756"/>
    <w:rsid w:val="00CD1806"/>
    <w:rsid w:val="00CD182E"/>
    <w:rsid w:val="00CD1BC6"/>
    <w:rsid w:val="00CD2213"/>
    <w:rsid w:val="00CD2244"/>
    <w:rsid w:val="00CD27EE"/>
    <w:rsid w:val="00CD2C9F"/>
    <w:rsid w:val="00CD351F"/>
    <w:rsid w:val="00CD3879"/>
    <w:rsid w:val="00CD40A3"/>
    <w:rsid w:val="00CD4A9D"/>
    <w:rsid w:val="00CD54E8"/>
    <w:rsid w:val="00CD55D0"/>
    <w:rsid w:val="00CD61BD"/>
    <w:rsid w:val="00CD6211"/>
    <w:rsid w:val="00CD62EB"/>
    <w:rsid w:val="00CD63FC"/>
    <w:rsid w:val="00CD69A5"/>
    <w:rsid w:val="00CD7807"/>
    <w:rsid w:val="00CD783C"/>
    <w:rsid w:val="00CD78B9"/>
    <w:rsid w:val="00CD7A16"/>
    <w:rsid w:val="00CE0093"/>
    <w:rsid w:val="00CE062D"/>
    <w:rsid w:val="00CE0D05"/>
    <w:rsid w:val="00CE0D4B"/>
    <w:rsid w:val="00CE0EFE"/>
    <w:rsid w:val="00CE10BD"/>
    <w:rsid w:val="00CE1522"/>
    <w:rsid w:val="00CE154F"/>
    <w:rsid w:val="00CE1C9A"/>
    <w:rsid w:val="00CE1F17"/>
    <w:rsid w:val="00CE2466"/>
    <w:rsid w:val="00CE3BB4"/>
    <w:rsid w:val="00CE3F43"/>
    <w:rsid w:val="00CE5B3C"/>
    <w:rsid w:val="00CE5C4F"/>
    <w:rsid w:val="00CE5E6E"/>
    <w:rsid w:val="00CE71B2"/>
    <w:rsid w:val="00CE71F1"/>
    <w:rsid w:val="00CE750B"/>
    <w:rsid w:val="00CE7673"/>
    <w:rsid w:val="00CE7803"/>
    <w:rsid w:val="00CE7AA2"/>
    <w:rsid w:val="00CE7BE6"/>
    <w:rsid w:val="00CE7F13"/>
    <w:rsid w:val="00CF0545"/>
    <w:rsid w:val="00CF1282"/>
    <w:rsid w:val="00CF13B5"/>
    <w:rsid w:val="00CF19BE"/>
    <w:rsid w:val="00CF1A49"/>
    <w:rsid w:val="00CF218A"/>
    <w:rsid w:val="00CF2504"/>
    <w:rsid w:val="00CF26BF"/>
    <w:rsid w:val="00CF2907"/>
    <w:rsid w:val="00CF299F"/>
    <w:rsid w:val="00CF3341"/>
    <w:rsid w:val="00CF37D7"/>
    <w:rsid w:val="00CF3B52"/>
    <w:rsid w:val="00CF3C93"/>
    <w:rsid w:val="00CF3FB2"/>
    <w:rsid w:val="00CF4121"/>
    <w:rsid w:val="00CF4473"/>
    <w:rsid w:val="00CF457A"/>
    <w:rsid w:val="00CF4D73"/>
    <w:rsid w:val="00CF4EFD"/>
    <w:rsid w:val="00CF5475"/>
    <w:rsid w:val="00CF54F5"/>
    <w:rsid w:val="00CF55B3"/>
    <w:rsid w:val="00CF5957"/>
    <w:rsid w:val="00CF66A7"/>
    <w:rsid w:val="00CF6F2C"/>
    <w:rsid w:val="00CF75DB"/>
    <w:rsid w:val="00CF774B"/>
    <w:rsid w:val="00CF77CD"/>
    <w:rsid w:val="00CF7B32"/>
    <w:rsid w:val="00CF7ED4"/>
    <w:rsid w:val="00D0021D"/>
    <w:rsid w:val="00D004BE"/>
    <w:rsid w:val="00D00848"/>
    <w:rsid w:val="00D00852"/>
    <w:rsid w:val="00D00DBC"/>
    <w:rsid w:val="00D01A7F"/>
    <w:rsid w:val="00D01F61"/>
    <w:rsid w:val="00D03586"/>
    <w:rsid w:val="00D03B28"/>
    <w:rsid w:val="00D0495E"/>
    <w:rsid w:val="00D05726"/>
    <w:rsid w:val="00D061FB"/>
    <w:rsid w:val="00D0672B"/>
    <w:rsid w:val="00D0744F"/>
    <w:rsid w:val="00D075C6"/>
    <w:rsid w:val="00D07FE4"/>
    <w:rsid w:val="00D11147"/>
    <w:rsid w:val="00D11435"/>
    <w:rsid w:val="00D114DF"/>
    <w:rsid w:val="00D1168D"/>
    <w:rsid w:val="00D11A8F"/>
    <w:rsid w:val="00D11BF0"/>
    <w:rsid w:val="00D11E9A"/>
    <w:rsid w:val="00D129DF"/>
    <w:rsid w:val="00D12B2A"/>
    <w:rsid w:val="00D1315A"/>
    <w:rsid w:val="00D133A3"/>
    <w:rsid w:val="00D1371E"/>
    <w:rsid w:val="00D13734"/>
    <w:rsid w:val="00D13F92"/>
    <w:rsid w:val="00D142B4"/>
    <w:rsid w:val="00D14D95"/>
    <w:rsid w:val="00D14E21"/>
    <w:rsid w:val="00D14FB9"/>
    <w:rsid w:val="00D1561D"/>
    <w:rsid w:val="00D159B6"/>
    <w:rsid w:val="00D16049"/>
    <w:rsid w:val="00D1612B"/>
    <w:rsid w:val="00D16DA3"/>
    <w:rsid w:val="00D17D9E"/>
    <w:rsid w:val="00D201EC"/>
    <w:rsid w:val="00D206C2"/>
    <w:rsid w:val="00D20947"/>
    <w:rsid w:val="00D20BC7"/>
    <w:rsid w:val="00D20FCC"/>
    <w:rsid w:val="00D210FE"/>
    <w:rsid w:val="00D213E9"/>
    <w:rsid w:val="00D216F5"/>
    <w:rsid w:val="00D21717"/>
    <w:rsid w:val="00D217A7"/>
    <w:rsid w:val="00D21956"/>
    <w:rsid w:val="00D219B2"/>
    <w:rsid w:val="00D2402A"/>
    <w:rsid w:val="00D2422E"/>
    <w:rsid w:val="00D246B8"/>
    <w:rsid w:val="00D247A1"/>
    <w:rsid w:val="00D24AC5"/>
    <w:rsid w:val="00D25147"/>
    <w:rsid w:val="00D253C5"/>
    <w:rsid w:val="00D25465"/>
    <w:rsid w:val="00D25827"/>
    <w:rsid w:val="00D2582E"/>
    <w:rsid w:val="00D26311"/>
    <w:rsid w:val="00D26C45"/>
    <w:rsid w:val="00D27253"/>
    <w:rsid w:val="00D2767E"/>
    <w:rsid w:val="00D27B50"/>
    <w:rsid w:val="00D27DBB"/>
    <w:rsid w:val="00D30244"/>
    <w:rsid w:val="00D302F3"/>
    <w:rsid w:val="00D30E72"/>
    <w:rsid w:val="00D311EA"/>
    <w:rsid w:val="00D320EF"/>
    <w:rsid w:val="00D3254A"/>
    <w:rsid w:val="00D32CBF"/>
    <w:rsid w:val="00D32D9C"/>
    <w:rsid w:val="00D32F48"/>
    <w:rsid w:val="00D330CE"/>
    <w:rsid w:val="00D336C3"/>
    <w:rsid w:val="00D33B6C"/>
    <w:rsid w:val="00D34334"/>
    <w:rsid w:val="00D3454C"/>
    <w:rsid w:val="00D3475A"/>
    <w:rsid w:val="00D34C3F"/>
    <w:rsid w:val="00D350E5"/>
    <w:rsid w:val="00D35148"/>
    <w:rsid w:val="00D35540"/>
    <w:rsid w:val="00D357C9"/>
    <w:rsid w:val="00D3608A"/>
    <w:rsid w:val="00D373A4"/>
    <w:rsid w:val="00D373AB"/>
    <w:rsid w:val="00D37F45"/>
    <w:rsid w:val="00D4073D"/>
    <w:rsid w:val="00D4105E"/>
    <w:rsid w:val="00D4107A"/>
    <w:rsid w:val="00D413C8"/>
    <w:rsid w:val="00D415E9"/>
    <w:rsid w:val="00D41A3A"/>
    <w:rsid w:val="00D4259E"/>
    <w:rsid w:val="00D42E24"/>
    <w:rsid w:val="00D434AD"/>
    <w:rsid w:val="00D43D4D"/>
    <w:rsid w:val="00D444F8"/>
    <w:rsid w:val="00D44A44"/>
    <w:rsid w:val="00D44F82"/>
    <w:rsid w:val="00D45AEF"/>
    <w:rsid w:val="00D45CB0"/>
    <w:rsid w:val="00D45EBF"/>
    <w:rsid w:val="00D46107"/>
    <w:rsid w:val="00D4658E"/>
    <w:rsid w:val="00D46B4C"/>
    <w:rsid w:val="00D46D36"/>
    <w:rsid w:val="00D46F22"/>
    <w:rsid w:val="00D47DFE"/>
    <w:rsid w:val="00D50183"/>
    <w:rsid w:val="00D50854"/>
    <w:rsid w:val="00D50899"/>
    <w:rsid w:val="00D51099"/>
    <w:rsid w:val="00D51ACD"/>
    <w:rsid w:val="00D528BA"/>
    <w:rsid w:val="00D529F6"/>
    <w:rsid w:val="00D52F91"/>
    <w:rsid w:val="00D537DE"/>
    <w:rsid w:val="00D538C1"/>
    <w:rsid w:val="00D54158"/>
    <w:rsid w:val="00D54257"/>
    <w:rsid w:val="00D54C83"/>
    <w:rsid w:val="00D550B4"/>
    <w:rsid w:val="00D555D9"/>
    <w:rsid w:val="00D55E31"/>
    <w:rsid w:val="00D56027"/>
    <w:rsid w:val="00D56086"/>
    <w:rsid w:val="00D5688B"/>
    <w:rsid w:val="00D56C72"/>
    <w:rsid w:val="00D56E05"/>
    <w:rsid w:val="00D573A5"/>
    <w:rsid w:val="00D57434"/>
    <w:rsid w:val="00D57BDE"/>
    <w:rsid w:val="00D6008A"/>
    <w:rsid w:val="00D60197"/>
    <w:rsid w:val="00D60DAA"/>
    <w:rsid w:val="00D60F91"/>
    <w:rsid w:val="00D61520"/>
    <w:rsid w:val="00D62A77"/>
    <w:rsid w:val="00D63811"/>
    <w:rsid w:val="00D63D53"/>
    <w:rsid w:val="00D640DB"/>
    <w:rsid w:val="00D64471"/>
    <w:rsid w:val="00D647D5"/>
    <w:rsid w:val="00D64CB1"/>
    <w:rsid w:val="00D6505E"/>
    <w:rsid w:val="00D6771F"/>
    <w:rsid w:val="00D67801"/>
    <w:rsid w:val="00D67A8F"/>
    <w:rsid w:val="00D67B80"/>
    <w:rsid w:val="00D67FE3"/>
    <w:rsid w:val="00D70E74"/>
    <w:rsid w:val="00D714B4"/>
    <w:rsid w:val="00D71F09"/>
    <w:rsid w:val="00D72181"/>
    <w:rsid w:val="00D728E7"/>
    <w:rsid w:val="00D729A2"/>
    <w:rsid w:val="00D7396F"/>
    <w:rsid w:val="00D739EA"/>
    <w:rsid w:val="00D73B5D"/>
    <w:rsid w:val="00D7523E"/>
    <w:rsid w:val="00D75579"/>
    <w:rsid w:val="00D7586B"/>
    <w:rsid w:val="00D75EC7"/>
    <w:rsid w:val="00D762FE"/>
    <w:rsid w:val="00D76A33"/>
    <w:rsid w:val="00D77266"/>
    <w:rsid w:val="00D772EE"/>
    <w:rsid w:val="00D773C9"/>
    <w:rsid w:val="00D77A04"/>
    <w:rsid w:val="00D77FAC"/>
    <w:rsid w:val="00D80080"/>
    <w:rsid w:val="00D80D43"/>
    <w:rsid w:val="00D81AF1"/>
    <w:rsid w:val="00D83C13"/>
    <w:rsid w:val="00D843D7"/>
    <w:rsid w:val="00D8458E"/>
    <w:rsid w:val="00D84E4B"/>
    <w:rsid w:val="00D85074"/>
    <w:rsid w:val="00D855F4"/>
    <w:rsid w:val="00D85712"/>
    <w:rsid w:val="00D857BD"/>
    <w:rsid w:val="00D85B7B"/>
    <w:rsid w:val="00D86D43"/>
    <w:rsid w:val="00D86DE2"/>
    <w:rsid w:val="00D871A0"/>
    <w:rsid w:val="00D87268"/>
    <w:rsid w:val="00D8732D"/>
    <w:rsid w:val="00D90345"/>
    <w:rsid w:val="00D90450"/>
    <w:rsid w:val="00D906AD"/>
    <w:rsid w:val="00D90984"/>
    <w:rsid w:val="00D918E6"/>
    <w:rsid w:val="00D91A2B"/>
    <w:rsid w:val="00D91EEE"/>
    <w:rsid w:val="00D92094"/>
    <w:rsid w:val="00D9257F"/>
    <w:rsid w:val="00D92A4E"/>
    <w:rsid w:val="00D93B4C"/>
    <w:rsid w:val="00D94220"/>
    <w:rsid w:val="00D9425A"/>
    <w:rsid w:val="00D9559B"/>
    <w:rsid w:val="00D95BB2"/>
    <w:rsid w:val="00D95EC7"/>
    <w:rsid w:val="00D96410"/>
    <w:rsid w:val="00D96EBA"/>
    <w:rsid w:val="00D96EEA"/>
    <w:rsid w:val="00D96F09"/>
    <w:rsid w:val="00D9798E"/>
    <w:rsid w:val="00D97D5E"/>
    <w:rsid w:val="00DA10CC"/>
    <w:rsid w:val="00DA1855"/>
    <w:rsid w:val="00DA270B"/>
    <w:rsid w:val="00DA2EE9"/>
    <w:rsid w:val="00DA3183"/>
    <w:rsid w:val="00DA39C5"/>
    <w:rsid w:val="00DA4017"/>
    <w:rsid w:val="00DA402A"/>
    <w:rsid w:val="00DA4FC1"/>
    <w:rsid w:val="00DA5630"/>
    <w:rsid w:val="00DA5B94"/>
    <w:rsid w:val="00DA6589"/>
    <w:rsid w:val="00DA6AC4"/>
    <w:rsid w:val="00DA72DC"/>
    <w:rsid w:val="00DB0143"/>
    <w:rsid w:val="00DB0CC0"/>
    <w:rsid w:val="00DB16AF"/>
    <w:rsid w:val="00DB16ED"/>
    <w:rsid w:val="00DB347C"/>
    <w:rsid w:val="00DB35EB"/>
    <w:rsid w:val="00DB419F"/>
    <w:rsid w:val="00DB4A08"/>
    <w:rsid w:val="00DB4A53"/>
    <w:rsid w:val="00DB52DC"/>
    <w:rsid w:val="00DB5683"/>
    <w:rsid w:val="00DB5C76"/>
    <w:rsid w:val="00DB712B"/>
    <w:rsid w:val="00DB7F77"/>
    <w:rsid w:val="00DC0159"/>
    <w:rsid w:val="00DC0500"/>
    <w:rsid w:val="00DC0AEB"/>
    <w:rsid w:val="00DC0C2F"/>
    <w:rsid w:val="00DC0E97"/>
    <w:rsid w:val="00DC11BE"/>
    <w:rsid w:val="00DC12DF"/>
    <w:rsid w:val="00DC1451"/>
    <w:rsid w:val="00DC1B44"/>
    <w:rsid w:val="00DC1CF4"/>
    <w:rsid w:val="00DC2512"/>
    <w:rsid w:val="00DC269C"/>
    <w:rsid w:val="00DC27BD"/>
    <w:rsid w:val="00DC2E10"/>
    <w:rsid w:val="00DC312F"/>
    <w:rsid w:val="00DC32AB"/>
    <w:rsid w:val="00DC41CF"/>
    <w:rsid w:val="00DC4431"/>
    <w:rsid w:val="00DC46DB"/>
    <w:rsid w:val="00DC46F3"/>
    <w:rsid w:val="00DC47D4"/>
    <w:rsid w:val="00DC4FF1"/>
    <w:rsid w:val="00DC5090"/>
    <w:rsid w:val="00DC5B24"/>
    <w:rsid w:val="00DC5F1B"/>
    <w:rsid w:val="00DC715C"/>
    <w:rsid w:val="00DC7605"/>
    <w:rsid w:val="00DD0991"/>
    <w:rsid w:val="00DD1217"/>
    <w:rsid w:val="00DD1281"/>
    <w:rsid w:val="00DD15A6"/>
    <w:rsid w:val="00DD1675"/>
    <w:rsid w:val="00DD167F"/>
    <w:rsid w:val="00DD1854"/>
    <w:rsid w:val="00DD2381"/>
    <w:rsid w:val="00DD2B27"/>
    <w:rsid w:val="00DD2F32"/>
    <w:rsid w:val="00DD30F0"/>
    <w:rsid w:val="00DD3150"/>
    <w:rsid w:val="00DD3784"/>
    <w:rsid w:val="00DD40DF"/>
    <w:rsid w:val="00DD4380"/>
    <w:rsid w:val="00DD4447"/>
    <w:rsid w:val="00DD46EB"/>
    <w:rsid w:val="00DD5370"/>
    <w:rsid w:val="00DD5DBA"/>
    <w:rsid w:val="00DD5EA7"/>
    <w:rsid w:val="00DD69DD"/>
    <w:rsid w:val="00DD6D90"/>
    <w:rsid w:val="00DD700F"/>
    <w:rsid w:val="00DD74BA"/>
    <w:rsid w:val="00DD7573"/>
    <w:rsid w:val="00DD776A"/>
    <w:rsid w:val="00DD7D75"/>
    <w:rsid w:val="00DD7E17"/>
    <w:rsid w:val="00DE020C"/>
    <w:rsid w:val="00DE02EE"/>
    <w:rsid w:val="00DE17EC"/>
    <w:rsid w:val="00DE1A08"/>
    <w:rsid w:val="00DE2476"/>
    <w:rsid w:val="00DE261E"/>
    <w:rsid w:val="00DE2A62"/>
    <w:rsid w:val="00DE2A9D"/>
    <w:rsid w:val="00DE2AD7"/>
    <w:rsid w:val="00DE2D10"/>
    <w:rsid w:val="00DE2F9F"/>
    <w:rsid w:val="00DE34EB"/>
    <w:rsid w:val="00DE35DB"/>
    <w:rsid w:val="00DE3DE0"/>
    <w:rsid w:val="00DE4382"/>
    <w:rsid w:val="00DE4954"/>
    <w:rsid w:val="00DE49B3"/>
    <w:rsid w:val="00DE5107"/>
    <w:rsid w:val="00DE5D5F"/>
    <w:rsid w:val="00DE6367"/>
    <w:rsid w:val="00DE6464"/>
    <w:rsid w:val="00DE6810"/>
    <w:rsid w:val="00DE6AEF"/>
    <w:rsid w:val="00DE6B12"/>
    <w:rsid w:val="00DE6D29"/>
    <w:rsid w:val="00DE7144"/>
    <w:rsid w:val="00DE79BE"/>
    <w:rsid w:val="00DF0B7A"/>
    <w:rsid w:val="00DF0E10"/>
    <w:rsid w:val="00DF11BF"/>
    <w:rsid w:val="00DF1621"/>
    <w:rsid w:val="00DF2CB8"/>
    <w:rsid w:val="00DF31B0"/>
    <w:rsid w:val="00DF3569"/>
    <w:rsid w:val="00DF3782"/>
    <w:rsid w:val="00DF4980"/>
    <w:rsid w:val="00DF506D"/>
    <w:rsid w:val="00DF56D1"/>
    <w:rsid w:val="00DF5768"/>
    <w:rsid w:val="00DF578D"/>
    <w:rsid w:val="00DF6390"/>
    <w:rsid w:val="00DF669A"/>
    <w:rsid w:val="00DF66BB"/>
    <w:rsid w:val="00DF6B16"/>
    <w:rsid w:val="00DF78D8"/>
    <w:rsid w:val="00DF7A46"/>
    <w:rsid w:val="00DF7B4C"/>
    <w:rsid w:val="00DF7FCE"/>
    <w:rsid w:val="00E02188"/>
    <w:rsid w:val="00E02536"/>
    <w:rsid w:val="00E033DF"/>
    <w:rsid w:val="00E03B9D"/>
    <w:rsid w:val="00E03CE9"/>
    <w:rsid w:val="00E043F5"/>
    <w:rsid w:val="00E047A4"/>
    <w:rsid w:val="00E0499B"/>
    <w:rsid w:val="00E049F2"/>
    <w:rsid w:val="00E04BC4"/>
    <w:rsid w:val="00E05376"/>
    <w:rsid w:val="00E06412"/>
    <w:rsid w:val="00E06605"/>
    <w:rsid w:val="00E066BE"/>
    <w:rsid w:val="00E06751"/>
    <w:rsid w:val="00E06A44"/>
    <w:rsid w:val="00E06CAB"/>
    <w:rsid w:val="00E07528"/>
    <w:rsid w:val="00E0791E"/>
    <w:rsid w:val="00E07A65"/>
    <w:rsid w:val="00E07DCA"/>
    <w:rsid w:val="00E11345"/>
    <w:rsid w:val="00E11351"/>
    <w:rsid w:val="00E114C1"/>
    <w:rsid w:val="00E118FE"/>
    <w:rsid w:val="00E11CE4"/>
    <w:rsid w:val="00E12235"/>
    <w:rsid w:val="00E126FF"/>
    <w:rsid w:val="00E130FD"/>
    <w:rsid w:val="00E1373A"/>
    <w:rsid w:val="00E13C70"/>
    <w:rsid w:val="00E14A1F"/>
    <w:rsid w:val="00E14C88"/>
    <w:rsid w:val="00E14D82"/>
    <w:rsid w:val="00E14F6E"/>
    <w:rsid w:val="00E15730"/>
    <w:rsid w:val="00E1583C"/>
    <w:rsid w:val="00E164A3"/>
    <w:rsid w:val="00E1655A"/>
    <w:rsid w:val="00E166A4"/>
    <w:rsid w:val="00E166C3"/>
    <w:rsid w:val="00E169F3"/>
    <w:rsid w:val="00E176F4"/>
    <w:rsid w:val="00E2003E"/>
    <w:rsid w:val="00E202CF"/>
    <w:rsid w:val="00E206CF"/>
    <w:rsid w:val="00E2074C"/>
    <w:rsid w:val="00E21442"/>
    <w:rsid w:val="00E216A6"/>
    <w:rsid w:val="00E2267B"/>
    <w:rsid w:val="00E227AD"/>
    <w:rsid w:val="00E23059"/>
    <w:rsid w:val="00E23CDF"/>
    <w:rsid w:val="00E24391"/>
    <w:rsid w:val="00E24717"/>
    <w:rsid w:val="00E24CCA"/>
    <w:rsid w:val="00E25033"/>
    <w:rsid w:val="00E253FB"/>
    <w:rsid w:val="00E25D04"/>
    <w:rsid w:val="00E26274"/>
    <w:rsid w:val="00E26333"/>
    <w:rsid w:val="00E26E5C"/>
    <w:rsid w:val="00E2749E"/>
    <w:rsid w:val="00E275FA"/>
    <w:rsid w:val="00E304F8"/>
    <w:rsid w:val="00E310AD"/>
    <w:rsid w:val="00E3178B"/>
    <w:rsid w:val="00E31D20"/>
    <w:rsid w:val="00E32A99"/>
    <w:rsid w:val="00E32D28"/>
    <w:rsid w:val="00E332F7"/>
    <w:rsid w:val="00E336C8"/>
    <w:rsid w:val="00E33E74"/>
    <w:rsid w:val="00E3493E"/>
    <w:rsid w:val="00E3494C"/>
    <w:rsid w:val="00E349CF"/>
    <w:rsid w:val="00E3576A"/>
    <w:rsid w:val="00E35B18"/>
    <w:rsid w:val="00E35FB4"/>
    <w:rsid w:val="00E363BC"/>
    <w:rsid w:val="00E36891"/>
    <w:rsid w:val="00E3699A"/>
    <w:rsid w:val="00E36AB2"/>
    <w:rsid w:val="00E36C1D"/>
    <w:rsid w:val="00E36ED6"/>
    <w:rsid w:val="00E36F79"/>
    <w:rsid w:val="00E3737B"/>
    <w:rsid w:val="00E374E0"/>
    <w:rsid w:val="00E379BA"/>
    <w:rsid w:val="00E4071B"/>
    <w:rsid w:val="00E40BB4"/>
    <w:rsid w:val="00E41006"/>
    <w:rsid w:val="00E41195"/>
    <w:rsid w:val="00E4138F"/>
    <w:rsid w:val="00E414FA"/>
    <w:rsid w:val="00E41532"/>
    <w:rsid w:val="00E41BE6"/>
    <w:rsid w:val="00E424C7"/>
    <w:rsid w:val="00E42B65"/>
    <w:rsid w:val="00E43C8E"/>
    <w:rsid w:val="00E44222"/>
    <w:rsid w:val="00E44994"/>
    <w:rsid w:val="00E4523A"/>
    <w:rsid w:val="00E45BC4"/>
    <w:rsid w:val="00E45C01"/>
    <w:rsid w:val="00E46310"/>
    <w:rsid w:val="00E463E4"/>
    <w:rsid w:val="00E46725"/>
    <w:rsid w:val="00E47430"/>
    <w:rsid w:val="00E4775F"/>
    <w:rsid w:val="00E47F18"/>
    <w:rsid w:val="00E5000A"/>
    <w:rsid w:val="00E50484"/>
    <w:rsid w:val="00E50BF3"/>
    <w:rsid w:val="00E50DBE"/>
    <w:rsid w:val="00E51358"/>
    <w:rsid w:val="00E51407"/>
    <w:rsid w:val="00E51A6E"/>
    <w:rsid w:val="00E523F8"/>
    <w:rsid w:val="00E5296C"/>
    <w:rsid w:val="00E52A68"/>
    <w:rsid w:val="00E52E55"/>
    <w:rsid w:val="00E5360B"/>
    <w:rsid w:val="00E53C0D"/>
    <w:rsid w:val="00E54237"/>
    <w:rsid w:val="00E5440F"/>
    <w:rsid w:val="00E5460E"/>
    <w:rsid w:val="00E54FA5"/>
    <w:rsid w:val="00E54FC8"/>
    <w:rsid w:val="00E55442"/>
    <w:rsid w:val="00E5584C"/>
    <w:rsid w:val="00E56467"/>
    <w:rsid w:val="00E57D54"/>
    <w:rsid w:val="00E57E77"/>
    <w:rsid w:val="00E57FA6"/>
    <w:rsid w:val="00E60069"/>
    <w:rsid w:val="00E60142"/>
    <w:rsid w:val="00E60D9D"/>
    <w:rsid w:val="00E60F0F"/>
    <w:rsid w:val="00E61094"/>
    <w:rsid w:val="00E612AE"/>
    <w:rsid w:val="00E61483"/>
    <w:rsid w:val="00E6198F"/>
    <w:rsid w:val="00E6230B"/>
    <w:rsid w:val="00E6233B"/>
    <w:rsid w:val="00E62490"/>
    <w:rsid w:val="00E630EA"/>
    <w:rsid w:val="00E6332C"/>
    <w:rsid w:val="00E636E1"/>
    <w:rsid w:val="00E636E8"/>
    <w:rsid w:val="00E6382D"/>
    <w:rsid w:val="00E63D1E"/>
    <w:rsid w:val="00E64344"/>
    <w:rsid w:val="00E64A61"/>
    <w:rsid w:val="00E64DD5"/>
    <w:rsid w:val="00E651FB"/>
    <w:rsid w:val="00E6551E"/>
    <w:rsid w:val="00E666CE"/>
    <w:rsid w:val="00E66BDD"/>
    <w:rsid w:val="00E66DA9"/>
    <w:rsid w:val="00E70518"/>
    <w:rsid w:val="00E71679"/>
    <w:rsid w:val="00E717C0"/>
    <w:rsid w:val="00E71EF9"/>
    <w:rsid w:val="00E72192"/>
    <w:rsid w:val="00E72923"/>
    <w:rsid w:val="00E73135"/>
    <w:rsid w:val="00E73491"/>
    <w:rsid w:val="00E739A7"/>
    <w:rsid w:val="00E73A4D"/>
    <w:rsid w:val="00E73F57"/>
    <w:rsid w:val="00E7508C"/>
    <w:rsid w:val="00E755DA"/>
    <w:rsid w:val="00E75A37"/>
    <w:rsid w:val="00E75E68"/>
    <w:rsid w:val="00E75EFC"/>
    <w:rsid w:val="00E76370"/>
    <w:rsid w:val="00E76863"/>
    <w:rsid w:val="00E7720A"/>
    <w:rsid w:val="00E808CB"/>
    <w:rsid w:val="00E80E25"/>
    <w:rsid w:val="00E81123"/>
    <w:rsid w:val="00E814AC"/>
    <w:rsid w:val="00E8190A"/>
    <w:rsid w:val="00E81C52"/>
    <w:rsid w:val="00E81E89"/>
    <w:rsid w:val="00E81EF6"/>
    <w:rsid w:val="00E81F8D"/>
    <w:rsid w:val="00E821C8"/>
    <w:rsid w:val="00E82319"/>
    <w:rsid w:val="00E824CE"/>
    <w:rsid w:val="00E82A6C"/>
    <w:rsid w:val="00E82A7A"/>
    <w:rsid w:val="00E83354"/>
    <w:rsid w:val="00E836F2"/>
    <w:rsid w:val="00E8390D"/>
    <w:rsid w:val="00E8407F"/>
    <w:rsid w:val="00E846D5"/>
    <w:rsid w:val="00E84D87"/>
    <w:rsid w:val="00E85742"/>
    <w:rsid w:val="00E867B4"/>
    <w:rsid w:val="00E86D05"/>
    <w:rsid w:val="00E86F35"/>
    <w:rsid w:val="00E86F3F"/>
    <w:rsid w:val="00E8786C"/>
    <w:rsid w:val="00E87F29"/>
    <w:rsid w:val="00E902B8"/>
    <w:rsid w:val="00E90B32"/>
    <w:rsid w:val="00E90E2A"/>
    <w:rsid w:val="00E915F3"/>
    <w:rsid w:val="00E917E1"/>
    <w:rsid w:val="00E921CD"/>
    <w:rsid w:val="00E9253B"/>
    <w:rsid w:val="00E92655"/>
    <w:rsid w:val="00E92BD0"/>
    <w:rsid w:val="00E92C22"/>
    <w:rsid w:val="00E92F00"/>
    <w:rsid w:val="00E92F81"/>
    <w:rsid w:val="00E93078"/>
    <w:rsid w:val="00E9310B"/>
    <w:rsid w:val="00E93B8B"/>
    <w:rsid w:val="00E94074"/>
    <w:rsid w:val="00E9473B"/>
    <w:rsid w:val="00E947FB"/>
    <w:rsid w:val="00E950E7"/>
    <w:rsid w:val="00E95587"/>
    <w:rsid w:val="00E95E07"/>
    <w:rsid w:val="00E95ED0"/>
    <w:rsid w:val="00E9626A"/>
    <w:rsid w:val="00E963DD"/>
    <w:rsid w:val="00E96411"/>
    <w:rsid w:val="00E966D6"/>
    <w:rsid w:val="00E968BF"/>
    <w:rsid w:val="00E96B51"/>
    <w:rsid w:val="00E97018"/>
    <w:rsid w:val="00E973FD"/>
    <w:rsid w:val="00E9758C"/>
    <w:rsid w:val="00E97592"/>
    <w:rsid w:val="00E97685"/>
    <w:rsid w:val="00E97B14"/>
    <w:rsid w:val="00E97F4A"/>
    <w:rsid w:val="00EA0C78"/>
    <w:rsid w:val="00EA1DC2"/>
    <w:rsid w:val="00EA22E9"/>
    <w:rsid w:val="00EA2A81"/>
    <w:rsid w:val="00EA2E7E"/>
    <w:rsid w:val="00EA3222"/>
    <w:rsid w:val="00EA35D6"/>
    <w:rsid w:val="00EA37DF"/>
    <w:rsid w:val="00EA390F"/>
    <w:rsid w:val="00EA4374"/>
    <w:rsid w:val="00EA47D6"/>
    <w:rsid w:val="00EA4A06"/>
    <w:rsid w:val="00EA4AE7"/>
    <w:rsid w:val="00EA4E17"/>
    <w:rsid w:val="00EA5B56"/>
    <w:rsid w:val="00EA6A43"/>
    <w:rsid w:val="00EA7477"/>
    <w:rsid w:val="00EA77F3"/>
    <w:rsid w:val="00EA78F7"/>
    <w:rsid w:val="00EA7D1C"/>
    <w:rsid w:val="00EA7E76"/>
    <w:rsid w:val="00EB0064"/>
    <w:rsid w:val="00EB0245"/>
    <w:rsid w:val="00EB0525"/>
    <w:rsid w:val="00EB0E4E"/>
    <w:rsid w:val="00EB1790"/>
    <w:rsid w:val="00EB1C4F"/>
    <w:rsid w:val="00EB3142"/>
    <w:rsid w:val="00EB3724"/>
    <w:rsid w:val="00EB3BDC"/>
    <w:rsid w:val="00EB3F7F"/>
    <w:rsid w:val="00EB43F4"/>
    <w:rsid w:val="00EB4AD4"/>
    <w:rsid w:val="00EB4EE5"/>
    <w:rsid w:val="00EB5651"/>
    <w:rsid w:val="00EB56D2"/>
    <w:rsid w:val="00EB5C4F"/>
    <w:rsid w:val="00EB5CBA"/>
    <w:rsid w:val="00EB5D6A"/>
    <w:rsid w:val="00EB62A6"/>
    <w:rsid w:val="00EB647C"/>
    <w:rsid w:val="00EB6765"/>
    <w:rsid w:val="00EB6A05"/>
    <w:rsid w:val="00EB7015"/>
    <w:rsid w:val="00EB771B"/>
    <w:rsid w:val="00EB7D8A"/>
    <w:rsid w:val="00EB7FEC"/>
    <w:rsid w:val="00EC0394"/>
    <w:rsid w:val="00EC04B8"/>
    <w:rsid w:val="00EC0E1A"/>
    <w:rsid w:val="00EC1503"/>
    <w:rsid w:val="00EC18BB"/>
    <w:rsid w:val="00EC1D2F"/>
    <w:rsid w:val="00EC1FA4"/>
    <w:rsid w:val="00EC2935"/>
    <w:rsid w:val="00EC336D"/>
    <w:rsid w:val="00EC3658"/>
    <w:rsid w:val="00EC3813"/>
    <w:rsid w:val="00EC3B04"/>
    <w:rsid w:val="00EC3F55"/>
    <w:rsid w:val="00EC468A"/>
    <w:rsid w:val="00EC4FC7"/>
    <w:rsid w:val="00EC51E5"/>
    <w:rsid w:val="00EC53C5"/>
    <w:rsid w:val="00EC5D8C"/>
    <w:rsid w:val="00EC6665"/>
    <w:rsid w:val="00EC683B"/>
    <w:rsid w:val="00EC68B1"/>
    <w:rsid w:val="00EC6AB1"/>
    <w:rsid w:val="00EC70CC"/>
    <w:rsid w:val="00EC732B"/>
    <w:rsid w:val="00EC7B15"/>
    <w:rsid w:val="00EC7D4E"/>
    <w:rsid w:val="00EC7E6E"/>
    <w:rsid w:val="00ED0125"/>
    <w:rsid w:val="00ED0458"/>
    <w:rsid w:val="00ED04BF"/>
    <w:rsid w:val="00ED05F7"/>
    <w:rsid w:val="00ED0DE8"/>
    <w:rsid w:val="00ED0E43"/>
    <w:rsid w:val="00ED12C7"/>
    <w:rsid w:val="00ED23F1"/>
    <w:rsid w:val="00ED257E"/>
    <w:rsid w:val="00ED28C4"/>
    <w:rsid w:val="00ED29CE"/>
    <w:rsid w:val="00ED2E88"/>
    <w:rsid w:val="00ED2F43"/>
    <w:rsid w:val="00ED3FE8"/>
    <w:rsid w:val="00ED4374"/>
    <w:rsid w:val="00ED4858"/>
    <w:rsid w:val="00ED488F"/>
    <w:rsid w:val="00ED490F"/>
    <w:rsid w:val="00ED4EA8"/>
    <w:rsid w:val="00ED54A6"/>
    <w:rsid w:val="00ED5594"/>
    <w:rsid w:val="00ED5692"/>
    <w:rsid w:val="00ED5B38"/>
    <w:rsid w:val="00ED5D46"/>
    <w:rsid w:val="00ED5F40"/>
    <w:rsid w:val="00ED68EF"/>
    <w:rsid w:val="00ED6E4B"/>
    <w:rsid w:val="00ED7CC6"/>
    <w:rsid w:val="00EE0095"/>
    <w:rsid w:val="00EE00AB"/>
    <w:rsid w:val="00EE0B90"/>
    <w:rsid w:val="00EE0BD1"/>
    <w:rsid w:val="00EE1C80"/>
    <w:rsid w:val="00EE2172"/>
    <w:rsid w:val="00EE2DDF"/>
    <w:rsid w:val="00EE3192"/>
    <w:rsid w:val="00EE3295"/>
    <w:rsid w:val="00EE376E"/>
    <w:rsid w:val="00EE405A"/>
    <w:rsid w:val="00EE46CB"/>
    <w:rsid w:val="00EE5136"/>
    <w:rsid w:val="00EE5774"/>
    <w:rsid w:val="00EE65FC"/>
    <w:rsid w:val="00EE6AD1"/>
    <w:rsid w:val="00EE70AE"/>
    <w:rsid w:val="00EE78A9"/>
    <w:rsid w:val="00EE79C9"/>
    <w:rsid w:val="00EE7C13"/>
    <w:rsid w:val="00EE7CF5"/>
    <w:rsid w:val="00EE7D2F"/>
    <w:rsid w:val="00EF024E"/>
    <w:rsid w:val="00EF0463"/>
    <w:rsid w:val="00EF0849"/>
    <w:rsid w:val="00EF08C7"/>
    <w:rsid w:val="00EF0C72"/>
    <w:rsid w:val="00EF24D3"/>
    <w:rsid w:val="00EF286F"/>
    <w:rsid w:val="00EF3D88"/>
    <w:rsid w:val="00EF3E56"/>
    <w:rsid w:val="00EF564D"/>
    <w:rsid w:val="00EF5824"/>
    <w:rsid w:val="00EF6E86"/>
    <w:rsid w:val="00EF7246"/>
    <w:rsid w:val="00EF7728"/>
    <w:rsid w:val="00F0000F"/>
    <w:rsid w:val="00F00027"/>
    <w:rsid w:val="00F00584"/>
    <w:rsid w:val="00F00AF7"/>
    <w:rsid w:val="00F00BC8"/>
    <w:rsid w:val="00F01066"/>
    <w:rsid w:val="00F0133E"/>
    <w:rsid w:val="00F017C5"/>
    <w:rsid w:val="00F0270E"/>
    <w:rsid w:val="00F0320A"/>
    <w:rsid w:val="00F033E6"/>
    <w:rsid w:val="00F046D7"/>
    <w:rsid w:val="00F047CA"/>
    <w:rsid w:val="00F04BFF"/>
    <w:rsid w:val="00F04D75"/>
    <w:rsid w:val="00F056CF"/>
    <w:rsid w:val="00F057EE"/>
    <w:rsid w:val="00F05864"/>
    <w:rsid w:val="00F05F66"/>
    <w:rsid w:val="00F05F9A"/>
    <w:rsid w:val="00F061D0"/>
    <w:rsid w:val="00F0620D"/>
    <w:rsid w:val="00F065B7"/>
    <w:rsid w:val="00F06D48"/>
    <w:rsid w:val="00F06DB9"/>
    <w:rsid w:val="00F073B4"/>
    <w:rsid w:val="00F07694"/>
    <w:rsid w:val="00F07BAD"/>
    <w:rsid w:val="00F07BDD"/>
    <w:rsid w:val="00F07F01"/>
    <w:rsid w:val="00F102BD"/>
    <w:rsid w:val="00F106A2"/>
    <w:rsid w:val="00F10781"/>
    <w:rsid w:val="00F11718"/>
    <w:rsid w:val="00F1248E"/>
    <w:rsid w:val="00F12D19"/>
    <w:rsid w:val="00F13FC0"/>
    <w:rsid w:val="00F13FDC"/>
    <w:rsid w:val="00F1412A"/>
    <w:rsid w:val="00F14A7D"/>
    <w:rsid w:val="00F1556A"/>
    <w:rsid w:val="00F1588F"/>
    <w:rsid w:val="00F163C7"/>
    <w:rsid w:val="00F163FF"/>
    <w:rsid w:val="00F16969"/>
    <w:rsid w:val="00F171EE"/>
    <w:rsid w:val="00F175EC"/>
    <w:rsid w:val="00F17671"/>
    <w:rsid w:val="00F1793C"/>
    <w:rsid w:val="00F20088"/>
    <w:rsid w:val="00F2052B"/>
    <w:rsid w:val="00F205FF"/>
    <w:rsid w:val="00F207E8"/>
    <w:rsid w:val="00F218F4"/>
    <w:rsid w:val="00F22312"/>
    <w:rsid w:val="00F226F9"/>
    <w:rsid w:val="00F22ACE"/>
    <w:rsid w:val="00F22F77"/>
    <w:rsid w:val="00F23336"/>
    <w:rsid w:val="00F24769"/>
    <w:rsid w:val="00F249AC"/>
    <w:rsid w:val="00F25024"/>
    <w:rsid w:val="00F250E6"/>
    <w:rsid w:val="00F25E70"/>
    <w:rsid w:val="00F25EB5"/>
    <w:rsid w:val="00F25F13"/>
    <w:rsid w:val="00F26BAD"/>
    <w:rsid w:val="00F27E77"/>
    <w:rsid w:val="00F30122"/>
    <w:rsid w:val="00F30BF3"/>
    <w:rsid w:val="00F31750"/>
    <w:rsid w:val="00F32370"/>
    <w:rsid w:val="00F32F27"/>
    <w:rsid w:val="00F336EF"/>
    <w:rsid w:val="00F3377C"/>
    <w:rsid w:val="00F3385A"/>
    <w:rsid w:val="00F33895"/>
    <w:rsid w:val="00F34100"/>
    <w:rsid w:val="00F349CC"/>
    <w:rsid w:val="00F3544C"/>
    <w:rsid w:val="00F354E5"/>
    <w:rsid w:val="00F35843"/>
    <w:rsid w:val="00F3692F"/>
    <w:rsid w:val="00F36A93"/>
    <w:rsid w:val="00F36CAE"/>
    <w:rsid w:val="00F36E4A"/>
    <w:rsid w:val="00F37E7A"/>
    <w:rsid w:val="00F40146"/>
    <w:rsid w:val="00F4022D"/>
    <w:rsid w:val="00F406B7"/>
    <w:rsid w:val="00F408B6"/>
    <w:rsid w:val="00F40C6C"/>
    <w:rsid w:val="00F40CAA"/>
    <w:rsid w:val="00F4214A"/>
    <w:rsid w:val="00F42328"/>
    <w:rsid w:val="00F424E3"/>
    <w:rsid w:val="00F42671"/>
    <w:rsid w:val="00F428DE"/>
    <w:rsid w:val="00F42BE4"/>
    <w:rsid w:val="00F438DC"/>
    <w:rsid w:val="00F43C17"/>
    <w:rsid w:val="00F43FA9"/>
    <w:rsid w:val="00F443F8"/>
    <w:rsid w:val="00F4479E"/>
    <w:rsid w:val="00F44813"/>
    <w:rsid w:val="00F44BD2"/>
    <w:rsid w:val="00F4548E"/>
    <w:rsid w:val="00F45525"/>
    <w:rsid w:val="00F45869"/>
    <w:rsid w:val="00F46823"/>
    <w:rsid w:val="00F47050"/>
    <w:rsid w:val="00F47279"/>
    <w:rsid w:val="00F47ACE"/>
    <w:rsid w:val="00F50231"/>
    <w:rsid w:val="00F50CB0"/>
    <w:rsid w:val="00F51EFF"/>
    <w:rsid w:val="00F51F3F"/>
    <w:rsid w:val="00F522E6"/>
    <w:rsid w:val="00F53061"/>
    <w:rsid w:val="00F53E57"/>
    <w:rsid w:val="00F53E9E"/>
    <w:rsid w:val="00F54212"/>
    <w:rsid w:val="00F54657"/>
    <w:rsid w:val="00F548D4"/>
    <w:rsid w:val="00F54BC2"/>
    <w:rsid w:val="00F5511A"/>
    <w:rsid w:val="00F5546E"/>
    <w:rsid w:val="00F55AF9"/>
    <w:rsid w:val="00F55D99"/>
    <w:rsid w:val="00F56DC0"/>
    <w:rsid w:val="00F57910"/>
    <w:rsid w:val="00F57964"/>
    <w:rsid w:val="00F57D90"/>
    <w:rsid w:val="00F600E3"/>
    <w:rsid w:val="00F60149"/>
    <w:rsid w:val="00F60452"/>
    <w:rsid w:val="00F612C8"/>
    <w:rsid w:val="00F618C2"/>
    <w:rsid w:val="00F6197D"/>
    <w:rsid w:val="00F61DE6"/>
    <w:rsid w:val="00F6219C"/>
    <w:rsid w:val="00F62932"/>
    <w:rsid w:val="00F62F29"/>
    <w:rsid w:val="00F62FC9"/>
    <w:rsid w:val="00F6354D"/>
    <w:rsid w:val="00F63CC2"/>
    <w:rsid w:val="00F65AEA"/>
    <w:rsid w:val="00F65E70"/>
    <w:rsid w:val="00F66708"/>
    <w:rsid w:val="00F66842"/>
    <w:rsid w:val="00F66A3B"/>
    <w:rsid w:val="00F66ACD"/>
    <w:rsid w:val="00F66FE7"/>
    <w:rsid w:val="00F7000C"/>
    <w:rsid w:val="00F70186"/>
    <w:rsid w:val="00F70217"/>
    <w:rsid w:val="00F71008"/>
    <w:rsid w:val="00F710AC"/>
    <w:rsid w:val="00F71582"/>
    <w:rsid w:val="00F71FF6"/>
    <w:rsid w:val="00F72643"/>
    <w:rsid w:val="00F72901"/>
    <w:rsid w:val="00F72E48"/>
    <w:rsid w:val="00F7332A"/>
    <w:rsid w:val="00F7336E"/>
    <w:rsid w:val="00F73D0D"/>
    <w:rsid w:val="00F73F01"/>
    <w:rsid w:val="00F74088"/>
    <w:rsid w:val="00F7511C"/>
    <w:rsid w:val="00F75340"/>
    <w:rsid w:val="00F757C9"/>
    <w:rsid w:val="00F75823"/>
    <w:rsid w:val="00F76A6E"/>
    <w:rsid w:val="00F76B0B"/>
    <w:rsid w:val="00F77ADC"/>
    <w:rsid w:val="00F77DC4"/>
    <w:rsid w:val="00F81978"/>
    <w:rsid w:val="00F82F6C"/>
    <w:rsid w:val="00F83123"/>
    <w:rsid w:val="00F831B9"/>
    <w:rsid w:val="00F83891"/>
    <w:rsid w:val="00F8391D"/>
    <w:rsid w:val="00F84A29"/>
    <w:rsid w:val="00F859FB"/>
    <w:rsid w:val="00F85C5E"/>
    <w:rsid w:val="00F85CDB"/>
    <w:rsid w:val="00F861ED"/>
    <w:rsid w:val="00F86BF0"/>
    <w:rsid w:val="00F86CBD"/>
    <w:rsid w:val="00F87043"/>
    <w:rsid w:val="00F87168"/>
    <w:rsid w:val="00F876C7"/>
    <w:rsid w:val="00F90730"/>
    <w:rsid w:val="00F9076B"/>
    <w:rsid w:val="00F90F3B"/>
    <w:rsid w:val="00F91300"/>
    <w:rsid w:val="00F913C1"/>
    <w:rsid w:val="00F91475"/>
    <w:rsid w:val="00F917A8"/>
    <w:rsid w:val="00F91A6B"/>
    <w:rsid w:val="00F91CC8"/>
    <w:rsid w:val="00F92087"/>
    <w:rsid w:val="00F922C0"/>
    <w:rsid w:val="00F9250C"/>
    <w:rsid w:val="00F930B6"/>
    <w:rsid w:val="00F93D66"/>
    <w:rsid w:val="00F940F8"/>
    <w:rsid w:val="00F941B8"/>
    <w:rsid w:val="00F945D8"/>
    <w:rsid w:val="00F94F08"/>
    <w:rsid w:val="00F95003"/>
    <w:rsid w:val="00F95038"/>
    <w:rsid w:val="00F954D8"/>
    <w:rsid w:val="00F95C9A"/>
    <w:rsid w:val="00F96975"/>
    <w:rsid w:val="00F973D5"/>
    <w:rsid w:val="00F97CC8"/>
    <w:rsid w:val="00F97EB6"/>
    <w:rsid w:val="00FA02FA"/>
    <w:rsid w:val="00FA0463"/>
    <w:rsid w:val="00FA0E54"/>
    <w:rsid w:val="00FA0FC5"/>
    <w:rsid w:val="00FA1505"/>
    <w:rsid w:val="00FA1FFF"/>
    <w:rsid w:val="00FA3114"/>
    <w:rsid w:val="00FA3A2D"/>
    <w:rsid w:val="00FA43A3"/>
    <w:rsid w:val="00FA4A86"/>
    <w:rsid w:val="00FA5090"/>
    <w:rsid w:val="00FA5A83"/>
    <w:rsid w:val="00FA5A84"/>
    <w:rsid w:val="00FA5DA0"/>
    <w:rsid w:val="00FA5E1E"/>
    <w:rsid w:val="00FA6131"/>
    <w:rsid w:val="00FA6AEA"/>
    <w:rsid w:val="00FA72A2"/>
    <w:rsid w:val="00FA756B"/>
    <w:rsid w:val="00FA765D"/>
    <w:rsid w:val="00FA7BAB"/>
    <w:rsid w:val="00FA7F44"/>
    <w:rsid w:val="00FB0032"/>
    <w:rsid w:val="00FB0122"/>
    <w:rsid w:val="00FB07EC"/>
    <w:rsid w:val="00FB0FB9"/>
    <w:rsid w:val="00FB16D3"/>
    <w:rsid w:val="00FB1712"/>
    <w:rsid w:val="00FB17D6"/>
    <w:rsid w:val="00FB1AA7"/>
    <w:rsid w:val="00FB1B05"/>
    <w:rsid w:val="00FB1BC0"/>
    <w:rsid w:val="00FB1E08"/>
    <w:rsid w:val="00FB2850"/>
    <w:rsid w:val="00FB2A24"/>
    <w:rsid w:val="00FB2B3C"/>
    <w:rsid w:val="00FB2D6E"/>
    <w:rsid w:val="00FB3426"/>
    <w:rsid w:val="00FB4578"/>
    <w:rsid w:val="00FB48D4"/>
    <w:rsid w:val="00FB529E"/>
    <w:rsid w:val="00FB5635"/>
    <w:rsid w:val="00FB5F48"/>
    <w:rsid w:val="00FB62CF"/>
    <w:rsid w:val="00FB65C9"/>
    <w:rsid w:val="00FB65D4"/>
    <w:rsid w:val="00FB6742"/>
    <w:rsid w:val="00FB6FD8"/>
    <w:rsid w:val="00FB7B01"/>
    <w:rsid w:val="00FC04A0"/>
    <w:rsid w:val="00FC0871"/>
    <w:rsid w:val="00FC0EAE"/>
    <w:rsid w:val="00FC11DB"/>
    <w:rsid w:val="00FC13CF"/>
    <w:rsid w:val="00FC18BB"/>
    <w:rsid w:val="00FC1948"/>
    <w:rsid w:val="00FC2012"/>
    <w:rsid w:val="00FC27B2"/>
    <w:rsid w:val="00FC29F1"/>
    <w:rsid w:val="00FC32C8"/>
    <w:rsid w:val="00FC351C"/>
    <w:rsid w:val="00FC38F1"/>
    <w:rsid w:val="00FC4115"/>
    <w:rsid w:val="00FC43BE"/>
    <w:rsid w:val="00FC46E1"/>
    <w:rsid w:val="00FC46F7"/>
    <w:rsid w:val="00FC4812"/>
    <w:rsid w:val="00FC4EA4"/>
    <w:rsid w:val="00FC5373"/>
    <w:rsid w:val="00FC5CF6"/>
    <w:rsid w:val="00FC5DD3"/>
    <w:rsid w:val="00FC64D1"/>
    <w:rsid w:val="00FC6511"/>
    <w:rsid w:val="00FC6516"/>
    <w:rsid w:val="00FC7FFB"/>
    <w:rsid w:val="00FD0FD6"/>
    <w:rsid w:val="00FD1B6C"/>
    <w:rsid w:val="00FD1C91"/>
    <w:rsid w:val="00FD1DA2"/>
    <w:rsid w:val="00FD1E4C"/>
    <w:rsid w:val="00FD26B9"/>
    <w:rsid w:val="00FD2A31"/>
    <w:rsid w:val="00FD2AB1"/>
    <w:rsid w:val="00FD30FE"/>
    <w:rsid w:val="00FD3A00"/>
    <w:rsid w:val="00FD3C96"/>
    <w:rsid w:val="00FD3D3B"/>
    <w:rsid w:val="00FD3E87"/>
    <w:rsid w:val="00FD4046"/>
    <w:rsid w:val="00FD4E69"/>
    <w:rsid w:val="00FD4E7C"/>
    <w:rsid w:val="00FD51AD"/>
    <w:rsid w:val="00FD5923"/>
    <w:rsid w:val="00FD5DAA"/>
    <w:rsid w:val="00FD5EFA"/>
    <w:rsid w:val="00FD5F95"/>
    <w:rsid w:val="00FD6735"/>
    <w:rsid w:val="00FD6C54"/>
    <w:rsid w:val="00FD78D4"/>
    <w:rsid w:val="00FE04C3"/>
    <w:rsid w:val="00FE04F2"/>
    <w:rsid w:val="00FE0F6C"/>
    <w:rsid w:val="00FE0F7A"/>
    <w:rsid w:val="00FE2270"/>
    <w:rsid w:val="00FE23E7"/>
    <w:rsid w:val="00FE258C"/>
    <w:rsid w:val="00FE34C0"/>
    <w:rsid w:val="00FE3667"/>
    <w:rsid w:val="00FE3ED8"/>
    <w:rsid w:val="00FE4202"/>
    <w:rsid w:val="00FE42F9"/>
    <w:rsid w:val="00FE4DD0"/>
    <w:rsid w:val="00FE519C"/>
    <w:rsid w:val="00FE57B0"/>
    <w:rsid w:val="00FE57C2"/>
    <w:rsid w:val="00FE70DE"/>
    <w:rsid w:val="00FE7D89"/>
    <w:rsid w:val="00FE7FA6"/>
    <w:rsid w:val="00FF002A"/>
    <w:rsid w:val="00FF00BE"/>
    <w:rsid w:val="00FF057D"/>
    <w:rsid w:val="00FF0A1A"/>
    <w:rsid w:val="00FF20D5"/>
    <w:rsid w:val="00FF2D0C"/>
    <w:rsid w:val="00FF3228"/>
    <w:rsid w:val="00FF32A1"/>
    <w:rsid w:val="00FF4124"/>
    <w:rsid w:val="00FF41BA"/>
    <w:rsid w:val="00FF4E89"/>
    <w:rsid w:val="00FF60E9"/>
    <w:rsid w:val="00FF643E"/>
    <w:rsid w:val="00FF743A"/>
    <w:rsid w:val="00FF750C"/>
    <w:rsid w:val="00FF77AE"/>
    <w:rsid w:val="3880D493"/>
    <w:rsid w:val="4C185795"/>
    <w:rsid w:val="54588A67"/>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A5227A"/>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A5227A"/>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A5227A"/>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2261B3"/>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2261B3"/>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A5227A"/>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A5227A"/>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A5227A"/>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A5227A"/>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1"/>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imes New Roman"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fn Char Char,ft,f,c"/>
    <w:basedOn w:val="Normal"/>
    <w:link w:val="FootnoteTextChar"/>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11,Style 28,Styl,Style 16,Footnote Reference (EIS),fnr,Footnote reference (EA),Style 30,."/>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ft Char"/>
    <w:basedOn w:val="DefaultParagraphFont"/>
    <w:link w:val="FootnoteText"/>
    <w:uiPriority w:val="99"/>
    <w:rsid w:val="00B94E40"/>
    <w:rPr>
      <w:rFonts w:ascii="Times New Roman" w:hAnsi="Times New Roman" w:cs="Times New Roman"/>
      <w:sz w:val="26"/>
      <w:szCs w:val="20"/>
    </w:rPr>
  </w:style>
  <w:style w:type="paragraph" w:styleId="Revision">
    <w:name w:val="Revision"/>
    <w:hidden/>
    <w:uiPriority w:val="99"/>
    <w:semiHidden/>
    <w:rsid w:val="009423E0"/>
    <w:pPr>
      <w:spacing w:after="0" w:line="240" w:lineRule="auto"/>
    </w:pPr>
    <w:rPr>
      <w:rFonts w:ascii="Times New Roman" w:hAnsi="Times New Roman" w:cs="Times New Roman"/>
      <w:sz w:val="26"/>
      <w:szCs w:val="22"/>
    </w:rPr>
  </w:style>
  <w:style w:type="character" w:styleId="Mention">
    <w:name w:val="Mention"/>
    <w:basedOn w:val="DefaultParagraphFont"/>
    <w:uiPriority w:val="99"/>
    <w:unhideWhenUsed/>
    <w:rsid w:val="00080943"/>
    <w:rPr>
      <w:color w:val="2B579A"/>
      <w:shd w:val="clear" w:color="auto" w:fill="E1DFDD"/>
    </w:rPr>
  </w:style>
  <w:style w:type="paragraph" w:customStyle="1" w:styleId="Bodypara">
    <w:name w:val="Body para"/>
    <w:basedOn w:val="Normal"/>
    <w:uiPriority w:val="99"/>
    <w:rsid w:val="00DC47D4"/>
    <w:pPr>
      <w:widowControl/>
      <w:spacing w:line="480" w:lineRule="auto"/>
      <w:ind w:firstLine="720"/>
    </w:pPr>
    <w:rPr>
      <w:rFonts w:eastAsia="Times New Roman"/>
      <w:sz w:val="24"/>
      <w:szCs w:val="24"/>
    </w:rPr>
  </w:style>
  <w:style w:type="paragraph" w:customStyle="1" w:styleId="subhead">
    <w:name w:val="subhead"/>
    <w:basedOn w:val="Heading4"/>
    <w:uiPriority w:val="99"/>
    <w:rsid w:val="00234D87"/>
    <w:pPr>
      <w:keepLines w:val="0"/>
      <w:numPr>
        <w:ilvl w:val="0"/>
        <w:numId w:val="0"/>
      </w:numPr>
      <w:spacing w:before="240" w:after="240"/>
      <w:ind w:left="2160" w:hanging="1440"/>
    </w:pPr>
    <w:rPr>
      <w:rFonts w:eastAsia="Times New Roman"/>
      <w:iCs w:val="0"/>
      <w:kern w:val="0"/>
      <w:sz w:val="24"/>
      <w:szCs w:val="24"/>
      <w:u w:val="none"/>
    </w:rPr>
  </w:style>
  <w:style w:type="character" w:styleId="FollowedHyperlink">
    <w:name w:val="FollowedHyperlink"/>
    <w:basedOn w:val="DefaultParagraphFont"/>
    <w:uiPriority w:val="99"/>
    <w:semiHidden/>
    <w:unhideWhenUsed/>
    <w:rsid w:val="00A9792D"/>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7E2E4-F14C-408A-BAA7-4BD66FC4911D}">
  <ds:schemaRefs>
    <ds:schemaRef ds:uri="Microsoft.SharePoint.Taxonomy.ContentTypeSync"/>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B4C6A3C6-20CA-4B47-B0A2-34E1C10A76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CAD4FFB-6F9F-4AEC-B97E-7DD0A59D2976}">
  <ds:schemaRefs>
    <ds:schemaRef ds:uri="http://schemas.microsoft.com/sharepoint/v3/contenttype/forms"/>
  </ds:schemaRefs>
</ds:datastoreItem>
</file>

<file path=customXml/itemProps5.xml><?xml version="1.0" encoding="utf-8"?>
<ds:datastoreItem xmlns:ds="http://schemas.openxmlformats.org/officeDocument/2006/customXml" ds:itemID="{2F6BA39A-B31E-4536-83A1-37177482F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4248</Words>
  <Characters>24217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2025-09-18T18:00:20Z</cp:lastPrinted>
  <dcterms:created xsi:type="dcterms:W3CDTF">2025-09-18T17:34:00Z</dcterms:created>
  <dcterms:modified xsi:type="dcterms:W3CDTF">2025-09-18T17:34:00Z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bcafb447-df93-47b5-beeb-644237ea1b5d</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2025-09-18T17:34:25Z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