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56D44">
      <w:pPr>
        <w:jc w:val="center"/>
      </w:pPr>
      <w:r>
        <w:t>192 FERC ¶ 61,020</w:t>
      </w:r>
    </w:p>
    <w:p w:rsidR="001249FE" w:rsidRPr="00CD0B38" w:rsidP="00406390">
      <w:pPr>
        <w:ind w:left="180"/>
        <w:jc w:val="center"/>
      </w:pPr>
      <w:r>
        <w:rPr>
          <w:b/>
        </w:rPr>
        <w:fldChar w:fldCharType="begin"/>
      </w:r>
      <w:r>
        <w:rPr>
          <w:b/>
        </w:rPr>
        <w:instrText xml:space="preserve"> MACROBUTTON  AcceptAllChangesInDoc </w:instrText>
      </w:r>
      <w:r>
        <w:rPr>
          <w:b/>
        </w:rPr>
        <w:fldChar w:fldCharType="end"/>
      </w:r>
      <w:r w:rsidRPr="00CD0B38">
        <w:t>UNITED STATES OF AMERICA</w:t>
      </w:r>
    </w:p>
    <w:p w:rsidR="001249FE" w:rsidRPr="00CD0B38">
      <w:pPr>
        <w:jc w:val="center"/>
      </w:pPr>
      <w:r w:rsidRPr="00CD0B38">
        <w:t>FEDERAL ENERGY REGULATORY COMMISSION</w:t>
      </w:r>
    </w:p>
    <w:p w:rsidR="001249FE" w:rsidRPr="00CD0B38"/>
    <w:p w:rsidR="001249FE" w:rsidRPr="00442274" w:rsidP="00442274">
      <w:pPr>
        <w:widowControl/>
      </w:pPr>
      <w:r w:rsidRPr="00442274">
        <w:t>Before Commissioners:  Mark C. Christie, Chairman;</w:t>
      </w:r>
    </w:p>
    <w:p w:rsidR="00442274" w:rsidRPr="00442274" w:rsidP="00442274">
      <w:pPr>
        <w:widowControl/>
      </w:pPr>
      <w:r w:rsidRPr="00442274">
        <w:t xml:space="preserve">                                        David Rosner, Lindsay S. See,</w:t>
      </w:r>
    </w:p>
    <w:p w:rsidR="00442274" w:rsidRPr="00CD0B38" w:rsidP="00442274">
      <w:pPr>
        <w:widowControl/>
      </w:pPr>
      <w:r w:rsidRPr="00442274">
        <w:t xml:space="preserve">                                        and Judy W. Chang.</w:t>
      </w:r>
    </w:p>
    <w:p w:rsidR="001249FE" w:rsidRPr="00CD0B3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
      <w:tblGrid>
        <w:gridCol w:w="5931"/>
        <w:gridCol w:w="1535"/>
        <w:gridCol w:w="1894"/>
      </w:tblGrid>
      <w:tr w:rsidTr="001249FE">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1E0"/>
        </w:tblPrEx>
        <w:tc>
          <w:tcPr>
            <w:tcW w:w="6088" w:type="dxa"/>
            <w:shd w:val="clear" w:color="auto" w:fill="auto"/>
          </w:tcPr>
          <w:p w:rsidR="001249FE" w:rsidRPr="00CD0B38">
            <w:pPr>
              <w:widowControl/>
              <w:autoSpaceDE/>
              <w:autoSpaceDN/>
              <w:adjustRightInd/>
              <w:spacing w:after="0" w:line="240" w:lineRule="auto"/>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Dover Plains Energy Properties LLC</w:t>
            </w:r>
          </w:p>
        </w:tc>
        <w:tc>
          <w:tcPr>
            <w:tcW w:w="1560" w:type="dxa"/>
            <w:shd w:val="clear" w:color="auto" w:fill="auto"/>
          </w:tcPr>
          <w:p w:rsidR="001249FE" w:rsidRPr="00CD0B38" w:rsidP="001249FE">
            <w:pPr>
              <w:widowControl/>
              <w:autoSpaceDE/>
              <w:autoSpaceDN/>
              <w:adjustRightInd/>
              <w:spacing w:after="0" w:line="240" w:lineRule="auto"/>
              <w:jc w:val="right"/>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Docket No.</w:t>
            </w:r>
          </w:p>
        </w:tc>
        <w:tc>
          <w:tcPr>
            <w:tcW w:w="1928" w:type="dxa"/>
            <w:shd w:val="clear" w:color="auto" w:fill="auto"/>
            <w:tcMar>
              <w:left w:w="144" w:type="dxa"/>
            </w:tcMar>
          </w:tcPr>
          <w:p w:rsidR="001249FE" w:rsidRPr="00CD0B38">
            <w:pPr>
              <w:widowControl/>
              <w:autoSpaceDE/>
              <w:autoSpaceDN/>
              <w:adjustRightInd/>
              <w:spacing w:after="0" w:line="240" w:lineRule="auto"/>
              <w:rPr>
                <w:rFonts w:ascii="Times New Roman" w:eastAsia="Calibri" w:hAnsi="Times New Roman" w:cs="Times New Roman"/>
                <w:sz w:val="26"/>
                <w:szCs w:val="22"/>
                <w:lang w:val="en-US" w:eastAsia="en-US" w:bidi="ar-SA"/>
              </w:rPr>
            </w:pPr>
            <w:r>
              <w:rPr>
                <w:rFonts w:ascii="Times New Roman" w:eastAsia="Calibri" w:hAnsi="Times New Roman" w:cs="Times New Roman"/>
                <w:sz w:val="26"/>
                <w:szCs w:val="22"/>
                <w:lang w:val="en-US" w:eastAsia="en-US" w:bidi="ar-SA"/>
              </w:rPr>
              <w:t>ER25-2010-000</w:t>
            </w:r>
          </w:p>
        </w:tc>
      </w:tr>
    </w:tbl>
    <w:p w:rsidR="001249FE" w:rsidRPr="00CD0B38">
      <w:pPr>
        <w:jc w:val="center"/>
      </w:pPr>
    </w:p>
    <w:p w:rsidR="001249FE" w:rsidRPr="00CD0B38">
      <w:pPr>
        <w:jc w:val="center"/>
      </w:pPr>
      <w:r>
        <w:t>ORDER DENYING WAIVER REQUEST</w:t>
      </w:r>
    </w:p>
    <w:p w:rsidR="001249FE" w:rsidRPr="00CD0B38">
      <w:pPr>
        <w:jc w:val="center"/>
      </w:pPr>
    </w:p>
    <w:p w:rsidR="001249FE" w:rsidP="00442274">
      <w:pPr>
        <w:widowControl/>
        <w:jc w:val="center"/>
      </w:pPr>
      <w:r w:rsidRPr="00442274">
        <w:t>(Issued July 2, 2025)</w:t>
      </w:r>
    </w:p>
    <w:p w:rsidR="00995D72" w:rsidRPr="00C26B1C" w:rsidP="00442274"/>
    <w:p w:rsidR="00BE7678" w:rsidRPr="00196090" w:rsidP="00196090">
      <w:pPr>
        <w:pStyle w:val="FERCparanumber"/>
      </w:pPr>
      <w:r w:rsidRPr="00196090">
        <w:t xml:space="preserve">On </w:t>
      </w:r>
      <w:r w:rsidR="00787BD7">
        <w:t>April 18, 2025</w:t>
      </w:r>
      <w:r w:rsidRPr="00196090">
        <w:t>, pursuant to Rule</w:t>
      </w:r>
      <w:r w:rsidRPr="00196090" w:rsidR="006E458C">
        <w:t>s</w:t>
      </w:r>
      <w:r w:rsidRPr="00196090">
        <w:t xml:space="preserve"> 207(a)(5) and 212 of the Commission’s Rules of Practice and Procedure,</w:t>
      </w:r>
      <w:r>
        <w:rPr>
          <w:b/>
          <w:vertAlign w:val="superscript"/>
        </w:rPr>
        <w:footnoteReference w:id="3"/>
      </w:r>
      <w:r w:rsidRPr="00196090">
        <w:t xml:space="preserve"> Dover Plains Energy Properties LLC (Dover) submitted a request for waiver of </w:t>
      </w:r>
      <w:r w:rsidRPr="00196090" w:rsidR="00652956">
        <w:t>section</w:t>
      </w:r>
      <w:r w:rsidR="00CB3865">
        <w:t>s</w:t>
      </w:r>
      <w:r w:rsidRPr="00196090" w:rsidR="00652956">
        <w:t xml:space="preserve"> 40.7.5.3</w:t>
      </w:r>
      <w:r w:rsidR="00874EC2">
        <w:t xml:space="preserve">(i) and </w:t>
      </w:r>
      <w:r w:rsidRPr="00196090" w:rsidR="00CB3865">
        <w:t>40.7.5.3</w:t>
      </w:r>
      <w:r w:rsidR="00CB3865">
        <w:t>(iii</w:t>
      </w:r>
      <w:r w:rsidR="00FD2CFF">
        <w:t>)</w:t>
      </w:r>
      <w:r w:rsidRPr="00196090">
        <w:t xml:space="preserve"> of Attachment HH of the</w:t>
      </w:r>
      <w:r w:rsidRPr="00196090" w:rsidR="00D60DD9">
        <w:t xml:space="preserve"> New York Independent System Operator, Inc. (NYISO)</w:t>
      </w:r>
      <w:r w:rsidRPr="00196090">
        <w:t xml:space="preserve"> Open Access Transmission Tariff (Tariff)</w:t>
      </w:r>
      <w:r w:rsidRPr="00196090" w:rsidR="00C144FD">
        <w:t xml:space="preserve"> </w:t>
      </w:r>
      <w:r w:rsidRPr="00196090" w:rsidR="00D60DD9">
        <w:t>to</w:t>
      </w:r>
      <w:r w:rsidRPr="00196090" w:rsidR="00272BD2">
        <w:t xml:space="preserve"> </w:t>
      </w:r>
      <w:r w:rsidR="00EE3176">
        <w:t xml:space="preserve">allow Dover to </w:t>
      </w:r>
      <w:r w:rsidRPr="00196090" w:rsidR="00272BD2">
        <w:t xml:space="preserve">make its election </w:t>
      </w:r>
      <w:r w:rsidRPr="00196090" w:rsidR="00C301EF">
        <w:t xml:space="preserve">to proceed to Phase 1 </w:t>
      </w:r>
      <w:r w:rsidR="00CF18ED">
        <w:t xml:space="preserve">of NYISO’s Transition Cluster </w:t>
      </w:r>
      <w:r w:rsidRPr="00196090" w:rsidR="00C301EF">
        <w:t>Study</w:t>
      </w:r>
      <w:r w:rsidR="003B76C5">
        <w:t xml:space="preserve"> (Phase 1 Study)</w:t>
      </w:r>
      <w:r w:rsidRPr="00196090" w:rsidR="00C301EF">
        <w:t xml:space="preserve"> and </w:t>
      </w:r>
      <w:r w:rsidRPr="00196090" w:rsidR="00231959">
        <w:t xml:space="preserve">post its Readiness </w:t>
      </w:r>
      <w:r w:rsidRPr="00196090" w:rsidR="00643471">
        <w:t>Deposit</w:t>
      </w:r>
      <w:r w:rsidR="00643471">
        <w:t> </w:t>
      </w:r>
      <w:r w:rsidRPr="00196090" w:rsidR="00231959">
        <w:t>1 after the</w:t>
      </w:r>
      <w:r w:rsidR="00FC3C06">
        <w:t xml:space="preserve"> </w:t>
      </w:r>
      <w:r w:rsidR="0013582A">
        <w:t>February 25, 2025</w:t>
      </w:r>
      <w:r w:rsidRPr="00196090" w:rsidR="00231959">
        <w:t xml:space="preserve"> deadline</w:t>
      </w:r>
      <w:r w:rsidRPr="00196090" w:rsidR="00D60DD9">
        <w:t>.</w:t>
      </w:r>
      <w:r>
        <w:rPr>
          <w:rStyle w:val="FootnoteReference"/>
        </w:rPr>
        <w:footnoteReference w:id="4"/>
      </w:r>
      <w:r w:rsidRPr="00196090" w:rsidR="00D60DD9">
        <w:t xml:space="preserve">  As discussed below, we </w:t>
      </w:r>
      <w:r w:rsidRPr="00196090" w:rsidR="00236117">
        <w:t>deny</w:t>
      </w:r>
      <w:r w:rsidRPr="00196090" w:rsidR="00D60DD9">
        <w:t xml:space="preserve"> Dover’s waiver request.</w:t>
      </w:r>
    </w:p>
    <w:p w:rsidR="001249FE" w:rsidP="001249FE">
      <w:pPr>
        <w:pStyle w:val="Heading1"/>
      </w:pPr>
      <w:r>
        <w:t>Background</w:t>
      </w:r>
    </w:p>
    <w:p w:rsidR="001249FE" w:rsidP="00775045">
      <w:pPr>
        <w:pStyle w:val="FERCparanumber"/>
        <w:ind w:right="-450"/>
      </w:pPr>
      <w:r>
        <w:t>NYISO’s requirements</w:t>
      </w:r>
      <w:r w:rsidR="00F4551D">
        <w:t xml:space="preserve"> for participating in Phase 1 of NYISO’s Transition Cluster Study are set forth in section 40.7.5 of NYISO’s Tariff.  </w:t>
      </w:r>
      <w:r w:rsidR="00D639A7">
        <w:t xml:space="preserve">As relevant here, section 40.7.5 provides that the Phase 1 Entry Decision Period shall commence on the first business day after the end of the </w:t>
      </w:r>
      <w:r w:rsidR="00DD1554">
        <w:t>c</w:t>
      </w:r>
      <w:r w:rsidR="00D639A7">
        <w:t xml:space="preserve">ustomer </w:t>
      </w:r>
      <w:r w:rsidR="00DD1554">
        <w:t>e</w:t>
      </w:r>
      <w:r w:rsidR="00D639A7">
        <w:t xml:space="preserve">ngagement </w:t>
      </w:r>
      <w:r w:rsidR="00DD1554">
        <w:t>w</w:t>
      </w:r>
      <w:r w:rsidR="00D639A7">
        <w:t>indow</w:t>
      </w:r>
      <w:r w:rsidR="007914E3">
        <w:t xml:space="preserve"> (</w:t>
      </w:r>
      <w:r w:rsidR="00D83CD2">
        <w:t xml:space="preserve">i.e., </w:t>
      </w:r>
      <w:r w:rsidR="007914E3">
        <w:t>February</w:t>
      </w:r>
      <w:r w:rsidR="00A67D58">
        <w:t xml:space="preserve"> 19, 2025)</w:t>
      </w:r>
      <w:r w:rsidR="009B41D1">
        <w:t xml:space="preserve">, and the Decision Period shall be </w:t>
      </w:r>
      <w:r w:rsidR="001103E9">
        <w:t>five business days</w:t>
      </w:r>
      <w:r w:rsidR="00A67D58">
        <w:t xml:space="preserve"> (</w:t>
      </w:r>
      <w:r w:rsidR="00D83CD2">
        <w:t xml:space="preserve">i.e., ending </w:t>
      </w:r>
      <w:r w:rsidR="00A67D58">
        <w:t>February 25, 2025)</w:t>
      </w:r>
      <w:r w:rsidR="001103E9">
        <w:t>.</w:t>
      </w:r>
      <w:r>
        <w:rPr>
          <w:rStyle w:val="FootnoteReference"/>
        </w:rPr>
        <w:footnoteReference w:id="5"/>
      </w:r>
      <w:r w:rsidR="001103E9">
        <w:t xml:space="preserve">  </w:t>
      </w:r>
      <w:r w:rsidR="008F4AD7">
        <w:t>S</w:t>
      </w:r>
      <w:r w:rsidR="00D60DD9">
        <w:t xml:space="preserve">ection 40.7.5.3 of </w:t>
      </w:r>
      <w:r w:rsidR="005D6580">
        <w:t xml:space="preserve">Attachment HH </w:t>
      </w:r>
      <w:r w:rsidR="00566E76">
        <w:t>to</w:t>
      </w:r>
      <w:r w:rsidR="005D6580">
        <w:t xml:space="preserve"> </w:t>
      </w:r>
      <w:r w:rsidR="00FA1AEE">
        <w:t>NYISO’s</w:t>
      </w:r>
      <w:r w:rsidR="005D6580">
        <w:t xml:space="preserve"> </w:t>
      </w:r>
      <w:r w:rsidR="00D60DD9">
        <w:t>Tariff</w:t>
      </w:r>
      <w:r w:rsidR="008F4AD7">
        <w:t xml:space="preserve"> provides</w:t>
      </w:r>
      <w:r w:rsidR="00731D22">
        <w:t>, in relevant part</w:t>
      </w:r>
      <w:r w:rsidR="00D60DD9">
        <w:t xml:space="preserve">, </w:t>
      </w:r>
      <w:r w:rsidR="00731D22">
        <w:t xml:space="preserve">that </w:t>
      </w:r>
      <w:r w:rsidR="00D60DD9">
        <w:t xml:space="preserve">an </w:t>
      </w:r>
      <w:r w:rsidR="00FA1AEE">
        <w:t>i</w:t>
      </w:r>
      <w:r w:rsidR="00D60DD9">
        <w:t xml:space="preserve">nterconnection </w:t>
      </w:r>
      <w:r w:rsidR="00FA1AEE">
        <w:t>c</w:t>
      </w:r>
      <w:r w:rsidR="00D60DD9">
        <w:t>ustomer may participate in Phase 1 of NYISO’s Transition Cluster Study Process only if it</w:t>
      </w:r>
      <w:r w:rsidR="00D02FBC">
        <w:t xml:space="preserve"> </w:t>
      </w:r>
      <w:r w:rsidR="008D5E73">
        <w:t>completes the following actions prior to the end of the Decision Period</w:t>
      </w:r>
      <w:r w:rsidR="00D60DD9">
        <w:t>:  (</w:t>
      </w:r>
      <w:r w:rsidR="009C7C4D">
        <w:t>1</w:t>
      </w:r>
      <w:r w:rsidR="00D60DD9">
        <w:t xml:space="preserve">) notifies </w:t>
      </w:r>
      <w:r w:rsidR="00FA1AEE">
        <w:t xml:space="preserve">NYISO </w:t>
      </w:r>
      <w:r w:rsidR="00D60DD9">
        <w:t xml:space="preserve">of its election for its Cluster Study Project to proceed to the </w:t>
      </w:r>
      <w:r w:rsidR="00B1048E">
        <w:t>Phase </w:t>
      </w:r>
      <w:r w:rsidR="00D60DD9">
        <w:t>1 Study; and (</w:t>
      </w:r>
      <w:r w:rsidR="00731D22">
        <w:t>2</w:t>
      </w:r>
      <w:r w:rsidR="00D60DD9">
        <w:t xml:space="preserve">) provides </w:t>
      </w:r>
      <w:r w:rsidR="00FA1AEE">
        <w:t xml:space="preserve">NYISO </w:t>
      </w:r>
      <w:r w:rsidR="00D60DD9">
        <w:t xml:space="preserve">with the Readiness Deposit 1 for its Cluster Study Project in accordance </w:t>
      </w:r>
      <w:r w:rsidR="00F90939">
        <w:t xml:space="preserve">with </w:t>
      </w:r>
      <w:r w:rsidR="00B26624">
        <w:t xml:space="preserve">the acceptable </w:t>
      </w:r>
      <w:r w:rsidR="00AB3681">
        <w:t xml:space="preserve">methods of payment set forth </w:t>
      </w:r>
      <w:r w:rsidR="00D60DD9">
        <w:t>in section 40.2.4.2.</w:t>
      </w:r>
      <w:r>
        <w:rPr>
          <w:rStyle w:val="FootnoteReference"/>
        </w:rPr>
        <w:footnoteReference w:id="6"/>
      </w:r>
      <w:r w:rsidR="00D60DD9">
        <w:t xml:space="preserve">  </w:t>
      </w:r>
      <w:r w:rsidR="007A737B">
        <w:t>Section 40.7.5.3</w:t>
      </w:r>
      <w:r w:rsidR="00C2440F">
        <w:t xml:space="preserve">(iii) of </w:t>
      </w:r>
      <w:r w:rsidR="00A653BE">
        <w:t xml:space="preserve">NYISO’s </w:t>
      </w:r>
      <w:r w:rsidR="00251519">
        <w:t xml:space="preserve">Tariff </w:t>
      </w:r>
      <w:r w:rsidR="00A44AD7">
        <w:t>establishes the Readiness Deposit 1 at $4,000 per megawatt (MW).</w:t>
      </w:r>
    </w:p>
    <w:p w:rsidR="00E7664A" w:rsidP="00775045">
      <w:pPr>
        <w:pStyle w:val="FERCparanumber"/>
        <w:ind w:right="-360"/>
      </w:pPr>
      <w:r>
        <w:t>Under section 40.7.6</w:t>
      </w:r>
      <w:r w:rsidR="00462BC4">
        <w:t>.1</w:t>
      </w:r>
      <w:r>
        <w:t xml:space="preserve"> of NYISO</w:t>
      </w:r>
      <w:r w:rsidR="00F405E0">
        <w:t>’s</w:t>
      </w:r>
      <w:r>
        <w:t xml:space="preserve"> Tariff, if an </w:t>
      </w:r>
      <w:r w:rsidR="00FA1AEE">
        <w:t>i</w:t>
      </w:r>
      <w:r>
        <w:t xml:space="preserve">nterconnection </w:t>
      </w:r>
      <w:r w:rsidR="00FA1AEE">
        <w:t>c</w:t>
      </w:r>
      <w:r>
        <w:t xml:space="preserve">ustomer does not satisfy the requirements in section 40.7.5.3 for the Cluster Study Project to proceed to the Phase 1 Study, then </w:t>
      </w:r>
      <w:r w:rsidR="00462BC4">
        <w:t>NY</w:t>
      </w:r>
      <w:r>
        <w:t xml:space="preserve">ISO shall withdraw the </w:t>
      </w:r>
      <w:r w:rsidR="00E946BA">
        <w:t>i</w:t>
      </w:r>
      <w:r>
        <w:t xml:space="preserve">nterconnection </w:t>
      </w:r>
      <w:r w:rsidR="00E946BA">
        <w:t>r</w:t>
      </w:r>
      <w:r>
        <w:t xml:space="preserve">equest for the Cluster Study Project from </w:t>
      </w:r>
      <w:r w:rsidR="00E8786F">
        <w:t xml:space="preserve">the </w:t>
      </w:r>
      <w:r w:rsidR="00501549">
        <w:t>q</w:t>
      </w:r>
      <w:r>
        <w:t xml:space="preserve">ueue pursuant to the </w:t>
      </w:r>
      <w:r w:rsidR="00501549">
        <w:t>w</w:t>
      </w:r>
      <w:r>
        <w:t>ithdrawal requirements in section 40.6.4.</w:t>
      </w:r>
      <w:r>
        <w:rPr>
          <w:rStyle w:val="FootnoteReference"/>
        </w:rPr>
        <w:footnoteReference w:id="7"/>
      </w:r>
      <w:r w:rsidR="00462BC4">
        <w:t xml:space="preserve"> </w:t>
      </w:r>
    </w:p>
    <w:p w:rsidR="006B306A" w:rsidP="00775045">
      <w:pPr>
        <w:pStyle w:val="FERCparanumber"/>
        <w:ind w:right="-450"/>
      </w:pPr>
      <w:r>
        <w:t>Under section 40.</w:t>
      </w:r>
      <w:r w:rsidR="00E27CFB">
        <w:t>6</w:t>
      </w:r>
      <w:r>
        <w:t>.4.1 of NYISO</w:t>
      </w:r>
      <w:r w:rsidR="00DB359B">
        <w:t>’s</w:t>
      </w:r>
      <w:r>
        <w:t xml:space="preserve"> Tariff</w:t>
      </w:r>
      <w:r w:rsidR="0081766E">
        <w:t xml:space="preserve">, </w:t>
      </w:r>
      <w:r w:rsidR="00A3657C">
        <w:t>NYISO</w:t>
      </w:r>
      <w:r w:rsidRPr="00462BC4">
        <w:t xml:space="preserve"> shall provide written notice to </w:t>
      </w:r>
      <w:r w:rsidR="00930FD2">
        <w:t xml:space="preserve">    </w:t>
      </w:r>
      <w:r w:rsidRPr="00462BC4">
        <w:t xml:space="preserve">the </w:t>
      </w:r>
      <w:r w:rsidR="00961FE6">
        <w:t>i</w:t>
      </w:r>
      <w:r w:rsidRPr="00462BC4">
        <w:t xml:space="preserve">nterconnection </w:t>
      </w:r>
      <w:r w:rsidR="00961FE6">
        <w:t>c</w:t>
      </w:r>
      <w:r w:rsidRPr="00462BC4">
        <w:t>ustomer of the withdrawal and an explanation of the reasons for such withdrawal.</w:t>
      </w:r>
      <w:r>
        <w:rPr>
          <w:rStyle w:val="FootnoteReference"/>
        </w:rPr>
        <w:footnoteReference w:id="8"/>
      </w:r>
      <w:r w:rsidRPr="00462BC4">
        <w:t xml:space="preserve">  Upon receipt of written notice, the </w:t>
      </w:r>
      <w:r w:rsidR="00961FE6">
        <w:t>i</w:t>
      </w:r>
      <w:r w:rsidRPr="00462BC4">
        <w:t xml:space="preserve">nterconnection </w:t>
      </w:r>
      <w:r w:rsidR="00961FE6">
        <w:t>c</w:t>
      </w:r>
      <w:r w:rsidRPr="00462BC4">
        <w:t>ustomer ha</w:t>
      </w:r>
      <w:r w:rsidR="00961FE6">
        <w:t>s</w:t>
      </w:r>
      <w:r w:rsidRPr="00462BC4">
        <w:t xml:space="preserve"> a cure period of </w:t>
      </w:r>
      <w:r w:rsidR="00961FE6">
        <w:t>15 business days</w:t>
      </w:r>
      <w:r w:rsidRPr="00462BC4">
        <w:t xml:space="preserve"> in which to either respond with information or actions that cure the deficiency or to notify </w:t>
      </w:r>
      <w:r w:rsidR="00961FE6">
        <w:t>NY</w:t>
      </w:r>
      <w:r w:rsidRPr="00462BC4">
        <w:t xml:space="preserve">ISO of its intent to pursue </w:t>
      </w:r>
      <w:r w:rsidR="00961FE6">
        <w:t>d</w:t>
      </w:r>
      <w:r w:rsidRPr="00462BC4">
        <w:t xml:space="preserve">ispute </w:t>
      </w:r>
      <w:r w:rsidR="00961FE6">
        <w:t>r</w:t>
      </w:r>
      <w:r w:rsidRPr="00462BC4">
        <w:t>esolution</w:t>
      </w:r>
      <w:r>
        <w:t xml:space="preserve">, except that </w:t>
      </w:r>
      <w:r w:rsidR="001A6D0F">
        <w:t xml:space="preserve">for </w:t>
      </w:r>
      <w:r w:rsidR="00930FD2">
        <w:t xml:space="preserve"> </w:t>
      </w:r>
      <w:r w:rsidR="001A6D0F">
        <w:t xml:space="preserve">failure to timely </w:t>
      </w:r>
      <w:r w:rsidR="00435978">
        <w:t>make a payment or submit or maintain a deposit</w:t>
      </w:r>
      <w:r w:rsidR="0093240C">
        <w:t xml:space="preserve"> required by Attachment HH</w:t>
      </w:r>
      <w:r w:rsidR="00435978">
        <w:t xml:space="preserve">, the interconnection </w:t>
      </w:r>
      <w:r w:rsidR="0093240C">
        <w:t xml:space="preserve">customer </w:t>
      </w:r>
      <w:r w:rsidR="00435978">
        <w:t xml:space="preserve">has </w:t>
      </w:r>
      <w:r w:rsidR="0082683A">
        <w:t xml:space="preserve">a cure period of 10 </w:t>
      </w:r>
      <w:r w:rsidR="00350508">
        <w:t xml:space="preserve">business </w:t>
      </w:r>
      <w:r w:rsidR="0082683A">
        <w:t>days.</w:t>
      </w:r>
    </w:p>
    <w:p w:rsidR="001249FE" w:rsidP="001249FE">
      <w:pPr>
        <w:pStyle w:val="Heading1"/>
      </w:pPr>
      <w:r>
        <w:t>Waiver Request</w:t>
      </w:r>
    </w:p>
    <w:p w:rsidR="001249FE" w:rsidP="00775045">
      <w:pPr>
        <w:pStyle w:val="FERCparanumber"/>
        <w:ind w:right="-270"/>
      </w:pPr>
      <w:r>
        <w:t>Dover states that it is the developer of a 1,000 MW battery storage facility (Project) to be located in Dutchess County, New York, connecting to Con</w:t>
      </w:r>
      <w:r w:rsidR="002760EB">
        <w:t>solidated</w:t>
      </w:r>
      <w:r>
        <w:t xml:space="preserve"> Edison</w:t>
      </w:r>
      <w:r w:rsidRPr="0074605A" w:rsidR="0074605A">
        <w:t xml:space="preserve"> Company of New York, Inc.</w:t>
      </w:r>
      <w:r>
        <w:t xml:space="preserve">’s </w:t>
      </w:r>
      <w:r w:rsidR="002760EB">
        <w:t>(Con Ed</w:t>
      </w:r>
      <w:r w:rsidR="00170585">
        <w:t>ison</w:t>
      </w:r>
      <w:r w:rsidR="002760EB">
        <w:t xml:space="preserve">) </w:t>
      </w:r>
      <w:r>
        <w:t>transmission system.</w:t>
      </w:r>
      <w:r>
        <w:rPr>
          <w:rStyle w:val="FootnoteReference"/>
        </w:rPr>
        <w:footnoteReference w:id="9"/>
      </w:r>
      <w:r>
        <w:t xml:space="preserve">  Dover argues that, although it </w:t>
      </w:r>
      <w:r w:rsidR="002D5232">
        <w:t xml:space="preserve">timely filed to participate in NYISO’s Transition Cluster Study Process, NYISO removed Dover’s Project from its interconnection queue on February 26, 2025, due to Dover’s inability to make a timely election to participate in the Phase 1 Study as required by </w:t>
      </w:r>
      <w:r w:rsidR="00775045">
        <w:t xml:space="preserve">  </w:t>
      </w:r>
      <w:r w:rsidR="002D5232">
        <w:t>section 40.7.5.3(i) and due to Dover’s inability to timely post the $4 million Readiness Deposit 1 required by section 40.7.5.3(iii) for participation in that study</w:t>
      </w:r>
      <w:r w:rsidR="00194ECC">
        <w:t xml:space="preserve"> by </w:t>
      </w:r>
      <w:r w:rsidR="00E72FEE">
        <w:t>February 25, 2025</w:t>
      </w:r>
      <w:r w:rsidR="002D5232">
        <w:t xml:space="preserve">.  </w:t>
      </w:r>
    </w:p>
    <w:p w:rsidR="001F65FA" w:rsidP="00775045">
      <w:pPr>
        <w:pStyle w:val="FERCparanumber"/>
        <w:widowControl w:val="0"/>
      </w:pPr>
      <w:r>
        <w:t xml:space="preserve">Dover states that it submitted its initial interconnection request for </w:t>
      </w:r>
      <w:r w:rsidR="00F2510A">
        <w:t xml:space="preserve">the </w:t>
      </w:r>
      <w:r>
        <w:t xml:space="preserve">Project on October 3, 2024, and </w:t>
      </w:r>
      <w:r w:rsidR="00F7715D">
        <w:t>the Project subsequently entered</w:t>
      </w:r>
      <w:r>
        <w:t xml:space="preserve"> NYISO’s Transition Cluster Study Process.</w:t>
      </w:r>
      <w:r>
        <w:rPr>
          <w:rStyle w:val="FootnoteReference"/>
        </w:rPr>
        <w:footnoteReference w:id="10"/>
      </w:r>
      <w:r>
        <w:t xml:space="preserve">  </w:t>
      </w:r>
      <w:r w:rsidR="00137D0F">
        <w:t xml:space="preserve">Dover states that its primary point of contact for this process was </w:t>
      </w:r>
      <w:r w:rsidR="00AB02D6">
        <w:t xml:space="preserve">consultant </w:t>
      </w:r>
      <w:r w:rsidR="00137D0F">
        <w:t>Mr. Eric Payne</w:t>
      </w:r>
      <w:r w:rsidR="00754BA5">
        <w:t>,</w:t>
      </w:r>
      <w:r w:rsidR="00137D0F">
        <w:t xml:space="preserve"> and Mr. Payne interacted with NYISO representatives on </w:t>
      </w:r>
      <w:r w:rsidR="005C3D9A">
        <w:t>several</w:t>
      </w:r>
      <w:r w:rsidR="00137D0F">
        <w:t xml:space="preserve"> occasions during the period from October 3, 2024</w:t>
      </w:r>
      <w:r w:rsidR="00144151">
        <w:t>,</w:t>
      </w:r>
      <w:r w:rsidR="00137D0F">
        <w:t xml:space="preserve"> to February 18, 2025.  Dover avers that, during that time period, Mr. Payne addressed a number of deficiency notices from NYISO and received and paid several invoices </w:t>
      </w:r>
      <w:r w:rsidR="009F78EE">
        <w:t xml:space="preserve">from NYISO </w:t>
      </w:r>
      <w:r w:rsidR="00137D0F">
        <w:t>for interconnection study costs.</w:t>
      </w:r>
      <w:r w:rsidR="00674415">
        <w:t xml:space="preserve">  </w:t>
      </w:r>
    </w:p>
    <w:p w:rsidR="001F65FA">
      <w:pPr>
        <w:pStyle w:val="FERCparanumber"/>
      </w:pPr>
      <w:r>
        <w:t>Dover states that</w:t>
      </w:r>
      <w:r w:rsidR="003769BE">
        <w:t>,</w:t>
      </w:r>
      <w:r>
        <w:t xml:space="preserve"> on February 12, 2025, NYISO sent an email to all interconnection customers with instructions to submit the Phase 1 Entry Decision and Readiness Deposit 1 by February 25, 2025 at 5:00 pm, </w:t>
      </w:r>
      <w:r w:rsidR="00014CD5">
        <w:t>and that</w:t>
      </w:r>
      <w:r w:rsidR="00C93FC3">
        <w:t>,</w:t>
      </w:r>
      <w:r w:rsidR="00014CD5">
        <w:t xml:space="preserve"> while Mr. Payne </w:t>
      </w:r>
      <w:r w:rsidR="00D9029D">
        <w:t xml:space="preserve">has since </w:t>
      </w:r>
      <w:r w:rsidR="00014CD5">
        <w:t>discovered the message in his email, he has no recollection of receiving it and it was not shown as having been opened.</w:t>
      </w:r>
      <w:r>
        <w:rPr>
          <w:rStyle w:val="FootnoteReference"/>
        </w:rPr>
        <w:footnoteReference w:id="11"/>
      </w:r>
      <w:r>
        <w:t xml:space="preserve">  Dover explains that, having missed those instructions, Mr. Payne emailed NYISO on February 19, 2025, stating that he had not received instructions from NYISO concerning the feasibility or cost of the Project</w:t>
      </w:r>
      <w:r w:rsidR="002E3838">
        <w:t xml:space="preserve"> and</w:t>
      </w:r>
      <w:r w:rsidR="001A7A4A">
        <w:t xml:space="preserve"> </w:t>
      </w:r>
      <w:r w:rsidR="006F79CD">
        <w:t>that Dover had not yet had its scoping meeting</w:t>
      </w:r>
      <w:r w:rsidR="00036AEC">
        <w:t>.</w:t>
      </w:r>
      <w:r>
        <w:rPr>
          <w:rStyle w:val="FootnoteReference"/>
        </w:rPr>
        <w:footnoteReference w:id="12"/>
      </w:r>
      <w:r w:rsidR="00036AEC">
        <w:t xml:space="preserve">  Dover </w:t>
      </w:r>
      <w:r w:rsidR="00144151">
        <w:t xml:space="preserve">asserts </w:t>
      </w:r>
      <w:r w:rsidR="00082D09">
        <w:t xml:space="preserve">that NYISO’s representative informed Mr. Payne </w:t>
      </w:r>
      <w:r w:rsidR="00AF5ECB">
        <w:t>that NYISO’s records showed that emails concerning the scoping meetings had been sent to him on January 14 and January 25, 2025,</w:t>
      </w:r>
      <w:r w:rsidR="00FC2365">
        <w:t xml:space="preserve"> but</w:t>
      </w:r>
      <w:r w:rsidR="00805875">
        <w:t xml:space="preserve"> Dover</w:t>
      </w:r>
      <w:r w:rsidR="00FC2365">
        <w:t xml:space="preserve"> assert</w:t>
      </w:r>
      <w:r w:rsidR="00EC6789">
        <w:t>s</w:t>
      </w:r>
      <w:r w:rsidR="00FC2365">
        <w:t xml:space="preserve"> that Mr. Payne cannot find any evidence of receipt of those emails.</w:t>
      </w:r>
      <w:r>
        <w:rPr>
          <w:rStyle w:val="FootnoteReference"/>
        </w:rPr>
        <w:footnoteReference w:id="13"/>
      </w:r>
      <w:r w:rsidR="00421422">
        <w:t xml:space="preserve">  Dover states that</w:t>
      </w:r>
      <w:r w:rsidR="00054DA7">
        <w:t>,</w:t>
      </w:r>
      <w:r w:rsidR="00805875">
        <w:t xml:space="preserve"> on </w:t>
      </w:r>
      <w:r w:rsidR="00421422">
        <w:t>February 20, 2025</w:t>
      </w:r>
      <w:r w:rsidR="00992D43">
        <w:t>,</w:t>
      </w:r>
      <w:r w:rsidR="00421422">
        <w:t xml:space="preserve"> </w:t>
      </w:r>
      <w:r w:rsidR="008D466C">
        <w:t>Mr. Payne</w:t>
      </w:r>
      <w:r w:rsidR="00805875">
        <w:t xml:space="preserve"> emailed NYISO</w:t>
      </w:r>
      <w:r w:rsidR="00852A8B">
        <w:t xml:space="preserve"> noting</w:t>
      </w:r>
      <w:r w:rsidR="005B18D6">
        <w:t>,</w:t>
      </w:r>
      <w:r w:rsidR="00852A8B">
        <w:t xml:space="preserve"> along with requests for certain information</w:t>
      </w:r>
      <w:r w:rsidR="005B18D6">
        <w:t>, that he was concerned about missing critical deadlines due to not receiving emails.</w:t>
      </w:r>
      <w:r w:rsidR="000F55D2">
        <w:t xml:space="preserve">  </w:t>
      </w:r>
      <w:r w:rsidR="00620B96">
        <w:t>Dover states that</w:t>
      </w:r>
      <w:r w:rsidR="00054DA7">
        <w:t>,</w:t>
      </w:r>
      <w:r w:rsidR="00620B96">
        <w:t xml:space="preserve"> o</w:t>
      </w:r>
      <w:r w:rsidR="00F601BA">
        <w:t>n</w:t>
      </w:r>
      <w:r w:rsidR="00F323EA">
        <w:t xml:space="preserve"> February 20, 2025, </w:t>
      </w:r>
      <w:r w:rsidR="00C614BD">
        <w:t xml:space="preserve">NYISO’s representative </w:t>
      </w:r>
      <w:r w:rsidR="00F601BA">
        <w:t xml:space="preserve">responded </w:t>
      </w:r>
      <w:r w:rsidR="00F323EA">
        <w:t xml:space="preserve">that no further scoping meetings would be held and </w:t>
      </w:r>
      <w:r w:rsidR="00EF128E">
        <w:t>provided Mr. Payne with the deadline for</w:t>
      </w:r>
      <w:r w:rsidR="00F323EA">
        <w:t xml:space="preserve"> Decision Period 1</w:t>
      </w:r>
      <w:r w:rsidR="00D44E53">
        <w:t xml:space="preserve">.  Dover states Mr. Payne responded that day </w:t>
      </w:r>
      <w:r w:rsidR="00992D43">
        <w:t xml:space="preserve">that Dover was moving forward with the </w:t>
      </w:r>
      <w:r w:rsidR="004E58AE">
        <w:t>P</w:t>
      </w:r>
      <w:r w:rsidR="00992D43">
        <w:t>roject and would s</w:t>
      </w:r>
      <w:r w:rsidR="00CE1F79">
        <w:t>u</w:t>
      </w:r>
      <w:r w:rsidR="00992D43">
        <w:t xml:space="preserve">bmit the Phase 1 </w:t>
      </w:r>
      <w:r w:rsidR="004E58AE">
        <w:t>D</w:t>
      </w:r>
      <w:r w:rsidR="00992D43">
        <w:t>ecision</w:t>
      </w:r>
      <w:r w:rsidR="00CE1F79">
        <w:t xml:space="preserve"> shortly.</w:t>
      </w:r>
    </w:p>
    <w:p w:rsidR="00CE1F79" w:rsidP="00930FD2">
      <w:pPr>
        <w:pStyle w:val="FERCparanumber"/>
        <w:ind w:right="-450"/>
      </w:pPr>
      <w:r>
        <w:t xml:space="preserve">Dover </w:t>
      </w:r>
      <w:r w:rsidR="00410156">
        <w:t>explains</w:t>
      </w:r>
      <w:r>
        <w:t xml:space="preserve"> that Mr. Payne logged into the interconnection portal on February</w:t>
      </w:r>
      <w:r w:rsidR="00930FD2">
        <w:t xml:space="preserve"> </w:t>
      </w:r>
      <w:r>
        <w:t xml:space="preserve">20, 2025, but could not enter Dover’s election to participate in the Phase 1 Study without also providing detailed information concerning the form of Dover’s security for the Readiness Deposit 1, which </w:t>
      </w:r>
      <w:r w:rsidR="00621106">
        <w:t xml:space="preserve">Dover contends </w:t>
      </w:r>
      <w:r>
        <w:t>was not due yet and which Dover was not prepared to post.</w:t>
      </w:r>
      <w:r>
        <w:rPr>
          <w:rStyle w:val="FootnoteReference"/>
        </w:rPr>
        <w:footnoteReference w:id="14"/>
      </w:r>
      <w:r w:rsidR="002777E6">
        <w:t xml:space="preserve">  Dover </w:t>
      </w:r>
      <w:r w:rsidR="00545920">
        <w:t xml:space="preserve">asserts </w:t>
      </w:r>
      <w:r w:rsidR="002777E6">
        <w:t xml:space="preserve">that Mr. Payne consulted NYISO’s </w:t>
      </w:r>
      <w:r w:rsidR="006E0A9F">
        <w:t>Phase 1 Entry Decision Period training document</w:t>
      </w:r>
      <w:r w:rsidR="008373C6">
        <w:t>, which did not provide a way for Dover to bypass the security posting requirements in order to enter its election to move forward</w:t>
      </w:r>
      <w:r w:rsidR="005605B6">
        <w:t>, and instead explained that if all financial details could not be verified</w:t>
      </w:r>
      <w:r w:rsidR="0032747F">
        <w:t>,</w:t>
      </w:r>
      <w:r w:rsidR="005605B6">
        <w:t xml:space="preserve"> the </w:t>
      </w:r>
      <w:r w:rsidR="001E124C">
        <w:t>submission would be declined.</w:t>
      </w:r>
      <w:r>
        <w:rPr>
          <w:rStyle w:val="FootnoteReference"/>
        </w:rPr>
        <w:footnoteReference w:id="15"/>
      </w:r>
      <w:r w:rsidR="002E14AD">
        <w:t xml:space="preserve">  Dover states that</w:t>
      </w:r>
      <w:r w:rsidR="00613F08">
        <w:t>,</w:t>
      </w:r>
      <w:r w:rsidR="002E14AD">
        <w:t xml:space="preserve"> </w:t>
      </w:r>
      <w:r w:rsidR="00F17464">
        <w:t xml:space="preserve">on February 24, 2025, </w:t>
      </w:r>
      <w:r w:rsidR="00746424">
        <w:t>Mr. Payne</w:t>
      </w:r>
      <w:r w:rsidR="00F17464">
        <w:t xml:space="preserve"> emailed NYISO </w:t>
      </w:r>
      <w:r w:rsidR="004C5C42">
        <w:t xml:space="preserve">to </w:t>
      </w:r>
      <w:r w:rsidR="004870AE">
        <w:t xml:space="preserve">request information about how to </w:t>
      </w:r>
      <w:r w:rsidR="00930FD2">
        <w:t xml:space="preserve">  </w:t>
      </w:r>
      <w:r w:rsidR="004870AE">
        <w:t xml:space="preserve">satisfy the security requirement using a surety bond, and NYISO responded that day </w:t>
      </w:r>
      <w:r w:rsidR="007D4876">
        <w:t xml:space="preserve"> </w:t>
      </w:r>
      <w:r w:rsidR="004870AE">
        <w:t xml:space="preserve">directing Mr. Payne to </w:t>
      </w:r>
      <w:r w:rsidR="00DF2826">
        <w:t>send a draft of the proposed surety bond to NYISO’s credit</w:t>
      </w:r>
      <w:r w:rsidR="0027739D">
        <w:t xml:space="preserve"> </w:t>
      </w:r>
      <w:r w:rsidR="00DF2826">
        <w:t>department</w:t>
      </w:r>
      <w:r w:rsidR="0027739D">
        <w:t>.</w:t>
      </w:r>
      <w:r>
        <w:rPr>
          <w:rStyle w:val="FootnoteReference"/>
        </w:rPr>
        <w:footnoteReference w:id="16"/>
      </w:r>
      <w:r w:rsidR="0027739D">
        <w:t xml:space="preserve">  Dover asserts that it was unable to obtain approval of its security</w:t>
      </w:r>
      <w:r w:rsidR="00F65465">
        <w:t xml:space="preserve"> and was therefore unable to post its Readiness Deposit 1 and </w:t>
      </w:r>
      <w:r w:rsidR="00DA1AC0">
        <w:t xml:space="preserve">consequently </w:t>
      </w:r>
      <w:r w:rsidR="00F65465">
        <w:t>unable to make its election in the interconnection portal to proceed with the study.</w:t>
      </w:r>
      <w:r w:rsidR="00F515B4">
        <w:t xml:space="preserve">  Dover </w:t>
      </w:r>
      <w:r w:rsidR="00CB7469">
        <w:t>explains</w:t>
      </w:r>
      <w:r w:rsidR="00F515B4">
        <w:t xml:space="preserve"> that</w:t>
      </w:r>
      <w:r w:rsidR="00DA1AC0">
        <w:t>,</w:t>
      </w:r>
      <w:r w:rsidR="00F515B4">
        <w:t xml:space="preserve"> on February 26, 2025, NYISO informed Dover that the Project had been removed from the queue because it did not meet the election deadline and that Dover had until March 19, 202</w:t>
      </w:r>
      <w:r w:rsidR="00E54D4C">
        <w:t xml:space="preserve">5 to demonstrate that it had </w:t>
      </w:r>
      <w:r w:rsidR="00264053">
        <w:t>elected</w:t>
      </w:r>
      <w:r w:rsidR="002C2CDD">
        <w:t xml:space="preserve"> to participate by </w:t>
      </w:r>
      <w:r w:rsidR="00264053">
        <w:t>the deadline, and until March 12, 2025 to post its Readiness Deposit 1.</w:t>
      </w:r>
    </w:p>
    <w:p w:rsidR="00AE01FD">
      <w:pPr>
        <w:pStyle w:val="FERCparanumber"/>
      </w:pPr>
      <w:r>
        <w:t>Dover asserts that</w:t>
      </w:r>
      <w:r w:rsidR="00DA1AC0">
        <w:t>,</w:t>
      </w:r>
      <w:r>
        <w:t xml:space="preserve"> unless the requested waiver</w:t>
      </w:r>
      <w:r w:rsidR="002A7E15">
        <w:t xml:space="preserve"> is </w:t>
      </w:r>
      <w:r>
        <w:t xml:space="preserve">granted, the Project will be unable to participate in NYISO’s </w:t>
      </w:r>
      <w:r w:rsidR="008A3B5A">
        <w:t xml:space="preserve">Transition </w:t>
      </w:r>
      <w:r w:rsidR="002A7E15">
        <w:t>C</w:t>
      </w:r>
      <w:r w:rsidR="008A3B5A">
        <w:t>luster Study Process</w:t>
      </w:r>
      <w:r w:rsidR="00464BB9">
        <w:t xml:space="preserve"> and will face delays in commercial operation date</w:t>
      </w:r>
      <w:r w:rsidR="0055762A">
        <w:t xml:space="preserve"> of at least 24 months because the next Cluster Study will not begin until </w:t>
      </w:r>
      <w:r w:rsidR="00144BD0">
        <w:t>summer 2026.</w:t>
      </w:r>
      <w:r>
        <w:rPr>
          <w:rStyle w:val="FootnoteReference"/>
        </w:rPr>
        <w:footnoteReference w:id="17"/>
      </w:r>
      <w:r w:rsidR="00144BD0">
        <w:t xml:space="preserve"> </w:t>
      </w:r>
      <w:r w:rsidR="00841CDD">
        <w:t xml:space="preserve"> </w:t>
      </w:r>
    </w:p>
    <w:p w:rsidR="00F65465">
      <w:pPr>
        <w:pStyle w:val="FERCparanumber"/>
      </w:pPr>
      <w:r>
        <w:t xml:space="preserve">Dover argues that its waiver request satisfies the Commission’s criteria for granting waiver.  First, </w:t>
      </w:r>
      <w:r w:rsidR="00841CDD">
        <w:t xml:space="preserve">Dover contends that it has acted in good faith and has diligently pursued achievement of the </w:t>
      </w:r>
      <w:r w:rsidR="00AE01FD">
        <w:t xml:space="preserve">Transition Cluster Study Process, including </w:t>
      </w:r>
      <w:r w:rsidR="00DA7B3E">
        <w:t>responding to numerous requests for additional information, signing the interconnection study agreement, paying the application fee and study deposit, and timely paying subsequent invoices</w:t>
      </w:r>
      <w:r w:rsidR="00AE01FD">
        <w:t>.</w:t>
      </w:r>
      <w:r>
        <w:rPr>
          <w:rStyle w:val="FootnoteReference"/>
        </w:rPr>
        <w:footnoteReference w:id="18"/>
      </w:r>
      <w:r w:rsidR="00DA7B3E">
        <w:t xml:space="preserve">  Dover asserts that its inability to submit the election to participate and post its deposit within the time limits were not the result of bad faith, but instead due to confusion and misunderstanding resulting from</w:t>
      </w:r>
      <w:r w:rsidR="00DE6E80">
        <w:t xml:space="preserve">: </w:t>
      </w:r>
      <w:r w:rsidR="00DA7B3E">
        <w:t xml:space="preserve"> </w:t>
      </w:r>
      <w:r w:rsidR="00DE6E80">
        <w:t xml:space="preserve">(1) </w:t>
      </w:r>
      <w:r w:rsidR="00DA7B3E">
        <w:t xml:space="preserve">Dover’s inadvertent </w:t>
      </w:r>
      <w:r w:rsidR="00DE6E80">
        <w:t>administrative</w:t>
      </w:r>
      <w:r w:rsidR="00DA7B3E">
        <w:t xml:space="preserve"> oversight </w:t>
      </w:r>
      <w:r w:rsidR="00DE6E80">
        <w:t>in failing to recognize the importance of NYISO’s February 12, 2025 email setting out the deadline for those actions; (2) the fact that NYISO did not provide Dover with any other notification of those deadlines</w:t>
      </w:r>
      <w:r w:rsidR="00057B40">
        <w:t>, including</w:t>
      </w:r>
      <w:r w:rsidR="00DE6E80">
        <w:t xml:space="preserve"> in training documents or the interconnection portal</w:t>
      </w:r>
      <w:r w:rsidR="00057B40">
        <w:t>,</w:t>
      </w:r>
      <w:r w:rsidR="00DE6E80">
        <w:t xml:space="preserve"> until February 18, 2025</w:t>
      </w:r>
      <w:r w:rsidR="00E81F19">
        <w:t xml:space="preserve">; </w:t>
      </w:r>
      <w:r w:rsidR="005800C2">
        <w:t xml:space="preserve">(3) the fact that NYISO did not provide Dover with actual notice of the scoping meetings where Dover could have confirmed the dates; </w:t>
      </w:r>
      <w:r w:rsidR="00E81F19">
        <w:t>(</w:t>
      </w:r>
      <w:r w:rsidR="005800C2">
        <w:t>4</w:t>
      </w:r>
      <w:r w:rsidR="00E81F19">
        <w:t xml:space="preserve">) </w:t>
      </w:r>
      <w:r w:rsidRPr="00D672B2" w:rsidR="00E81F19">
        <w:t>the fact that NYISO’s interconnection portal and training documents require</w:t>
      </w:r>
      <w:r w:rsidRPr="00D672B2" w:rsidR="005C043A">
        <w:t>d</w:t>
      </w:r>
      <w:r w:rsidRPr="00D672B2" w:rsidR="00E81F19">
        <w:t xml:space="preserve"> Dover to post security before making its election to participate, even though this is not required by NYISO’s </w:t>
      </w:r>
      <w:r w:rsidRPr="00D672B2" w:rsidR="00F9444F">
        <w:t>T</w:t>
      </w:r>
      <w:r w:rsidRPr="00D672B2" w:rsidR="00E81F19">
        <w:t>ariff;</w:t>
      </w:r>
      <w:r w:rsidR="00E81F19">
        <w:t xml:space="preserve"> and </w:t>
      </w:r>
      <w:r w:rsidR="005800C2">
        <w:t xml:space="preserve">(5) the fact that </w:t>
      </w:r>
      <w:r w:rsidR="00AC2C5F">
        <w:t xml:space="preserve">Dover </w:t>
      </w:r>
      <w:r w:rsidR="005800C2">
        <w:t xml:space="preserve">was unable to satisfy the security requirements </w:t>
      </w:r>
      <w:r w:rsidR="00C36662">
        <w:t>in the time after</w:t>
      </w:r>
      <w:r w:rsidR="0069471D">
        <w:t xml:space="preserve"> </w:t>
      </w:r>
      <w:r w:rsidR="00E83C57">
        <w:t>the interconnection portal refused to accept Dover’s attempt to elect to join the Phase 1 Study.</w:t>
      </w:r>
      <w:r>
        <w:rPr>
          <w:rStyle w:val="FootnoteReference"/>
        </w:rPr>
        <w:footnoteReference w:id="19"/>
      </w:r>
      <w:r w:rsidR="00E83C57">
        <w:t xml:space="preserve">  </w:t>
      </w:r>
      <w:r w:rsidRPr="00677781" w:rsidR="00E83C57">
        <w:t>Dover argues that</w:t>
      </w:r>
      <w:r w:rsidRPr="00677781" w:rsidR="007E370E">
        <w:t>,</w:t>
      </w:r>
      <w:r w:rsidRPr="00677781" w:rsidR="00E83C57">
        <w:t xml:space="preserve"> had it been able to enter its election prior to posting security </w:t>
      </w:r>
      <w:r w:rsidRPr="00677781" w:rsidR="000516C3">
        <w:t>for its Readiness Deposit 1, Dover would have been entitled under section 40.6.4.1 of NYISO’s Tariff to a cure period of 10 business days</w:t>
      </w:r>
      <w:r w:rsidRPr="00677781" w:rsidR="00EC7E76">
        <w:t xml:space="preserve"> to post security</w:t>
      </w:r>
      <w:r w:rsidRPr="00677781" w:rsidR="00254246">
        <w:t>.</w:t>
      </w:r>
      <w:r>
        <w:rPr>
          <w:rStyle w:val="FootnoteReference"/>
        </w:rPr>
        <w:footnoteReference w:id="20"/>
      </w:r>
      <w:r w:rsidR="00DA28EE">
        <w:t xml:space="preserve"> </w:t>
      </w:r>
      <w:r w:rsidR="00254246">
        <w:t xml:space="preserve"> Dover contends, however, that because </w:t>
      </w:r>
      <w:r w:rsidR="00DA28EE">
        <w:t>the Tariff does not provide an opportunity for Dover to make its election after February 25, 202</w:t>
      </w:r>
      <w:r w:rsidR="00254246">
        <w:t xml:space="preserve">5, </w:t>
      </w:r>
      <w:r w:rsidR="00685093">
        <w:t>the fact that NYISO’s interconnection portal refused to allow Dover to make its election prior to posting security is a violation of the Tariff that was a substantial contributing factor to Dover’s unfair exclusion from the Transition Cluster Study Process.</w:t>
      </w:r>
    </w:p>
    <w:p w:rsidR="001350AA">
      <w:pPr>
        <w:pStyle w:val="FERCparanumber"/>
      </w:pPr>
      <w:r>
        <w:t xml:space="preserve">Second, </w:t>
      </w:r>
      <w:r>
        <w:t>Dover asserts that its waiver request is limited in scope because Dover seeks only a one-time waiver of the time to post its Readiness Deposit 1 and elect to enter Phase 1 of the on-going Transition Cluster Study Process.</w:t>
      </w:r>
      <w:r>
        <w:rPr>
          <w:rStyle w:val="FootnoteReference"/>
        </w:rPr>
        <w:footnoteReference w:id="21"/>
      </w:r>
    </w:p>
    <w:p w:rsidR="004F38A8">
      <w:pPr>
        <w:pStyle w:val="FERCparanumber"/>
      </w:pPr>
      <w:r>
        <w:t xml:space="preserve">Third, </w:t>
      </w:r>
      <w:r w:rsidR="0057392C">
        <w:t xml:space="preserve">Dover argues that </w:t>
      </w:r>
      <w:r w:rsidR="00EE50CB">
        <w:t>its waiver re</w:t>
      </w:r>
      <w:r w:rsidR="006B4B3A">
        <w:t>quest will address a concrete problem</w:t>
      </w:r>
      <w:r w:rsidR="00CD6099">
        <w:t xml:space="preserve"> by allowing </w:t>
      </w:r>
      <w:r w:rsidR="00674C64">
        <w:t xml:space="preserve">the </w:t>
      </w:r>
      <w:r w:rsidR="00CD6099">
        <w:t xml:space="preserve">Project to move forward in the Transition Cluster Study Process </w:t>
      </w:r>
      <w:r w:rsidR="002129F5">
        <w:t xml:space="preserve">and </w:t>
      </w:r>
      <w:r w:rsidR="00501E7B">
        <w:t>prevent significant delay in development of the Project.</w:t>
      </w:r>
      <w:r>
        <w:rPr>
          <w:rStyle w:val="FootnoteReference"/>
        </w:rPr>
        <w:footnoteReference w:id="22"/>
      </w:r>
      <w:r w:rsidR="00AD4C38">
        <w:t xml:space="preserve">  </w:t>
      </w:r>
    </w:p>
    <w:p w:rsidR="004F5612">
      <w:pPr>
        <w:pStyle w:val="FERCparanumber"/>
      </w:pPr>
      <w:r>
        <w:t xml:space="preserve">Finally, </w:t>
      </w:r>
      <w:r>
        <w:t>Dover asserts that the requested waiver will not have any undesirable consequences or harm any third parties</w:t>
      </w:r>
      <w:r w:rsidR="005B300F">
        <w:t>.</w:t>
      </w:r>
      <w:r>
        <w:rPr>
          <w:rStyle w:val="FootnoteReference"/>
        </w:rPr>
        <w:footnoteReference w:id="23"/>
      </w:r>
      <w:r w:rsidR="005B300F">
        <w:t xml:space="preserve">  </w:t>
      </w:r>
      <w:r w:rsidR="007650E2">
        <w:t xml:space="preserve">Dover states that the Phase 1 </w:t>
      </w:r>
      <w:r w:rsidR="00456882">
        <w:t>S</w:t>
      </w:r>
      <w:r w:rsidR="007650E2">
        <w:t>tudy period began on March 1, 2025</w:t>
      </w:r>
      <w:r w:rsidR="00104730">
        <w:t>, and was originally projected to end on or about August 31, 2025, but has been extended until November 3, 2025.  Dover contends that, given this extension</w:t>
      </w:r>
      <w:r w:rsidR="00A23D54">
        <w:t xml:space="preserve"> and assuming prompt action on the waiver</w:t>
      </w:r>
      <w:r w:rsidR="00A36BBC">
        <w:t xml:space="preserve"> request</w:t>
      </w:r>
      <w:r w:rsidR="00A23D54">
        <w:t xml:space="preserve">, NYISO and Con Edison will have ample time to complete their Phase 1 </w:t>
      </w:r>
      <w:r w:rsidR="00423149">
        <w:t>S</w:t>
      </w:r>
      <w:r w:rsidR="00A23D54">
        <w:t>tudy of the Project within the time allowed under the Tariff, and therefore granting waiver will not adversely impact other study participants.</w:t>
      </w:r>
      <w:r>
        <w:rPr>
          <w:rStyle w:val="FootnoteReference"/>
        </w:rPr>
        <w:footnoteReference w:id="24"/>
      </w:r>
      <w:r w:rsidR="00104730">
        <w:t xml:space="preserve"> </w:t>
      </w:r>
    </w:p>
    <w:p w:rsidR="001249FE" w:rsidP="001249FE">
      <w:pPr>
        <w:pStyle w:val="Heading1"/>
      </w:pPr>
      <w:r>
        <w:t>Notice and Responsive Pleadings</w:t>
      </w:r>
    </w:p>
    <w:p w:rsidR="00137D0F" w:rsidP="00775045">
      <w:pPr>
        <w:pStyle w:val="FERCparanumber"/>
      </w:pPr>
      <w:r w:rsidRPr="008A462F">
        <w:t xml:space="preserve">Notice of Dover’s waiver request was published in the </w:t>
      </w:r>
      <w:r w:rsidRPr="003778A7">
        <w:rPr>
          <w:i/>
          <w:iCs/>
        </w:rPr>
        <w:t>Federal Register</w:t>
      </w:r>
      <w:r w:rsidRPr="003778A7">
        <w:t xml:space="preserve">, </w:t>
      </w:r>
      <w:r w:rsidRPr="003778A7">
        <w:br w:type="textWrapping" w:clear="all"/>
      </w:r>
      <w:r w:rsidRPr="003778A7" w:rsidR="008A462F">
        <w:t>90</w:t>
      </w:r>
      <w:r w:rsidRPr="003778A7">
        <w:t xml:space="preserve"> Fed. Reg. </w:t>
      </w:r>
      <w:r w:rsidRPr="003778A7" w:rsidR="008A462F">
        <w:t>17590</w:t>
      </w:r>
      <w:r w:rsidRPr="003778A7">
        <w:t xml:space="preserve"> (</w:t>
      </w:r>
      <w:r w:rsidRPr="003778A7" w:rsidR="008A462F">
        <w:t>Apr</w:t>
      </w:r>
      <w:r w:rsidRPr="003778A7">
        <w:t xml:space="preserve">. </w:t>
      </w:r>
      <w:r w:rsidRPr="003778A7" w:rsidR="008A462F">
        <w:t>28</w:t>
      </w:r>
      <w:r w:rsidRPr="003778A7">
        <w:t>, 202</w:t>
      </w:r>
      <w:r w:rsidRPr="003778A7" w:rsidR="008A462F">
        <w:t>5</w:t>
      </w:r>
      <w:r w:rsidRPr="003778A7">
        <w:t>),</w:t>
      </w:r>
      <w:r w:rsidRPr="009D3DC1">
        <w:t xml:space="preserve"> with interventions and protests due on or before </w:t>
      </w:r>
      <w:r>
        <w:t>May</w:t>
      </w:r>
      <w:r w:rsidRPr="009D3DC1">
        <w:t xml:space="preserve"> </w:t>
      </w:r>
      <w:r>
        <w:t>9</w:t>
      </w:r>
      <w:r w:rsidRPr="009D3DC1">
        <w:t>, 202</w:t>
      </w:r>
      <w:r>
        <w:t>5</w:t>
      </w:r>
      <w:r w:rsidRPr="009D3DC1">
        <w:t xml:space="preserve">.  </w:t>
      </w:r>
      <w:r>
        <w:t>New York Transco LLC (Transco)</w:t>
      </w:r>
      <w:r w:rsidR="00C37C0F">
        <w:t>,</w:t>
      </w:r>
      <w:r w:rsidRPr="009D3DC1">
        <w:t xml:space="preserve"> </w:t>
      </w:r>
      <w:r>
        <w:t>NYISO</w:t>
      </w:r>
      <w:r w:rsidR="00C37C0F">
        <w:t>,</w:t>
      </w:r>
      <w:r>
        <w:t xml:space="preserve"> and Niagara Mohawk Power Corporation </w:t>
      </w:r>
      <w:r w:rsidR="006873A9">
        <w:t>(Niagara</w:t>
      </w:r>
      <w:r w:rsidR="006921BD">
        <w:t xml:space="preserve"> Mohawk</w:t>
      </w:r>
      <w:r w:rsidR="006873A9">
        <w:t>)</w:t>
      </w:r>
      <w:r>
        <w:t xml:space="preserve"> filed timely motions to intervene and protest</w:t>
      </w:r>
      <w:r w:rsidR="00A068DA">
        <w:t>s</w:t>
      </w:r>
      <w:r>
        <w:t xml:space="preserve">.  On </w:t>
      </w:r>
      <w:r w:rsidR="00775045">
        <w:t xml:space="preserve">     </w:t>
      </w:r>
      <w:r>
        <w:t>May 14, 2025, Dover filed a motion for leave to answer and answer.</w:t>
      </w:r>
    </w:p>
    <w:p w:rsidR="001249FE" w:rsidRPr="00137D0F" w:rsidP="00137D0F">
      <w:pPr>
        <w:pStyle w:val="Heading2"/>
      </w:pPr>
      <w:r w:rsidRPr="00137D0F">
        <w:t>NYISO</w:t>
      </w:r>
      <w:r>
        <w:t>’s</w:t>
      </w:r>
      <w:r w:rsidRPr="00137D0F">
        <w:t xml:space="preserve"> Protest</w:t>
      </w:r>
    </w:p>
    <w:p w:rsidR="00CE32F6" w:rsidP="00137D0F">
      <w:pPr>
        <w:pStyle w:val="FERCparanumber"/>
      </w:pPr>
      <w:r>
        <w:t xml:space="preserve">NYISO </w:t>
      </w:r>
      <w:r w:rsidR="00F73E7A">
        <w:t xml:space="preserve">argues that Dover’s request </w:t>
      </w:r>
      <w:r w:rsidR="00B83678">
        <w:t>for waiver</w:t>
      </w:r>
      <w:r w:rsidR="00F73E7A">
        <w:t xml:space="preserve"> to permit it to satisfy the entry requirements for the Phase 1 Study approximately 70 days following the Tariff</w:t>
      </w:r>
      <w:r w:rsidR="00120537">
        <w:t>-</w:t>
      </w:r>
      <w:r w:rsidR="00A34F09">
        <w:t>prescribed due date constitutes a retroactive waiver request.</w:t>
      </w:r>
      <w:r>
        <w:rPr>
          <w:rStyle w:val="FootnoteReference"/>
        </w:rPr>
        <w:footnoteReference w:id="25"/>
      </w:r>
      <w:r w:rsidR="00A73912">
        <w:t xml:space="preserve">  </w:t>
      </w:r>
    </w:p>
    <w:p w:rsidR="0016017E" w:rsidP="000B1F9B">
      <w:pPr>
        <w:pStyle w:val="FERCparanumber"/>
      </w:pPr>
      <w:r>
        <w:t xml:space="preserve">NYISO </w:t>
      </w:r>
      <w:r w:rsidR="00CE32F6">
        <w:t xml:space="preserve">argues that Dover had reasonable notice to satisfy the </w:t>
      </w:r>
      <w:r w:rsidR="00120537">
        <w:t>T</w:t>
      </w:r>
      <w:r w:rsidR="00CE32F6">
        <w:t xml:space="preserve">ariff requirements to enter the Phase 1 Study and its failure to </w:t>
      </w:r>
      <w:r w:rsidR="00894C0A">
        <w:t>timely act is inconsistent with its purported good faith</w:t>
      </w:r>
      <w:r w:rsidR="00A02FF5">
        <w:t>.</w:t>
      </w:r>
      <w:r>
        <w:rPr>
          <w:rStyle w:val="FootnoteReference"/>
        </w:rPr>
        <w:footnoteReference w:id="26"/>
      </w:r>
      <w:r w:rsidR="00894C0A">
        <w:t xml:space="preserve">  </w:t>
      </w:r>
      <w:r w:rsidR="003523C6">
        <w:t>NYISO asserts that</w:t>
      </w:r>
      <w:r w:rsidR="0042718B">
        <w:t xml:space="preserve"> it has been providing </w:t>
      </w:r>
      <w:r w:rsidR="00A02FF5">
        <w:t>i</w:t>
      </w:r>
      <w:r w:rsidR="0042718B">
        <w:t xml:space="preserve">nterconnection </w:t>
      </w:r>
      <w:r w:rsidR="00A02FF5">
        <w:t>c</w:t>
      </w:r>
      <w:r w:rsidR="0042718B">
        <w:t xml:space="preserve">ustomers with information on an ongoing basis through a number of formats regarding </w:t>
      </w:r>
      <w:r w:rsidR="00682F5B">
        <w:t>important deadlines and requirements, including communications and training sessions prior to the commencement of the Transition Cluster Study.</w:t>
      </w:r>
      <w:r w:rsidR="002A3A08">
        <w:t xml:space="preserve">  </w:t>
      </w:r>
      <w:r w:rsidR="00541235">
        <w:t xml:space="preserve">NYISO </w:t>
      </w:r>
      <w:r w:rsidR="00354312">
        <w:t xml:space="preserve">asserts </w:t>
      </w:r>
      <w:r w:rsidR="00541235">
        <w:t xml:space="preserve">that </w:t>
      </w:r>
      <w:r w:rsidR="00354312">
        <w:t xml:space="preserve">Dover’s arguments regarding </w:t>
      </w:r>
      <w:r w:rsidR="00A62BE7">
        <w:t xml:space="preserve">inadvertent oversights and missed communications and its failure to receive actual notice </w:t>
      </w:r>
      <w:r w:rsidR="00383C38">
        <w:t xml:space="preserve">are incorrect and </w:t>
      </w:r>
      <w:r w:rsidR="00A62BE7">
        <w:t>do not</w:t>
      </w:r>
      <w:r w:rsidR="00114D8A">
        <w:t xml:space="preserve"> to explain how 242 other projects that were subject to the same notices and rules were able to successfully satisfy the requirements</w:t>
      </w:r>
      <w:r w:rsidR="00382D6C">
        <w:t xml:space="preserve"> in the Phase 1 Entry Decision Period.</w:t>
      </w:r>
      <w:r>
        <w:rPr>
          <w:rStyle w:val="FootnoteReference"/>
        </w:rPr>
        <w:footnoteReference w:id="27"/>
      </w:r>
      <w:r w:rsidR="007A2235">
        <w:t xml:space="preserve">  NYISO argues that Dover did receive actual notice of the applicable deadlines</w:t>
      </w:r>
      <w:r w:rsidR="003A59F4">
        <w:t xml:space="preserve"> </w:t>
      </w:r>
      <w:r w:rsidR="007A2235">
        <w:t>and requirements</w:t>
      </w:r>
      <w:r w:rsidR="003A59F4">
        <w:t>, noting that Dover acknowledges it received and overlooked the explicit notice from NYISO on February 12, 2025,</w:t>
      </w:r>
      <w:r w:rsidR="007A2235">
        <w:t xml:space="preserve"> and received such notice at the same time as all other </w:t>
      </w:r>
      <w:r w:rsidR="00383C38">
        <w:t>i</w:t>
      </w:r>
      <w:r w:rsidR="007A2235">
        <w:t xml:space="preserve">nterconnection </w:t>
      </w:r>
      <w:r w:rsidR="00383C38">
        <w:t>c</w:t>
      </w:r>
      <w:r w:rsidR="007A2235">
        <w:t>ustomers participating in the Transition Cluster Study.</w:t>
      </w:r>
      <w:r>
        <w:rPr>
          <w:rStyle w:val="FootnoteReference"/>
        </w:rPr>
        <w:footnoteReference w:id="28"/>
      </w:r>
      <w:r w:rsidR="000B1F9B">
        <w:t xml:space="preserve">  </w:t>
      </w:r>
    </w:p>
    <w:p w:rsidR="00117AF6" w:rsidP="007D4876">
      <w:pPr>
        <w:pStyle w:val="FERCparanumber"/>
        <w:ind w:right="-270"/>
      </w:pPr>
      <w:r>
        <w:t xml:space="preserve">NYISO argues that it provided </w:t>
      </w:r>
      <w:r w:rsidR="00E36F19">
        <w:t>i</w:t>
      </w:r>
      <w:r>
        <w:t xml:space="preserve">nterconnection </w:t>
      </w:r>
      <w:r w:rsidR="00E36F19">
        <w:t>c</w:t>
      </w:r>
      <w:r>
        <w:t xml:space="preserve">ustomers, including Dover, with additional notice concerning </w:t>
      </w:r>
      <w:r w:rsidRPr="00A52F71" w:rsidR="00A52F71">
        <w:t xml:space="preserve">the </w:t>
      </w:r>
      <w:r w:rsidR="00A52F71">
        <w:t>s</w:t>
      </w:r>
      <w:r w:rsidRPr="00A52F71" w:rsidR="00A52F71">
        <w:t xml:space="preserve">coping </w:t>
      </w:r>
      <w:r w:rsidR="00A52F71">
        <w:t>m</w:t>
      </w:r>
      <w:r w:rsidRPr="00A52F71" w:rsidR="00A52F71">
        <w:t>eeting for the Transition Cluster Study Process</w:t>
      </w:r>
      <w:r w:rsidR="00A52F71">
        <w:t xml:space="preserve"> and </w:t>
      </w:r>
      <w:r>
        <w:t xml:space="preserve">the timeframes for the key process steps, including the Phase 1 Entry Decision Period </w:t>
      </w:r>
      <w:r w:rsidR="00C817DA">
        <w:t>deadline</w:t>
      </w:r>
      <w:r w:rsidR="00DF3F2A">
        <w:t>.</w:t>
      </w:r>
      <w:r>
        <w:rPr>
          <w:rStyle w:val="FootnoteReference"/>
        </w:rPr>
        <w:footnoteReference w:id="29"/>
      </w:r>
      <w:r w:rsidR="00DF3F2A">
        <w:t xml:space="preserve">  NYISO explains that this deadline was included in a notice sent to interconnection customers and publicly posted on October 9, 2024</w:t>
      </w:r>
      <w:r w:rsidR="00B93EB2">
        <w:t xml:space="preserve">, and that it </w:t>
      </w:r>
      <w:r w:rsidR="000957C8">
        <w:t>provided regular updates through stakeholder meetings</w:t>
      </w:r>
      <w:r w:rsidR="00E82F82">
        <w:t xml:space="preserve">, with meeting minutes posted to NYISO’s website and </w:t>
      </w:r>
      <w:r w:rsidR="00296F88">
        <w:t xml:space="preserve">through </w:t>
      </w:r>
      <w:r w:rsidR="006D0593">
        <w:t>its project management software</w:t>
      </w:r>
      <w:r w:rsidR="002C5319">
        <w:t xml:space="preserve"> that Mr. Payne has access to through</w:t>
      </w:r>
      <w:r w:rsidR="007D4876">
        <w:t xml:space="preserve"> </w:t>
      </w:r>
      <w:r w:rsidR="002C5319">
        <w:t>the interconnection portal</w:t>
      </w:r>
      <w:r w:rsidR="00C817DA">
        <w:t>.</w:t>
      </w:r>
      <w:r>
        <w:rPr>
          <w:rStyle w:val="FootnoteReference"/>
        </w:rPr>
        <w:footnoteReference w:id="30"/>
      </w:r>
      <w:r w:rsidR="00C817DA">
        <w:t xml:space="preserve">  </w:t>
      </w:r>
      <w:r w:rsidR="00FF318E">
        <w:t xml:space="preserve">NYISO </w:t>
      </w:r>
      <w:r w:rsidR="002A41EA">
        <w:t xml:space="preserve">contends </w:t>
      </w:r>
      <w:r w:rsidR="00FF318E">
        <w:t>that the Tariff clearly specifies the timeframes for each process step in the Cluster Study Process</w:t>
      </w:r>
      <w:r w:rsidR="00765582">
        <w:t>.  NYISO</w:t>
      </w:r>
      <w:r w:rsidR="002F2E89">
        <w:t xml:space="preserve"> therefore</w:t>
      </w:r>
      <w:r w:rsidR="00765582">
        <w:t xml:space="preserve"> argues that, even if Dover had inadvertently overlooked the February 12, 2025, notice, it had reasonable notice of the upcoming deadlines</w:t>
      </w:r>
      <w:r w:rsidR="000E1C2B">
        <w:t xml:space="preserve"> for the Phase 1 election </w:t>
      </w:r>
      <w:r w:rsidR="00365D41">
        <w:t>and to post the Readiness Deposit 1</w:t>
      </w:r>
      <w:r w:rsidR="00A7322C">
        <w:t>.</w:t>
      </w:r>
      <w:r w:rsidR="00E461B4">
        <w:t xml:space="preserve"> </w:t>
      </w:r>
      <w:r w:rsidR="00DF48AF">
        <w:t xml:space="preserve"> </w:t>
      </w:r>
      <w:r w:rsidR="00A37F42">
        <w:t xml:space="preserve">NYISO </w:t>
      </w:r>
      <w:r w:rsidR="002A41EA">
        <w:t xml:space="preserve">states </w:t>
      </w:r>
      <w:r w:rsidR="00A37F42">
        <w:t xml:space="preserve">that it has not identified any correspondence from Dover during the Phase 1 Entry Decision </w:t>
      </w:r>
      <w:r w:rsidR="00FE3FD3">
        <w:t>Period identifying issues with making an election to enter the Phase 1 Study in NYISO’s interconnection portal.</w:t>
      </w:r>
      <w:r>
        <w:rPr>
          <w:rStyle w:val="FootnoteReference"/>
        </w:rPr>
        <w:footnoteReference w:id="31"/>
      </w:r>
      <w:r w:rsidR="000C3095">
        <w:t xml:space="preserve">  NYISO </w:t>
      </w:r>
      <w:r w:rsidR="002A41EA">
        <w:t xml:space="preserve">asserts </w:t>
      </w:r>
      <w:r w:rsidR="000C3095">
        <w:t>that, w</w:t>
      </w:r>
      <w:r w:rsidRPr="000C3095" w:rsidR="000C3095">
        <w:t xml:space="preserve">hile Dover was not required to make use of </w:t>
      </w:r>
      <w:r w:rsidR="009F3BDE">
        <w:t>NYISO’s</w:t>
      </w:r>
      <w:r w:rsidRPr="000C3095" w:rsidR="009F3BDE">
        <w:t xml:space="preserve"> </w:t>
      </w:r>
      <w:r w:rsidRPr="000C3095" w:rsidR="000C3095">
        <w:t xml:space="preserve">dispute resolution procedures, it did have the opportunity and failed to take such action in response to the </w:t>
      </w:r>
      <w:r w:rsidR="009F3BDE">
        <w:t>w</w:t>
      </w:r>
      <w:r w:rsidRPr="000C3095" w:rsidR="000C3095">
        <w:t xml:space="preserve">ithdrawal </w:t>
      </w:r>
      <w:r w:rsidR="009F3BDE">
        <w:t>n</w:t>
      </w:r>
      <w:r w:rsidRPr="000C3095" w:rsidR="000C3095">
        <w:t>otice or to raise with NYISO its uncertainty concerning how to make its election to proceed to the Phase 1 Study in the interconnection portal.</w:t>
      </w:r>
      <w:r>
        <w:rPr>
          <w:rStyle w:val="FootnoteReference"/>
        </w:rPr>
        <w:footnoteReference w:id="32"/>
      </w:r>
      <w:r w:rsidRPr="000C3095" w:rsidR="000C3095">
        <w:t xml:space="preserve">  </w:t>
      </w:r>
    </w:p>
    <w:p w:rsidR="00E9564D" w:rsidP="002F2AB3">
      <w:pPr>
        <w:pStyle w:val="FERCparanumber"/>
      </w:pPr>
      <w:r>
        <w:t xml:space="preserve">NYISO </w:t>
      </w:r>
      <w:r w:rsidR="004247A1">
        <w:t>argues that</w:t>
      </w:r>
      <w:r w:rsidR="00FF279F">
        <w:t>,</w:t>
      </w:r>
      <w:r w:rsidR="004247A1">
        <w:t xml:space="preserve"> if the Commission were to grant the waiver request, it would open the door for other </w:t>
      </w:r>
      <w:r w:rsidR="002B43E1">
        <w:t>i</w:t>
      </w:r>
      <w:r w:rsidR="004247A1">
        <w:t xml:space="preserve">nterconnection </w:t>
      </w:r>
      <w:r w:rsidR="002B43E1">
        <w:t>c</w:t>
      </w:r>
      <w:r w:rsidR="004247A1">
        <w:t>ustomers to seek to bypass deadlines in the Cluster Study Process, nullifying the stringent requirements needed to implement a more efficient and shortened process.</w:t>
      </w:r>
      <w:r>
        <w:rPr>
          <w:rStyle w:val="FootnoteReference"/>
        </w:rPr>
        <w:footnoteReference w:id="33"/>
      </w:r>
      <w:r w:rsidR="004247A1">
        <w:t xml:space="preserve">  </w:t>
      </w:r>
      <w:r w:rsidR="00005089">
        <w:t>NYISO argues that the waiver request will likely have undesirable consequences</w:t>
      </w:r>
      <w:r w:rsidR="00C17A6E">
        <w:t xml:space="preserve"> for NYISO, </w:t>
      </w:r>
      <w:r w:rsidR="00221EB7">
        <w:t xml:space="preserve">the impacted transmission owners, and interconnection customers, including delays to the overall </w:t>
      </w:r>
      <w:r w:rsidR="004972D2">
        <w:t>C</w:t>
      </w:r>
      <w:r w:rsidR="002F2AB3">
        <w:t xml:space="preserve">luster </w:t>
      </w:r>
      <w:r w:rsidR="004972D2">
        <w:t>S</w:t>
      </w:r>
      <w:r w:rsidR="002F2AB3">
        <w:t xml:space="preserve">tudy </w:t>
      </w:r>
      <w:r w:rsidR="004972D2">
        <w:t>P</w:t>
      </w:r>
      <w:r w:rsidR="002F2AB3">
        <w:t>rocess and additional study work</w:t>
      </w:r>
      <w:r w:rsidR="00005089">
        <w:t>.</w:t>
      </w:r>
      <w:r>
        <w:rPr>
          <w:rStyle w:val="FootnoteReference"/>
        </w:rPr>
        <w:footnoteReference w:id="34"/>
      </w:r>
      <w:r w:rsidR="00005089">
        <w:t xml:space="preserve">  </w:t>
      </w:r>
      <w:r w:rsidR="00B616B1">
        <w:t xml:space="preserve">  </w:t>
      </w:r>
    </w:p>
    <w:p w:rsidR="006B32AB" w:rsidP="003778A7">
      <w:pPr>
        <w:pStyle w:val="FERCparanumber"/>
      </w:pPr>
      <w:r w:rsidRPr="003778A7">
        <w:t>NYISO</w:t>
      </w:r>
      <w:r>
        <w:t xml:space="preserve"> sta</w:t>
      </w:r>
      <w:r w:rsidR="0024105D">
        <w:t xml:space="preserve">tes that, while certain </w:t>
      </w:r>
      <w:r w:rsidR="00A61053">
        <w:t>t</w:t>
      </w:r>
      <w:r w:rsidR="0024105D">
        <w:t xml:space="preserve">ransmission </w:t>
      </w:r>
      <w:r w:rsidR="00A61053">
        <w:t>o</w:t>
      </w:r>
      <w:r w:rsidR="0024105D">
        <w:t>wners</w:t>
      </w:r>
      <w:r w:rsidR="00695708">
        <w:t xml:space="preserve"> performing Phase 1 Study work have </w:t>
      </w:r>
      <w:r w:rsidR="00500E8B">
        <w:t xml:space="preserve">communicated to stakeholders that some Phase 1 Study reports may be delayed, the potential need for additional time by any </w:t>
      </w:r>
      <w:r w:rsidR="00A61053">
        <w:t>t</w:t>
      </w:r>
      <w:r w:rsidR="00500E8B">
        <w:t xml:space="preserve">ransmission </w:t>
      </w:r>
      <w:r w:rsidR="00A61053">
        <w:t>o</w:t>
      </w:r>
      <w:r w:rsidR="00500E8B">
        <w:t>wner is not known at this stage.</w:t>
      </w:r>
      <w:r>
        <w:rPr>
          <w:rStyle w:val="FootnoteReference"/>
        </w:rPr>
        <w:footnoteReference w:id="35"/>
      </w:r>
      <w:r w:rsidR="00877A7D">
        <w:t xml:space="preserve">  </w:t>
      </w:r>
      <w:r w:rsidR="00766CDB">
        <w:t xml:space="preserve">NYISO argues that Con Edison and Transco are still proceeding to complete the study work for Phase 1 Studies </w:t>
      </w:r>
      <w:r w:rsidR="00C9245E">
        <w:t>in line wit</w:t>
      </w:r>
      <w:r w:rsidR="00A61053">
        <w:t>h</w:t>
      </w:r>
      <w:r w:rsidR="00C9245E">
        <w:t xml:space="preserve"> the </w:t>
      </w:r>
      <w:r w:rsidR="00A61053">
        <w:t>T</w:t>
      </w:r>
      <w:r w:rsidR="00C9245E">
        <w:t xml:space="preserve">ariff-prescribed deadlines, and Dover’s waiver request could adversely impact the projects subject to these studies as well as Con Edison’s and Transco’s ability to satisfy their </w:t>
      </w:r>
      <w:r w:rsidR="008D7164">
        <w:t>T</w:t>
      </w:r>
      <w:r w:rsidR="00C9245E">
        <w:t>ariff responsibilities.</w:t>
      </w:r>
      <w:r>
        <w:rPr>
          <w:rStyle w:val="FootnoteReference"/>
        </w:rPr>
        <w:footnoteReference w:id="36"/>
      </w:r>
    </w:p>
    <w:p w:rsidR="00564F18" w:rsidP="00564F18">
      <w:pPr>
        <w:pStyle w:val="Heading2"/>
      </w:pPr>
      <w:r>
        <w:t xml:space="preserve">Transco’s </w:t>
      </w:r>
      <w:r w:rsidR="00320788">
        <w:t>Protest</w:t>
      </w:r>
    </w:p>
    <w:p w:rsidR="00564F18" w:rsidP="007D4876">
      <w:pPr>
        <w:pStyle w:val="FERCparanumber"/>
        <w:numPr>
          <w:ilvl w:val="0"/>
          <w:numId w:val="11"/>
        </w:numPr>
        <w:ind w:right="-270"/>
      </w:pPr>
      <w:r>
        <w:t xml:space="preserve">Transco asserts that granting waiver and allowing Dover late entry to the Phase 1 </w:t>
      </w:r>
      <w:r w:rsidR="008D3893">
        <w:t xml:space="preserve">  </w:t>
      </w:r>
      <w:r>
        <w:t>Study could potentially jeopardize Transco’s ability to meet its Tariff-required deadlines for Phase 1 Study work and could cause cascading delays in the Phase 2 Study process.</w:t>
      </w:r>
      <w:r>
        <w:rPr>
          <w:rStyle w:val="FootnoteReference"/>
        </w:rPr>
        <w:footnoteReference w:id="37"/>
      </w:r>
      <w:r>
        <w:t xml:space="preserve">  Transco argues that such delays could impact other interconnection customers who are being studied by Transco and may further delay the rest of NYISO’s Transition Cluster Study Process. </w:t>
      </w:r>
    </w:p>
    <w:p w:rsidR="00137D0F" w:rsidP="006B32AB">
      <w:pPr>
        <w:pStyle w:val="Heading2"/>
      </w:pPr>
      <w:r>
        <w:t>N</w:t>
      </w:r>
      <w:r w:rsidR="006873A9">
        <w:t>iagara</w:t>
      </w:r>
      <w:r w:rsidR="006921BD">
        <w:t xml:space="preserve"> Mohawk</w:t>
      </w:r>
      <w:r>
        <w:t>’s Protest</w:t>
      </w:r>
    </w:p>
    <w:p w:rsidR="00CE0946" w:rsidRPr="00137D0F" w:rsidP="008D3893">
      <w:pPr>
        <w:pStyle w:val="FERCparanumber"/>
        <w:widowControl w:val="0"/>
        <w:ind w:right="-180"/>
      </w:pPr>
      <w:r>
        <w:t xml:space="preserve">Niagara Mohawk </w:t>
      </w:r>
      <w:r w:rsidR="00182CD7">
        <w:t xml:space="preserve">argues that </w:t>
      </w:r>
      <w:r w:rsidR="00F561AD">
        <w:t>the requested waiver is a prohibited retroactive waiver request</w:t>
      </w:r>
      <w:r>
        <w:rPr>
          <w:rStyle w:val="FootnoteReference"/>
        </w:rPr>
        <w:footnoteReference w:id="38"/>
      </w:r>
      <w:r w:rsidR="00F561AD">
        <w:t xml:space="preserve"> and that </w:t>
      </w:r>
      <w:r w:rsidR="00DB2BF6">
        <w:t xml:space="preserve">Dover’s request is untimely and demonstrates a lack of </w:t>
      </w:r>
      <w:r w:rsidR="00CB2125">
        <w:t>diligence</w:t>
      </w:r>
      <w:r w:rsidR="0024327B">
        <w:t xml:space="preserve"> as it was filed nearly two months after the deadline for the required election and deposit</w:t>
      </w:r>
      <w:r w:rsidR="00CB2125">
        <w:t>.</w:t>
      </w:r>
      <w:r>
        <w:rPr>
          <w:rStyle w:val="FootnoteReference"/>
        </w:rPr>
        <w:footnoteReference w:id="39"/>
      </w:r>
      <w:r w:rsidR="004E275F">
        <w:t xml:space="preserve">  </w:t>
      </w:r>
      <w:r w:rsidR="007B0DDD">
        <w:t>Niagara Mohawk asserts</w:t>
      </w:r>
      <w:r w:rsidR="004E275F">
        <w:t xml:space="preserve"> that there is no dispute that Dover failed to comply </w:t>
      </w:r>
      <w:r w:rsidRPr="000B05DB" w:rsidR="004E275F">
        <w:t xml:space="preserve">with the express </w:t>
      </w:r>
      <w:r w:rsidRPr="000B05DB" w:rsidR="00DF0AAB">
        <w:t>requirements</w:t>
      </w:r>
      <w:r w:rsidRPr="000B05DB" w:rsidR="004E275F">
        <w:t xml:space="preserve"> of NYISO’s </w:t>
      </w:r>
      <w:r w:rsidRPr="000B05DB" w:rsidR="001935E3">
        <w:t>T</w:t>
      </w:r>
      <w:r w:rsidRPr="000B05DB" w:rsidR="004E275F">
        <w:t>ariff</w:t>
      </w:r>
      <w:r w:rsidRPr="000B05DB" w:rsidR="00BA19C2">
        <w:t xml:space="preserve"> to affirmatively elect to proceed to the Phase 1 Study and post the Readiness Deposit</w:t>
      </w:r>
      <w:r w:rsidRPr="000B05DB" w:rsidR="00852986">
        <w:t xml:space="preserve"> 1</w:t>
      </w:r>
      <w:r w:rsidRPr="000B05DB" w:rsidR="00DF0AAB">
        <w:t>,</w:t>
      </w:r>
      <w:r w:rsidR="00DF0AAB">
        <w:t xml:space="preserve"> and NYISO’s Tariff is clear that this failure </w:t>
      </w:r>
      <w:r w:rsidR="00406390">
        <w:t xml:space="preserve"> </w:t>
      </w:r>
      <w:r w:rsidR="00DF0AAB">
        <w:t>results in removal from the queue.</w:t>
      </w:r>
      <w:r>
        <w:rPr>
          <w:rStyle w:val="FootnoteReference"/>
        </w:rPr>
        <w:footnoteReference w:id="40"/>
      </w:r>
      <w:r w:rsidR="00DF0AAB">
        <w:t xml:space="preserve">  </w:t>
      </w:r>
      <w:r>
        <w:t xml:space="preserve">Niagara Mohawk contends that </w:t>
      </w:r>
      <w:r w:rsidR="0068674E">
        <w:t>granting waiver would constitute undue discrimination against</w:t>
      </w:r>
      <w:r w:rsidR="003A512A">
        <w:t>,</w:t>
      </w:r>
      <w:r w:rsidR="002F299B">
        <w:t xml:space="preserve"> and unfairly disadvantage</w:t>
      </w:r>
      <w:r w:rsidR="003A512A">
        <w:t>,</w:t>
      </w:r>
      <w:r w:rsidR="0068674E">
        <w:t xml:space="preserve"> the other projects in the queue that met the entry requirements</w:t>
      </w:r>
      <w:r w:rsidR="002F299B">
        <w:t xml:space="preserve"> and undermine confidence in the interconnection process.</w:t>
      </w:r>
      <w:r>
        <w:rPr>
          <w:rStyle w:val="FootnoteReference"/>
        </w:rPr>
        <w:footnoteReference w:id="41"/>
      </w:r>
      <w:r w:rsidR="002F299B">
        <w:t xml:space="preserve">  Niagara Mohawk also contends that allowing Dover to reenter the process at this late stage would disrupt the ongoing Phase 1 and Phase 2 Studies</w:t>
      </w:r>
      <w:r w:rsidR="009B3BA3">
        <w:t xml:space="preserve">, noting that the Phase 1 Study is already underway and adding an additional 1,000 MW project into the process would require </w:t>
      </w:r>
      <w:r w:rsidR="00FB2C48">
        <w:t>NYISO and transmission owners to revisit analyses.</w:t>
      </w:r>
      <w:r>
        <w:rPr>
          <w:rStyle w:val="FootnoteReference"/>
        </w:rPr>
        <w:footnoteReference w:id="42"/>
      </w:r>
      <w:r w:rsidR="003E7686">
        <w:t xml:space="preserve">  </w:t>
      </w:r>
    </w:p>
    <w:p w:rsidR="001249FE" w:rsidRPr="00067C2D" w:rsidP="001249FE">
      <w:pPr>
        <w:pStyle w:val="Heading2"/>
      </w:pPr>
      <w:r w:rsidRPr="00067C2D">
        <w:t>Dover</w:t>
      </w:r>
      <w:r w:rsidRPr="00067C2D" w:rsidR="00137D0F">
        <w:t>’s</w:t>
      </w:r>
      <w:r w:rsidRPr="00067C2D">
        <w:t xml:space="preserve"> Answer</w:t>
      </w:r>
    </w:p>
    <w:p w:rsidR="001249FE" w:rsidRPr="00067C2D" w:rsidP="001249FE">
      <w:pPr>
        <w:pStyle w:val="FERCparanumber"/>
      </w:pPr>
      <w:r w:rsidRPr="00067C2D">
        <w:t>Dover states that the actual date for submission of the Read</w:t>
      </w:r>
      <w:r w:rsidRPr="00067C2D" w:rsidR="00251B66">
        <w:t>iness Deposit 1 does not appear in NYISO’s Tariff and was not plainly stated in any of the notices posted to NYISO’s interconnection website.</w:t>
      </w:r>
      <w:r>
        <w:rPr>
          <w:rStyle w:val="FootnoteReference"/>
        </w:rPr>
        <w:footnoteReference w:id="43"/>
      </w:r>
      <w:r w:rsidRPr="00067C2D" w:rsidR="00A65B59">
        <w:t xml:space="preserve">  Dover also states that NYISO’s only arguments for notice</w:t>
      </w:r>
      <w:r w:rsidR="00DF20BE">
        <w:t xml:space="preserve"> – </w:t>
      </w:r>
      <w:r w:rsidRPr="00067C2D" w:rsidR="00A65B59">
        <w:t>that the information was displa</w:t>
      </w:r>
      <w:r w:rsidRPr="00067C2D" w:rsidR="00B6310A">
        <w:t>yed</w:t>
      </w:r>
      <w:r w:rsidRPr="00067C2D" w:rsidR="00D2274F">
        <w:t xml:space="preserve"> in one notice, that Dover failed to understand the importance of </w:t>
      </w:r>
      <w:r w:rsidRPr="00067C2D" w:rsidR="00891D62">
        <w:t>NYISO’s February 12, 2025 email, and that Dover could have obtained additional information if it had participated in stakeholder meetings or used NYISO’s project management software</w:t>
      </w:r>
      <w:r w:rsidR="006A5E48">
        <w:t xml:space="preserve"> – </w:t>
      </w:r>
      <w:r w:rsidRPr="00067C2D" w:rsidR="00891D62">
        <w:t>hardly constitute “fair notice” required to support the claim that the deadline constituted a filed rate that cannot be waived retroactively.</w:t>
      </w:r>
      <w:r>
        <w:rPr>
          <w:rStyle w:val="FootnoteReference"/>
        </w:rPr>
        <w:footnoteReference w:id="44"/>
      </w:r>
    </w:p>
    <w:p w:rsidR="00E942BC" w:rsidRPr="00067C2D" w:rsidP="001249FE">
      <w:pPr>
        <w:pStyle w:val="FERCparanumber"/>
      </w:pPr>
      <w:r w:rsidRPr="00067C2D">
        <w:t>Dover argues that protest</w:t>
      </w:r>
      <w:r w:rsidRPr="00067C2D" w:rsidR="00751D45">
        <w:t>e</w:t>
      </w:r>
      <w:r w:rsidRPr="00067C2D">
        <w:t>rs</w:t>
      </w:r>
      <w:r w:rsidRPr="00067C2D" w:rsidR="00751D45">
        <w:t>’</w:t>
      </w:r>
      <w:r w:rsidRPr="00067C2D">
        <w:t xml:space="preserve"> arguments that the filed rate doctrine bars waiver of the election requirement is </w:t>
      </w:r>
      <w:r w:rsidR="00DF2A9C">
        <w:t xml:space="preserve">an even </w:t>
      </w:r>
      <w:r w:rsidRPr="00067C2D">
        <w:t>weaker</w:t>
      </w:r>
      <w:r w:rsidR="00DF2A9C">
        <w:t xml:space="preserve"> argument</w:t>
      </w:r>
      <w:r w:rsidRPr="00067C2D">
        <w:t xml:space="preserve">, </w:t>
      </w:r>
      <w:r w:rsidRPr="00067C2D" w:rsidR="00197EF4">
        <w:t xml:space="preserve">stating that </w:t>
      </w:r>
      <w:r w:rsidRPr="00067C2D" w:rsidR="00114473">
        <w:t>Dover’s representative</w:t>
      </w:r>
      <w:r w:rsidRPr="00067C2D" w:rsidR="00197EF4">
        <w:t xml:space="preserve">, Mr. Payne, provided a timely expression of intent to participate </w:t>
      </w:r>
      <w:r w:rsidRPr="00067C2D" w:rsidR="00114473">
        <w:t xml:space="preserve">in his February 25, 2025, email to NYISO, which NYISO did not accept as satisfying Dover’s obligation to elect to enter the </w:t>
      </w:r>
      <w:r w:rsidRPr="00067C2D" w:rsidR="003615C1">
        <w:t>Cluster Study Process.</w:t>
      </w:r>
      <w:r>
        <w:rPr>
          <w:rStyle w:val="FootnoteReference"/>
        </w:rPr>
        <w:footnoteReference w:id="45"/>
      </w:r>
      <w:r w:rsidRPr="00067C2D" w:rsidR="003615C1">
        <w:t xml:space="preserve">  Dover states that nothing in the Tariff provides interconnection customers with fair notice that election to participate can only be given through NYISO’s interconnection portal</w:t>
      </w:r>
      <w:r w:rsidRPr="00067C2D" w:rsidR="00A83149">
        <w:t xml:space="preserve"> or that </w:t>
      </w:r>
      <w:r w:rsidRPr="00067C2D" w:rsidR="00511E46">
        <w:t>no election can be made unless the interconnection customer posts its Readiness Deposit 1.</w:t>
      </w:r>
      <w:r>
        <w:rPr>
          <w:rStyle w:val="FootnoteReference"/>
        </w:rPr>
        <w:footnoteReference w:id="46"/>
      </w:r>
    </w:p>
    <w:p w:rsidR="00511E46" w:rsidP="001249FE">
      <w:pPr>
        <w:pStyle w:val="FERCparanumber"/>
      </w:pPr>
      <w:r>
        <w:t xml:space="preserve">Dover disagrees </w:t>
      </w:r>
      <w:r w:rsidR="006E6496">
        <w:t>with</w:t>
      </w:r>
      <w:r>
        <w:t xml:space="preserve"> NYISO’s arguments that Dover has not provided a distinguishable basis for </w:t>
      </w:r>
      <w:r w:rsidR="00F954FE">
        <w:t xml:space="preserve">waiving the deadlines and that granting waiver would open the door for other interconnection customers to also bypass deadlines, </w:t>
      </w:r>
      <w:r w:rsidR="00432DD8">
        <w:t xml:space="preserve">which according to Dover </w:t>
      </w:r>
      <w:r w:rsidR="00F954FE">
        <w:t>ignore the unique nature of the first-of-its-kind cluster study process</w:t>
      </w:r>
      <w:r w:rsidR="001A69FB">
        <w:t xml:space="preserve"> and NYISO’s failure to provide fair notice of the deadlines and process for election and posting deposits.</w:t>
      </w:r>
      <w:r>
        <w:rPr>
          <w:rStyle w:val="FootnoteReference"/>
        </w:rPr>
        <w:footnoteReference w:id="47"/>
      </w:r>
      <w:r w:rsidR="001A69FB">
        <w:t xml:space="preserve">  Dover asserts that NYISO </w:t>
      </w:r>
      <w:r w:rsidR="00DE72A4">
        <w:t xml:space="preserve">can prevent future waiver requests by simply and clearly providing fair notice of the requirements in the </w:t>
      </w:r>
      <w:r w:rsidR="00C300EA">
        <w:t>T</w:t>
      </w:r>
      <w:r w:rsidR="00DE72A4">
        <w:t>ariff</w:t>
      </w:r>
      <w:r w:rsidR="00C300EA">
        <w:t xml:space="preserve">, </w:t>
      </w:r>
      <w:r w:rsidR="00DE72A4">
        <w:t>notices posted on its website</w:t>
      </w:r>
      <w:r w:rsidR="00C300EA">
        <w:t>, and training materials.</w:t>
      </w:r>
      <w:r>
        <w:rPr>
          <w:rStyle w:val="FootnoteReference"/>
        </w:rPr>
        <w:footnoteReference w:id="48"/>
      </w:r>
    </w:p>
    <w:p w:rsidR="00C300EA" w:rsidP="001249FE">
      <w:pPr>
        <w:pStyle w:val="FERCparanumber"/>
      </w:pPr>
      <w:r>
        <w:t>Dover contends that protest</w:t>
      </w:r>
      <w:r w:rsidR="000E72BD">
        <w:t>e</w:t>
      </w:r>
      <w:r>
        <w:t>rs</w:t>
      </w:r>
      <w:r w:rsidR="00B55191">
        <w:t>’</w:t>
      </w:r>
      <w:r>
        <w:t xml:space="preserve"> claims of harms to third parties are speculative</w:t>
      </w:r>
      <w:r w:rsidR="005E3D78">
        <w:t xml:space="preserve"> because no protest</w:t>
      </w:r>
      <w:r w:rsidR="000E72BD">
        <w:t>e</w:t>
      </w:r>
      <w:r w:rsidR="005E3D78">
        <w:t>r asserts such harm is inevitable or identifies a concrete harm to study participants from delay</w:t>
      </w:r>
      <w:r w:rsidR="00F21DC4">
        <w:t>.</w:t>
      </w:r>
      <w:r>
        <w:rPr>
          <w:rStyle w:val="FootnoteReference"/>
        </w:rPr>
        <w:footnoteReference w:id="49"/>
      </w:r>
    </w:p>
    <w:p w:rsidR="001249FE" w:rsidP="001249FE">
      <w:pPr>
        <w:pStyle w:val="Heading1"/>
      </w:pPr>
      <w:r>
        <w:t>Discussion</w:t>
      </w:r>
    </w:p>
    <w:p w:rsidR="001249FE" w:rsidP="001249FE">
      <w:pPr>
        <w:pStyle w:val="Heading2"/>
      </w:pPr>
      <w:r>
        <w:t>Procedural Matters</w:t>
      </w:r>
    </w:p>
    <w:p w:rsidR="00137D0F" w:rsidP="00137D0F">
      <w:pPr>
        <w:pStyle w:val="FERCparanumber"/>
        <w:ind w:right="-360"/>
      </w:pPr>
      <w:r w:rsidRPr="000F4044">
        <w:t xml:space="preserve">Pursuant to Rule 214 of the Commission’s Rules of Practice and Procedure, </w:t>
      </w:r>
      <w:r>
        <w:br w:type="textWrapping" w:clear="all"/>
      </w:r>
      <w:r w:rsidRPr="000F4044">
        <w:t>18 C.F.R. § 385.214 (202</w:t>
      </w:r>
      <w:r w:rsidR="00611E01">
        <w:t>4</w:t>
      </w:r>
      <w:r w:rsidRPr="000F4044">
        <w:t xml:space="preserve">), </w:t>
      </w:r>
      <w:r w:rsidR="00053472">
        <w:t>the</w:t>
      </w:r>
      <w:r w:rsidRPr="000F4044">
        <w:t xml:space="preserve"> timely, unopposed motion</w:t>
      </w:r>
      <w:r w:rsidR="00236117">
        <w:t>s</w:t>
      </w:r>
      <w:r w:rsidRPr="000F4044">
        <w:t xml:space="preserve"> to intervene serve to make </w:t>
      </w:r>
      <w:r w:rsidR="00053472">
        <w:t xml:space="preserve">the entities that filed them </w:t>
      </w:r>
      <w:r w:rsidR="00236117">
        <w:t>parties</w:t>
      </w:r>
      <w:r w:rsidRPr="000F4044">
        <w:t xml:space="preserve"> to th</w:t>
      </w:r>
      <w:r>
        <w:t>is</w:t>
      </w:r>
      <w:r w:rsidRPr="000F4044">
        <w:t xml:space="preserve"> proceeding.</w:t>
      </w:r>
    </w:p>
    <w:p w:rsidR="00137D0F" w:rsidP="00137D0F">
      <w:pPr>
        <w:pStyle w:val="FERCparanumber"/>
        <w:ind w:right="-360"/>
      </w:pPr>
      <w:r w:rsidRPr="00365B4C">
        <w:t>Rule 213(a)(2) of the Commission</w:t>
      </w:r>
      <w:r>
        <w:t>’</w:t>
      </w:r>
      <w:r w:rsidRPr="00365B4C">
        <w:t xml:space="preserve">s Rules of Practice and Procedure, 18 C.F.R. </w:t>
      </w:r>
      <w:r w:rsidR="007D4876">
        <w:t xml:space="preserve">        </w:t>
      </w:r>
      <w:r w:rsidRPr="00365B4C">
        <w:t>§ 385.213(a)(2) (202</w:t>
      </w:r>
      <w:r w:rsidR="00611E01">
        <w:t>4</w:t>
      </w:r>
      <w:r w:rsidRPr="00365B4C">
        <w:t>), prohibits an answer to a protest unless otherwise ordered by the decisional authority.  We accept</w:t>
      </w:r>
      <w:r>
        <w:t xml:space="preserve"> </w:t>
      </w:r>
      <w:r w:rsidR="00236117">
        <w:t>Dover</w:t>
      </w:r>
      <w:r>
        <w:t>’</w:t>
      </w:r>
      <w:r w:rsidRPr="00365B4C">
        <w:t>s answer because it has provided information that assisted us in our decision-making process</w:t>
      </w:r>
    </w:p>
    <w:p w:rsidR="001249FE" w:rsidP="001249FE">
      <w:pPr>
        <w:pStyle w:val="Heading2"/>
      </w:pPr>
      <w:r>
        <w:t>Substantive Matters</w:t>
      </w:r>
    </w:p>
    <w:p w:rsidR="00F67375" w:rsidP="007D4876">
      <w:pPr>
        <w:pStyle w:val="FERCparanumber"/>
        <w:ind w:right="-180"/>
      </w:pPr>
      <w:r w:rsidRPr="00AB32EB">
        <w:t xml:space="preserve">We find that </w:t>
      </w:r>
      <w:r>
        <w:t>Dover</w:t>
      </w:r>
      <w:r w:rsidRPr="00AB32EB">
        <w:t xml:space="preserve">’s </w:t>
      </w:r>
      <w:r>
        <w:t>April 18, 2025</w:t>
      </w:r>
      <w:r w:rsidR="00B817D2">
        <w:t>,</w:t>
      </w:r>
      <w:r w:rsidRPr="00AB32EB">
        <w:t xml:space="preserve"> request for waiver of section</w:t>
      </w:r>
      <w:r w:rsidR="00B56B9A">
        <w:t>s</w:t>
      </w:r>
      <w:r>
        <w:t xml:space="preserve"> 40.7.5</w:t>
      </w:r>
      <w:r w:rsidR="00B817D2">
        <w:t>.3</w:t>
      </w:r>
      <w:r w:rsidR="00B56B9A">
        <w:t xml:space="preserve">(i) </w:t>
      </w:r>
      <w:r w:rsidR="008D3893">
        <w:t xml:space="preserve"> </w:t>
      </w:r>
      <w:r w:rsidR="007D4876">
        <w:t xml:space="preserve">   </w:t>
      </w:r>
      <w:r w:rsidR="00B56B9A">
        <w:t>and 40.7.5.</w:t>
      </w:r>
      <w:r w:rsidR="00936616">
        <w:t>3(iii)</w:t>
      </w:r>
      <w:r>
        <w:t xml:space="preserve"> </w:t>
      </w:r>
      <w:r w:rsidRPr="00AB32EB">
        <w:t xml:space="preserve">of </w:t>
      </w:r>
      <w:r>
        <w:t>NYISO</w:t>
      </w:r>
      <w:r w:rsidR="007505EA">
        <w:t>’s</w:t>
      </w:r>
      <w:r w:rsidRPr="00AB32EB">
        <w:t xml:space="preserve"> Tariff to waive the </w:t>
      </w:r>
      <w:r w:rsidR="006B402D">
        <w:t>February 25, 2025,</w:t>
      </w:r>
      <w:r w:rsidRPr="00AB32EB">
        <w:t xml:space="preserve"> deadline to </w:t>
      </w:r>
      <w:r w:rsidR="007505EA">
        <w:t xml:space="preserve">elect to participate in the Phase 1 Study and </w:t>
      </w:r>
      <w:r w:rsidRPr="00AB32EB">
        <w:t>post security</w:t>
      </w:r>
      <w:r w:rsidR="007505EA">
        <w:t xml:space="preserve"> for the Readiness Deposit 1</w:t>
      </w:r>
      <w:r w:rsidRPr="00AB32EB">
        <w:t xml:space="preserve"> is retroactive in nature and is prohibited by the filed rate doctrine.</w:t>
      </w:r>
      <w:r>
        <w:rPr>
          <w:rStyle w:val="FootnoteReference"/>
        </w:rPr>
        <w:footnoteReference w:id="50"/>
      </w:r>
      <w:r w:rsidRPr="00AB32EB">
        <w:t xml:space="preserve">  Accordingly, we deny </w:t>
      </w:r>
      <w:r>
        <w:t>Dove</w:t>
      </w:r>
      <w:r w:rsidRPr="00AB32EB">
        <w:t xml:space="preserve">r’s waiver request.  </w:t>
      </w:r>
    </w:p>
    <w:p w:rsidR="007D4876" w:rsidP="007D4876">
      <w:pPr>
        <w:pStyle w:val="FERCparanumber"/>
        <w:widowControl w:val="0"/>
      </w:pPr>
      <w:r w:rsidRPr="00AB32EB">
        <w:t xml:space="preserve">We </w:t>
      </w:r>
      <w:r w:rsidR="006457AA">
        <w:t>reject</w:t>
      </w:r>
      <w:r w:rsidRPr="00AB32EB">
        <w:t xml:space="preserve"> </w:t>
      </w:r>
      <w:r>
        <w:t>Dover</w:t>
      </w:r>
      <w:r w:rsidRPr="00AB32EB">
        <w:t>’s assertion</w:t>
      </w:r>
      <w:r w:rsidR="001A006D">
        <w:t>s</w:t>
      </w:r>
      <w:r w:rsidRPr="00AB32EB">
        <w:t xml:space="preserve"> </w:t>
      </w:r>
      <w:r w:rsidR="006D592D">
        <w:t xml:space="preserve">that </w:t>
      </w:r>
      <w:r w:rsidR="00943276">
        <w:t>it did not have notice of the deadline</w:t>
      </w:r>
      <w:r w:rsidR="006E595C">
        <w:t xml:space="preserve"> to elect to participate in the Phase 1 Study and po</w:t>
      </w:r>
      <w:r w:rsidR="00A07805">
        <w:t>s</w:t>
      </w:r>
      <w:r w:rsidR="00B930E1">
        <w:t>t security for Readiness Deposit 1</w:t>
      </w:r>
      <w:r w:rsidR="001A006D">
        <w:t xml:space="preserve"> and</w:t>
      </w:r>
      <w:r w:rsidR="00B930E1">
        <w:t xml:space="preserve"> </w:t>
      </w:r>
      <w:r w:rsidRPr="00AB32EB">
        <w:t>that</w:t>
      </w:r>
      <w:r w:rsidR="00325112">
        <w:t xml:space="preserve"> </w:t>
      </w:r>
      <w:r w:rsidR="003A4075">
        <w:t xml:space="preserve">the </w:t>
      </w:r>
      <w:r w:rsidR="00325112">
        <w:t xml:space="preserve">deadline </w:t>
      </w:r>
      <w:r w:rsidR="003A4075">
        <w:t xml:space="preserve">is </w:t>
      </w:r>
      <w:r w:rsidR="004C612A">
        <w:t xml:space="preserve">not subject to the filed rate doctrine.  </w:t>
      </w:r>
      <w:r w:rsidR="006938FB">
        <w:t xml:space="preserve">NYISO states that </w:t>
      </w:r>
      <w:r w:rsidR="00203D51">
        <w:t xml:space="preserve">the Phase 1 Entry Decision Period commenced on </w:t>
      </w:r>
      <w:r w:rsidR="008C30B4">
        <w:t>February 19, 2025</w:t>
      </w:r>
      <w:r w:rsidR="00431DFA">
        <w:t>.</w:t>
      </w:r>
      <w:r>
        <w:rPr>
          <w:rStyle w:val="FootnoteReference"/>
        </w:rPr>
        <w:footnoteReference w:id="51"/>
      </w:r>
      <w:r w:rsidR="007B2B58">
        <w:t xml:space="preserve"> </w:t>
      </w:r>
      <w:r w:rsidR="00431DFA">
        <w:t xml:space="preserve"> Therefore</w:t>
      </w:r>
      <w:r w:rsidR="0042351B">
        <w:t xml:space="preserve">, pursuant to </w:t>
      </w:r>
      <w:r w:rsidR="00FC3E0D">
        <w:t xml:space="preserve">NYISO’s </w:t>
      </w:r>
      <w:r w:rsidR="0042351B">
        <w:t>Tariff,</w:t>
      </w:r>
      <w:r w:rsidR="007B2B58">
        <w:t xml:space="preserve"> the deadline for </w:t>
      </w:r>
      <w:r w:rsidR="00FF5461">
        <w:t xml:space="preserve">interconnection customers to </w:t>
      </w:r>
      <w:r w:rsidR="007B2B58">
        <w:t xml:space="preserve">notify </w:t>
      </w:r>
      <w:r w:rsidR="006F1093">
        <w:t xml:space="preserve">NYISO of </w:t>
      </w:r>
      <w:r w:rsidR="00BA1BD1">
        <w:t>their</w:t>
      </w:r>
      <w:r w:rsidR="006F1093">
        <w:t xml:space="preserve"> election</w:t>
      </w:r>
      <w:r w:rsidR="00BA1BD1">
        <w:t>s</w:t>
      </w:r>
      <w:r w:rsidR="006F1093">
        <w:t xml:space="preserve"> and </w:t>
      </w:r>
      <w:r w:rsidR="00BA1BD1">
        <w:t xml:space="preserve">submit </w:t>
      </w:r>
      <w:r w:rsidR="006F1093">
        <w:t xml:space="preserve">the Readiness Deposit 1 was </w:t>
      </w:r>
      <w:r w:rsidR="00477F34">
        <w:t>February 25, 2025 (i.e., the end of the five-business</w:t>
      </w:r>
      <w:r w:rsidR="003A5C53">
        <w:t>-</w:t>
      </w:r>
      <w:r w:rsidR="00513CA3">
        <w:t xml:space="preserve">day </w:t>
      </w:r>
      <w:r w:rsidR="00477F34">
        <w:t>period).</w:t>
      </w:r>
      <w:r>
        <w:rPr>
          <w:rStyle w:val="FootnoteReference"/>
        </w:rPr>
        <w:footnoteReference w:id="52"/>
      </w:r>
      <w:r w:rsidR="00477F34">
        <w:t xml:space="preserve">  </w:t>
      </w:r>
      <w:r w:rsidR="00D924F3">
        <w:t xml:space="preserve">Dover does not </w:t>
      </w:r>
      <w:r w:rsidRPr="00D924F3" w:rsidR="00D924F3">
        <w:t xml:space="preserve">point to any indication in the Tariff that </w:t>
      </w:r>
      <w:r w:rsidR="00BA1BD1">
        <w:t>this deadline</w:t>
      </w:r>
      <w:r w:rsidRPr="00D924F3" w:rsidR="00D924F3">
        <w:t xml:space="preserve"> </w:t>
      </w:r>
    </w:p>
    <w:p w:rsidR="007D4876" w:rsidP="007D4876">
      <w:pPr>
        <w:pStyle w:val="FERCparanumber"/>
        <w:widowControl w:val="0"/>
        <w:numPr>
          <w:ilvl w:val="0"/>
          <w:numId w:val="0"/>
        </w:numPr>
      </w:pPr>
    </w:p>
    <w:p w:rsidR="00DE2DC2" w:rsidP="007D4876">
      <w:pPr>
        <w:pStyle w:val="FERCparanumber"/>
        <w:widowControl w:val="0"/>
        <w:numPr>
          <w:ilvl w:val="0"/>
          <w:numId w:val="0"/>
        </w:numPr>
      </w:pPr>
      <w:r w:rsidRPr="00D924F3">
        <w:t>could be altered after the fact</w:t>
      </w:r>
      <w:r>
        <w:t>.</w:t>
      </w:r>
      <w:r>
        <w:rPr>
          <w:rStyle w:val="FootnoteReference"/>
        </w:rPr>
        <w:footnoteReference w:id="53"/>
      </w:r>
      <w:r>
        <w:t xml:space="preserve"> </w:t>
      </w:r>
      <w:r w:rsidRPr="00D924F3">
        <w:t xml:space="preserve"> </w:t>
      </w:r>
      <w:r w:rsidR="00D65417">
        <w:t xml:space="preserve">The Commission has previously found that </w:t>
      </w:r>
      <w:r w:rsidR="001E07CC">
        <w:t xml:space="preserve">similar </w:t>
      </w:r>
      <w:r w:rsidR="00D65417">
        <w:t>timeframes</w:t>
      </w:r>
      <w:r w:rsidR="00141033">
        <w:t xml:space="preserve"> in tariff provisions</w:t>
      </w:r>
      <w:r w:rsidR="00D65417">
        <w:t xml:space="preserve"> are </w:t>
      </w:r>
      <w:r w:rsidR="00C12AA9">
        <w:t>subject to the filed rate doctrine.</w:t>
      </w:r>
      <w:r>
        <w:rPr>
          <w:rStyle w:val="FootnoteReference"/>
        </w:rPr>
        <w:footnoteReference w:id="54"/>
      </w:r>
      <w:r w:rsidR="004C612A">
        <w:t xml:space="preserve">  </w:t>
      </w:r>
    </w:p>
    <w:p w:rsidR="007F0957" w:rsidP="007D4876">
      <w:pPr>
        <w:pStyle w:val="FERCparanumber"/>
        <w:ind w:right="-360"/>
      </w:pPr>
      <w:r>
        <w:t xml:space="preserve">In addition to receiving </w:t>
      </w:r>
      <w:r w:rsidR="00040016">
        <w:t>adequate notice through NYISO’s express Tariff provision</w:t>
      </w:r>
      <w:r w:rsidR="00C97E11">
        <w:t>s</w:t>
      </w:r>
      <w:r w:rsidR="001A3080">
        <w:t xml:space="preserve">, </w:t>
      </w:r>
      <w:r w:rsidR="00BF7CF3">
        <w:t xml:space="preserve">the record reflects that </w:t>
      </w:r>
      <w:r w:rsidR="004C612A">
        <w:t xml:space="preserve">NYISO provided </w:t>
      </w:r>
      <w:r w:rsidR="002B193B">
        <w:t>all interconnection customers</w:t>
      </w:r>
      <w:r w:rsidR="00D32E0D">
        <w:t>, including Dover,</w:t>
      </w:r>
      <w:r w:rsidR="002B193B">
        <w:t xml:space="preserve"> with </w:t>
      </w:r>
      <w:r w:rsidR="00FE0068">
        <w:t>the actual date of the deadline</w:t>
      </w:r>
      <w:r w:rsidR="00EE6673">
        <w:t xml:space="preserve"> at multiple times</w:t>
      </w:r>
      <w:r w:rsidR="00FE0068">
        <w:t xml:space="preserve"> </w:t>
      </w:r>
      <w:r w:rsidR="002B193B">
        <w:t xml:space="preserve">through multiple formats, including </w:t>
      </w:r>
      <w:r w:rsidR="007D4876">
        <w:t xml:space="preserve">  </w:t>
      </w:r>
      <w:r w:rsidR="004E51EE">
        <w:t xml:space="preserve">via </w:t>
      </w:r>
      <w:r w:rsidR="002B193B">
        <w:t>emails</w:t>
      </w:r>
      <w:r w:rsidR="004E51EE">
        <w:t xml:space="preserve"> </w:t>
      </w:r>
      <w:r w:rsidR="002B193B">
        <w:t xml:space="preserve">and </w:t>
      </w:r>
      <w:r w:rsidR="004E51EE">
        <w:t xml:space="preserve">through </w:t>
      </w:r>
      <w:r w:rsidR="002B193B">
        <w:t>stakeholder meetings</w:t>
      </w:r>
      <w:r w:rsidR="00581880">
        <w:t>, the materials for which were also publicly posted</w:t>
      </w:r>
      <w:r w:rsidR="002B193B">
        <w:t>.</w:t>
      </w:r>
      <w:r>
        <w:rPr>
          <w:rStyle w:val="FootnoteReference"/>
        </w:rPr>
        <w:footnoteReference w:id="55"/>
      </w:r>
      <w:r w:rsidR="002B193B">
        <w:t xml:space="preserve"> </w:t>
      </w:r>
      <w:r w:rsidR="004458F2">
        <w:t xml:space="preserve"> </w:t>
      </w:r>
      <w:r w:rsidR="00D32E0D">
        <w:t>Dover also acknowledges that it received</w:t>
      </w:r>
      <w:r w:rsidR="00842171">
        <w:t xml:space="preserve"> notice of </w:t>
      </w:r>
      <w:r w:rsidR="006C6A3D">
        <w:t>the</w:t>
      </w:r>
      <w:r w:rsidR="00842171">
        <w:t xml:space="preserve"> deadline in a</w:t>
      </w:r>
      <w:r w:rsidR="00410DDE">
        <w:t xml:space="preserve"> February 12, 2025, emai</w:t>
      </w:r>
      <w:r w:rsidR="00442085">
        <w:t>l</w:t>
      </w:r>
      <w:r w:rsidR="00042337">
        <w:t>.</w:t>
      </w:r>
      <w:r>
        <w:rPr>
          <w:rStyle w:val="FootnoteReference"/>
        </w:rPr>
        <w:footnoteReference w:id="56"/>
      </w:r>
      <w:r w:rsidR="004656A5">
        <w:t xml:space="preserve">  Therefore, we are not persuaded by Dover’s </w:t>
      </w:r>
      <w:r w:rsidR="007E01C6">
        <w:t>claims</w:t>
      </w:r>
      <w:r w:rsidR="004656A5">
        <w:t xml:space="preserve"> that </w:t>
      </w:r>
      <w:r w:rsidR="00705F69">
        <w:t xml:space="preserve">it </w:t>
      </w:r>
      <w:r w:rsidR="00525018">
        <w:t xml:space="preserve">did not have sufficient opportunities to </w:t>
      </w:r>
      <w:r w:rsidR="00486A22">
        <w:t>understand</w:t>
      </w:r>
      <w:r w:rsidR="003F11B4">
        <w:t xml:space="preserve"> its</w:t>
      </w:r>
      <w:r w:rsidR="00FF173A">
        <w:t xml:space="preserve"> obligations under the Tariff</w:t>
      </w:r>
      <w:r w:rsidR="00705F69">
        <w:t>.</w:t>
      </w:r>
    </w:p>
    <w:p w:rsidR="008D3893" w:rsidRPr="007D4876" w:rsidP="007D4876">
      <w:pPr>
        <w:pStyle w:val="FERCparanumber"/>
      </w:pPr>
      <w:r w:rsidRPr="00AB32EB">
        <w:t xml:space="preserve">Because we are denying </w:t>
      </w:r>
      <w:r>
        <w:t>Dover</w:t>
      </w:r>
      <w:r w:rsidRPr="00AB32EB">
        <w:t xml:space="preserve">’s waiver request on the basis that it is prohibited by the filed rate doctrine, we need not address whether </w:t>
      </w:r>
      <w:r>
        <w:t>Dover’s</w:t>
      </w:r>
      <w:r w:rsidRPr="00AB32EB">
        <w:t xml:space="preserve"> request would satisfy the criteria used by the Commission to evaluate waiver requests. </w:t>
      </w:r>
    </w:p>
    <w:p w:rsidR="001249FE">
      <w:r w:rsidRPr="00CD0B38">
        <w:rPr>
          <w:u w:val="single"/>
        </w:rPr>
        <w:t>The Commission orders</w:t>
      </w:r>
      <w:r w:rsidRPr="00CD0B38">
        <w:t>:</w:t>
      </w:r>
    </w:p>
    <w:p w:rsidR="001249FE"/>
    <w:p w:rsidR="001249FE" w:rsidRPr="00CD0B38" w:rsidP="00562396">
      <w:pPr>
        <w:spacing w:after="260"/>
        <w:ind w:firstLine="720"/>
      </w:pPr>
      <w:r>
        <w:t>Dover’</w:t>
      </w:r>
      <w:r w:rsidR="00D51A31">
        <w:t>s</w:t>
      </w:r>
      <w:r w:rsidRPr="00594F2B">
        <w:t xml:space="preserve"> waiver request is hereby denied, as discussed in the body of this order.</w:t>
      </w:r>
    </w:p>
    <w:p w:rsidR="001249FE" w:rsidRPr="00CD0B38">
      <w:r w:rsidRPr="00CD0B38">
        <w:t>By the Commission.</w:t>
      </w:r>
    </w:p>
    <w:p w:rsidR="001249FE"/>
    <w:p w:rsidR="007D4876" w:rsidP="007D4876">
      <w:pPr>
        <w:widowControl/>
      </w:pPr>
      <w:r w:rsidRPr="007D4876">
        <w:t>( S E A L )</w:t>
      </w:r>
    </w:p>
    <w:p w:rsidR="007D4876" w:rsidP="003E7BCA"/>
    <w:p w:rsidR="007D4876" w:rsidRPr="007D4876" w:rsidP="007D4876">
      <w:pPr>
        <w:widowControl/>
        <w:ind w:firstLine="2174"/>
        <w:jc w:val="center"/>
      </w:pPr>
      <w:r w:rsidRPr="007D4876">
        <w:t>Carlos D. Clay,</w:t>
      </w:r>
    </w:p>
    <w:p w:rsidR="007D4876" w:rsidRPr="007D4876" w:rsidP="007D4876">
      <w:pPr>
        <w:widowControl/>
        <w:ind w:firstLine="2174"/>
        <w:jc w:val="center"/>
      </w:pPr>
      <w:r w:rsidRPr="007D4876">
        <w:t xml:space="preserve"> Deputy Secretary.</w:t>
      </w:r>
    </w:p>
    <w:sectPr w:rsidSect="001249FE">
      <w:headerReference w:type="even" r:id="rId11"/>
      <w:headerReference w:type="default" r:id="rId12"/>
      <w:headerReference w:type="first" r:id="rId13"/>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8AA" w:rsidP="0048020B">
      <w:r>
        <w:separator/>
      </w:r>
    </w:p>
  </w:endnote>
  <w:endnote w:type="continuationSeparator" w:id="1">
    <w:p w:rsidR="008F38AA" w:rsidP="0048020B">
      <w:r>
        <w:continuationSeparator/>
      </w:r>
    </w:p>
  </w:endnote>
  <w:endnote w:type="continuationNotice" w:id="2">
    <w:p w:rsidR="008F38A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8AA" w:rsidP="0048020B">
      <w:r>
        <w:separator/>
      </w:r>
    </w:p>
  </w:footnote>
  <w:footnote w:type="continuationSeparator" w:id="1">
    <w:p w:rsidR="008F38AA" w:rsidP="0048020B">
      <w:r>
        <w:continuationSeparator/>
      </w:r>
    </w:p>
  </w:footnote>
  <w:footnote w:type="continuationNotice" w:id="2">
    <w:p w:rsidR="008F38AA" w:rsidRPr="00587EC8" w:rsidP="00587EC8">
      <w:pPr>
        <w:spacing w:line="14" w:lineRule="exact"/>
        <w:rPr>
          <w:sz w:val="2"/>
        </w:rPr>
      </w:pPr>
    </w:p>
  </w:footnote>
  <w:footnote w:id="3">
    <w:p w:rsidR="00BE7678" w:rsidRPr="004272CF" w:rsidP="00BE7678">
      <w:pPr>
        <w:pStyle w:val="FootnoteText"/>
        <w:rPr>
          <w:szCs w:val="26"/>
        </w:rPr>
      </w:pPr>
      <w:r>
        <w:rPr>
          <w:rStyle w:val="FootnoteReference"/>
        </w:rPr>
        <w:footnoteRef/>
      </w:r>
      <w:r>
        <w:t xml:space="preserve"> </w:t>
      </w:r>
      <w:r w:rsidRPr="004272CF">
        <w:rPr>
          <w:szCs w:val="26"/>
        </w:rPr>
        <w:t xml:space="preserve">18 C.F.R. </w:t>
      </w:r>
      <w:r w:rsidR="001B131D">
        <w:rPr>
          <w:szCs w:val="26"/>
        </w:rPr>
        <w:t>§</w:t>
      </w:r>
      <w:r w:rsidRPr="004272CF">
        <w:rPr>
          <w:szCs w:val="26"/>
        </w:rPr>
        <w:t>§ 385.207(a)(5)</w:t>
      </w:r>
      <w:r w:rsidR="001B131D">
        <w:rPr>
          <w:szCs w:val="26"/>
        </w:rPr>
        <w:t>, 385.212</w:t>
      </w:r>
      <w:r w:rsidRPr="004272CF" w:rsidR="001B131D">
        <w:rPr>
          <w:szCs w:val="26"/>
        </w:rPr>
        <w:t xml:space="preserve"> </w:t>
      </w:r>
      <w:r w:rsidRPr="004272CF">
        <w:rPr>
          <w:szCs w:val="26"/>
        </w:rPr>
        <w:t>(202</w:t>
      </w:r>
      <w:r w:rsidR="001B131D">
        <w:rPr>
          <w:szCs w:val="26"/>
        </w:rPr>
        <w:t>4</w:t>
      </w:r>
      <w:r w:rsidRPr="004272CF">
        <w:rPr>
          <w:szCs w:val="26"/>
        </w:rPr>
        <w:t>).</w:t>
      </w:r>
    </w:p>
  </w:footnote>
  <w:footnote w:id="4">
    <w:p w:rsidR="001B131D" w:rsidP="00E30354">
      <w:pPr>
        <w:pStyle w:val="FootnoteText"/>
      </w:pPr>
      <w:r>
        <w:rPr>
          <w:rStyle w:val="FootnoteReference"/>
        </w:rPr>
        <w:footnoteRef/>
      </w:r>
      <w:r>
        <w:t xml:space="preserve"> Waiver Request at 2.</w:t>
      </w:r>
      <w:r w:rsidR="00812F3D">
        <w:t xml:space="preserve">  </w:t>
      </w:r>
      <w:r w:rsidRPr="00E30354" w:rsidR="00E30354">
        <w:t xml:space="preserve">Capitalized terms used but not otherwise defined in this order have the meanings ascribed to them in NYISO’s </w:t>
      </w:r>
      <w:r w:rsidR="00E30354">
        <w:t>Tariff</w:t>
      </w:r>
      <w:r w:rsidRPr="00E30354" w:rsidR="00E30354">
        <w:t>.</w:t>
      </w:r>
    </w:p>
  </w:footnote>
  <w:footnote w:id="5">
    <w:p w:rsidR="001103E9">
      <w:pPr>
        <w:pStyle w:val="FootnoteText"/>
      </w:pPr>
      <w:r>
        <w:rPr>
          <w:rStyle w:val="FootnoteReference"/>
        </w:rPr>
        <w:footnoteRef/>
      </w:r>
      <w:r>
        <w:t xml:space="preserve"> NYISO, NYISO Tariffs, NYISO OATT, attach. HH, § 40.7 (Customer Engagement Window/Phase 1 Entry Decision Period) (0.0.0), §§ 40.7.5.</w:t>
      </w:r>
      <w:r w:rsidR="002944E4">
        <w:t>1, 40.7.5.2</w:t>
      </w:r>
      <w:r w:rsidR="00F32DDA">
        <w:t>.</w:t>
      </w:r>
    </w:p>
  </w:footnote>
  <w:footnote w:id="6">
    <w:p w:rsidR="0066622B">
      <w:pPr>
        <w:pStyle w:val="FootnoteText"/>
      </w:pPr>
      <w:r>
        <w:rPr>
          <w:rStyle w:val="FootnoteReference"/>
        </w:rPr>
        <w:footnoteRef/>
      </w:r>
      <w:r>
        <w:t xml:space="preserve"> </w:t>
      </w:r>
      <w:r w:rsidR="00C10653">
        <w:rPr>
          <w:i/>
          <w:iCs/>
        </w:rPr>
        <w:t>Id.</w:t>
      </w:r>
      <w:r w:rsidR="00B5547F">
        <w:t xml:space="preserve"> </w:t>
      </w:r>
      <w:r w:rsidR="001A0B1C">
        <w:t>§</w:t>
      </w:r>
      <w:r w:rsidR="00E30354">
        <w:t xml:space="preserve"> 40.7.5.3</w:t>
      </w:r>
      <w:r w:rsidR="00670336">
        <w:t>(i), (iii)</w:t>
      </w:r>
      <w:r w:rsidR="00613373">
        <w:t>.</w:t>
      </w:r>
    </w:p>
  </w:footnote>
  <w:footnote w:id="7">
    <w:p w:rsidR="00F405E0" w:rsidRPr="00504B86">
      <w:pPr>
        <w:pStyle w:val="FootnoteText"/>
      </w:pPr>
      <w:r>
        <w:rPr>
          <w:rStyle w:val="FootnoteReference"/>
        </w:rPr>
        <w:footnoteRef/>
      </w:r>
      <w:r>
        <w:t xml:space="preserve"> </w:t>
      </w:r>
      <w:r w:rsidR="00504B86">
        <w:rPr>
          <w:i/>
          <w:iCs/>
        </w:rPr>
        <w:t>Id.</w:t>
      </w:r>
      <w:r w:rsidR="00504B86">
        <w:t xml:space="preserve"> </w:t>
      </w:r>
      <w:r w:rsidR="006710AC">
        <w:t xml:space="preserve">§ </w:t>
      </w:r>
      <w:r w:rsidR="005D1C97">
        <w:t>40.7.6.1</w:t>
      </w:r>
      <w:r w:rsidR="00ED4EBD">
        <w:t>.</w:t>
      </w:r>
    </w:p>
  </w:footnote>
  <w:footnote w:id="8">
    <w:p w:rsidR="0081766E" w:rsidRPr="00D52AA2" w:rsidP="0081766E">
      <w:pPr>
        <w:pStyle w:val="FootnoteText"/>
      </w:pPr>
      <w:r>
        <w:rPr>
          <w:rStyle w:val="FootnoteReference"/>
        </w:rPr>
        <w:footnoteRef/>
      </w:r>
      <w:r>
        <w:t xml:space="preserve"> </w:t>
      </w:r>
      <w:r w:rsidR="005D1C97">
        <w:rPr>
          <w:i/>
          <w:iCs/>
        </w:rPr>
        <w:t>Id.</w:t>
      </w:r>
      <w:r w:rsidR="005D1C97">
        <w:t xml:space="preserve"> § 40.6 (Queue Position/Modification/Withdrawal/Withdrawal Penalties) (0.0.0)</w:t>
      </w:r>
      <w:r w:rsidR="00797CDF">
        <w:t>,</w:t>
      </w:r>
      <w:r w:rsidR="005D1C97">
        <w:t xml:space="preserve"> § 40.6.4</w:t>
      </w:r>
      <w:r w:rsidR="00B2314E">
        <w:t>.1</w:t>
      </w:r>
      <w:r w:rsidR="005D1C97">
        <w:t>.</w:t>
      </w:r>
    </w:p>
  </w:footnote>
  <w:footnote w:id="9">
    <w:p w:rsidR="002D5232">
      <w:pPr>
        <w:pStyle w:val="FootnoteText"/>
      </w:pPr>
      <w:r>
        <w:rPr>
          <w:rStyle w:val="FootnoteReference"/>
        </w:rPr>
        <w:footnoteRef/>
      </w:r>
      <w:r>
        <w:t xml:space="preserve"> </w:t>
      </w:r>
      <w:r w:rsidR="00137D0F">
        <w:t>Waiver Request</w:t>
      </w:r>
      <w:r>
        <w:t xml:space="preserve"> at 1.</w:t>
      </w:r>
    </w:p>
  </w:footnote>
  <w:footnote w:id="10">
    <w:p w:rsidR="002D5232" w:rsidRPr="002D5232">
      <w:pPr>
        <w:pStyle w:val="FootnoteText"/>
      </w:pPr>
      <w:r>
        <w:rPr>
          <w:rStyle w:val="FootnoteReference"/>
        </w:rPr>
        <w:footnoteRef/>
      </w:r>
      <w:r>
        <w:t xml:space="preserve"> </w:t>
      </w:r>
      <w:r>
        <w:rPr>
          <w:i/>
          <w:iCs/>
        </w:rPr>
        <w:t xml:space="preserve">Id. </w:t>
      </w:r>
      <w:r>
        <w:t>at 4.</w:t>
      </w:r>
    </w:p>
  </w:footnote>
  <w:footnote w:id="11">
    <w:p w:rsidR="001F65FA" w:rsidRPr="001F65FA">
      <w:pPr>
        <w:pStyle w:val="FootnoteText"/>
      </w:pPr>
      <w:r>
        <w:rPr>
          <w:rStyle w:val="FootnoteReference"/>
        </w:rPr>
        <w:footnoteRef/>
      </w:r>
      <w:r>
        <w:t xml:space="preserve"> </w:t>
      </w:r>
      <w:r>
        <w:rPr>
          <w:i/>
          <w:iCs/>
        </w:rPr>
        <w:t>Id.</w:t>
      </w:r>
      <w:r>
        <w:t xml:space="preserve"> </w:t>
      </w:r>
    </w:p>
  </w:footnote>
  <w:footnote w:id="12">
    <w:p w:rsidR="00036AEC" w:rsidRPr="00036AEC">
      <w:pPr>
        <w:pStyle w:val="FootnoteText"/>
      </w:pPr>
      <w:r>
        <w:rPr>
          <w:rStyle w:val="FootnoteReference"/>
        </w:rPr>
        <w:footnoteRef/>
      </w:r>
      <w:r>
        <w:t xml:space="preserve"> </w:t>
      </w:r>
      <w:r>
        <w:rPr>
          <w:i/>
          <w:iCs/>
        </w:rPr>
        <w:t>Id.</w:t>
      </w:r>
      <w:r>
        <w:t xml:space="preserve"> at 4-5.</w:t>
      </w:r>
    </w:p>
  </w:footnote>
  <w:footnote w:id="13">
    <w:p w:rsidR="00421422" w:rsidRPr="00421422">
      <w:pPr>
        <w:pStyle w:val="FootnoteText"/>
      </w:pPr>
      <w:r>
        <w:rPr>
          <w:rStyle w:val="FootnoteReference"/>
        </w:rPr>
        <w:footnoteRef/>
      </w:r>
      <w:r>
        <w:t xml:space="preserve"> </w:t>
      </w:r>
      <w:r>
        <w:rPr>
          <w:i/>
          <w:iCs/>
        </w:rPr>
        <w:t>Id.</w:t>
      </w:r>
      <w:r>
        <w:t xml:space="preserve"> at 5.</w:t>
      </w:r>
    </w:p>
  </w:footnote>
  <w:footnote w:id="14">
    <w:p w:rsidR="00CE1F79" w:rsidRPr="00CE1F79">
      <w:pPr>
        <w:pStyle w:val="FootnoteText"/>
      </w:pPr>
      <w:r>
        <w:rPr>
          <w:rStyle w:val="FootnoteReference"/>
        </w:rPr>
        <w:footnoteRef/>
      </w:r>
      <w:r>
        <w:t xml:space="preserve"> </w:t>
      </w:r>
      <w:r>
        <w:rPr>
          <w:i/>
          <w:iCs/>
        </w:rPr>
        <w:t>Id.</w:t>
      </w:r>
      <w:r>
        <w:t xml:space="preserve"> at 6.</w:t>
      </w:r>
    </w:p>
  </w:footnote>
  <w:footnote w:id="15">
    <w:p w:rsidR="001E124C" w:rsidRPr="001E124C">
      <w:pPr>
        <w:pStyle w:val="FootnoteText"/>
      </w:pPr>
      <w:r>
        <w:rPr>
          <w:rStyle w:val="FootnoteReference"/>
        </w:rPr>
        <w:footnoteRef/>
      </w:r>
      <w:r>
        <w:t xml:space="preserve"> </w:t>
      </w:r>
      <w:r>
        <w:rPr>
          <w:i/>
          <w:iCs/>
        </w:rPr>
        <w:t>Id.</w:t>
      </w:r>
      <w:r>
        <w:t xml:space="preserve"> at 6-7.</w:t>
      </w:r>
    </w:p>
  </w:footnote>
  <w:footnote w:id="16">
    <w:p w:rsidR="0027739D" w:rsidRPr="0027739D">
      <w:pPr>
        <w:pStyle w:val="FootnoteText"/>
      </w:pPr>
      <w:r>
        <w:rPr>
          <w:rStyle w:val="FootnoteReference"/>
        </w:rPr>
        <w:footnoteRef/>
      </w:r>
      <w:r>
        <w:t xml:space="preserve"> </w:t>
      </w:r>
      <w:r>
        <w:rPr>
          <w:i/>
          <w:iCs/>
        </w:rPr>
        <w:t>Id.</w:t>
      </w:r>
      <w:r>
        <w:t xml:space="preserve"> at 7.</w:t>
      </w:r>
    </w:p>
  </w:footnote>
  <w:footnote w:id="17">
    <w:p w:rsidR="00144BD0" w:rsidRPr="00144BD0">
      <w:pPr>
        <w:pStyle w:val="FootnoteText"/>
      </w:pPr>
      <w:r>
        <w:rPr>
          <w:rStyle w:val="FootnoteReference"/>
        </w:rPr>
        <w:footnoteRef/>
      </w:r>
      <w:r>
        <w:t xml:space="preserve"> </w:t>
      </w:r>
      <w:r>
        <w:rPr>
          <w:i/>
          <w:iCs/>
        </w:rPr>
        <w:t>Id.</w:t>
      </w:r>
      <w:r>
        <w:t xml:space="preserve"> at 7-8.</w:t>
      </w:r>
    </w:p>
  </w:footnote>
  <w:footnote w:id="18">
    <w:p w:rsidR="00AE01FD" w:rsidRPr="00AE01FD">
      <w:pPr>
        <w:pStyle w:val="FootnoteText"/>
      </w:pPr>
      <w:r>
        <w:rPr>
          <w:rStyle w:val="FootnoteReference"/>
        </w:rPr>
        <w:footnoteRef/>
      </w:r>
      <w:r>
        <w:t xml:space="preserve"> </w:t>
      </w:r>
      <w:r>
        <w:rPr>
          <w:i/>
          <w:iCs/>
        </w:rPr>
        <w:t>Id.</w:t>
      </w:r>
      <w:r>
        <w:t xml:space="preserve"> at 8.</w:t>
      </w:r>
    </w:p>
  </w:footnote>
  <w:footnote w:id="19">
    <w:p w:rsidR="00E83C57" w:rsidRPr="00E83C57">
      <w:pPr>
        <w:pStyle w:val="FootnoteText"/>
      </w:pPr>
      <w:r>
        <w:rPr>
          <w:rStyle w:val="FootnoteReference"/>
        </w:rPr>
        <w:footnoteRef/>
      </w:r>
      <w:r>
        <w:t xml:space="preserve"> </w:t>
      </w:r>
      <w:r>
        <w:rPr>
          <w:i/>
          <w:iCs/>
        </w:rPr>
        <w:t>Id.</w:t>
      </w:r>
      <w:r>
        <w:t xml:space="preserve"> at 8-9.</w:t>
      </w:r>
    </w:p>
  </w:footnote>
  <w:footnote w:id="20">
    <w:p w:rsidR="00254246" w:rsidRPr="00254246">
      <w:pPr>
        <w:pStyle w:val="FootnoteText"/>
      </w:pPr>
      <w:r>
        <w:rPr>
          <w:rStyle w:val="FootnoteReference"/>
        </w:rPr>
        <w:footnoteRef/>
      </w:r>
      <w:r>
        <w:t xml:space="preserve"> </w:t>
      </w:r>
      <w:r>
        <w:rPr>
          <w:i/>
          <w:iCs/>
        </w:rPr>
        <w:t>Id.</w:t>
      </w:r>
      <w:r>
        <w:t xml:space="preserve"> at 9.</w:t>
      </w:r>
    </w:p>
  </w:footnote>
  <w:footnote w:id="21">
    <w:p w:rsidR="001350AA" w:rsidRPr="001350AA">
      <w:pPr>
        <w:pStyle w:val="FootnoteText"/>
      </w:pPr>
      <w:r>
        <w:rPr>
          <w:rStyle w:val="FootnoteReference"/>
        </w:rPr>
        <w:footnoteRef/>
      </w:r>
      <w:r>
        <w:t xml:space="preserve"> </w:t>
      </w:r>
      <w:r>
        <w:rPr>
          <w:i/>
          <w:iCs/>
        </w:rPr>
        <w:t>Id.</w:t>
      </w:r>
      <w:r w:rsidR="00250F3B">
        <w:t xml:space="preserve"> </w:t>
      </w:r>
      <w:r w:rsidR="00855CA0">
        <w:t>at 10.</w:t>
      </w:r>
    </w:p>
  </w:footnote>
  <w:footnote w:id="22">
    <w:p w:rsidR="00501E7B" w:rsidRPr="004F5612">
      <w:pPr>
        <w:pStyle w:val="FootnoteText"/>
      </w:pPr>
      <w:r>
        <w:rPr>
          <w:rStyle w:val="FootnoteReference"/>
        </w:rPr>
        <w:footnoteRef/>
      </w:r>
      <w:r>
        <w:t xml:space="preserve"> </w:t>
      </w:r>
      <w:r w:rsidR="004F5612">
        <w:rPr>
          <w:i/>
          <w:iCs/>
        </w:rPr>
        <w:t>Id.</w:t>
      </w:r>
      <w:r w:rsidR="004F5612">
        <w:t xml:space="preserve"> at 11-12.</w:t>
      </w:r>
    </w:p>
  </w:footnote>
  <w:footnote w:id="23">
    <w:p w:rsidR="005B300F" w:rsidRPr="005B300F">
      <w:pPr>
        <w:pStyle w:val="FootnoteText"/>
      </w:pPr>
      <w:r>
        <w:rPr>
          <w:rStyle w:val="FootnoteReference"/>
        </w:rPr>
        <w:footnoteRef/>
      </w:r>
      <w:r>
        <w:t xml:space="preserve"> </w:t>
      </w:r>
      <w:r>
        <w:rPr>
          <w:i/>
          <w:iCs/>
        </w:rPr>
        <w:t>Id.</w:t>
      </w:r>
      <w:r>
        <w:t xml:space="preserve"> at 12.</w:t>
      </w:r>
    </w:p>
  </w:footnote>
  <w:footnote w:id="24">
    <w:p w:rsidR="00A23D54" w:rsidRPr="00A23D54">
      <w:pPr>
        <w:pStyle w:val="FootnoteText"/>
      </w:pPr>
      <w:r>
        <w:rPr>
          <w:rStyle w:val="FootnoteReference"/>
        </w:rPr>
        <w:footnoteRef/>
      </w:r>
      <w:r>
        <w:t xml:space="preserve"> </w:t>
      </w:r>
      <w:r>
        <w:rPr>
          <w:i/>
          <w:iCs/>
        </w:rPr>
        <w:t xml:space="preserve">Id. </w:t>
      </w:r>
      <w:r>
        <w:t>at 12-13.</w:t>
      </w:r>
    </w:p>
  </w:footnote>
  <w:footnote w:id="25">
    <w:p w:rsidR="00A73912">
      <w:pPr>
        <w:pStyle w:val="FootnoteText"/>
      </w:pPr>
      <w:r>
        <w:rPr>
          <w:rStyle w:val="FootnoteReference"/>
        </w:rPr>
        <w:footnoteRef/>
      </w:r>
      <w:r>
        <w:t xml:space="preserve"> </w:t>
      </w:r>
      <w:r w:rsidRPr="00F26A68" w:rsidR="00F9133B">
        <w:t>NYISO Protest</w:t>
      </w:r>
      <w:r>
        <w:t xml:space="preserve"> at 5-6.</w:t>
      </w:r>
    </w:p>
  </w:footnote>
  <w:footnote w:id="26">
    <w:p w:rsidR="00120537" w:rsidRPr="002A3A08">
      <w:pPr>
        <w:pStyle w:val="FootnoteText"/>
      </w:pPr>
      <w:r>
        <w:rPr>
          <w:rStyle w:val="FootnoteReference"/>
        </w:rPr>
        <w:footnoteRef/>
      </w:r>
      <w:r>
        <w:t xml:space="preserve"> </w:t>
      </w:r>
      <w:r>
        <w:rPr>
          <w:i/>
          <w:iCs/>
        </w:rPr>
        <w:t>Id.</w:t>
      </w:r>
      <w:r w:rsidR="002A3A08">
        <w:t xml:space="preserve"> at 6.</w:t>
      </w:r>
    </w:p>
  </w:footnote>
  <w:footnote w:id="27">
    <w:p w:rsidR="00A62BE7" w:rsidRPr="00A62BE7">
      <w:pPr>
        <w:pStyle w:val="FootnoteText"/>
      </w:pPr>
      <w:r>
        <w:rPr>
          <w:rStyle w:val="FootnoteReference"/>
        </w:rPr>
        <w:footnoteRef/>
      </w:r>
      <w:r>
        <w:t xml:space="preserve"> </w:t>
      </w:r>
      <w:r>
        <w:rPr>
          <w:i/>
          <w:iCs/>
        </w:rPr>
        <w:t>Id.</w:t>
      </w:r>
      <w:r>
        <w:t xml:space="preserve"> at 6-7.</w:t>
      </w:r>
    </w:p>
  </w:footnote>
  <w:footnote w:id="28">
    <w:p w:rsidR="007A2235" w:rsidRPr="00E1019E">
      <w:pPr>
        <w:pStyle w:val="FootnoteText"/>
      </w:pPr>
      <w:r>
        <w:rPr>
          <w:rStyle w:val="FootnoteReference"/>
        </w:rPr>
        <w:footnoteRef/>
      </w:r>
      <w:r>
        <w:t xml:space="preserve"> </w:t>
      </w:r>
      <w:r w:rsidR="00E1019E">
        <w:rPr>
          <w:i/>
          <w:iCs/>
        </w:rPr>
        <w:t>Id.</w:t>
      </w:r>
      <w:r w:rsidR="00E1019E">
        <w:t xml:space="preserve"> at 7</w:t>
      </w:r>
      <w:r w:rsidR="00383C38">
        <w:t>.</w:t>
      </w:r>
    </w:p>
  </w:footnote>
  <w:footnote w:id="29">
    <w:p w:rsidR="00DF3F2A" w:rsidRPr="00406FE2">
      <w:pPr>
        <w:pStyle w:val="FootnoteText"/>
        <w:rPr>
          <w:i/>
          <w:iCs/>
        </w:rPr>
      </w:pPr>
      <w:r>
        <w:rPr>
          <w:rStyle w:val="FootnoteReference"/>
        </w:rPr>
        <w:footnoteRef/>
      </w:r>
      <w:r>
        <w:t xml:space="preserve"> </w:t>
      </w:r>
      <w:r>
        <w:rPr>
          <w:i/>
          <w:iCs/>
        </w:rPr>
        <w:t>Id.</w:t>
      </w:r>
      <w:r w:rsidR="00FE6D69">
        <w:rPr>
          <w:i/>
          <w:iCs/>
        </w:rPr>
        <w:t xml:space="preserve"> </w:t>
      </w:r>
      <w:r w:rsidRPr="00C7277D" w:rsidR="00FE6D69">
        <w:t>at 7</w:t>
      </w:r>
      <w:r w:rsidR="00763BC3">
        <w:t>-</w:t>
      </w:r>
      <w:r w:rsidRPr="00C7277D" w:rsidR="00FE6D69">
        <w:t>9.</w:t>
      </w:r>
    </w:p>
  </w:footnote>
  <w:footnote w:id="30">
    <w:p w:rsidR="005D31B0" w:rsidRPr="002C5319">
      <w:pPr>
        <w:pStyle w:val="FootnoteText"/>
      </w:pPr>
      <w:r>
        <w:rPr>
          <w:rStyle w:val="FootnoteReference"/>
        </w:rPr>
        <w:footnoteRef/>
      </w:r>
      <w:r>
        <w:t xml:space="preserve"> </w:t>
      </w:r>
      <w:r w:rsidR="00F269E5">
        <w:t>NYISO also explains that it has identified emails sent to Mr. Payne containing the scoping meeting dates that were not opened, and that information on scoping meetings were provided in its stakeholder meetings.</w:t>
      </w:r>
      <w:r w:rsidR="00F269E5">
        <w:rPr>
          <w:i/>
          <w:iCs/>
        </w:rPr>
        <w:t xml:space="preserve"> </w:t>
      </w:r>
      <w:r w:rsidR="00320788">
        <w:rPr>
          <w:i/>
          <w:iCs/>
        </w:rPr>
        <w:t xml:space="preserve"> </w:t>
      </w:r>
      <w:r w:rsidR="00F269E5">
        <w:rPr>
          <w:i/>
          <w:iCs/>
        </w:rPr>
        <w:t xml:space="preserve">Id. </w:t>
      </w:r>
      <w:r w:rsidR="00F269E5">
        <w:t>at 9.</w:t>
      </w:r>
    </w:p>
  </w:footnote>
  <w:footnote w:id="31">
    <w:p w:rsidR="00FE3FD3" w:rsidRPr="00FE3FD3">
      <w:pPr>
        <w:pStyle w:val="FootnoteText"/>
      </w:pPr>
      <w:r>
        <w:rPr>
          <w:rStyle w:val="FootnoteReference"/>
        </w:rPr>
        <w:footnoteRef/>
      </w:r>
      <w:r>
        <w:t xml:space="preserve"> </w:t>
      </w:r>
      <w:r>
        <w:rPr>
          <w:i/>
          <w:iCs/>
        </w:rPr>
        <w:t xml:space="preserve">Id. </w:t>
      </w:r>
      <w:r>
        <w:t>at 8-9</w:t>
      </w:r>
      <w:r w:rsidR="000C3095">
        <w:t>.</w:t>
      </w:r>
    </w:p>
  </w:footnote>
  <w:footnote w:id="32">
    <w:p w:rsidR="00C533BD" w:rsidRPr="00C533BD">
      <w:pPr>
        <w:pStyle w:val="FootnoteText"/>
      </w:pPr>
      <w:r>
        <w:rPr>
          <w:rStyle w:val="FootnoteReference"/>
        </w:rPr>
        <w:footnoteRef/>
      </w:r>
      <w:r>
        <w:t xml:space="preserve"> </w:t>
      </w:r>
      <w:r>
        <w:rPr>
          <w:i/>
          <w:iCs/>
        </w:rPr>
        <w:t>Id.</w:t>
      </w:r>
      <w:r>
        <w:t xml:space="preserve"> at </w:t>
      </w:r>
      <w:r w:rsidR="00C44E50">
        <w:t>9</w:t>
      </w:r>
      <w:r>
        <w:t xml:space="preserve"> n.2</w:t>
      </w:r>
      <w:r w:rsidR="00C44E50">
        <w:t>6</w:t>
      </w:r>
      <w:r>
        <w:t>.</w:t>
      </w:r>
      <w:r w:rsidR="00E461B4">
        <w:t xml:space="preserve">  </w:t>
      </w:r>
    </w:p>
  </w:footnote>
  <w:footnote w:id="33">
    <w:p w:rsidR="004247A1" w:rsidRPr="004247A1">
      <w:pPr>
        <w:pStyle w:val="FootnoteText"/>
      </w:pPr>
      <w:r>
        <w:rPr>
          <w:rStyle w:val="FootnoteReference"/>
        </w:rPr>
        <w:footnoteRef/>
      </w:r>
      <w:r>
        <w:t xml:space="preserve"> </w:t>
      </w:r>
      <w:r>
        <w:rPr>
          <w:i/>
          <w:iCs/>
        </w:rPr>
        <w:t xml:space="preserve">Id. </w:t>
      </w:r>
      <w:r>
        <w:t>at 10.</w:t>
      </w:r>
    </w:p>
  </w:footnote>
  <w:footnote w:id="34">
    <w:p w:rsidR="00BA4DB1" w:rsidRPr="00C17A6E">
      <w:pPr>
        <w:pStyle w:val="FootnoteText"/>
      </w:pPr>
      <w:r>
        <w:rPr>
          <w:rStyle w:val="FootnoteReference"/>
        </w:rPr>
        <w:footnoteRef/>
      </w:r>
      <w:r>
        <w:t xml:space="preserve"> </w:t>
      </w:r>
      <w:r w:rsidR="00C17A6E">
        <w:rPr>
          <w:i/>
          <w:iCs/>
        </w:rPr>
        <w:t>Id.</w:t>
      </w:r>
      <w:r w:rsidR="00C17A6E">
        <w:t xml:space="preserve"> at 10-1</w:t>
      </w:r>
      <w:r w:rsidR="00746A3E">
        <w:t>3</w:t>
      </w:r>
      <w:r w:rsidR="00C17A6E">
        <w:t>.</w:t>
      </w:r>
    </w:p>
  </w:footnote>
  <w:footnote w:id="35">
    <w:p w:rsidR="00E471FB" w:rsidRPr="00E471FB">
      <w:pPr>
        <w:pStyle w:val="FootnoteText"/>
      </w:pPr>
      <w:r>
        <w:rPr>
          <w:rStyle w:val="FootnoteReference"/>
        </w:rPr>
        <w:footnoteRef/>
      </w:r>
      <w:r>
        <w:t xml:space="preserve"> </w:t>
      </w:r>
      <w:r>
        <w:rPr>
          <w:i/>
          <w:iCs/>
        </w:rPr>
        <w:t>Id</w:t>
      </w:r>
      <w:r>
        <w:t>.</w:t>
      </w:r>
      <w:r w:rsidR="00C50CFA">
        <w:t xml:space="preserve"> at 13.</w:t>
      </w:r>
    </w:p>
  </w:footnote>
  <w:footnote w:id="36">
    <w:p w:rsidR="00D06EC9" w:rsidRPr="00C37DDF">
      <w:pPr>
        <w:pStyle w:val="FootnoteText"/>
      </w:pPr>
      <w:r>
        <w:rPr>
          <w:rStyle w:val="FootnoteReference"/>
        </w:rPr>
        <w:footnoteRef/>
      </w:r>
      <w:r>
        <w:t xml:space="preserve"> </w:t>
      </w:r>
      <w:r w:rsidR="005F4D3A">
        <w:rPr>
          <w:i/>
          <w:iCs/>
        </w:rPr>
        <w:t>Id.</w:t>
      </w:r>
      <w:r>
        <w:t xml:space="preserve"> at 13-14.</w:t>
      </w:r>
    </w:p>
  </w:footnote>
  <w:footnote w:id="37">
    <w:p w:rsidR="00564F18" w:rsidP="00564F18">
      <w:pPr>
        <w:pStyle w:val="FootnoteText"/>
      </w:pPr>
      <w:r>
        <w:rPr>
          <w:rStyle w:val="FootnoteReference"/>
        </w:rPr>
        <w:footnoteRef/>
      </w:r>
      <w:r>
        <w:t xml:space="preserve"> Transco </w:t>
      </w:r>
      <w:r w:rsidR="00902CDC">
        <w:t>Protest</w:t>
      </w:r>
      <w:r>
        <w:t xml:space="preserve"> at 1.</w:t>
      </w:r>
    </w:p>
  </w:footnote>
  <w:footnote w:id="38">
    <w:p w:rsidR="00D163B0">
      <w:pPr>
        <w:pStyle w:val="FootnoteText"/>
      </w:pPr>
      <w:r>
        <w:rPr>
          <w:rStyle w:val="FootnoteReference"/>
        </w:rPr>
        <w:footnoteRef/>
      </w:r>
      <w:r>
        <w:t xml:space="preserve"> Niagara Mohawk Protest at 2 (citing</w:t>
      </w:r>
      <w:r w:rsidR="00FD34E2">
        <w:t xml:space="preserve"> </w:t>
      </w:r>
      <w:r w:rsidRPr="00FD34E2" w:rsidR="00FD34E2">
        <w:rPr>
          <w:i/>
          <w:iCs/>
        </w:rPr>
        <w:t>Okla. Gas &amp; Elec. Co. v. FERC</w:t>
      </w:r>
      <w:r w:rsidRPr="00FD34E2" w:rsidR="00FD34E2">
        <w:t>, 11 F.4th 821 (D.C. Cir. 2021)</w:t>
      </w:r>
      <w:r w:rsidR="00B868AA">
        <w:t xml:space="preserve"> (</w:t>
      </w:r>
      <w:r w:rsidR="00B868AA">
        <w:rPr>
          <w:i/>
          <w:iCs/>
        </w:rPr>
        <w:t>OG&amp;E</w:t>
      </w:r>
      <w:r w:rsidR="00B868AA">
        <w:t>)</w:t>
      </w:r>
      <w:r w:rsidRPr="00FD34E2" w:rsidR="00FD34E2">
        <w:t xml:space="preserve">; </w:t>
      </w:r>
      <w:r w:rsidRPr="00FD34E2" w:rsidR="00FD34E2">
        <w:rPr>
          <w:i/>
          <w:iCs/>
        </w:rPr>
        <w:t>Old Dominion Elec. Coop. v. FERC</w:t>
      </w:r>
      <w:r w:rsidRPr="00FD34E2" w:rsidR="00FD34E2">
        <w:t>, 892 F.3d 1223 (D.C. Cir. 2018)</w:t>
      </w:r>
      <w:r w:rsidR="00B868AA">
        <w:t xml:space="preserve"> (</w:t>
      </w:r>
      <w:r w:rsidR="00B868AA">
        <w:rPr>
          <w:i/>
          <w:iCs/>
        </w:rPr>
        <w:t>Old Dominion</w:t>
      </w:r>
      <w:r w:rsidR="00B868AA">
        <w:t>)</w:t>
      </w:r>
      <w:r w:rsidR="00FD34E2">
        <w:t>).</w:t>
      </w:r>
    </w:p>
  </w:footnote>
  <w:footnote w:id="39">
    <w:p w:rsidR="00CB2125" w:rsidRPr="00FD34E2">
      <w:pPr>
        <w:pStyle w:val="FootnoteText"/>
      </w:pPr>
      <w:r>
        <w:rPr>
          <w:rStyle w:val="FootnoteReference"/>
        </w:rPr>
        <w:footnoteRef/>
      </w:r>
      <w:r>
        <w:t xml:space="preserve"> </w:t>
      </w:r>
      <w:r w:rsidR="00FD34E2">
        <w:rPr>
          <w:i/>
          <w:iCs/>
        </w:rPr>
        <w:t>Id.</w:t>
      </w:r>
      <w:r w:rsidR="00FD34E2">
        <w:t xml:space="preserve"> </w:t>
      </w:r>
    </w:p>
  </w:footnote>
  <w:footnote w:id="40">
    <w:p w:rsidR="00DF0AAB" w:rsidRPr="00DF0AAB">
      <w:pPr>
        <w:pStyle w:val="FootnoteText"/>
      </w:pPr>
      <w:r>
        <w:rPr>
          <w:rStyle w:val="FootnoteReference"/>
        </w:rPr>
        <w:footnoteRef/>
      </w:r>
      <w:r>
        <w:t xml:space="preserve"> </w:t>
      </w:r>
      <w:r>
        <w:rPr>
          <w:i/>
          <w:iCs/>
        </w:rPr>
        <w:t>Id.</w:t>
      </w:r>
      <w:r>
        <w:t xml:space="preserve"> at 2-3.</w:t>
      </w:r>
    </w:p>
  </w:footnote>
  <w:footnote w:id="41">
    <w:p w:rsidR="002F299B" w:rsidRPr="002F299B" w:rsidP="002F299B">
      <w:pPr>
        <w:pStyle w:val="FootnoteText"/>
      </w:pPr>
      <w:r>
        <w:rPr>
          <w:rStyle w:val="FootnoteReference"/>
        </w:rPr>
        <w:footnoteRef/>
      </w:r>
      <w:r>
        <w:rPr>
          <w:i/>
          <w:iCs/>
        </w:rPr>
        <w:t xml:space="preserve"> Id.</w:t>
      </w:r>
      <w:r>
        <w:t xml:space="preserve"> at 3.</w:t>
      </w:r>
    </w:p>
  </w:footnote>
  <w:footnote w:id="42">
    <w:p w:rsidR="00FB2C48" w:rsidRPr="00FB2C48">
      <w:pPr>
        <w:pStyle w:val="FootnoteText"/>
      </w:pPr>
      <w:r>
        <w:rPr>
          <w:rStyle w:val="FootnoteReference"/>
        </w:rPr>
        <w:footnoteRef/>
      </w:r>
      <w:r>
        <w:t xml:space="preserve"> </w:t>
      </w:r>
      <w:r>
        <w:rPr>
          <w:i/>
          <w:iCs/>
        </w:rPr>
        <w:t>Id.</w:t>
      </w:r>
      <w:r>
        <w:t xml:space="preserve"> at 3-4.</w:t>
      </w:r>
    </w:p>
  </w:footnote>
  <w:footnote w:id="43">
    <w:p w:rsidR="009F6EDE">
      <w:pPr>
        <w:pStyle w:val="FootnoteText"/>
      </w:pPr>
      <w:r>
        <w:rPr>
          <w:rStyle w:val="FootnoteReference"/>
        </w:rPr>
        <w:footnoteRef/>
      </w:r>
      <w:r>
        <w:t xml:space="preserve"> Dover Answer at 2.</w:t>
      </w:r>
    </w:p>
  </w:footnote>
  <w:footnote w:id="44">
    <w:p w:rsidR="00891D62" w:rsidRPr="00891D62">
      <w:pPr>
        <w:pStyle w:val="FootnoteText"/>
      </w:pPr>
      <w:r>
        <w:rPr>
          <w:rStyle w:val="FootnoteReference"/>
        </w:rPr>
        <w:footnoteRef/>
      </w:r>
      <w:r>
        <w:t xml:space="preserve"> </w:t>
      </w:r>
      <w:r>
        <w:rPr>
          <w:i/>
          <w:iCs/>
        </w:rPr>
        <w:t>Id.</w:t>
      </w:r>
      <w:r>
        <w:t xml:space="preserve"> at 2-3.</w:t>
      </w:r>
    </w:p>
  </w:footnote>
  <w:footnote w:id="45">
    <w:p w:rsidR="003615C1" w:rsidRPr="003615C1">
      <w:pPr>
        <w:pStyle w:val="FootnoteText"/>
      </w:pPr>
      <w:r>
        <w:rPr>
          <w:rStyle w:val="FootnoteReference"/>
        </w:rPr>
        <w:footnoteRef/>
      </w:r>
      <w:r>
        <w:t xml:space="preserve"> </w:t>
      </w:r>
      <w:r>
        <w:rPr>
          <w:i/>
          <w:iCs/>
        </w:rPr>
        <w:t>Id.</w:t>
      </w:r>
      <w:r>
        <w:t xml:space="preserve"> at 3.</w:t>
      </w:r>
    </w:p>
  </w:footnote>
  <w:footnote w:id="46">
    <w:p w:rsidR="00511E46" w:rsidRPr="00511E46">
      <w:pPr>
        <w:pStyle w:val="FootnoteText"/>
      </w:pPr>
      <w:r>
        <w:rPr>
          <w:rStyle w:val="FootnoteReference"/>
        </w:rPr>
        <w:footnoteRef/>
      </w:r>
      <w:r>
        <w:t xml:space="preserve"> </w:t>
      </w:r>
      <w:r>
        <w:rPr>
          <w:i/>
          <w:iCs/>
        </w:rPr>
        <w:t>Id.</w:t>
      </w:r>
      <w:r>
        <w:t xml:space="preserve"> at 3-4.</w:t>
      </w:r>
    </w:p>
  </w:footnote>
  <w:footnote w:id="47">
    <w:p w:rsidR="001A69FB" w:rsidRPr="001A69FB">
      <w:pPr>
        <w:pStyle w:val="FootnoteText"/>
      </w:pPr>
      <w:r>
        <w:rPr>
          <w:rStyle w:val="FootnoteReference"/>
        </w:rPr>
        <w:footnoteRef/>
      </w:r>
      <w:r>
        <w:t xml:space="preserve"> </w:t>
      </w:r>
      <w:r>
        <w:rPr>
          <w:i/>
          <w:iCs/>
        </w:rPr>
        <w:t>Id.</w:t>
      </w:r>
      <w:r>
        <w:t xml:space="preserve"> at 4.</w:t>
      </w:r>
    </w:p>
  </w:footnote>
  <w:footnote w:id="48">
    <w:p w:rsidR="00C300EA" w:rsidRPr="00C300EA">
      <w:pPr>
        <w:pStyle w:val="FootnoteText"/>
      </w:pPr>
      <w:r>
        <w:rPr>
          <w:rStyle w:val="FootnoteReference"/>
        </w:rPr>
        <w:footnoteRef/>
      </w:r>
      <w:r>
        <w:t xml:space="preserve"> </w:t>
      </w:r>
      <w:r>
        <w:rPr>
          <w:i/>
          <w:iCs/>
        </w:rPr>
        <w:t>Id.</w:t>
      </w:r>
      <w:r>
        <w:t xml:space="preserve"> at 4-5.</w:t>
      </w:r>
    </w:p>
  </w:footnote>
  <w:footnote w:id="49">
    <w:p w:rsidR="00F21DC4" w:rsidRPr="00F21DC4">
      <w:pPr>
        <w:pStyle w:val="FootnoteText"/>
      </w:pPr>
      <w:r>
        <w:rPr>
          <w:rStyle w:val="FootnoteReference"/>
        </w:rPr>
        <w:footnoteRef/>
      </w:r>
      <w:r>
        <w:t xml:space="preserve"> </w:t>
      </w:r>
      <w:r>
        <w:rPr>
          <w:i/>
          <w:iCs/>
        </w:rPr>
        <w:t>Id.</w:t>
      </w:r>
      <w:r>
        <w:t xml:space="preserve"> at 5.</w:t>
      </w:r>
    </w:p>
  </w:footnote>
  <w:footnote w:id="50">
    <w:p w:rsidR="00236117" w:rsidP="007D4876">
      <w:pPr>
        <w:pStyle w:val="FootnoteText"/>
        <w:ind w:right="-540"/>
      </w:pPr>
      <w:r>
        <w:rPr>
          <w:rStyle w:val="FootnoteReference"/>
        </w:rPr>
        <w:footnoteRef/>
      </w:r>
      <w:r>
        <w:t xml:space="preserve"> </w:t>
      </w:r>
      <w:r w:rsidRPr="00AB32EB">
        <w:rPr>
          <w:i/>
        </w:rPr>
        <w:t xml:space="preserve">See </w:t>
      </w:r>
      <w:r w:rsidR="008266F4">
        <w:rPr>
          <w:i/>
        </w:rPr>
        <w:t>OG&amp;E</w:t>
      </w:r>
      <w:r w:rsidRPr="00AB32EB">
        <w:t xml:space="preserve">, 11 F.4th </w:t>
      </w:r>
      <w:r w:rsidR="008266F4">
        <w:t>at</w:t>
      </w:r>
      <w:r w:rsidRPr="00AB32EB">
        <w:t xml:space="preserve"> 824-25 (“Once a tariff is filed, the Commission has no statutory authority to provide equitable exceptions or retroactive modifications to the tariff.”); </w:t>
      </w:r>
      <w:r w:rsidRPr="00AB32EB">
        <w:rPr>
          <w:i/>
        </w:rPr>
        <w:t>Old Dominion</w:t>
      </w:r>
      <w:r w:rsidRPr="00AB32EB">
        <w:t xml:space="preserve">, 892 F.3d </w:t>
      </w:r>
      <w:r w:rsidR="008266F4">
        <w:t>at</w:t>
      </w:r>
      <w:r w:rsidRPr="00AB32EB">
        <w:t xml:space="preserve"> 1230 (“The filed rate doctrine and the rule against retroactive ratemaking leave the Commission no discretion to waive the operation of a filed rate or to retroactively change or adjust a rate for good cause or for any other equitable considerations.”).</w:t>
      </w:r>
    </w:p>
  </w:footnote>
  <w:footnote w:id="51">
    <w:p w:rsidR="006938FB">
      <w:pPr>
        <w:pStyle w:val="FootnoteText"/>
      </w:pPr>
      <w:r>
        <w:rPr>
          <w:rStyle w:val="FootnoteReference"/>
        </w:rPr>
        <w:footnoteRef/>
      </w:r>
      <w:r>
        <w:t xml:space="preserve"> NYISO Protest at 3.</w:t>
      </w:r>
    </w:p>
  </w:footnote>
  <w:footnote w:id="52">
    <w:p w:rsidR="00F32DDA">
      <w:pPr>
        <w:pStyle w:val="FootnoteText"/>
      </w:pPr>
      <w:r>
        <w:rPr>
          <w:rStyle w:val="FootnoteReference"/>
        </w:rPr>
        <w:footnoteRef/>
      </w:r>
      <w:r>
        <w:t xml:space="preserve"> NYISO, NYISO Tariffs, NYISO OATT, attach. HH, § 40.7 (Customer Engagement Window/Phase 1 Entry Decision Period) (0.0.0), § 40.7.5.2.</w:t>
      </w:r>
    </w:p>
  </w:footnote>
  <w:footnote w:id="53">
    <w:p w:rsidR="00943894" w:rsidP="007D4876">
      <w:pPr>
        <w:pStyle w:val="FootnoteText"/>
        <w:ind w:right="-540"/>
      </w:pPr>
      <w:r>
        <w:rPr>
          <w:rStyle w:val="FootnoteReference"/>
        </w:rPr>
        <w:footnoteRef/>
      </w:r>
      <w:r>
        <w:t xml:space="preserve"> </w:t>
      </w:r>
      <w:r w:rsidR="007E69E0">
        <w:t xml:space="preserve">We note that </w:t>
      </w:r>
      <w:r w:rsidRPr="001F34B5" w:rsidR="001F34B5">
        <w:t>Dover could have, but did not, take advantage of the cure period to address its failure to meet the deadline</w:t>
      </w:r>
      <w:r w:rsidR="00A65482">
        <w:t xml:space="preserve">.  </w:t>
      </w:r>
      <w:r w:rsidRPr="00146321" w:rsidR="00A65482">
        <w:rPr>
          <w:i/>
          <w:iCs/>
        </w:rPr>
        <w:t>See</w:t>
      </w:r>
      <w:r w:rsidR="00A65482">
        <w:t xml:space="preserve"> </w:t>
      </w:r>
      <w:r w:rsidRPr="00AF18B9" w:rsidR="004F49B8">
        <w:rPr>
          <w:i/>
          <w:iCs/>
        </w:rPr>
        <w:t>id.</w:t>
      </w:r>
      <w:r w:rsidR="00F56919">
        <w:t xml:space="preserve"> </w:t>
      </w:r>
      <w:r w:rsidR="00A65482">
        <w:t>§ 40.7.6.1</w:t>
      </w:r>
      <w:r w:rsidR="002D100F">
        <w:t>;</w:t>
      </w:r>
      <w:r w:rsidRPr="002D100F" w:rsidR="002D100F">
        <w:rPr>
          <w:i/>
          <w:iCs/>
        </w:rPr>
        <w:t xml:space="preserve"> </w:t>
      </w:r>
      <w:r w:rsidR="002D100F">
        <w:rPr>
          <w:i/>
          <w:iCs/>
        </w:rPr>
        <w:t>see also</w:t>
      </w:r>
      <w:r w:rsidR="002D100F">
        <w:t xml:space="preserve"> NYISO Protest at 9 n.26</w:t>
      </w:r>
      <w:r w:rsidR="00DF6BAA">
        <w:t xml:space="preserve">.  </w:t>
      </w:r>
      <w:r w:rsidR="007E69E0">
        <w:t>C</w:t>
      </w:r>
      <w:r w:rsidR="00C85DC2">
        <w:t>ontrary to Dover’s argument, t</w:t>
      </w:r>
      <w:r w:rsidR="00DF6BAA">
        <w:t xml:space="preserve">hese cure periods apply to the </w:t>
      </w:r>
      <w:r w:rsidR="006E595F">
        <w:t>T</w:t>
      </w:r>
      <w:r w:rsidR="00B56A6B">
        <w:t>ariff provision at issue here</w:t>
      </w:r>
      <w:r w:rsidR="00AD7AE8">
        <w:t xml:space="preserve">, i.e., </w:t>
      </w:r>
      <w:r w:rsidR="00E14074">
        <w:t>section</w:t>
      </w:r>
      <w:r w:rsidR="00AD7AE8">
        <w:t xml:space="preserve"> 40.7.5.3.  </w:t>
      </w:r>
    </w:p>
  </w:footnote>
  <w:footnote w:id="54">
    <w:p w:rsidR="00C12AA9" w:rsidRPr="0087560F" w:rsidP="007D4876">
      <w:pPr>
        <w:pStyle w:val="FootnoteText"/>
        <w:ind w:right="-90"/>
      </w:pPr>
      <w:r>
        <w:rPr>
          <w:rStyle w:val="FootnoteReference"/>
        </w:rPr>
        <w:footnoteRef/>
      </w:r>
      <w:r>
        <w:t xml:space="preserve"> </w:t>
      </w:r>
      <w:r w:rsidR="0087560F">
        <w:rPr>
          <w:i/>
          <w:iCs/>
        </w:rPr>
        <w:t>See, e.g.</w:t>
      </w:r>
      <w:r w:rsidR="0087560F">
        <w:t xml:space="preserve">, </w:t>
      </w:r>
      <w:r w:rsidRPr="00C83CFE" w:rsidR="00C83CFE">
        <w:rPr>
          <w:i/>
          <w:iCs/>
        </w:rPr>
        <w:t>Scioto Farms Solar Project, LLC</w:t>
      </w:r>
      <w:r w:rsidRPr="00C83CFE" w:rsidR="00C83CFE">
        <w:t>, 184 FERC ¶ 61,153 (2023)</w:t>
      </w:r>
      <w:r w:rsidR="006C30D0">
        <w:t xml:space="preserve">, </w:t>
      </w:r>
      <w:r w:rsidR="006C30D0">
        <w:rPr>
          <w:i/>
          <w:iCs/>
        </w:rPr>
        <w:t xml:space="preserve">order </w:t>
      </w:r>
      <w:r w:rsidR="007D4876">
        <w:rPr>
          <w:i/>
          <w:iCs/>
        </w:rPr>
        <w:t xml:space="preserve"> </w:t>
      </w:r>
      <w:r w:rsidR="006C30D0">
        <w:rPr>
          <w:i/>
          <w:iCs/>
        </w:rPr>
        <w:t>on reh’g</w:t>
      </w:r>
      <w:r w:rsidR="006C30D0">
        <w:t xml:space="preserve">, </w:t>
      </w:r>
      <w:r w:rsidRPr="006C30D0" w:rsidR="006C30D0">
        <w:t>186 FERC ¶ 61,096</w:t>
      </w:r>
      <w:r w:rsidR="006C30D0">
        <w:t xml:space="preserve"> (2024)</w:t>
      </w:r>
      <w:r w:rsidR="000111FD">
        <w:t xml:space="preserve"> (denying waiver </w:t>
      </w:r>
      <w:r w:rsidR="008834F9">
        <w:t xml:space="preserve">to </w:t>
      </w:r>
      <w:r w:rsidRPr="000111FD" w:rsidR="000111FD">
        <w:t xml:space="preserve">accept late </w:t>
      </w:r>
      <w:r w:rsidR="00981C3E">
        <w:t xml:space="preserve">deferred </w:t>
      </w:r>
      <w:r w:rsidRPr="000111FD" w:rsidR="000111FD">
        <w:t xml:space="preserve">security payment and allow </w:t>
      </w:r>
      <w:r w:rsidR="008834F9">
        <w:t xml:space="preserve">applicant </w:t>
      </w:r>
      <w:r w:rsidRPr="000111FD" w:rsidR="000111FD">
        <w:t xml:space="preserve">to retain its </w:t>
      </w:r>
      <w:r w:rsidR="008834F9">
        <w:t xml:space="preserve">interconnection </w:t>
      </w:r>
      <w:r w:rsidRPr="000111FD" w:rsidR="000111FD">
        <w:t>queue position</w:t>
      </w:r>
      <w:r w:rsidR="00621C47">
        <w:t>)</w:t>
      </w:r>
      <w:r w:rsidR="006C30D0">
        <w:t>;</w:t>
      </w:r>
      <w:r w:rsidRPr="00C83CFE" w:rsidR="00C83CFE">
        <w:t xml:space="preserve"> </w:t>
      </w:r>
      <w:r w:rsidRPr="008E0152" w:rsidR="0043690E">
        <w:rPr>
          <w:i/>
          <w:iCs/>
        </w:rPr>
        <w:t>Ridgeview Solar, LLC</w:t>
      </w:r>
      <w:r w:rsidR="0043690E">
        <w:t xml:space="preserve">, 185 FERC ¶ 61,148 (2023) (denying wavier of </w:t>
      </w:r>
      <w:r w:rsidR="00421AF6">
        <w:t>requirement to execute and return an interconnection service agreement “within 60 days after receipt of the Facilities Study”)</w:t>
      </w:r>
      <w:r w:rsidR="00B0602D">
        <w:t xml:space="preserve">; </w:t>
      </w:r>
      <w:r w:rsidRPr="008E0152" w:rsidR="006829D5">
        <w:rPr>
          <w:i/>
          <w:iCs/>
        </w:rPr>
        <w:t>Hecate Grid Clermont 1 LLC</w:t>
      </w:r>
      <w:r w:rsidR="006829D5">
        <w:t xml:space="preserve">, 183 FERC ¶ 61,011 (2023) (denying waiver of requirement </w:t>
      </w:r>
      <w:r w:rsidR="00CD13AD">
        <w:t xml:space="preserve">to complete and deliver the </w:t>
      </w:r>
      <w:r w:rsidR="007E0FBB">
        <w:t>facilities study agreement to NYISO</w:t>
      </w:r>
      <w:r w:rsidR="00B903EB">
        <w:t xml:space="preserve"> “</w:t>
      </w:r>
      <w:r w:rsidR="007E0FBB">
        <w:t xml:space="preserve">within </w:t>
      </w:r>
      <w:r w:rsidR="008D3893">
        <w:t xml:space="preserve">     </w:t>
      </w:r>
      <w:r w:rsidR="007E0FBB">
        <w:t>10 cal</w:t>
      </w:r>
      <w:r w:rsidR="00B903EB">
        <w:t>endar days” of receipt of the agreement).</w:t>
      </w:r>
    </w:p>
  </w:footnote>
  <w:footnote w:id="55">
    <w:p w:rsidR="004E51EE">
      <w:pPr>
        <w:pStyle w:val="FootnoteText"/>
      </w:pPr>
      <w:r>
        <w:rPr>
          <w:rStyle w:val="FootnoteReference"/>
        </w:rPr>
        <w:footnoteRef/>
      </w:r>
      <w:r>
        <w:t xml:space="preserve"> NYISO </w:t>
      </w:r>
      <w:r w:rsidR="00A556FE">
        <w:t xml:space="preserve">Protest </w:t>
      </w:r>
      <w:r>
        <w:t xml:space="preserve">at </w:t>
      </w:r>
      <w:r w:rsidR="00EC0264">
        <w:t>7-9</w:t>
      </w:r>
      <w:r>
        <w:t>.</w:t>
      </w:r>
    </w:p>
  </w:footnote>
  <w:footnote w:id="56">
    <w:p w:rsidR="009D169B">
      <w:pPr>
        <w:pStyle w:val="FootnoteText"/>
      </w:pPr>
      <w:r>
        <w:rPr>
          <w:rStyle w:val="FootnoteReference"/>
        </w:rPr>
        <w:footnoteRef/>
      </w:r>
      <w:r>
        <w:t xml:space="preserve"> Waiver Request at </w:t>
      </w:r>
      <w:r w:rsidR="008230A9">
        <w:t>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1249FE">
    <w:pPr>
      <w:pStyle w:val="Header"/>
      <w:tabs>
        <w:tab w:val="clear" w:pos="4680"/>
      </w:tabs>
      <w:spacing w:after="240"/>
    </w:pPr>
    <w:r>
      <w:t>Docket No. ER25-2010-000</w:t>
      <w:tab/>
    </w:r>
    <w:r>
      <w:fldChar w:fldCharType="begin"/>
    </w:r>
    <w:r>
      <w:instrText xml:space="preserve"> PAGE  \* MERGEFORMAT </w:instrText>
    </w:r>
    <w:r>
      <w:fldChar w:fldCharType="separate"/>
    </w:r>
    <w:r>
      <w:rPr>
        <w:noProof/>
      </w:rPr>
      <w:t>- 11 -</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0C06246"/>
    <w:multiLevelType w:val="hybridMultilevel"/>
    <w:tmpl w:val="600E4F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3">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6">
    <w:nsid w:val="2A983673"/>
    <w:multiLevelType w:val="hybridMultilevel"/>
    <w:tmpl w:val="2CA8818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46082C"/>
    <w:multiLevelType w:val="hybridMultilevel"/>
    <w:tmpl w:val="287213FA"/>
    <w:lvl w:ilvl="0">
      <w:start w:val="1"/>
      <w:numFmt w:val="upperLetter"/>
      <w:lvlText w:val="(%1)"/>
      <w:lvlJc w:val="left"/>
      <w:pPr>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E57435"/>
    <w:multiLevelType w:val="hybridMultilevel"/>
    <w:tmpl w:val="A85AEE9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5B6502FF"/>
    <w:multiLevelType w:val="multilevel"/>
    <w:tmpl w:val="42787ABA"/>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1">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3">
    <w:nsid w:val="7D3B09D3"/>
    <w:multiLevelType w:val="hybridMultilevel"/>
    <w:tmpl w:val="A62ECC54"/>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rPr>
    </w:lvl>
    <w:lvl w:ilvl="1" w:tentative="1">
      <w:start w:val="1"/>
      <w:numFmt w:val="lowerLetter"/>
      <w:lvlText w:val="%2."/>
      <w:lvlJc w:val="left"/>
      <w:pPr>
        <w:ind w:left="-450" w:hanging="360"/>
      </w:pPr>
    </w:lvl>
    <w:lvl w:ilvl="2" w:tentative="1">
      <w:start w:val="1"/>
      <w:numFmt w:val="lowerRoman"/>
      <w:lvlText w:val="%3."/>
      <w:lvlJc w:val="right"/>
      <w:pPr>
        <w:ind w:left="270" w:hanging="180"/>
      </w:pPr>
    </w:lvl>
    <w:lvl w:ilvl="3" w:tentative="1">
      <w:start w:val="1"/>
      <w:numFmt w:val="decimal"/>
      <w:lvlText w:val="%4."/>
      <w:lvlJc w:val="left"/>
      <w:pPr>
        <w:ind w:left="990" w:hanging="360"/>
      </w:pPr>
    </w:lvl>
    <w:lvl w:ilvl="4" w:tentative="1">
      <w:start w:val="1"/>
      <w:numFmt w:val="lowerLetter"/>
      <w:lvlText w:val="%5."/>
      <w:lvlJc w:val="left"/>
      <w:pPr>
        <w:ind w:left="1710" w:hanging="360"/>
      </w:pPr>
    </w:lvl>
    <w:lvl w:ilvl="5" w:tentative="1">
      <w:start w:val="1"/>
      <w:numFmt w:val="lowerRoman"/>
      <w:lvlText w:val="%6."/>
      <w:lvlJc w:val="right"/>
      <w:pPr>
        <w:ind w:left="2430" w:hanging="180"/>
      </w:pPr>
    </w:lvl>
    <w:lvl w:ilvl="6" w:tentative="1">
      <w:start w:val="1"/>
      <w:numFmt w:val="decimal"/>
      <w:lvlText w:val="%7."/>
      <w:lvlJc w:val="left"/>
      <w:pPr>
        <w:ind w:left="3150" w:hanging="360"/>
      </w:pPr>
    </w:lvl>
    <w:lvl w:ilvl="7" w:tentative="1">
      <w:start w:val="1"/>
      <w:numFmt w:val="lowerLetter"/>
      <w:lvlText w:val="%8."/>
      <w:lvlJc w:val="left"/>
      <w:pPr>
        <w:ind w:left="3870" w:hanging="360"/>
      </w:pPr>
    </w:lvl>
    <w:lvl w:ilvl="8" w:tentative="1">
      <w:start w:val="1"/>
      <w:numFmt w:val="lowerRoman"/>
      <w:lvlText w:val="%9."/>
      <w:lvlJc w:val="right"/>
      <w:pPr>
        <w:ind w:left="4590" w:hanging="180"/>
      </w:pPr>
    </w:lvl>
  </w:abstractNum>
  <w:abstractNum w:abstractNumId="24">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1"/>
  </w:num>
  <w:num w:numId="13">
    <w:abstractNumId w:val="14"/>
  </w:num>
  <w:num w:numId="14">
    <w:abstractNumId w:val="22"/>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3"/>
  </w:num>
  <w:num w:numId="21">
    <w:abstractNumId w:val="24"/>
  </w:num>
  <w:num w:numId="22">
    <w:abstractNumId w:val="17"/>
  </w:num>
  <w:num w:numId="23">
    <w:abstractNumId w:val="18"/>
  </w:num>
  <w:num w:numId="24">
    <w:abstractNumId w:val="11"/>
  </w:num>
  <w:num w:numId="25">
    <w:abstractNumId w:val="1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0"/>
    <w:footnote w:id="1"/>
    <w:footnote w:id="2"/>
  </w:footnotePr>
  <w:endnotePr>
    <w:endnote w:id="0"/>
    <w:endnote w:id="1"/>
    <w:endnote w:id="2"/>
  </w:endnotePr>
  <w:compat/>
  <w:rsids>
    <w:rsidRoot w:val="003E7BCA"/>
    <w:rsid w:val="00000B8B"/>
    <w:rsid w:val="00003340"/>
    <w:rsid w:val="00003596"/>
    <w:rsid w:val="00003A21"/>
    <w:rsid w:val="00005089"/>
    <w:rsid w:val="000067B1"/>
    <w:rsid w:val="0000731D"/>
    <w:rsid w:val="00007A19"/>
    <w:rsid w:val="00007E0C"/>
    <w:rsid w:val="00010FA6"/>
    <w:rsid w:val="000111FD"/>
    <w:rsid w:val="000118C8"/>
    <w:rsid w:val="00013A7B"/>
    <w:rsid w:val="00013D73"/>
    <w:rsid w:val="000143AA"/>
    <w:rsid w:val="000149D7"/>
    <w:rsid w:val="00014CD5"/>
    <w:rsid w:val="00017B76"/>
    <w:rsid w:val="00017F08"/>
    <w:rsid w:val="000202DD"/>
    <w:rsid w:val="0002042F"/>
    <w:rsid w:val="00020B04"/>
    <w:rsid w:val="00021683"/>
    <w:rsid w:val="00021AB9"/>
    <w:rsid w:val="00021B6C"/>
    <w:rsid w:val="00022A33"/>
    <w:rsid w:val="00022D29"/>
    <w:rsid w:val="00022EE9"/>
    <w:rsid w:val="0002355F"/>
    <w:rsid w:val="00023C82"/>
    <w:rsid w:val="00026573"/>
    <w:rsid w:val="00026815"/>
    <w:rsid w:val="00031614"/>
    <w:rsid w:val="00031E90"/>
    <w:rsid w:val="00032122"/>
    <w:rsid w:val="0003382F"/>
    <w:rsid w:val="00033DA7"/>
    <w:rsid w:val="00034280"/>
    <w:rsid w:val="000353F8"/>
    <w:rsid w:val="00036AEC"/>
    <w:rsid w:val="00036C12"/>
    <w:rsid w:val="00036F83"/>
    <w:rsid w:val="000375C4"/>
    <w:rsid w:val="00037C46"/>
    <w:rsid w:val="00040016"/>
    <w:rsid w:val="00040C5B"/>
    <w:rsid w:val="000412DF"/>
    <w:rsid w:val="00042337"/>
    <w:rsid w:val="000428C4"/>
    <w:rsid w:val="00042A8A"/>
    <w:rsid w:val="00043CC0"/>
    <w:rsid w:val="00044D80"/>
    <w:rsid w:val="00045B53"/>
    <w:rsid w:val="0004624A"/>
    <w:rsid w:val="00051299"/>
    <w:rsid w:val="0005135D"/>
    <w:rsid w:val="000516C3"/>
    <w:rsid w:val="000522AD"/>
    <w:rsid w:val="000524A5"/>
    <w:rsid w:val="000524B5"/>
    <w:rsid w:val="00052869"/>
    <w:rsid w:val="00053472"/>
    <w:rsid w:val="00054DA7"/>
    <w:rsid w:val="000550DC"/>
    <w:rsid w:val="00055DD3"/>
    <w:rsid w:val="00055F5F"/>
    <w:rsid w:val="00056992"/>
    <w:rsid w:val="00057B40"/>
    <w:rsid w:val="000602E9"/>
    <w:rsid w:val="000607C2"/>
    <w:rsid w:val="00061153"/>
    <w:rsid w:val="0006117F"/>
    <w:rsid w:val="0006141D"/>
    <w:rsid w:val="00062732"/>
    <w:rsid w:val="00064C4C"/>
    <w:rsid w:val="00064DA5"/>
    <w:rsid w:val="00066A17"/>
    <w:rsid w:val="00067C2D"/>
    <w:rsid w:val="000700BF"/>
    <w:rsid w:val="00070857"/>
    <w:rsid w:val="00072085"/>
    <w:rsid w:val="000722F7"/>
    <w:rsid w:val="00072C4B"/>
    <w:rsid w:val="0007377C"/>
    <w:rsid w:val="00074392"/>
    <w:rsid w:val="0007636C"/>
    <w:rsid w:val="0007668C"/>
    <w:rsid w:val="00076832"/>
    <w:rsid w:val="000804B9"/>
    <w:rsid w:val="000808AF"/>
    <w:rsid w:val="00081207"/>
    <w:rsid w:val="00081509"/>
    <w:rsid w:val="0008235B"/>
    <w:rsid w:val="00082D09"/>
    <w:rsid w:val="00083678"/>
    <w:rsid w:val="0008478C"/>
    <w:rsid w:val="00084A31"/>
    <w:rsid w:val="0008594A"/>
    <w:rsid w:val="00086ABF"/>
    <w:rsid w:val="00086D98"/>
    <w:rsid w:val="0008705E"/>
    <w:rsid w:val="0008773F"/>
    <w:rsid w:val="0008778D"/>
    <w:rsid w:val="00090A96"/>
    <w:rsid w:val="00090EB4"/>
    <w:rsid w:val="000911C8"/>
    <w:rsid w:val="00091281"/>
    <w:rsid w:val="000919AB"/>
    <w:rsid w:val="00092634"/>
    <w:rsid w:val="0009398A"/>
    <w:rsid w:val="000957C8"/>
    <w:rsid w:val="0009622C"/>
    <w:rsid w:val="00097422"/>
    <w:rsid w:val="00097C05"/>
    <w:rsid w:val="00097F04"/>
    <w:rsid w:val="000A0652"/>
    <w:rsid w:val="000A0F3C"/>
    <w:rsid w:val="000A18FD"/>
    <w:rsid w:val="000A242E"/>
    <w:rsid w:val="000A243D"/>
    <w:rsid w:val="000A2983"/>
    <w:rsid w:val="000A33AF"/>
    <w:rsid w:val="000A3D2F"/>
    <w:rsid w:val="000A58F2"/>
    <w:rsid w:val="000A5AEC"/>
    <w:rsid w:val="000A6835"/>
    <w:rsid w:val="000A6C08"/>
    <w:rsid w:val="000A75FD"/>
    <w:rsid w:val="000B0170"/>
    <w:rsid w:val="000B05DB"/>
    <w:rsid w:val="000B1F9B"/>
    <w:rsid w:val="000B27CE"/>
    <w:rsid w:val="000B2BDF"/>
    <w:rsid w:val="000B36F4"/>
    <w:rsid w:val="000B3D0E"/>
    <w:rsid w:val="000B4124"/>
    <w:rsid w:val="000B5A34"/>
    <w:rsid w:val="000B5C08"/>
    <w:rsid w:val="000B6CC6"/>
    <w:rsid w:val="000B7E62"/>
    <w:rsid w:val="000C0253"/>
    <w:rsid w:val="000C0A50"/>
    <w:rsid w:val="000C0AB4"/>
    <w:rsid w:val="000C0F78"/>
    <w:rsid w:val="000C1FCA"/>
    <w:rsid w:val="000C2F35"/>
    <w:rsid w:val="000C3095"/>
    <w:rsid w:val="000C4A0B"/>
    <w:rsid w:val="000C4A63"/>
    <w:rsid w:val="000C65BA"/>
    <w:rsid w:val="000C6869"/>
    <w:rsid w:val="000C7085"/>
    <w:rsid w:val="000D0E74"/>
    <w:rsid w:val="000D0EE6"/>
    <w:rsid w:val="000D1D4B"/>
    <w:rsid w:val="000D1FB6"/>
    <w:rsid w:val="000D4B45"/>
    <w:rsid w:val="000D5481"/>
    <w:rsid w:val="000D5807"/>
    <w:rsid w:val="000D5F86"/>
    <w:rsid w:val="000D739B"/>
    <w:rsid w:val="000D7DD4"/>
    <w:rsid w:val="000D7E4E"/>
    <w:rsid w:val="000D7E96"/>
    <w:rsid w:val="000E065C"/>
    <w:rsid w:val="000E0857"/>
    <w:rsid w:val="000E0FB3"/>
    <w:rsid w:val="000E1573"/>
    <w:rsid w:val="000E1C2B"/>
    <w:rsid w:val="000E22E1"/>
    <w:rsid w:val="000E2BFA"/>
    <w:rsid w:val="000E3770"/>
    <w:rsid w:val="000E418B"/>
    <w:rsid w:val="000E72BD"/>
    <w:rsid w:val="000F2DC1"/>
    <w:rsid w:val="000F372C"/>
    <w:rsid w:val="000F3754"/>
    <w:rsid w:val="000F4044"/>
    <w:rsid w:val="000F55D2"/>
    <w:rsid w:val="000F603B"/>
    <w:rsid w:val="000F6403"/>
    <w:rsid w:val="000F6B48"/>
    <w:rsid w:val="000F6C7F"/>
    <w:rsid w:val="000F7593"/>
    <w:rsid w:val="00100E1B"/>
    <w:rsid w:val="00101107"/>
    <w:rsid w:val="00102057"/>
    <w:rsid w:val="00102736"/>
    <w:rsid w:val="0010290F"/>
    <w:rsid w:val="00102BCE"/>
    <w:rsid w:val="00104730"/>
    <w:rsid w:val="001048AD"/>
    <w:rsid w:val="00104909"/>
    <w:rsid w:val="00104F76"/>
    <w:rsid w:val="0010746B"/>
    <w:rsid w:val="001103E9"/>
    <w:rsid w:val="00110777"/>
    <w:rsid w:val="0011183F"/>
    <w:rsid w:val="00111CF3"/>
    <w:rsid w:val="00113099"/>
    <w:rsid w:val="00113A08"/>
    <w:rsid w:val="00114447"/>
    <w:rsid w:val="00114473"/>
    <w:rsid w:val="00114D8A"/>
    <w:rsid w:val="00115386"/>
    <w:rsid w:val="001156BD"/>
    <w:rsid w:val="0011585E"/>
    <w:rsid w:val="00116246"/>
    <w:rsid w:val="00116E24"/>
    <w:rsid w:val="00117719"/>
    <w:rsid w:val="00117AF6"/>
    <w:rsid w:val="00120537"/>
    <w:rsid w:val="00120603"/>
    <w:rsid w:val="001208A2"/>
    <w:rsid w:val="001209EF"/>
    <w:rsid w:val="00120B7A"/>
    <w:rsid w:val="00120D8D"/>
    <w:rsid w:val="00121FF6"/>
    <w:rsid w:val="001236E4"/>
    <w:rsid w:val="001245B5"/>
    <w:rsid w:val="001249FE"/>
    <w:rsid w:val="00124B7F"/>
    <w:rsid w:val="00124C66"/>
    <w:rsid w:val="0012553E"/>
    <w:rsid w:val="001258AC"/>
    <w:rsid w:val="0012629D"/>
    <w:rsid w:val="0012713F"/>
    <w:rsid w:val="00127478"/>
    <w:rsid w:val="001279B9"/>
    <w:rsid w:val="00127BC1"/>
    <w:rsid w:val="00130CCE"/>
    <w:rsid w:val="001322D2"/>
    <w:rsid w:val="00132822"/>
    <w:rsid w:val="00132D57"/>
    <w:rsid w:val="00132DFA"/>
    <w:rsid w:val="001338E5"/>
    <w:rsid w:val="001350AA"/>
    <w:rsid w:val="0013582A"/>
    <w:rsid w:val="00135BC9"/>
    <w:rsid w:val="00135E2B"/>
    <w:rsid w:val="001360EB"/>
    <w:rsid w:val="00136319"/>
    <w:rsid w:val="001367A3"/>
    <w:rsid w:val="0013793D"/>
    <w:rsid w:val="00137D0F"/>
    <w:rsid w:val="00141033"/>
    <w:rsid w:val="001421AA"/>
    <w:rsid w:val="00143187"/>
    <w:rsid w:val="001440C7"/>
    <w:rsid w:val="00144151"/>
    <w:rsid w:val="00144BD0"/>
    <w:rsid w:val="0014575A"/>
    <w:rsid w:val="001457EE"/>
    <w:rsid w:val="00145A5D"/>
    <w:rsid w:val="00146074"/>
    <w:rsid w:val="00146321"/>
    <w:rsid w:val="001463FD"/>
    <w:rsid w:val="00146A50"/>
    <w:rsid w:val="00147D72"/>
    <w:rsid w:val="001501DB"/>
    <w:rsid w:val="001512A7"/>
    <w:rsid w:val="00151C6C"/>
    <w:rsid w:val="00151EA9"/>
    <w:rsid w:val="00151F34"/>
    <w:rsid w:val="001520D4"/>
    <w:rsid w:val="001549DE"/>
    <w:rsid w:val="00154C7A"/>
    <w:rsid w:val="00154DC0"/>
    <w:rsid w:val="00155B42"/>
    <w:rsid w:val="0015729B"/>
    <w:rsid w:val="00157EF0"/>
    <w:rsid w:val="0016017E"/>
    <w:rsid w:val="001614F5"/>
    <w:rsid w:val="00161DEC"/>
    <w:rsid w:val="001641C5"/>
    <w:rsid w:val="00164790"/>
    <w:rsid w:val="00164BC6"/>
    <w:rsid w:val="0016531B"/>
    <w:rsid w:val="001658B7"/>
    <w:rsid w:val="001671D9"/>
    <w:rsid w:val="00170585"/>
    <w:rsid w:val="001706A2"/>
    <w:rsid w:val="00171441"/>
    <w:rsid w:val="00171830"/>
    <w:rsid w:val="00171F3C"/>
    <w:rsid w:val="00173A52"/>
    <w:rsid w:val="00174495"/>
    <w:rsid w:val="00174A40"/>
    <w:rsid w:val="0017561A"/>
    <w:rsid w:val="0017696A"/>
    <w:rsid w:val="0017701D"/>
    <w:rsid w:val="001772F7"/>
    <w:rsid w:val="0017756A"/>
    <w:rsid w:val="001775B0"/>
    <w:rsid w:val="00177A80"/>
    <w:rsid w:val="00180683"/>
    <w:rsid w:val="00180A7F"/>
    <w:rsid w:val="00180A81"/>
    <w:rsid w:val="00181E20"/>
    <w:rsid w:val="00182CD7"/>
    <w:rsid w:val="001842E7"/>
    <w:rsid w:val="00186490"/>
    <w:rsid w:val="0018758C"/>
    <w:rsid w:val="00191617"/>
    <w:rsid w:val="001919AE"/>
    <w:rsid w:val="001927D5"/>
    <w:rsid w:val="0019292E"/>
    <w:rsid w:val="00193312"/>
    <w:rsid w:val="001935E3"/>
    <w:rsid w:val="00194D94"/>
    <w:rsid w:val="00194ECC"/>
    <w:rsid w:val="00195B0A"/>
    <w:rsid w:val="00196090"/>
    <w:rsid w:val="001960DD"/>
    <w:rsid w:val="00196A44"/>
    <w:rsid w:val="00197EF4"/>
    <w:rsid w:val="001A006D"/>
    <w:rsid w:val="001A090D"/>
    <w:rsid w:val="001A0B1C"/>
    <w:rsid w:val="001A2565"/>
    <w:rsid w:val="001A2AF1"/>
    <w:rsid w:val="001A3080"/>
    <w:rsid w:val="001A320F"/>
    <w:rsid w:val="001A33D6"/>
    <w:rsid w:val="001A41B8"/>
    <w:rsid w:val="001A46B0"/>
    <w:rsid w:val="001A563A"/>
    <w:rsid w:val="001A6227"/>
    <w:rsid w:val="001A69FB"/>
    <w:rsid w:val="001A6D0F"/>
    <w:rsid w:val="001A75EF"/>
    <w:rsid w:val="001A7A4A"/>
    <w:rsid w:val="001B042B"/>
    <w:rsid w:val="001B131D"/>
    <w:rsid w:val="001B1FE9"/>
    <w:rsid w:val="001B224A"/>
    <w:rsid w:val="001B2AB2"/>
    <w:rsid w:val="001B2C6D"/>
    <w:rsid w:val="001B2DF9"/>
    <w:rsid w:val="001B362D"/>
    <w:rsid w:val="001B4FB2"/>
    <w:rsid w:val="001B63A6"/>
    <w:rsid w:val="001B680A"/>
    <w:rsid w:val="001B789A"/>
    <w:rsid w:val="001C036B"/>
    <w:rsid w:val="001C0ED7"/>
    <w:rsid w:val="001C2FBB"/>
    <w:rsid w:val="001C436B"/>
    <w:rsid w:val="001C5C5A"/>
    <w:rsid w:val="001C6403"/>
    <w:rsid w:val="001C7581"/>
    <w:rsid w:val="001C7C5E"/>
    <w:rsid w:val="001D0E12"/>
    <w:rsid w:val="001D1EA5"/>
    <w:rsid w:val="001D264B"/>
    <w:rsid w:val="001D2953"/>
    <w:rsid w:val="001D2C9D"/>
    <w:rsid w:val="001D3B0D"/>
    <w:rsid w:val="001D5BA9"/>
    <w:rsid w:val="001D60C7"/>
    <w:rsid w:val="001D62F2"/>
    <w:rsid w:val="001D661F"/>
    <w:rsid w:val="001D6D01"/>
    <w:rsid w:val="001D6FA7"/>
    <w:rsid w:val="001D7229"/>
    <w:rsid w:val="001D7927"/>
    <w:rsid w:val="001E07CC"/>
    <w:rsid w:val="001E124C"/>
    <w:rsid w:val="001E1623"/>
    <w:rsid w:val="001E237A"/>
    <w:rsid w:val="001E59F9"/>
    <w:rsid w:val="001E7A8F"/>
    <w:rsid w:val="001E7D8C"/>
    <w:rsid w:val="001F033D"/>
    <w:rsid w:val="001F102D"/>
    <w:rsid w:val="001F1588"/>
    <w:rsid w:val="001F2D34"/>
    <w:rsid w:val="001F34B5"/>
    <w:rsid w:val="001F51A0"/>
    <w:rsid w:val="001F5CC6"/>
    <w:rsid w:val="001F65FA"/>
    <w:rsid w:val="0020073A"/>
    <w:rsid w:val="00200AC2"/>
    <w:rsid w:val="00200AF9"/>
    <w:rsid w:val="00201046"/>
    <w:rsid w:val="002014F3"/>
    <w:rsid w:val="0020158D"/>
    <w:rsid w:val="00201DBD"/>
    <w:rsid w:val="00202BC3"/>
    <w:rsid w:val="00203911"/>
    <w:rsid w:val="00203D51"/>
    <w:rsid w:val="002046A8"/>
    <w:rsid w:val="002049A7"/>
    <w:rsid w:val="002060CB"/>
    <w:rsid w:val="002065FA"/>
    <w:rsid w:val="002072CF"/>
    <w:rsid w:val="00207E13"/>
    <w:rsid w:val="00210D55"/>
    <w:rsid w:val="00211765"/>
    <w:rsid w:val="002129F5"/>
    <w:rsid w:val="002136E7"/>
    <w:rsid w:val="00213B95"/>
    <w:rsid w:val="00214119"/>
    <w:rsid w:val="0021435F"/>
    <w:rsid w:val="002148A6"/>
    <w:rsid w:val="0021599C"/>
    <w:rsid w:val="00217AA1"/>
    <w:rsid w:val="0022069A"/>
    <w:rsid w:val="002206DB"/>
    <w:rsid w:val="0022146E"/>
    <w:rsid w:val="0022182D"/>
    <w:rsid w:val="00221EB7"/>
    <w:rsid w:val="00222906"/>
    <w:rsid w:val="00222AE2"/>
    <w:rsid w:val="002234AA"/>
    <w:rsid w:val="00223B77"/>
    <w:rsid w:val="00224859"/>
    <w:rsid w:val="00224BCF"/>
    <w:rsid w:val="00225198"/>
    <w:rsid w:val="00225A12"/>
    <w:rsid w:val="002261B3"/>
    <w:rsid w:val="00226E48"/>
    <w:rsid w:val="00230D32"/>
    <w:rsid w:val="00231189"/>
    <w:rsid w:val="002318B6"/>
    <w:rsid w:val="00231959"/>
    <w:rsid w:val="00231D8C"/>
    <w:rsid w:val="002322FE"/>
    <w:rsid w:val="00232882"/>
    <w:rsid w:val="00232B2B"/>
    <w:rsid w:val="00233CEF"/>
    <w:rsid w:val="00233FC2"/>
    <w:rsid w:val="00233FD0"/>
    <w:rsid w:val="00234909"/>
    <w:rsid w:val="00234B90"/>
    <w:rsid w:val="00234E4D"/>
    <w:rsid w:val="002352AE"/>
    <w:rsid w:val="002352B0"/>
    <w:rsid w:val="002354E4"/>
    <w:rsid w:val="00235DF7"/>
    <w:rsid w:val="00236115"/>
    <w:rsid w:val="00236117"/>
    <w:rsid w:val="00240181"/>
    <w:rsid w:val="00240493"/>
    <w:rsid w:val="0024105D"/>
    <w:rsid w:val="00241260"/>
    <w:rsid w:val="002426E8"/>
    <w:rsid w:val="0024327B"/>
    <w:rsid w:val="00243942"/>
    <w:rsid w:val="00243E05"/>
    <w:rsid w:val="00244EBA"/>
    <w:rsid w:val="00245953"/>
    <w:rsid w:val="00245A6D"/>
    <w:rsid w:val="002464E8"/>
    <w:rsid w:val="0024710C"/>
    <w:rsid w:val="00247514"/>
    <w:rsid w:val="00250AE8"/>
    <w:rsid w:val="00250F3B"/>
    <w:rsid w:val="00251084"/>
    <w:rsid w:val="00251519"/>
    <w:rsid w:val="00251A20"/>
    <w:rsid w:val="00251B66"/>
    <w:rsid w:val="00252972"/>
    <w:rsid w:val="002529DF"/>
    <w:rsid w:val="00252EAC"/>
    <w:rsid w:val="002531A0"/>
    <w:rsid w:val="00253776"/>
    <w:rsid w:val="002537BA"/>
    <w:rsid w:val="00253984"/>
    <w:rsid w:val="00254246"/>
    <w:rsid w:val="00255417"/>
    <w:rsid w:val="00255908"/>
    <w:rsid w:val="00256FB2"/>
    <w:rsid w:val="002571F7"/>
    <w:rsid w:val="00257989"/>
    <w:rsid w:val="0026050D"/>
    <w:rsid w:val="00260517"/>
    <w:rsid w:val="002624A9"/>
    <w:rsid w:val="00262FED"/>
    <w:rsid w:val="00263775"/>
    <w:rsid w:val="00263AD2"/>
    <w:rsid w:val="00264053"/>
    <w:rsid w:val="00264CEF"/>
    <w:rsid w:val="00266735"/>
    <w:rsid w:val="00267328"/>
    <w:rsid w:val="00271576"/>
    <w:rsid w:val="0027253A"/>
    <w:rsid w:val="00272BD2"/>
    <w:rsid w:val="00273F26"/>
    <w:rsid w:val="00274963"/>
    <w:rsid w:val="002753A0"/>
    <w:rsid w:val="002760BB"/>
    <w:rsid w:val="002760EB"/>
    <w:rsid w:val="0027625A"/>
    <w:rsid w:val="0027739D"/>
    <w:rsid w:val="002777E6"/>
    <w:rsid w:val="002817CE"/>
    <w:rsid w:val="002828A4"/>
    <w:rsid w:val="00283624"/>
    <w:rsid w:val="00283977"/>
    <w:rsid w:val="00283A52"/>
    <w:rsid w:val="00283AA6"/>
    <w:rsid w:val="00283C60"/>
    <w:rsid w:val="0028432C"/>
    <w:rsid w:val="002845E1"/>
    <w:rsid w:val="00284A8B"/>
    <w:rsid w:val="00284CF7"/>
    <w:rsid w:val="00284E46"/>
    <w:rsid w:val="002857E2"/>
    <w:rsid w:val="00285DAF"/>
    <w:rsid w:val="0028670F"/>
    <w:rsid w:val="002870A9"/>
    <w:rsid w:val="002907C5"/>
    <w:rsid w:val="00290ABD"/>
    <w:rsid w:val="00290EF9"/>
    <w:rsid w:val="002917DB"/>
    <w:rsid w:val="002926E2"/>
    <w:rsid w:val="00292DAB"/>
    <w:rsid w:val="00293224"/>
    <w:rsid w:val="00293E05"/>
    <w:rsid w:val="002944E4"/>
    <w:rsid w:val="0029642B"/>
    <w:rsid w:val="00296F88"/>
    <w:rsid w:val="002A0355"/>
    <w:rsid w:val="002A0B4A"/>
    <w:rsid w:val="002A34C1"/>
    <w:rsid w:val="002A3A08"/>
    <w:rsid w:val="002A41EA"/>
    <w:rsid w:val="002A47FF"/>
    <w:rsid w:val="002A5010"/>
    <w:rsid w:val="002A5C43"/>
    <w:rsid w:val="002A6A50"/>
    <w:rsid w:val="002A729E"/>
    <w:rsid w:val="002A76FF"/>
    <w:rsid w:val="002A77BE"/>
    <w:rsid w:val="002A7A7A"/>
    <w:rsid w:val="002A7E15"/>
    <w:rsid w:val="002A7E49"/>
    <w:rsid w:val="002A7E86"/>
    <w:rsid w:val="002A7FB5"/>
    <w:rsid w:val="002B0564"/>
    <w:rsid w:val="002B0E84"/>
    <w:rsid w:val="002B12A6"/>
    <w:rsid w:val="002B193B"/>
    <w:rsid w:val="002B1B02"/>
    <w:rsid w:val="002B2335"/>
    <w:rsid w:val="002B262D"/>
    <w:rsid w:val="002B35F2"/>
    <w:rsid w:val="002B3745"/>
    <w:rsid w:val="002B43E1"/>
    <w:rsid w:val="002B5D83"/>
    <w:rsid w:val="002B6125"/>
    <w:rsid w:val="002C1227"/>
    <w:rsid w:val="002C2CDD"/>
    <w:rsid w:val="002C2D65"/>
    <w:rsid w:val="002C33D1"/>
    <w:rsid w:val="002C3495"/>
    <w:rsid w:val="002C36E1"/>
    <w:rsid w:val="002C3A33"/>
    <w:rsid w:val="002C5319"/>
    <w:rsid w:val="002C562D"/>
    <w:rsid w:val="002C57E5"/>
    <w:rsid w:val="002C5ABF"/>
    <w:rsid w:val="002C687E"/>
    <w:rsid w:val="002C6C05"/>
    <w:rsid w:val="002C6ED3"/>
    <w:rsid w:val="002C7704"/>
    <w:rsid w:val="002C7F13"/>
    <w:rsid w:val="002D0A9B"/>
    <w:rsid w:val="002D100F"/>
    <w:rsid w:val="002D113D"/>
    <w:rsid w:val="002D1528"/>
    <w:rsid w:val="002D1CA2"/>
    <w:rsid w:val="002D206A"/>
    <w:rsid w:val="002D358E"/>
    <w:rsid w:val="002D3598"/>
    <w:rsid w:val="002D3F1B"/>
    <w:rsid w:val="002D5232"/>
    <w:rsid w:val="002D57D4"/>
    <w:rsid w:val="002D6395"/>
    <w:rsid w:val="002D65B3"/>
    <w:rsid w:val="002D6CF3"/>
    <w:rsid w:val="002D7C75"/>
    <w:rsid w:val="002D7D6B"/>
    <w:rsid w:val="002E0269"/>
    <w:rsid w:val="002E0D31"/>
    <w:rsid w:val="002E101E"/>
    <w:rsid w:val="002E14AD"/>
    <w:rsid w:val="002E1F29"/>
    <w:rsid w:val="002E2247"/>
    <w:rsid w:val="002E3785"/>
    <w:rsid w:val="002E3838"/>
    <w:rsid w:val="002E3E2C"/>
    <w:rsid w:val="002E4A0B"/>
    <w:rsid w:val="002E4E8A"/>
    <w:rsid w:val="002E5903"/>
    <w:rsid w:val="002E6501"/>
    <w:rsid w:val="002E6B5A"/>
    <w:rsid w:val="002E7123"/>
    <w:rsid w:val="002F018D"/>
    <w:rsid w:val="002F0594"/>
    <w:rsid w:val="002F08DF"/>
    <w:rsid w:val="002F0D48"/>
    <w:rsid w:val="002F1C27"/>
    <w:rsid w:val="002F299B"/>
    <w:rsid w:val="002F2AB3"/>
    <w:rsid w:val="002F2E89"/>
    <w:rsid w:val="002F52A9"/>
    <w:rsid w:val="002F567B"/>
    <w:rsid w:val="002F5893"/>
    <w:rsid w:val="00300AB0"/>
    <w:rsid w:val="00301A85"/>
    <w:rsid w:val="00301D68"/>
    <w:rsid w:val="00302319"/>
    <w:rsid w:val="00302A26"/>
    <w:rsid w:val="003031DA"/>
    <w:rsid w:val="003044E3"/>
    <w:rsid w:val="003045D5"/>
    <w:rsid w:val="00305B64"/>
    <w:rsid w:val="00310D07"/>
    <w:rsid w:val="003113AE"/>
    <w:rsid w:val="00312651"/>
    <w:rsid w:val="00313634"/>
    <w:rsid w:val="00314812"/>
    <w:rsid w:val="00314C86"/>
    <w:rsid w:val="0031709F"/>
    <w:rsid w:val="00320788"/>
    <w:rsid w:val="00320E9B"/>
    <w:rsid w:val="003213A7"/>
    <w:rsid w:val="00322F05"/>
    <w:rsid w:val="00323DF2"/>
    <w:rsid w:val="00323F7F"/>
    <w:rsid w:val="00324F79"/>
    <w:rsid w:val="00325112"/>
    <w:rsid w:val="00327401"/>
    <w:rsid w:val="0032747F"/>
    <w:rsid w:val="003332AC"/>
    <w:rsid w:val="0033366C"/>
    <w:rsid w:val="003346EB"/>
    <w:rsid w:val="00335933"/>
    <w:rsid w:val="003370E4"/>
    <w:rsid w:val="00337465"/>
    <w:rsid w:val="00340437"/>
    <w:rsid w:val="0034074C"/>
    <w:rsid w:val="0034095B"/>
    <w:rsid w:val="00340AC1"/>
    <w:rsid w:val="003437BD"/>
    <w:rsid w:val="00343D67"/>
    <w:rsid w:val="00344074"/>
    <w:rsid w:val="00345EC6"/>
    <w:rsid w:val="003468A3"/>
    <w:rsid w:val="00346DDC"/>
    <w:rsid w:val="003478CF"/>
    <w:rsid w:val="00350508"/>
    <w:rsid w:val="00350E98"/>
    <w:rsid w:val="00350FC8"/>
    <w:rsid w:val="003510A6"/>
    <w:rsid w:val="00351285"/>
    <w:rsid w:val="003520AD"/>
    <w:rsid w:val="003523C6"/>
    <w:rsid w:val="00354312"/>
    <w:rsid w:val="00356733"/>
    <w:rsid w:val="00357FCD"/>
    <w:rsid w:val="00360838"/>
    <w:rsid w:val="003608E7"/>
    <w:rsid w:val="00360AA1"/>
    <w:rsid w:val="003615C1"/>
    <w:rsid w:val="00363DCB"/>
    <w:rsid w:val="00364D7D"/>
    <w:rsid w:val="00364E6F"/>
    <w:rsid w:val="0036500A"/>
    <w:rsid w:val="00365B4C"/>
    <w:rsid w:val="00365D41"/>
    <w:rsid w:val="003668F1"/>
    <w:rsid w:val="00366A89"/>
    <w:rsid w:val="0036778D"/>
    <w:rsid w:val="0037138A"/>
    <w:rsid w:val="00371DCE"/>
    <w:rsid w:val="003730E1"/>
    <w:rsid w:val="00373391"/>
    <w:rsid w:val="00373D91"/>
    <w:rsid w:val="00374532"/>
    <w:rsid w:val="00374868"/>
    <w:rsid w:val="00375DF4"/>
    <w:rsid w:val="00376313"/>
    <w:rsid w:val="003769BE"/>
    <w:rsid w:val="0037780A"/>
    <w:rsid w:val="003778A7"/>
    <w:rsid w:val="0038070E"/>
    <w:rsid w:val="00382748"/>
    <w:rsid w:val="00382D6C"/>
    <w:rsid w:val="00383004"/>
    <w:rsid w:val="003830CE"/>
    <w:rsid w:val="00383760"/>
    <w:rsid w:val="00383C38"/>
    <w:rsid w:val="00383C4B"/>
    <w:rsid w:val="0038526E"/>
    <w:rsid w:val="00385E2D"/>
    <w:rsid w:val="00386EDE"/>
    <w:rsid w:val="00387D27"/>
    <w:rsid w:val="0039059D"/>
    <w:rsid w:val="0039064A"/>
    <w:rsid w:val="00390CE7"/>
    <w:rsid w:val="0039262E"/>
    <w:rsid w:val="00393597"/>
    <w:rsid w:val="003936FA"/>
    <w:rsid w:val="003937F3"/>
    <w:rsid w:val="003943C2"/>
    <w:rsid w:val="003976EA"/>
    <w:rsid w:val="003A1187"/>
    <w:rsid w:val="003A15D6"/>
    <w:rsid w:val="003A4075"/>
    <w:rsid w:val="003A5016"/>
    <w:rsid w:val="003A512A"/>
    <w:rsid w:val="003A5145"/>
    <w:rsid w:val="003A5326"/>
    <w:rsid w:val="003A59F4"/>
    <w:rsid w:val="003A5C53"/>
    <w:rsid w:val="003A62F3"/>
    <w:rsid w:val="003A64CB"/>
    <w:rsid w:val="003A6AF9"/>
    <w:rsid w:val="003B2445"/>
    <w:rsid w:val="003B37C9"/>
    <w:rsid w:val="003B56E6"/>
    <w:rsid w:val="003B6A5F"/>
    <w:rsid w:val="003B72C6"/>
    <w:rsid w:val="003B76C5"/>
    <w:rsid w:val="003B7E9A"/>
    <w:rsid w:val="003B7F05"/>
    <w:rsid w:val="003C0FD1"/>
    <w:rsid w:val="003C3488"/>
    <w:rsid w:val="003C3A1E"/>
    <w:rsid w:val="003C4039"/>
    <w:rsid w:val="003C4468"/>
    <w:rsid w:val="003C505B"/>
    <w:rsid w:val="003C5271"/>
    <w:rsid w:val="003C5A74"/>
    <w:rsid w:val="003C624B"/>
    <w:rsid w:val="003C6C22"/>
    <w:rsid w:val="003C6F0F"/>
    <w:rsid w:val="003C71CF"/>
    <w:rsid w:val="003C789D"/>
    <w:rsid w:val="003D36EC"/>
    <w:rsid w:val="003D4A56"/>
    <w:rsid w:val="003D5827"/>
    <w:rsid w:val="003D6552"/>
    <w:rsid w:val="003D799F"/>
    <w:rsid w:val="003D7B2C"/>
    <w:rsid w:val="003E01FA"/>
    <w:rsid w:val="003E15FC"/>
    <w:rsid w:val="003E1917"/>
    <w:rsid w:val="003E259A"/>
    <w:rsid w:val="003E35AE"/>
    <w:rsid w:val="003E36A4"/>
    <w:rsid w:val="003E4765"/>
    <w:rsid w:val="003E5211"/>
    <w:rsid w:val="003E6D48"/>
    <w:rsid w:val="003E7686"/>
    <w:rsid w:val="003E7BCA"/>
    <w:rsid w:val="003F0CFB"/>
    <w:rsid w:val="003F10A8"/>
    <w:rsid w:val="003F11B4"/>
    <w:rsid w:val="003F1370"/>
    <w:rsid w:val="003F1845"/>
    <w:rsid w:val="003F1A5B"/>
    <w:rsid w:val="003F22F4"/>
    <w:rsid w:val="003F31D2"/>
    <w:rsid w:val="003F3533"/>
    <w:rsid w:val="003F3716"/>
    <w:rsid w:val="003F379C"/>
    <w:rsid w:val="003F3D40"/>
    <w:rsid w:val="003F3DC0"/>
    <w:rsid w:val="003F4845"/>
    <w:rsid w:val="003F4DBE"/>
    <w:rsid w:val="003F557E"/>
    <w:rsid w:val="003F5AFC"/>
    <w:rsid w:val="003F5CD1"/>
    <w:rsid w:val="003F6897"/>
    <w:rsid w:val="003F7CC5"/>
    <w:rsid w:val="00400D68"/>
    <w:rsid w:val="004013DF"/>
    <w:rsid w:val="00401A63"/>
    <w:rsid w:val="00401A96"/>
    <w:rsid w:val="00401BEF"/>
    <w:rsid w:val="0040413C"/>
    <w:rsid w:val="00405C82"/>
    <w:rsid w:val="00405D2B"/>
    <w:rsid w:val="00406390"/>
    <w:rsid w:val="004067AD"/>
    <w:rsid w:val="00406FE2"/>
    <w:rsid w:val="00407EE0"/>
    <w:rsid w:val="00410156"/>
    <w:rsid w:val="00410DDE"/>
    <w:rsid w:val="0041136D"/>
    <w:rsid w:val="00414250"/>
    <w:rsid w:val="00414806"/>
    <w:rsid w:val="0041695A"/>
    <w:rsid w:val="00416C8C"/>
    <w:rsid w:val="00416DE8"/>
    <w:rsid w:val="0041762B"/>
    <w:rsid w:val="00420814"/>
    <w:rsid w:val="00421422"/>
    <w:rsid w:val="00421AF6"/>
    <w:rsid w:val="00421DE7"/>
    <w:rsid w:val="00422B10"/>
    <w:rsid w:val="00423149"/>
    <w:rsid w:val="00423363"/>
    <w:rsid w:val="0042351B"/>
    <w:rsid w:val="004247A1"/>
    <w:rsid w:val="00424A79"/>
    <w:rsid w:val="00424B78"/>
    <w:rsid w:val="004260EB"/>
    <w:rsid w:val="0042718B"/>
    <w:rsid w:val="004272CF"/>
    <w:rsid w:val="00431DC2"/>
    <w:rsid w:val="00431DFA"/>
    <w:rsid w:val="00431F6A"/>
    <w:rsid w:val="00432553"/>
    <w:rsid w:val="00432DD8"/>
    <w:rsid w:val="004335E8"/>
    <w:rsid w:val="00435847"/>
    <w:rsid w:val="00435978"/>
    <w:rsid w:val="0043690E"/>
    <w:rsid w:val="00436A3E"/>
    <w:rsid w:val="0044048C"/>
    <w:rsid w:val="00440D78"/>
    <w:rsid w:val="00440FCD"/>
    <w:rsid w:val="00441A2A"/>
    <w:rsid w:val="00442085"/>
    <w:rsid w:val="004420F6"/>
    <w:rsid w:val="00442274"/>
    <w:rsid w:val="0044359A"/>
    <w:rsid w:val="00444F65"/>
    <w:rsid w:val="004458F2"/>
    <w:rsid w:val="004465E4"/>
    <w:rsid w:val="00446720"/>
    <w:rsid w:val="00447608"/>
    <w:rsid w:val="004476C6"/>
    <w:rsid w:val="00447733"/>
    <w:rsid w:val="00447B35"/>
    <w:rsid w:val="00450AAD"/>
    <w:rsid w:val="0045130C"/>
    <w:rsid w:val="00452AC9"/>
    <w:rsid w:val="00453578"/>
    <w:rsid w:val="00454A58"/>
    <w:rsid w:val="00455214"/>
    <w:rsid w:val="00456136"/>
    <w:rsid w:val="00456882"/>
    <w:rsid w:val="00456D44"/>
    <w:rsid w:val="00456D5A"/>
    <w:rsid w:val="00456F48"/>
    <w:rsid w:val="00457A10"/>
    <w:rsid w:val="0046133D"/>
    <w:rsid w:val="004613E7"/>
    <w:rsid w:val="00461D3A"/>
    <w:rsid w:val="004621C1"/>
    <w:rsid w:val="004626B6"/>
    <w:rsid w:val="00462BC4"/>
    <w:rsid w:val="00464328"/>
    <w:rsid w:val="00464BB9"/>
    <w:rsid w:val="004656A5"/>
    <w:rsid w:val="004661FC"/>
    <w:rsid w:val="00466483"/>
    <w:rsid w:val="00472BC6"/>
    <w:rsid w:val="00472C9B"/>
    <w:rsid w:val="00472EA8"/>
    <w:rsid w:val="00473A5E"/>
    <w:rsid w:val="00473C5A"/>
    <w:rsid w:val="004758A9"/>
    <w:rsid w:val="00476273"/>
    <w:rsid w:val="00476610"/>
    <w:rsid w:val="00477399"/>
    <w:rsid w:val="004775B1"/>
    <w:rsid w:val="00477DB7"/>
    <w:rsid w:val="00477F34"/>
    <w:rsid w:val="0048020B"/>
    <w:rsid w:val="004806F2"/>
    <w:rsid w:val="00480857"/>
    <w:rsid w:val="004808D6"/>
    <w:rsid w:val="00482F80"/>
    <w:rsid w:val="004832C5"/>
    <w:rsid w:val="00483980"/>
    <w:rsid w:val="00484597"/>
    <w:rsid w:val="00484795"/>
    <w:rsid w:val="00484D94"/>
    <w:rsid w:val="00485773"/>
    <w:rsid w:val="00486456"/>
    <w:rsid w:val="00486485"/>
    <w:rsid w:val="004864DA"/>
    <w:rsid w:val="00486A22"/>
    <w:rsid w:val="004870AE"/>
    <w:rsid w:val="0048712E"/>
    <w:rsid w:val="004871CE"/>
    <w:rsid w:val="004872BC"/>
    <w:rsid w:val="004874A4"/>
    <w:rsid w:val="004876E3"/>
    <w:rsid w:val="00491259"/>
    <w:rsid w:val="00493D77"/>
    <w:rsid w:val="00494355"/>
    <w:rsid w:val="00494945"/>
    <w:rsid w:val="00494C19"/>
    <w:rsid w:val="00495AC5"/>
    <w:rsid w:val="00495E07"/>
    <w:rsid w:val="004972D2"/>
    <w:rsid w:val="00497F70"/>
    <w:rsid w:val="00497FD3"/>
    <w:rsid w:val="004A03E5"/>
    <w:rsid w:val="004A0804"/>
    <w:rsid w:val="004A0C10"/>
    <w:rsid w:val="004A1266"/>
    <w:rsid w:val="004A1E6B"/>
    <w:rsid w:val="004A214C"/>
    <w:rsid w:val="004A4E3A"/>
    <w:rsid w:val="004A503D"/>
    <w:rsid w:val="004B11AE"/>
    <w:rsid w:val="004B141F"/>
    <w:rsid w:val="004B2787"/>
    <w:rsid w:val="004B2A72"/>
    <w:rsid w:val="004B3096"/>
    <w:rsid w:val="004B346E"/>
    <w:rsid w:val="004B365D"/>
    <w:rsid w:val="004B3C45"/>
    <w:rsid w:val="004B4A8D"/>
    <w:rsid w:val="004B64A8"/>
    <w:rsid w:val="004B6C17"/>
    <w:rsid w:val="004B6FA1"/>
    <w:rsid w:val="004C0D28"/>
    <w:rsid w:val="004C0E28"/>
    <w:rsid w:val="004C190E"/>
    <w:rsid w:val="004C195A"/>
    <w:rsid w:val="004C22B9"/>
    <w:rsid w:val="004C2DE8"/>
    <w:rsid w:val="004C349F"/>
    <w:rsid w:val="004C356B"/>
    <w:rsid w:val="004C44E6"/>
    <w:rsid w:val="004C456B"/>
    <w:rsid w:val="004C4D5F"/>
    <w:rsid w:val="004C51F5"/>
    <w:rsid w:val="004C5907"/>
    <w:rsid w:val="004C5C42"/>
    <w:rsid w:val="004C612A"/>
    <w:rsid w:val="004D35E8"/>
    <w:rsid w:val="004D5CE6"/>
    <w:rsid w:val="004D614C"/>
    <w:rsid w:val="004E0346"/>
    <w:rsid w:val="004E16AD"/>
    <w:rsid w:val="004E19C1"/>
    <w:rsid w:val="004E1C50"/>
    <w:rsid w:val="004E1DAE"/>
    <w:rsid w:val="004E25A6"/>
    <w:rsid w:val="004E275F"/>
    <w:rsid w:val="004E51EE"/>
    <w:rsid w:val="004E58AE"/>
    <w:rsid w:val="004E6819"/>
    <w:rsid w:val="004F0798"/>
    <w:rsid w:val="004F0960"/>
    <w:rsid w:val="004F0AB3"/>
    <w:rsid w:val="004F3029"/>
    <w:rsid w:val="004F311D"/>
    <w:rsid w:val="004F38A8"/>
    <w:rsid w:val="004F4497"/>
    <w:rsid w:val="004F483A"/>
    <w:rsid w:val="004F49B8"/>
    <w:rsid w:val="004F4A21"/>
    <w:rsid w:val="004F4F79"/>
    <w:rsid w:val="004F519D"/>
    <w:rsid w:val="004F5612"/>
    <w:rsid w:val="004F5759"/>
    <w:rsid w:val="004F5A9C"/>
    <w:rsid w:val="004F6475"/>
    <w:rsid w:val="004F665E"/>
    <w:rsid w:val="004F7405"/>
    <w:rsid w:val="004F78A3"/>
    <w:rsid w:val="0050001C"/>
    <w:rsid w:val="00500444"/>
    <w:rsid w:val="00500E8B"/>
    <w:rsid w:val="00501549"/>
    <w:rsid w:val="00501DE0"/>
    <w:rsid w:val="00501E7B"/>
    <w:rsid w:val="00502DC4"/>
    <w:rsid w:val="005041D3"/>
    <w:rsid w:val="00504776"/>
    <w:rsid w:val="005047DF"/>
    <w:rsid w:val="00504B86"/>
    <w:rsid w:val="005070E4"/>
    <w:rsid w:val="00511BC3"/>
    <w:rsid w:val="00511E46"/>
    <w:rsid w:val="00512097"/>
    <w:rsid w:val="00513CA3"/>
    <w:rsid w:val="00513E14"/>
    <w:rsid w:val="005154C1"/>
    <w:rsid w:val="005162AB"/>
    <w:rsid w:val="0051664F"/>
    <w:rsid w:val="00521085"/>
    <w:rsid w:val="00521122"/>
    <w:rsid w:val="0052351B"/>
    <w:rsid w:val="00525018"/>
    <w:rsid w:val="00525FF8"/>
    <w:rsid w:val="00526D68"/>
    <w:rsid w:val="00530892"/>
    <w:rsid w:val="00531B2B"/>
    <w:rsid w:val="0053252E"/>
    <w:rsid w:val="00532C89"/>
    <w:rsid w:val="005345FC"/>
    <w:rsid w:val="00541146"/>
    <w:rsid w:val="00541235"/>
    <w:rsid w:val="005423A1"/>
    <w:rsid w:val="00542814"/>
    <w:rsid w:val="0054345B"/>
    <w:rsid w:val="00544557"/>
    <w:rsid w:val="00545920"/>
    <w:rsid w:val="00545CC2"/>
    <w:rsid w:val="0054600F"/>
    <w:rsid w:val="00546238"/>
    <w:rsid w:val="005475E6"/>
    <w:rsid w:val="00547D3F"/>
    <w:rsid w:val="00547D8E"/>
    <w:rsid w:val="005505A5"/>
    <w:rsid w:val="00550A24"/>
    <w:rsid w:val="00550B57"/>
    <w:rsid w:val="005514D0"/>
    <w:rsid w:val="00552271"/>
    <w:rsid w:val="0055242F"/>
    <w:rsid w:val="00552975"/>
    <w:rsid w:val="00552A11"/>
    <w:rsid w:val="00552C1B"/>
    <w:rsid w:val="00553717"/>
    <w:rsid w:val="00556A40"/>
    <w:rsid w:val="0055762A"/>
    <w:rsid w:val="00557664"/>
    <w:rsid w:val="005577D9"/>
    <w:rsid w:val="005604EA"/>
    <w:rsid w:val="005605B6"/>
    <w:rsid w:val="00561DA8"/>
    <w:rsid w:val="00561F22"/>
    <w:rsid w:val="00562396"/>
    <w:rsid w:val="00562CB2"/>
    <w:rsid w:val="00563704"/>
    <w:rsid w:val="00563A47"/>
    <w:rsid w:val="00564F18"/>
    <w:rsid w:val="0056560D"/>
    <w:rsid w:val="00565AD4"/>
    <w:rsid w:val="00566E76"/>
    <w:rsid w:val="00570FE1"/>
    <w:rsid w:val="0057177F"/>
    <w:rsid w:val="005717E2"/>
    <w:rsid w:val="00571D6D"/>
    <w:rsid w:val="00572F46"/>
    <w:rsid w:val="00573244"/>
    <w:rsid w:val="005738F3"/>
    <w:rsid w:val="0057392C"/>
    <w:rsid w:val="00574A02"/>
    <w:rsid w:val="00575A2C"/>
    <w:rsid w:val="005767FA"/>
    <w:rsid w:val="00576A54"/>
    <w:rsid w:val="00576D6F"/>
    <w:rsid w:val="00577DC6"/>
    <w:rsid w:val="005800C2"/>
    <w:rsid w:val="00580BCD"/>
    <w:rsid w:val="005816F4"/>
    <w:rsid w:val="00581760"/>
    <w:rsid w:val="0058185F"/>
    <w:rsid w:val="00581880"/>
    <w:rsid w:val="00581BDF"/>
    <w:rsid w:val="00583257"/>
    <w:rsid w:val="00583F29"/>
    <w:rsid w:val="00585174"/>
    <w:rsid w:val="0058595C"/>
    <w:rsid w:val="00585CA8"/>
    <w:rsid w:val="00585F73"/>
    <w:rsid w:val="00587B48"/>
    <w:rsid w:val="00587EC8"/>
    <w:rsid w:val="0059038C"/>
    <w:rsid w:val="005912AB"/>
    <w:rsid w:val="005921E2"/>
    <w:rsid w:val="00592DD7"/>
    <w:rsid w:val="00593805"/>
    <w:rsid w:val="00593972"/>
    <w:rsid w:val="00594115"/>
    <w:rsid w:val="005948C3"/>
    <w:rsid w:val="00594A60"/>
    <w:rsid w:val="00594E87"/>
    <w:rsid w:val="00594F2B"/>
    <w:rsid w:val="005950E5"/>
    <w:rsid w:val="0059511A"/>
    <w:rsid w:val="0059511B"/>
    <w:rsid w:val="00596564"/>
    <w:rsid w:val="00596903"/>
    <w:rsid w:val="00597309"/>
    <w:rsid w:val="005978EB"/>
    <w:rsid w:val="00597D94"/>
    <w:rsid w:val="005A10F7"/>
    <w:rsid w:val="005A1772"/>
    <w:rsid w:val="005A4CD3"/>
    <w:rsid w:val="005A5FEE"/>
    <w:rsid w:val="005A6F55"/>
    <w:rsid w:val="005A6F7C"/>
    <w:rsid w:val="005A7A93"/>
    <w:rsid w:val="005B1151"/>
    <w:rsid w:val="005B132F"/>
    <w:rsid w:val="005B15EB"/>
    <w:rsid w:val="005B18B2"/>
    <w:rsid w:val="005B18D6"/>
    <w:rsid w:val="005B1F22"/>
    <w:rsid w:val="005B300F"/>
    <w:rsid w:val="005B38E7"/>
    <w:rsid w:val="005B40A6"/>
    <w:rsid w:val="005B4278"/>
    <w:rsid w:val="005B70A8"/>
    <w:rsid w:val="005C0180"/>
    <w:rsid w:val="005C01B7"/>
    <w:rsid w:val="005C043A"/>
    <w:rsid w:val="005C2280"/>
    <w:rsid w:val="005C2411"/>
    <w:rsid w:val="005C2E0D"/>
    <w:rsid w:val="005C3D9A"/>
    <w:rsid w:val="005C4275"/>
    <w:rsid w:val="005C5161"/>
    <w:rsid w:val="005C7DE1"/>
    <w:rsid w:val="005D0113"/>
    <w:rsid w:val="005D0F9A"/>
    <w:rsid w:val="005D1C97"/>
    <w:rsid w:val="005D2A79"/>
    <w:rsid w:val="005D3004"/>
    <w:rsid w:val="005D31B0"/>
    <w:rsid w:val="005D3B96"/>
    <w:rsid w:val="005D3D39"/>
    <w:rsid w:val="005D3D78"/>
    <w:rsid w:val="005D4216"/>
    <w:rsid w:val="005D6580"/>
    <w:rsid w:val="005D6E6F"/>
    <w:rsid w:val="005D787E"/>
    <w:rsid w:val="005D7C39"/>
    <w:rsid w:val="005E0415"/>
    <w:rsid w:val="005E0A93"/>
    <w:rsid w:val="005E13DF"/>
    <w:rsid w:val="005E387D"/>
    <w:rsid w:val="005E3B75"/>
    <w:rsid w:val="005E3D15"/>
    <w:rsid w:val="005E3D78"/>
    <w:rsid w:val="005E43BE"/>
    <w:rsid w:val="005E4C65"/>
    <w:rsid w:val="005E5ABB"/>
    <w:rsid w:val="005E5D86"/>
    <w:rsid w:val="005E66F4"/>
    <w:rsid w:val="005E7A4F"/>
    <w:rsid w:val="005F0D7D"/>
    <w:rsid w:val="005F1384"/>
    <w:rsid w:val="005F1798"/>
    <w:rsid w:val="005F21F5"/>
    <w:rsid w:val="005F2946"/>
    <w:rsid w:val="005F34C6"/>
    <w:rsid w:val="005F388B"/>
    <w:rsid w:val="005F3E43"/>
    <w:rsid w:val="005F40AA"/>
    <w:rsid w:val="005F4318"/>
    <w:rsid w:val="005F4D3A"/>
    <w:rsid w:val="005F4F8E"/>
    <w:rsid w:val="005F54A4"/>
    <w:rsid w:val="005F62A1"/>
    <w:rsid w:val="005F71D1"/>
    <w:rsid w:val="00600210"/>
    <w:rsid w:val="0060035F"/>
    <w:rsid w:val="00602476"/>
    <w:rsid w:val="00603DB4"/>
    <w:rsid w:val="00603EA9"/>
    <w:rsid w:val="006041A5"/>
    <w:rsid w:val="00604480"/>
    <w:rsid w:val="00607205"/>
    <w:rsid w:val="006074E4"/>
    <w:rsid w:val="00610F67"/>
    <w:rsid w:val="006112D1"/>
    <w:rsid w:val="006112E6"/>
    <w:rsid w:val="006112FA"/>
    <w:rsid w:val="006115DF"/>
    <w:rsid w:val="00611A23"/>
    <w:rsid w:val="00611E01"/>
    <w:rsid w:val="006132AC"/>
    <w:rsid w:val="00613373"/>
    <w:rsid w:val="00613F08"/>
    <w:rsid w:val="00614950"/>
    <w:rsid w:val="00615D66"/>
    <w:rsid w:val="006166BD"/>
    <w:rsid w:val="00617458"/>
    <w:rsid w:val="006177F8"/>
    <w:rsid w:val="00620205"/>
    <w:rsid w:val="00620B96"/>
    <w:rsid w:val="00621106"/>
    <w:rsid w:val="00621C47"/>
    <w:rsid w:val="00622D42"/>
    <w:rsid w:val="00622F63"/>
    <w:rsid w:val="00623402"/>
    <w:rsid w:val="00624B34"/>
    <w:rsid w:val="00625B93"/>
    <w:rsid w:val="006267FD"/>
    <w:rsid w:val="00626AD6"/>
    <w:rsid w:val="00626FD1"/>
    <w:rsid w:val="006308E9"/>
    <w:rsid w:val="006322DF"/>
    <w:rsid w:val="00633563"/>
    <w:rsid w:val="00634F4C"/>
    <w:rsid w:val="00636271"/>
    <w:rsid w:val="0063722D"/>
    <w:rsid w:val="006406AA"/>
    <w:rsid w:val="00640963"/>
    <w:rsid w:val="00641664"/>
    <w:rsid w:val="00642702"/>
    <w:rsid w:val="00643471"/>
    <w:rsid w:val="00643C5A"/>
    <w:rsid w:val="00643EA7"/>
    <w:rsid w:val="006451D6"/>
    <w:rsid w:val="006457AA"/>
    <w:rsid w:val="00646B40"/>
    <w:rsid w:val="0064731B"/>
    <w:rsid w:val="006502FA"/>
    <w:rsid w:val="00652956"/>
    <w:rsid w:val="006535B0"/>
    <w:rsid w:val="006539FF"/>
    <w:rsid w:val="00653D8D"/>
    <w:rsid w:val="00655A79"/>
    <w:rsid w:val="006564CE"/>
    <w:rsid w:val="00656E02"/>
    <w:rsid w:val="00661223"/>
    <w:rsid w:val="00661BFF"/>
    <w:rsid w:val="0066259F"/>
    <w:rsid w:val="006628D0"/>
    <w:rsid w:val="00662BC9"/>
    <w:rsid w:val="0066360D"/>
    <w:rsid w:val="006637A1"/>
    <w:rsid w:val="006644EE"/>
    <w:rsid w:val="0066622B"/>
    <w:rsid w:val="00667B22"/>
    <w:rsid w:val="00670336"/>
    <w:rsid w:val="006710AC"/>
    <w:rsid w:val="006710C1"/>
    <w:rsid w:val="0067304E"/>
    <w:rsid w:val="0067315C"/>
    <w:rsid w:val="00673A6E"/>
    <w:rsid w:val="00674415"/>
    <w:rsid w:val="006745E5"/>
    <w:rsid w:val="00674C64"/>
    <w:rsid w:val="00677547"/>
    <w:rsid w:val="00677781"/>
    <w:rsid w:val="00677A0E"/>
    <w:rsid w:val="00681181"/>
    <w:rsid w:val="00682005"/>
    <w:rsid w:val="00682099"/>
    <w:rsid w:val="006829D5"/>
    <w:rsid w:val="00682A97"/>
    <w:rsid w:val="00682F5B"/>
    <w:rsid w:val="006849ED"/>
    <w:rsid w:val="00685093"/>
    <w:rsid w:val="00685A22"/>
    <w:rsid w:val="00686648"/>
    <w:rsid w:val="0068674E"/>
    <w:rsid w:val="006873A9"/>
    <w:rsid w:val="00690D95"/>
    <w:rsid w:val="006910A1"/>
    <w:rsid w:val="0069140D"/>
    <w:rsid w:val="006921BD"/>
    <w:rsid w:val="0069376A"/>
    <w:rsid w:val="006938FB"/>
    <w:rsid w:val="00693E06"/>
    <w:rsid w:val="0069455C"/>
    <w:rsid w:val="0069471D"/>
    <w:rsid w:val="00694F3D"/>
    <w:rsid w:val="00695139"/>
    <w:rsid w:val="00695708"/>
    <w:rsid w:val="006A0643"/>
    <w:rsid w:val="006A18B6"/>
    <w:rsid w:val="006A1EDC"/>
    <w:rsid w:val="006A2819"/>
    <w:rsid w:val="006A4342"/>
    <w:rsid w:val="006A568B"/>
    <w:rsid w:val="006A5B0F"/>
    <w:rsid w:val="006A5D5F"/>
    <w:rsid w:val="006A5E48"/>
    <w:rsid w:val="006A5ED6"/>
    <w:rsid w:val="006A5FF3"/>
    <w:rsid w:val="006B0025"/>
    <w:rsid w:val="006B20EE"/>
    <w:rsid w:val="006B2CEB"/>
    <w:rsid w:val="006B306A"/>
    <w:rsid w:val="006B31B6"/>
    <w:rsid w:val="006B32AB"/>
    <w:rsid w:val="006B402D"/>
    <w:rsid w:val="006B4826"/>
    <w:rsid w:val="006B4B3A"/>
    <w:rsid w:val="006B5B8D"/>
    <w:rsid w:val="006B5D2B"/>
    <w:rsid w:val="006B7237"/>
    <w:rsid w:val="006C1614"/>
    <w:rsid w:val="006C1D8C"/>
    <w:rsid w:val="006C30D0"/>
    <w:rsid w:val="006C3BBF"/>
    <w:rsid w:val="006C458B"/>
    <w:rsid w:val="006C4EC6"/>
    <w:rsid w:val="006C51D5"/>
    <w:rsid w:val="006C6A3D"/>
    <w:rsid w:val="006D0593"/>
    <w:rsid w:val="006D0C53"/>
    <w:rsid w:val="006D1E49"/>
    <w:rsid w:val="006D2553"/>
    <w:rsid w:val="006D3C52"/>
    <w:rsid w:val="006D41EA"/>
    <w:rsid w:val="006D432E"/>
    <w:rsid w:val="006D592D"/>
    <w:rsid w:val="006D5B0E"/>
    <w:rsid w:val="006D7432"/>
    <w:rsid w:val="006E05B1"/>
    <w:rsid w:val="006E06F9"/>
    <w:rsid w:val="006E0A9F"/>
    <w:rsid w:val="006E1CF4"/>
    <w:rsid w:val="006E322D"/>
    <w:rsid w:val="006E3ACA"/>
    <w:rsid w:val="006E3CF8"/>
    <w:rsid w:val="006E458C"/>
    <w:rsid w:val="006E4894"/>
    <w:rsid w:val="006E595C"/>
    <w:rsid w:val="006E595F"/>
    <w:rsid w:val="006E59B6"/>
    <w:rsid w:val="006E6044"/>
    <w:rsid w:val="006E62C2"/>
    <w:rsid w:val="006E6496"/>
    <w:rsid w:val="006E6776"/>
    <w:rsid w:val="006E6A24"/>
    <w:rsid w:val="006F0AFA"/>
    <w:rsid w:val="006F1093"/>
    <w:rsid w:val="006F131D"/>
    <w:rsid w:val="006F1963"/>
    <w:rsid w:val="006F1B52"/>
    <w:rsid w:val="006F227D"/>
    <w:rsid w:val="006F27A6"/>
    <w:rsid w:val="006F290A"/>
    <w:rsid w:val="006F3370"/>
    <w:rsid w:val="006F39A4"/>
    <w:rsid w:val="006F3A68"/>
    <w:rsid w:val="006F42DE"/>
    <w:rsid w:val="006F523C"/>
    <w:rsid w:val="006F704F"/>
    <w:rsid w:val="006F79CD"/>
    <w:rsid w:val="007009F2"/>
    <w:rsid w:val="007011DB"/>
    <w:rsid w:val="007033E0"/>
    <w:rsid w:val="0070482C"/>
    <w:rsid w:val="00704C32"/>
    <w:rsid w:val="00705306"/>
    <w:rsid w:val="007059C9"/>
    <w:rsid w:val="00705B33"/>
    <w:rsid w:val="00705F69"/>
    <w:rsid w:val="0070615E"/>
    <w:rsid w:val="007065BE"/>
    <w:rsid w:val="007066B7"/>
    <w:rsid w:val="00706C4B"/>
    <w:rsid w:val="0071078F"/>
    <w:rsid w:val="00710A58"/>
    <w:rsid w:val="00711401"/>
    <w:rsid w:val="007116AC"/>
    <w:rsid w:val="007124A2"/>
    <w:rsid w:val="00712873"/>
    <w:rsid w:val="00712CF3"/>
    <w:rsid w:val="007133ED"/>
    <w:rsid w:val="00720CCA"/>
    <w:rsid w:val="00721469"/>
    <w:rsid w:val="007230D6"/>
    <w:rsid w:val="00723481"/>
    <w:rsid w:val="00723E4B"/>
    <w:rsid w:val="00724553"/>
    <w:rsid w:val="0072563F"/>
    <w:rsid w:val="00726114"/>
    <w:rsid w:val="00726693"/>
    <w:rsid w:val="00730848"/>
    <w:rsid w:val="00730DC7"/>
    <w:rsid w:val="00731D22"/>
    <w:rsid w:val="00731F0E"/>
    <w:rsid w:val="00732187"/>
    <w:rsid w:val="007328B8"/>
    <w:rsid w:val="00732CFA"/>
    <w:rsid w:val="00732E2C"/>
    <w:rsid w:val="007330FB"/>
    <w:rsid w:val="00733398"/>
    <w:rsid w:val="00733D5D"/>
    <w:rsid w:val="00734468"/>
    <w:rsid w:val="007355B1"/>
    <w:rsid w:val="00735ECF"/>
    <w:rsid w:val="007360DD"/>
    <w:rsid w:val="007368A2"/>
    <w:rsid w:val="00736DE9"/>
    <w:rsid w:val="00742439"/>
    <w:rsid w:val="00742440"/>
    <w:rsid w:val="00742F1A"/>
    <w:rsid w:val="00743A10"/>
    <w:rsid w:val="00743BF6"/>
    <w:rsid w:val="00745A3B"/>
    <w:rsid w:val="0074605A"/>
    <w:rsid w:val="00746424"/>
    <w:rsid w:val="0074656F"/>
    <w:rsid w:val="007465A9"/>
    <w:rsid w:val="007465FD"/>
    <w:rsid w:val="00746A3E"/>
    <w:rsid w:val="00747D59"/>
    <w:rsid w:val="007500BA"/>
    <w:rsid w:val="007502BE"/>
    <w:rsid w:val="0075035B"/>
    <w:rsid w:val="00750578"/>
    <w:rsid w:val="007505EA"/>
    <w:rsid w:val="00751218"/>
    <w:rsid w:val="00751459"/>
    <w:rsid w:val="00751951"/>
    <w:rsid w:val="00751D45"/>
    <w:rsid w:val="007547C5"/>
    <w:rsid w:val="00754A0D"/>
    <w:rsid w:val="00754BA5"/>
    <w:rsid w:val="007552C1"/>
    <w:rsid w:val="007562E2"/>
    <w:rsid w:val="007577C2"/>
    <w:rsid w:val="00761D36"/>
    <w:rsid w:val="00762678"/>
    <w:rsid w:val="00762F2B"/>
    <w:rsid w:val="00762F86"/>
    <w:rsid w:val="0076328E"/>
    <w:rsid w:val="00763BC3"/>
    <w:rsid w:val="00764563"/>
    <w:rsid w:val="007646DB"/>
    <w:rsid w:val="007650E2"/>
    <w:rsid w:val="00765582"/>
    <w:rsid w:val="0076561E"/>
    <w:rsid w:val="00765680"/>
    <w:rsid w:val="007661B0"/>
    <w:rsid w:val="007667A4"/>
    <w:rsid w:val="00766CDB"/>
    <w:rsid w:val="00767551"/>
    <w:rsid w:val="00773353"/>
    <w:rsid w:val="0077373B"/>
    <w:rsid w:val="00775045"/>
    <w:rsid w:val="0077640A"/>
    <w:rsid w:val="00776804"/>
    <w:rsid w:val="00780A45"/>
    <w:rsid w:val="00781576"/>
    <w:rsid w:val="00781757"/>
    <w:rsid w:val="00782462"/>
    <w:rsid w:val="007836C0"/>
    <w:rsid w:val="00783842"/>
    <w:rsid w:val="007839B9"/>
    <w:rsid w:val="007843D6"/>
    <w:rsid w:val="00784474"/>
    <w:rsid w:val="007857B5"/>
    <w:rsid w:val="007876E3"/>
    <w:rsid w:val="00787753"/>
    <w:rsid w:val="00787BD7"/>
    <w:rsid w:val="007904EC"/>
    <w:rsid w:val="00790E39"/>
    <w:rsid w:val="00791220"/>
    <w:rsid w:val="007914E3"/>
    <w:rsid w:val="007924B4"/>
    <w:rsid w:val="00792661"/>
    <w:rsid w:val="007928AD"/>
    <w:rsid w:val="00794724"/>
    <w:rsid w:val="007956EE"/>
    <w:rsid w:val="007957D8"/>
    <w:rsid w:val="007965A6"/>
    <w:rsid w:val="00796863"/>
    <w:rsid w:val="00797CDF"/>
    <w:rsid w:val="007A0174"/>
    <w:rsid w:val="007A03F9"/>
    <w:rsid w:val="007A0598"/>
    <w:rsid w:val="007A0BB2"/>
    <w:rsid w:val="007A2235"/>
    <w:rsid w:val="007A267C"/>
    <w:rsid w:val="007A2786"/>
    <w:rsid w:val="007A27A0"/>
    <w:rsid w:val="007A3737"/>
    <w:rsid w:val="007A42D8"/>
    <w:rsid w:val="007A5131"/>
    <w:rsid w:val="007A70CD"/>
    <w:rsid w:val="007A737B"/>
    <w:rsid w:val="007A7AE5"/>
    <w:rsid w:val="007B0035"/>
    <w:rsid w:val="007B0DDD"/>
    <w:rsid w:val="007B2B58"/>
    <w:rsid w:val="007B2F57"/>
    <w:rsid w:val="007B311F"/>
    <w:rsid w:val="007B3E97"/>
    <w:rsid w:val="007B4019"/>
    <w:rsid w:val="007B521B"/>
    <w:rsid w:val="007B5398"/>
    <w:rsid w:val="007B63CA"/>
    <w:rsid w:val="007B66A0"/>
    <w:rsid w:val="007B6E4E"/>
    <w:rsid w:val="007B71E9"/>
    <w:rsid w:val="007B74B3"/>
    <w:rsid w:val="007B7789"/>
    <w:rsid w:val="007B7E00"/>
    <w:rsid w:val="007C05AB"/>
    <w:rsid w:val="007C0DDE"/>
    <w:rsid w:val="007C1702"/>
    <w:rsid w:val="007C1F29"/>
    <w:rsid w:val="007C317C"/>
    <w:rsid w:val="007C41D1"/>
    <w:rsid w:val="007C48C7"/>
    <w:rsid w:val="007C69D6"/>
    <w:rsid w:val="007D0B11"/>
    <w:rsid w:val="007D0D94"/>
    <w:rsid w:val="007D1766"/>
    <w:rsid w:val="007D2182"/>
    <w:rsid w:val="007D27B8"/>
    <w:rsid w:val="007D2CEB"/>
    <w:rsid w:val="007D2F04"/>
    <w:rsid w:val="007D3016"/>
    <w:rsid w:val="007D3591"/>
    <w:rsid w:val="007D45BF"/>
    <w:rsid w:val="007D4876"/>
    <w:rsid w:val="007D4A5E"/>
    <w:rsid w:val="007D50D9"/>
    <w:rsid w:val="007D6683"/>
    <w:rsid w:val="007E01C6"/>
    <w:rsid w:val="007E0E34"/>
    <w:rsid w:val="007E0FBB"/>
    <w:rsid w:val="007E193C"/>
    <w:rsid w:val="007E1D01"/>
    <w:rsid w:val="007E30E4"/>
    <w:rsid w:val="007E370E"/>
    <w:rsid w:val="007E5817"/>
    <w:rsid w:val="007E6167"/>
    <w:rsid w:val="007E69E0"/>
    <w:rsid w:val="007E74C5"/>
    <w:rsid w:val="007E7A5B"/>
    <w:rsid w:val="007E7AB9"/>
    <w:rsid w:val="007E7ACD"/>
    <w:rsid w:val="007F0957"/>
    <w:rsid w:val="007F0E34"/>
    <w:rsid w:val="007F2F19"/>
    <w:rsid w:val="007F32C6"/>
    <w:rsid w:val="007F4561"/>
    <w:rsid w:val="007F4A4B"/>
    <w:rsid w:val="007F6368"/>
    <w:rsid w:val="007F6C7A"/>
    <w:rsid w:val="007F7800"/>
    <w:rsid w:val="007F7B7F"/>
    <w:rsid w:val="00801218"/>
    <w:rsid w:val="008016F5"/>
    <w:rsid w:val="008025D3"/>
    <w:rsid w:val="008043DE"/>
    <w:rsid w:val="0080498D"/>
    <w:rsid w:val="00805425"/>
    <w:rsid w:val="00805875"/>
    <w:rsid w:val="00805D27"/>
    <w:rsid w:val="0080606A"/>
    <w:rsid w:val="008065F0"/>
    <w:rsid w:val="00806915"/>
    <w:rsid w:val="00807C2F"/>
    <w:rsid w:val="00807F61"/>
    <w:rsid w:val="00810B67"/>
    <w:rsid w:val="00811D85"/>
    <w:rsid w:val="008129C6"/>
    <w:rsid w:val="00812E0A"/>
    <w:rsid w:val="00812F3D"/>
    <w:rsid w:val="0081352B"/>
    <w:rsid w:val="008140C1"/>
    <w:rsid w:val="00814514"/>
    <w:rsid w:val="008154B2"/>
    <w:rsid w:val="008166DF"/>
    <w:rsid w:val="008175D3"/>
    <w:rsid w:val="0081766E"/>
    <w:rsid w:val="0081776B"/>
    <w:rsid w:val="00817E04"/>
    <w:rsid w:val="00820706"/>
    <w:rsid w:val="00821DAC"/>
    <w:rsid w:val="008230A9"/>
    <w:rsid w:val="008237E2"/>
    <w:rsid w:val="008246B6"/>
    <w:rsid w:val="008255E4"/>
    <w:rsid w:val="00825A7A"/>
    <w:rsid w:val="008265C6"/>
    <w:rsid w:val="008266F4"/>
    <w:rsid w:val="0082683A"/>
    <w:rsid w:val="008277FD"/>
    <w:rsid w:val="00827BAD"/>
    <w:rsid w:val="00827F92"/>
    <w:rsid w:val="00830639"/>
    <w:rsid w:val="008309C9"/>
    <w:rsid w:val="00830BC7"/>
    <w:rsid w:val="00832495"/>
    <w:rsid w:val="008335E3"/>
    <w:rsid w:val="00834DCB"/>
    <w:rsid w:val="00835764"/>
    <w:rsid w:val="0083626E"/>
    <w:rsid w:val="008362E6"/>
    <w:rsid w:val="00836673"/>
    <w:rsid w:val="00836E6C"/>
    <w:rsid w:val="008373C6"/>
    <w:rsid w:val="00840C01"/>
    <w:rsid w:val="00840C42"/>
    <w:rsid w:val="0084167C"/>
    <w:rsid w:val="00841CDD"/>
    <w:rsid w:val="00842171"/>
    <w:rsid w:val="0084278B"/>
    <w:rsid w:val="0084394E"/>
    <w:rsid w:val="0084434D"/>
    <w:rsid w:val="008444F6"/>
    <w:rsid w:val="00844AC7"/>
    <w:rsid w:val="00844F10"/>
    <w:rsid w:val="00845186"/>
    <w:rsid w:val="00845BBC"/>
    <w:rsid w:val="00845E6D"/>
    <w:rsid w:val="008462E4"/>
    <w:rsid w:val="008463D6"/>
    <w:rsid w:val="00846419"/>
    <w:rsid w:val="00847F2B"/>
    <w:rsid w:val="00850048"/>
    <w:rsid w:val="00850287"/>
    <w:rsid w:val="008513D8"/>
    <w:rsid w:val="00851E37"/>
    <w:rsid w:val="00852986"/>
    <w:rsid w:val="00852A8B"/>
    <w:rsid w:val="00852C25"/>
    <w:rsid w:val="00852E9D"/>
    <w:rsid w:val="00852EFA"/>
    <w:rsid w:val="00853317"/>
    <w:rsid w:val="0085362E"/>
    <w:rsid w:val="00854036"/>
    <w:rsid w:val="00855231"/>
    <w:rsid w:val="00855569"/>
    <w:rsid w:val="00855CA0"/>
    <w:rsid w:val="00855D43"/>
    <w:rsid w:val="00856193"/>
    <w:rsid w:val="008561D7"/>
    <w:rsid w:val="00857451"/>
    <w:rsid w:val="008574D3"/>
    <w:rsid w:val="0086052B"/>
    <w:rsid w:val="008607B4"/>
    <w:rsid w:val="00860B22"/>
    <w:rsid w:val="00861074"/>
    <w:rsid w:val="00861378"/>
    <w:rsid w:val="008619B2"/>
    <w:rsid w:val="00862BC7"/>
    <w:rsid w:val="008636FC"/>
    <w:rsid w:val="00863C5E"/>
    <w:rsid w:val="00863DB6"/>
    <w:rsid w:val="00863E7C"/>
    <w:rsid w:val="00864811"/>
    <w:rsid w:val="00864DD7"/>
    <w:rsid w:val="00865B86"/>
    <w:rsid w:val="00870368"/>
    <w:rsid w:val="0087062B"/>
    <w:rsid w:val="00871164"/>
    <w:rsid w:val="008714C4"/>
    <w:rsid w:val="00873BC6"/>
    <w:rsid w:val="00874EC2"/>
    <w:rsid w:val="00874FB1"/>
    <w:rsid w:val="0087560F"/>
    <w:rsid w:val="00875D40"/>
    <w:rsid w:val="00876ECD"/>
    <w:rsid w:val="008771F4"/>
    <w:rsid w:val="00877A7D"/>
    <w:rsid w:val="00877E86"/>
    <w:rsid w:val="00880745"/>
    <w:rsid w:val="00880902"/>
    <w:rsid w:val="00880CD1"/>
    <w:rsid w:val="008814A2"/>
    <w:rsid w:val="00881A88"/>
    <w:rsid w:val="00881D20"/>
    <w:rsid w:val="00881E3C"/>
    <w:rsid w:val="0088334F"/>
    <w:rsid w:val="008834F9"/>
    <w:rsid w:val="0088371C"/>
    <w:rsid w:val="008839BE"/>
    <w:rsid w:val="00884C89"/>
    <w:rsid w:val="0088594C"/>
    <w:rsid w:val="00885980"/>
    <w:rsid w:val="00886771"/>
    <w:rsid w:val="0088740E"/>
    <w:rsid w:val="00887CBD"/>
    <w:rsid w:val="00890509"/>
    <w:rsid w:val="0089178F"/>
    <w:rsid w:val="00891D62"/>
    <w:rsid w:val="008928D6"/>
    <w:rsid w:val="00892A4E"/>
    <w:rsid w:val="00892D72"/>
    <w:rsid w:val="008930FA"/>
    <w:rsid w:val="008940D9"/>
    <w:rsid w:val="00894A27"/>
    <w:rsid w:val="00894C0A"/>
    <w:rsid w:val="00894CDA"/>
    <w:rsid w:val="0089565C"/>
    <w:rsid w:val="00896313"/>
    <w:rsid w:val="00896A4C"/>
    <w:rsid w:val="00896AA7"/>
    <w:rsid w:val="00896EBA"/>
    <w:rsid w:val="008977B1"/>
    <w:rsid w:val="0089797F"/>
    <w:rsid w:val="008A1118"/>
    <w:rsid w:val="008A22C2"/>
    <w:rsid w:val="008A23C9"/>
    <w:rsid w:val="008A39F8"/>
    <w:rsid w:val="008A3B5A"/>
    <w:rsid w:val="008A41D2"/>
    <w:rsid w:val="008A462F"/>
    <w:rsid w:val="008A65D4"/>
    <w:rsid w:val="008A74C2"/>
    <w:rsid w:val="008B0044"/>
    <w:rsid w:val="008B0B3A"/>
    <w:rsid w:val="008B30DC"/>
    <w:rsid w:val="008B32A9"/>
    <w:rsid w:val="008B368E"/>
    <w:rsid w:val="008B48F7"/>
    <w:rsid w:val="008C0083"/>
    <w:rsid w:val="008C2EDB"/>
    <w:rsid w:val="008C30B4"/>
    <w:rsid w:val="008C355F"/>
    <w:rsid w:val="008C35B5"/>
    <w:rsid w:val="008C3D93"/>
    <w:rsid w:val="008C594B"/>
    <w:rsid w:val="008C615B"/>
    <w:rsid w:val="008C6C9A"/>
    <w:rsid w:val="008C701E"/>
    <w:rsid w:val="008D0357"/>
    <w:rsid w:val="008D1B64"/>
    <w:rsid w:val="008D3893"/>
    <w:rsid w:val="008D4162"/>
    <w:rsid w:val="008D466C"/>
    <w:rsid w:val="008D47B0"/>
    <w:rsid w:val="008D4E54"/>
    <w:rsid w:val="008D591B"/>
    <w:rsid w:val="008D5E73"/>
    <w:rsid w:val="008D6FE6"/>
    <w:rsid w:val="008D7164"/>
    <w:rsid w:val="008D76AF"/>
    <w:rsid w:val="008D7905"/>
    <w:rsid w:val="008D7B94"/>
    <w:rsid w:val="008E0152"/>
    <w:rsid w:val="008E15EC"/>
    <w:rsid w:val="008E3F23"/>
    <w:rsid w:val="008E41E3"/>
    <w:rsid w:val="008E44E4"/>
    <w:rsid w:val="008E4C89"/>
    <w:rsid w:val="008E51AF"/>
    <w:rsid w:val="008E548A"/>
    <w:rsid w:val="008E6633"/>
    <w:rsid w:val="008E74A2"/>
    <w:rsid w:val="008E7C77"/>
    <w:rsid w:val="008F0A82"/>
    <w:rsid w:val="008F1F1E"/>
    <w:rsid w:val="008F1F36"/>
    <w:rsid w:val="008F1FCF"/>
    <w:rsid w:val="008F2DF2"/>
    <w:rsid w:val="008F38AA"/>
    <w:rsid w:val="008F4AD7"/>
    <w:rsid w:val="008F4B82"/>
    <w:rsid w:val="008F4D8E"/>
    <w:rsid w:val="008F5105"/>
    <w:rsid w:val="008F6E65"/>
    <w:rsid w:val="008F78D4"/>
    <w:rsid w:val="00900460"/>
    <w:rsid w:val="009006A6"/>
    <w:rsid w:val="009016D7"/>
    <w:rsid w:val="00902CDC"/>
    <w:rsid w:val="00903AC3"/>
    <w:rsid w:val="0090412E"/>
    <w:rsid w:val="00904536"/>
    <w:rsid w:val="0090478A"/>
    <w:rsid w:val="00904C32"/>
    <w:rsid w:val="0090550D"/>
    <w:rsid w:val="009063EB"/>
    <w:rsid w:val="00906CAB"/>
    <w:rsid w:val="009102A7"/>
    <w:rsid w:val="00910A63"/>
    <w:rsid w:val="00911579"/>
    <w:rsid w:val="009115C7"/>
    <w:rsid w:val="00911D86"/>
    <w:rsid w:val="00912AD8"/>
    <w:rsid w:val="00912BCF"/>
    <w:rsid w:val="00913568"/>
    <w:rsid w:val="00913AF4"/>
    <w:rsid w:val="009144B5"/>
    <w:rsid w:val="009146F6"/>
    <w:rsid w:val="00915391"/>
    <w:rsid w:val="00915863"/>
    <w:rsid w:val="00916ED7"/>
    <w:rsid w:val="00916FC8"/>
    <w:rsid w:val="00917F82"/>
    <w:rsid w:val="00921B2F"/>
    <w:rsid w:val="00921C0A"/>
    <w:rsid w:val="00921CDB"/>
    <w:rsid w:val="00922908"/>
    <w:rsid w:val="00922E70"/>
    <w:rsid w:val="00923429"/>
    <w:rsid w:val="00924E57"/>
    <w:rsid w:val="00924F94"/>
    <w:rsid w:val="00925C22"/>
    <w:rsid w:val="009267BE"/>
    <w:rsid w:val="00926E69"/>
    <w:rsid w:val="00926F53"/>
    <w:rsid w:val="00930EF7"/>
    <w:rsid w:val="00930FD2"/>
    <w:rsid w:val="0093125C"/>
    <w:rsid w:val="009317B8"/>
    <w:rsid w:val="00931C1B"/>
    <w:rsid w:val="0093240C"/>
    <w:rsid w:val="00932D2A"/>
    <w:rsid w:val="009345F6"/>
    <w:rsid w:val="009360D6"/>
    <w:rsid w:val="009361BB"/>
    <w:rsid w:val="00936282"/>
    <w:rsid w:val="00936510"/>
    <w:rsid w:val="00936616"/>
    <w:rsid w:val="009409FC"/>
    <w:rsid w:val="00941262"/>
    <w:rsid w:val="00941336"/>
    <w:rsid w:val="00941651"/>
    <w:rsid w:val="00942ED9"/>
    <w:rsid w:val="00943276"/>
    <w:rsid w:val="00943894"/>
    <w:rsid w:val="00945E92"/>
    <w:rsid w:val="00946537"/>
    <w:rsid w:val="009466EE"/>
    <w:rsid w:val="0094698E"/>
    <w:rsid w:val="00946C0D"/>
    <w:rsid w:val="00946CC4"/>
    <w:rsid w:val="00952B3F"/>
    <w:rsid w:val="009531F1"/>
    <w:rsid w:val="00953316"/>
    <w:rsid w:val="00954870"/>
    <w:rsid w:val="00954D04"/>
    <w:rsid w:val="0095730E"/>
    <w:rsid w:val="009575E1"/>
    <w:rsid w:val="00957710"/>
    <w:rsid w:val="00957ADD"/>
    <w:rsid w:val="009608A0"/>
    <w:rsid w:val="00960BC7"/>
    <w:rsid w:val="00961FE6"/>
    <w:rsid w:val="00962129"/>
    <w:rsid w:val="009626AA"/>
    <w:rsid w:val="009632C9"/>
    <w:rsid w:val="00964625"/>
    <w:rsid w:val="00965F04"/>
    <w:rsid w:val="00965F7E"/>
    <w:rsid w:val="00965FD7"/>
    <w:rsid w:val="009667EE"/>
    <w:rsid w:val="00966D21"/>
    <w:rsid w:val="009720B6"/>
    <w:rsid w:val="009722F5"/>
    <w:rsid w:val="0097316B"/>
    <w:rsid w:val="0097343E"/>
    <w:rsid w:val="0097354A"/>
    <w:rsid w:val="009735D8"/>
    <w:rsid w:val="00973823"/>
    <w:rsid w:val="009743AA"/>
    <w:rsid w:val="00974FAA"/>
    <w:rsid w:val="009764AB"/>
    <w:rsid w:val="00977184"/>
    <w:rsid w:val="0097718F"/>
    <w:rsid w:val="009772EF"/>
    <w:rsid w:val="009802C9"/>
    <w:rsid w:val="00981634"/>
    <w:rsid w:val="00981C3E"/>
    <w:rsid w:val="00982884"/>
    <w:rsid w:val="00985ABF"/>
    <w:rsid w:val="00990123"/>
    <w:rsid w:val="00991685"/>
    <w:rsid w:val="009927FA"/>
    <w:rsid w:val="00992D43"/>
    <w:rsid w:val="00993CF4"/>
    <w:rsid w:val="00995924"/>
    <w:rsid w:val="00995BC8"/>
    <w:rsid w:val="00995D72"/>
    <w:rsid w:val="009963A1"/>
    <w:rsid w:val="009967F2"/>
    <w:rsid w:val="00997790"/>
    <w:rsid w:val="009979D3"/>
    <w:rsid w:val="009A208A"/>
    <w:rsid w:val="009A213A"/>
    <w:rsid w:val="009A2169"/>
    <w:rsid w:val="009A3C9A"/>
    <w:rsid w:val="009A4B57"/>
    <w:rsid w:val="009A4C8D"/>
    <w:rsid w:val="009A66D0"/>
    <w:rsid w:val="009A761C"/>
    <w:rsid w:val="009A7F50"/>
    <w:rsid w:val="009B01FC"/>
    <w:rsid w:val="009B1BFE"/>
    <w:rsid w:val="009B3BA3"/>
    <w:rsid w:val="009B41D1"/>
    <w:rsid w:val="009B4834"/>
    <w:rsid w:val="009B5FC7"/>
    <w:rsid w:val="009B7367"/>
    <w:rsid w:val="009B7AFD"/>
    <w:rsid w:val="009C0166"/>
    <w:rsid w:val="009C0378"/>
    <w:rsid w:val="009C107D"/>
    <w:rsid w:val="009C298E"/>
    <w:rsid w:val="009C428D"/>
    <w:rsid w:val="009C4968"/>
    <w:rsid w:val="009C4C9A"/>
    <w:rsid w:val="009C6E09"/>
    <w:rsid w:val="009C7C4D"/>
    <w:rsid w:val="009C7F1E"/>
    <w:rsid w:val="009D00CA"/>
    <w:rsid w:val="009D06D6"/>
    <w:rsid w:val="009D169B"/>
    <w:rsid w:val="009D1F7B"/>
    <w:rsid w:val="009D2F22"/>
    <w:rsid w:val="009D39E8"/>
    <w:rsid w:val="009D3CDF"/>
    <w:rsid w:val="009D3DC1"/>
    <w:rsid w:val="009D3F76"/>
    <w:rsid w:val="009D4A75"/>
    <w:rsid w:val="009D5916"/>
    <w:rsid w:val="009D6371"/>
    <w:rsid w:val="009E0EA2"/>
    <w:rsid w:val="009E181A"/>
    <w:rsid w:val="009E214D"/>
    <w:rsid w:val="009E28EC"/>
    <w:rsid w:val="009E2ED2"/>
    <w:rsid w:val="009E315A"/>
    <w:rsid w:val="009E3506"/>
    <w:rsid w:val="009E4841"/>
    <w:rsid w:val="009E6215"/>
    <w:rsid w:val="009E72AB"/>
    <w:rsid w:val="009E78E7"/>
    <w:rsid w:val="009E7983"/>
    <w:rsid w:val="009F04DB"/>
    <w:rsid w:val="009F1D1B"/>
    <w:rsid w:val="009F2E31"/>
    <w:rsid w:val="009F35E5"/>
    <w:rsid w:val="009F3BDE"/>
    <w:rsid w:val="009F3C41"/>
    <w:rsid w:val="009F3E19"/>
    <w:rsid w:val="009F3F1F"/>
    <w:rsid w:val="009F4FB3"/>
    <w:rsid w:val="009F6EDE"/>
    <w:rsid w:val="009F6F07"/>
    <w:rsid w:val="009F71D1"/>
    <w:rsid w:val="009F7409"/>
    <w:rsid w:val="009F78EE"/>
    <w:rsid w:val="009F7E4D"/>
    <w:rsid w:val="00A00DD6"/>
    <w:rsid w:val="00A017BA"/>
    <w:rsid w:val="00A01EFD"/>
    <w:rsid w:val="00A026DF"/>
    <w:rsid w:val="00A02E7B"/>
    <w:rsid w:val="00A02FF5"/>
    <w:rsid w:val="00A03A5F"/>
    <w:rsid w:val="00A03E3C"/>
    <w:rsid w:val="00A04100"/>
    <w:rsid w:val="00A05572"/>
    <w:rsid w:val="00A066DE"/>
    <w:rsid w:val="00A068DA"/>
    <w:rsid w:val="00A075C8"/>
    <w:rsid w:val="00A07805"/>
    <w:rsid w:val="00A07DA0"/>
    <w:rsid w:val="00A10629"/>
    <w:rsid w:val="00A107A7"/>
    <w:rsid w:val="00A10B65"/>
    <w:rsid w:val="00A1100B"/>
    <w:rsid w:val="00A1133F"/>
    <w:rsid w:val="00A121F1"/>
    <w:rsid w:val="00A141E5"/>
    <w:rsid w:val="00A14A51"/>
    <w:rsid w:val="00A153DD"/>
    <w:rsid w:val="00A15581"/>
    <w:rsid w:val="00A1566A"/>
    <w:rsid w:val="00A1593F"/>
    <w:rsid w:val="00A15B57"/>
    <w:rsid w:val="00A16890"/>
    <w:rsid w:val="00A17051"/>
    <w:rsid w:val="00A20D4A"/>
    <w:rsid w:val="00A21B25"/>
    <w:rsid w:val="00A21F92"/>
    <w:rsid w:val="00A23D54"/>
    <w:rsid w:val="00A251EB"/>
    <w:rsid w:val="00A2536F"/>
    <w:rsid w:val="00A263F4"/>
    <w:rsid w:val="00A2653B"/>
    <w:rsid w:val="00A26AF6"/>
    <w:rsid w:val="00A30AF9"/>
    <w:rsid w:val="00A30DB3"/>
    <w:rsid w:val="00A30F95"/>
    <w:rsid w:val="00A315F1"/>
    <w:rsid w:val="00A31A8A"/>
    <w:rsid w:val="00A31AA7"/>
    <w:rsid w:val="00A31BD1"/>
    <w:rsid w:val="00A344A6"/>
    <w:rsid w:val="00A34F09"/>
    <w:rsid w:val="00A3657C"/>
    <w:rsid w:val="00A36751"/>
    <w:rsid w:val="00A36A40"/>
    <w:rsid w:val="00A36BBC"/>
    <w:rsid w:val="00A37F42"/>
    <w:rsid w:val="00A40148"/>
    <w:rsid w:val="00A403E9"/>
    <w:rsid w:val="00A406DC"/>
    <w:rsid w:val="00A40C52"/>
    <w:rsid w:val="00A41119"/>
    <w:rsid w:val="00A412CD"/>
    <w:rsid w:val="00A426D1"/>
    <w:rsid w:val="00A4347E"/>
    <w:rsid w:val="00A4381E"/>
    <w:rsid w:val="00A44AD7"/>
    <w:rsid w:val="00A45074"/>
    <w:rsid w:val="00A452D5"/>
    <w:rsid w:val="00A4630E"/>
    <w:rsid w:val="00A463BA"/>
    <w:rsid w:val="00A46692"/>
    <w:rsid w:val="00A47617"/>
    <w:rsid w:val="00A47DE3"/>
    <w:rsid w:val="00A5227A"/>
    <w:rsid w:val="00A52970"/>
    <w:rsid w:val="00A52B25"/>
    <w:rsid w:val="00A52F71"/>
    <w:rsid w:val="00A53205"/>
    <w:rsid w:val="00A55227"/>
    <w:rsid w:val="00A556FE"/>
    <w:rsid w:val="00A55A52"/>
    <w:rsid w:val="00A55DE0"/>
    <w:rsid w:val="00A56136"/>
    <w:rsid w:val="00A56334"/>
    <w:rsid w:val="00A568EE"/>
    <w:rsid w:val="00A5783C"/>
    <w:rsid w:val="00A57D42"/>
    <w:rsid w:val="00A60BBB"/>
    <w:rsid w:val="00A60C83"/>
    <w:rsid w:val="00A61053"/>
    <w:rsid w:val="00A61098"/>
    <w:rsid w:val="00A61D87"/>
    <w:rsid w:val="00A6262C"/>
    <w:rsid w:val="00A62BE7"/>
    <w:rsid w:val="00A63A99"/>
    <w:rsid w:val="00A6429D"/>
    <w:rsid w:val="00A653BE"/>
    <w:rsid w:val="00A65482"/>
    <w:rsid w:val="00A6564C"/>
    <w:rsid w:val="00A65B59"/>
    <w:rsid w:val="00A65F1E"/>
    <w:rsid w:val="00A673B6"/>
    <w:rsid w:val="00A67D58"/>
    <w:rsid w:val="00A71303"/>
    <w:rsid w:val="00A71755"/>
    <w:rsid w:val="00A72E67"/>
    <w:rsid w:val="00A7322C"/>
    <w:rsid w:val="00A73912"/>
    <w:rsid w:val="00A739AD"/>
    <w:rsid w:val="00A7473C"/>
    <w:rsid w:val="00A777D5"/>
    <w:rsid w:val="00A80964"/>
    <w:rsid w:val="00A80AB9"/>
    <w:rsid w:val="00A81AFD"/>
    <w:rsid w:val="00A81C26"/>
    <w:rsid w:val="00A82D03"/>
    <w:rsid w:val="00A83111"/>
    <w:rsid w:val="00A83149"/>
    <w:rsid w:val="00A84047"/>
    <w:rsid w:val="00A84EF6"/>
    <w:rsid w:val="00A855AA"/>
    <w:rsid w:val="00A85982"/>
    <w:rsid w:val="00A8627B"/>
    <w:rsid w:val="00A873A4"/>
    <w:rsid w:val="00A90123"/>
    <w:rsid w:val="00A920D5"/>
    <w:rsid w:val="00A92DE3"/>
    <w:rsid w:val="00A9327D"/>
    <w:rsid w:val="00A93292"/>
    <w:rsid w:val="00A934C1"/>
    <w:rsid w:val="00A9574C"/>
    <w:rsid w:val="00A96880"/>
    <w:rsid w:val="00A96A96"/>
    <w:rsid w:val="00A972F7"/>
    <w:rsid w:val="00A972FF"/>
    <w:rsid w:val="00AA22FC"/>
    <w:rsid w:val="00AA2351"/>
    <w:rsid w:val="00AA2CB8"/>
    <w:rsid w:val="00AA3061"/>
    <w:rsid w:val="00AA5060"/>
    <w:rsid w:val="00AA54ED"/>
    <w:rsid w:val="00AA5810"/>
    <w:rsid w:val="00AA58AA"/>
    <w:rsid w:val="00AA5969"/>
    <w:rsid w:val="00AB02D6"/>
    <w:rsid w:val="00AB0683"/>
    <w:rsid w:val="00AB07F9"/>
    <w:rsid w:val="00AB179B"/>
    <w:rsid w:val="00AB1825"/>
    <w:rsid w:val="00AB197C"/>
    <w:rsid w:val="00AB199E"/>
    <w:rsid w:val="00AB1E5B"/>
    <w:rsid w:val="00AB22F2"/>
    <w:rsid w:val="00AB2DA9"/>
    <w:rsid w:val="00AB32EB"/>
    <w:rsid w:val="00AB3681"/>
    <w:rsid w:val="00AB372D"/>
    <w:rsid w:val="00AB5052"/>
    <w:rsid w:val="00AB5560"/>
    <w:rsid w:val="00AC0A66"/>
    <w:rsid w:val="00AC0A9C"/>
    <w:rsid w:val="00AC0CFF"/>
    <w:rsid w:val="00AC2C5F"/>
    <w:rsid w:val="00AC2F1A"/>
    <w:rsid w:val="00AC54D0"/>
    <w:rsid w:val="00AC58FC"/>
    <w:rsid w:val="00AC5FBC"/>
    <w:rsid w:val="00AC7239"/>
    <w:rsid w:val="00AC7BDF"/>
    <w:rsid w:val="00AC7D76"/>
    <w:rsid w:val="00AD48BE"/>
    <w:rsid w:val="00AD4C38"/>
    <w:rsid w:val="00AD5E69"/>
    <w:rsid w:val="00AD7AA1"/>
    <w:rsid w:val="00AD7AE8"/>
    <w:rsid w:val="00AE01FD"/>
    <w:rsid w:val="00AE0A6B"/>
    <w:rsid w:val="00AE1538"/>
    <w:rsid w:val="00AE16EC"/>
    <w:rsid w:val="00AE1A79"/>
    <w:rsid w:val="00AE27B6"/>
    <w:rsid w:val="00AE4AE8"/>
    <w:rsid w:val="00AE4BB0"/>
    <w:rsid w:val="00AE5097"/>
    <w:rsid w:val="00AE70C7"/>
    <w:rsid w:val="00AE7B86"/>
    <w:rsid w:val="00AF18B9"/>
    <w:rsid w:val="00AF2305"/>
    <w:rsid w:val="00AF252D"/>
    <w:rsid w:val="00AF2599"/>
    <w:rsid w:val="00AF2A93"/>
    <w:rsid w:val="00AF3681"/>
    <w:rsid w:val="00AF46AA"/>
    <w:rsid w:val="00AF5D98"/>
    <w:rsid w:val="00AF5ECB"/>
    <w:rsid w:val="00AF7307"/>
    <w:rsid w:val="00B00795"/>
    <w:rsid w:val="00B02944"/>
    <w:rsid w:val="00B034A1"/>
    <w:rsid w:val="00B03A57"/>
    <w:rsid w:val="00B044C6"/>
    <w:rsid w:val="00B0536E"/>
    <w:rsid w:val="00B05898"/>
    <w:rsid w:val="00B0602D"/>
    <w:rsid w:val="00B0687C"/>
    <w:rsid w:val="00B1048E"/>
    <w:rsid w:val="00B10D13"/>
    <w:rsid w:val="00B11BF5"/>
    <w:rsid w:val="00B11FF2"/>
    <w:rsid w:val="00B1404F"/>
    <w:rsid w:val="00B158D5"/>
    <w:rsid w:val="00B15E17"/>
    <w:rsid w:val="00B17BDA"/>
    <w:rsid w:val="00B20E43"/>
    <w:rsid w:val="00B21564"/>
    <w:rsid w:val="00B21833"/>
    <w:rsid w:val="00B2222C"/>
    <w:rsid w:val="00B2314E"/>
    <w:rsid w:val="00B23791"/>
    <w:rsid w:val="00B24503"/>
    <w:rsid w:val="00B26012"/>
    <w:rsid w:val="00B26221"/>
    <w:rsid w:val="00B2626C"/>
    <w:rsid w:val="00B26624"/>
    <w:rsid w:val="00B26ED3"/>
    <w:rsid w:val="00B27A34"/>
    <w:rsid w:val="00B27EFE"/>
    <w:rsid w:val="00B310B3"/>
    <w:rsid w:val="00B33028"/>
    <w:rsid w:val="00B330AC"/>
    <w:rsid w:val="00B33675"/>
    <w:rsid w:val="00B33C6E"/>
    <w:rsid w:val="00B34E09"/>
    <w:rsid w:val="00B34F63"/>
    <w:rsid w:val="00B35670"/>
    <w:rsid w:val="00B36648"/>
    <w:rsid w:val="00B4012B"/>
    <w:rsid w:val="00B40CEF"/>
    <w:rsid w:val="00B40EDB"/>
    <w:rsid w:val="00B42252"/>
    <w:rsid w:val="00B43126"/>
    <w:rsid w:val="00B432EF"/>
    <w:rsid w:val="00B440A5"/>
    <w:rsid w:val="00B4419D"/>
    <w:rsid w:val="00B44207"/>
    <w:rsid w:val="00B447CB"/>
    <w:rsid w:val="00B44C7A"/>
    <w:rsid w:val="00B46519"/>
    <w:rsid w:val="00B47A9A"/>
    <w:rsid w:val="00B50301"/>
    <w:rsid w:val="00B50699"/>
    <w:rsid w:val="00B50AB8"/>
    <w:rsid w:val="00B5275C"/>
    <w:rsid w:val="00B53A21"/>
    <w:rsid w:val="00B53B49"/>
    <w:rsid w:val="00B5464E"/>
    <w:rsid w:val="00B548FA"/>
    <w:rsid w:val="00B54A0A"/>
    <w:rsid w:val="00B54B21"/>
    <w:rsid w:val="00B54E68"/>
    <w:rsid w:val="00B55191"/>
    <w:rsid w:val="00B5547F"/>
    <w:rsid w:val="00B56439"/>
    <w:rsid w:val="00B56A6B"/>
    <w:rsid w:val="00B56B9A"/>
    <w:rsid w:val="00B56FF3"/>
    <w:rsid w:val="00B57AFD"/>
    <w:rsid w:val="00B57EA9"/>
    <w:rsid w:val="00B57FAA"/>
    <w:rsid w:val="00B6112A"/>
    <w:rsid w:val="00B612C2"/>
    <w:rsid w:val="00B616B1"/>
    <w:rsid w:val="00B62052"/>
    <w:rsid w:val="00B6310A"/>
    <w:rsid w:val="00B641F8"/>
    <w:rsid w:val="00B64399"/>
    <w:rsid w:val="00B6472F"/>
    <w:rsid w:val="00B648E5"/>
    <w:rsid w:val="00B66B52"/>
    <w:rsid w:val="00B705DC"/>
    <w:rsid w:val="00B716C1"/>
    <w:rsid w:val="00B71898"/>
    <w:rsid w:val="00B718BF"/>
    <w:rsid w:val="00B7228A"/>
    <w:rsid w:val="00B72685"/>
    <w:rsid w:val="00B72F70"/>
    <w:rsid w:val="00B73656"/>
    <w:rsid w:val="00B7370A"/>
    <w:rsid w:val="00B73EA6"/>
    <w:rsid w:val="00B74700"/>
    <w:rsid w:val="00B74D48"/>
    <w:rsid w:val="00B750C8"/>
    <w:rsid w:val="00B75CDF"/>
    <w:rsid w:val="00B7662E"/>
    <w:rsid w:val="00B81707"/>
    <w:rsid w:val="00B817D2"/>
    <w:rsid w:val="00B81898"/>
    <w:rsid w:val="00B81F60"/>
    <w:rsid w:val="00B82086"/>
    <w:rsid w:val="00B8286B"/>
    <w:rsid w:val="00B83678"/>
    <w:rsid w:val="00B853F3"/>
    <w:rsid w:val="00B85981"/>
    <w:rsid w:val="00B85CAF"/>
    <w:rsid w:val="00B85EC6"/>
    <w:rsid w:val="00B86455"/>
    <w:rsid w:val="00B868AA"/>
    <w:rsid w:val="00B877D0"/>
    <w:rsid w:val="00B903EB"/>
    <w:rsid w:val="00B90C0A"/>
    <w:rsid w:val="00B91263"/>
    <w:rsid w:val="00B924E5"/>
    <w:rsid w:val="00B927E5"/>
    <w:rsid w:val="00B92FF6"/>
    <w:rsid w:val="00B930E1"/>
    <w:rsid w:val="00B93EB2"/>
    <w:rsid w:val="00B940C5"/>
    <w:rsid w:val="00B94D97"/>
    <w:rsid w:val="00B95BD7"/>
    <w:rsid w:val="00B961E9"/>
    <w:rsid w:val="00B96D37"/>
    <w:rsid w:val="00B9715B"/>
    <w:rsid w:val="00B9746F"/>
    <w:rsid w:val="00B975F3"/>
    <w:rsid w:val="00BA19C2"/>
    <w:rsid w:val="00BA1BD1"/>
    <w:rsid w:val="00BA1E11"/>
    <w:rsid w:val="00BA1F0B"/>
    <w:rsid w:val="00BA2B3B"/>
    <w:rsid w:val="00BA4DB1"/>
    <w:rsid w:val="00BA5B18"/>
    <w:rsid w:val="00BA5C2F"/>
    <w:rsid w:val="00BA63DC"/>
    <w:rsid w:val="00BA6825"/>
    <w:rsid w:val="00BA6C9F"/>
    <w:rsid w:val="00BA71A9"/>
    <w:rsid w:val="00BA7516"/>
    <w:rsid w:val="00BA7C58"/>
    <w:rsid w:val="00BB058C"/>
    <w:rsid w:val="00BB0908"/>
    <w:rsid w:val="00BB0993"/>
    <w:rsid w:val="00BB14DD"/>
    <w:rsid w:val="00BB15E3"/>
    <w:rsid w:val="00BB2660"/>
    <w:rsid w:val="00BB2C6F"/>
    <w:rsid w:val="00BB3104"/>
    <w:rsid w:val="00BB3B42"/>
    <w:rsid w:val="00BB3B49"/>
    <w:rsid w:val="00BB4EB1"/>
    <w:rsid w:val="00BB55F2"/>
    <w:rsid w:val="00BB5B11"/>
    <w:rsid w:val="00BB69A5"/>
    <w:rsid w:val="00BC00B3"/>
    <w:rsid w:val="00BC0943"/>
    <w:rsid w:val="00BC0EFB"/>
    <w:rsid w:val="00BC17FA"/>
    <w:rsid w:val="00BC1CCA"/>
    <w:rsid w:val="00BC207A"/>
    <w:rsid w:val="00BC21EE"/>
    <w:rsid w:val="00BC65D8"/>
    <w:rsid w:val="00BC78CD"/>
    <w:rsid w:val="00BD1415"/>
    <w:rsid w:val="00BD316B"/>
    <w:rsid w:val="00BD386D"/>
    <w:rsid w:val="00BD4653"/>
    <w:rsid w:val="00BD560B"/>
    <w:rsid w:val="00BD6475"/>
    <w:rsid w:val="00BD6DCE"/>
    <w:rsid w:val="00BD7F2C"/>
    <w:rsid w:val="00BE1331"/>
    <w:rsid w:val="00BE13CD"/>
    <w:rsid w:val="00BE1493"/>
    <w:rsid w:val="00BE1BEE"/>
    <w:rsid w:val="00BE2499"/>
    <w:rsid w:val="00BE264B"/>
    <w:rsid w:val="00BE3C94"/>
    <w:rsid w:val="00BE406B"/>
    <w:rsid w:val="00BE418E"/>
    <w:rsid w:val="00BE4D0A"/>
    <w:rsid w:val="00BE5C95"/>
    <w:rsid w:val="00BE5DEB"/>
    <w:rsid w:val="00BE6721"/>
    <w:rsid w:val="00BE7045"/>
    <w:rsid w:val="00BE7678"/>
    <w:rsid w:val="00BE7E6D"/>
    <w:rsid w:val="00BF0271"/>
    <w:rsid w:val="00BF04F2"/>
    <w:rsid w:val="00BF06DD"/>
    <w:rsid w:val="00BF12C4"/>
    <w:rsid w:val="00BF1518"/>
    <w:rsid w:val="00BF2964"/>
    <w:rsid w:val="00BF2C0E"/>
    <w:rsid w:val="00BF421D"/>
    <w:rsid w:val="00BF5A62"/>
    <w:rsid w:val="00BF5AA7"/>
    <w:rsid w:val="00BF5E81"/>
    <w:rsid w:val="00BF62E0"/>
    <w:rsid w:val="00BF6536"/>
    <w:rsid w:val="00BF65CA"/>
    <w:rsid w:val="00BF7CF3"/>
    <w:rsid w:val="00C00204"/>
    <w:rsid w:val="00C01123"/>
    <w:rsid w:val="00C023F1"/>
    <w:rsid w:val="00C031B3"/>
    <w:rsid w:val="00C03A44"/>
    <w:rsid w:val="00C03C16"/>
    <w:rsid w:val="00C056D2"/>
    <w:rsid w:val="00C057AF"/>
    <w:rsid w:val="00C10653"/>
    <w:rsid w:val="00C1110D"/>
    <w:rsid w:val="00C11A50"/>
    <w:rsid w:val="00C127B1"/>
    <w:rsid w:val="00C12AA9"/>
    <w:rsid w:val="00C134B7"/>
    <w:rsid w:val="00C136A8"/>
    <w:rsid w:val="00C1403B"/>
    <w:rsid w:val="00C144FD"/>
    <w:rsid w:val="00C14C1F"/>
    <w:rsid w:val="00C15E87"/>
    <w:rsid w:val="00C175D0"/>
    <w:rsid w:val="00C17A6E"/>
    <w:rsid w:val="00C20697"/>
    <w:rsid w:val="00C2096B"/>
    <w:rsid w:val="00C21176"/>
    <w:rsid w:val="00C21A8D"/>
    <w:rsid w:val="00C21E2C"/>
    <w:rsid w:val="00C22D8B"/>
    <w:rsid w:val="00C2440F"/>
    <w:rsid w:val="00C24707"/>
    <w:rsid w:val="00C24CB5"/>
    <w:rsid w:val="00C24DB0"/>
    <w:rsid w:val="00C24F62"/>
    <w:rsid w:val="00C25935"/>
    <w:rsid w:val="00C26B1C"/>
    <w:rsid w:val="00C274AA"/>
    <w:rsid w:val="00C277BA"/>
    <w:rsid w:val="00C300EA"/>
    <w:rsid w:val="00C30152"/>
    <w:rsid w:val="00C301EF"/>
    <w:rsid w:val="00C30C0F"/>
    <w:rsid w:val="00C32591"/>
    <w:rsid w:val="00C32965"/>
    <w:rsid w:val="00C3426D"/>
    <w:rsid w:val="00C34407"/>
    <w:rsid w:val="00C359D6"/>
    <w:rsid w:val="00C36662"/>
    <w:rsid w:val="00C37C0F"/>
    <w:rsid w:val="00C37DDF"/>
    <w:rsid w:val="00C40067"/>
    <w:rsid w:val="00C41E4C"/>
    <w:rsid w:val="00C4298B"/>
    <w:rsid w:val="00C42BE9"/>
    <w:rsid w:val="00C44ADA"/>
    <w:rsid w:val="00C44E50"/>
    <w:rsid w:val="00C44F03"/>
    <w:rsid w:val="00C46060"/>
    <w:rsid w:val="00C50534"/>
    <w:rsid w:val="00C50711"/>
    <w:rsid w:val="00C50CFA"/>
    <w:rsid w:val="00C51D24"/>
    <w:rsid w:val="00C521B5"/>
    <w:rsid w:val="00C523C6"/>
    <w:rsid w:val="00C525BA"/>
    <w:rsid w:val="00C52BC1"/>
    <w:rsid w:val="00C53065"/>
    <w:rsid w:val="00C533BD"/>
    <w:rsid w:val="00C53653"/>
    <w:rsid w:val="00C54204"/>
    <w:rsid w:val="00C555F7"/>
    <w:rsid w:val="00C55EF8"/>
    <w:rsid w:val="00C56446"/>
    <w:rsid w:val="00C60863"/>
    <w:rsid w:val="00C60EAC"/>
    <w:rsid w:val="00C614BD"/>
    <w:rsid w:val="00C61D7E"/>
    <w:rsid w:val="00C6271D"/>
    <w:rsid w:val="00C6285D"/>
    <w:rsid w:val="00C639E3"/>
    <w:rsid w:val="00C640E3"/>
    <w:rsid w:val="00C648B3"/>
    <w:rsid w:val="00C64F12"/>
    <w:rsid w:val="00C65F74"/>
    <w:rsid w:val="00C660F7"/>
    <w:rsid w:val="00C66C0A"/>
    <w:rsid w:val="00C66CA5"/>
    <w:rsid w:val="00C67944"/>
    <w:rsid w:val="00C679D2"/>
    <w:rsid w:val="00C702E9"/>
    <w:rsid w:val="00C70563"/>
    <w:rsid w:val="00C707A3"/>
    <w:rsid w:val="00C71065"/>
    <w:rsid w:val="00C71292"/>
    <w:rsid w:val="00C71484"/>
    <w:rsid w:val="00C716CA"/>
    <w:rsid w:val="00C718AA"/>
    <w:rsid w:val="00C71DE9"/>
    <w:rsid w:val="00C72305"/>
    <w:rsid w:val="00C7277D"/>
    <w:rsid w:val="00C72F7F"/>
    <w:rsid w:val="00C735A7"/>
    <w:rsid w:val="00C7561E"/>
    <w:rsid w:val="00C762ED"/>
    <w:rsid w:val="00C76ECA"/>
    <w:rsid w:val="00C76FAC"/>
    <w:rsid w:val="00C804EB"/>
    <w:rsid w:val="00C817DA"/>
    <w:rsid w:val="00C819A4"/>
    <w:rsid w:val="00C81CF2"/>
    <w:rsid w:val="00C83CFE"/>
    <w:rsid w:val="00C84059"/>
    <w:rsid w:val="00C84A05"/>
    <w:rsid w:val="00C8566F"/>
    <w:rsid w:val="00C859AE"/>
    <w:rsid w:val="00C85DC2"/>
    <w:rsid w:val="00C87C43"/>
    <w:rsid w:val="00C87DB8"/>
    <w:rsid w:val="00C9245E"/>
    <w:rsid w:val="00C92E5C"/>
    <w:rsid w:val="00C93B0E"/>
    <w:rsid w:val="00C93BFA"/>
    <w:rsid w:val="00C93FC3"/>
    <w:rsid w:val="00C962F0"/>
    <w:rsid w:val="00C978A2"/>
    <w:rsid w:val="00C979D0"/>
    <w:rsid w:val="00C97D0E"/>
    <w:rsid w:val="00C97E11"/>
    <w:rsid w:val="00CA0420"/>
    <w:rsid w:val="00CA054A"/>
    <w:rsid w:val="00CA0A5D"/>
    <w:rsid w:val="00CA1770"/>
    <w:rsid w:val="00CA2B98"/>
    <w:rsid w:val="00CA3E81"/>
    <w:rsid w:val="00CA410E"/>
    <w:rsid w:val="00CA447E"/>
    <w:rsid w:val="00CA45E0"/>
    <w:rsid w:val="00CA4DAE"/>
    <w:rsid w:val="00CA5656"/>
    <w:rsid w:val="00CA56C7"/>
    <w:rsid w:val="00CB0CDF"/>
    <w:rsid w:val="00CB0F85"/>
    <w:rsid w:val="00CB0FE7"/>
    <w:rsid w:val="00CB1921"/>
    <w:rsid w:val="00CB1DDE"/>
    <w:rsid w:val="00CB2083"/>
    <w:rsid w:val="00CB2125"/>
    <w:rsid w:val="00CB2252"/>
    <w:rsid w:val="00CB27FD"/>
    <w:rsid w:val="00CB3865"/>
    <w:rsid w:val="00CB3A4C"/>
    <w:rsid w:val="00CB43C2"/>
    <w:rsid w:val="00CB528D"/>
    <w:rsid w:val="00CB611C"/>
    <w:rsid w:val="00CB635C"/>
    <w:rsid w:val="00CB6F3F"/>
    <w:rsid w:val="00CB6F83"/>
    <w:rsid w:val="00CB711B"/>
    <w:rsid w:val="00CB72F7"/>
    <w:rsid w:val="00CB7321"/>
    <w:rsid w:val="00CB7469"/>
    <w:rsid w:val="00CB7DC4"/>
    <w:rsid w:val="00CB7E0A"/>
    <w:rsid w:val="00CC0E38"/>
    <w:rsid w:val="00CC3027"/>
    <w:rsid w:val="00CC421B"/>
    <w:rsid w:val="00CC48DF"/>
    <w:rsid w:val="00CC4C68"/>
    <w:rsid w:val="00CC51C2"/>
    <w:rsid w:val="00CC5259"/>
    <w:rsid w:val="00CC5E43"/>
    <w:rsid w:val="00CC62BC"/>
    <w:rsid w:val="00CC68E1"/>
    <w:rsid w:val="00CD0B38"/>
    <w:rsid w:val="00CD0F20"/>
    <w:rsid w:val="00CD13AD"/>
    <w:rsid w:val="00CD1BC6"/>
    <w:rsid w:val="00CD27EE"/>
    <w:rsid w:val="00CD3CAA"/>
    <w:rsid w:val="00CD4E68"/>
    <w:rsid w:val="00CD6099"/>
    <w:rsid w:val="00CD60A4"/>
    <w:rsid w:val="00CE0458"/>
    <w:rsid w:val="00CE0946"/>
    <w:rsid w:val="00CE0C0D"/>
    <w:rsid w:val="00CE0EB3"/>
    <w:rsid w:val="00CE10BD"/>
    <w:rsid w:val="00CE1F17"/>
    <w:rsid w:val="00CE1F79"/>
    <w:rsid w:val="00CE32F6"/>
    <w:rsid w:val="00CE6C0A"/>
    <w:rsid w:val="00CE7F13"/>
    <w:rsid w:val="00CF1620"/>
    <w:rsid w:val="00CF18ED"/>
    <w:rsid w:val="00CF1991"/>
    <w:rsid w:val="00CF26BF"/>
    <w:rsid w:val="00CF291C"/>
    <w:rsid w:val="00CF2A86"/>
    <w:rsid w:val="00CF3F2A"/>
    <w:rsid w:val="00CF3FB2"/>
    <w:rsid w:val="00CF432B"/>
    <w:rsid w:val="00CF43F6"/>
    <w:rsid w:val="00CF66A7"/>
    <w:rsid w:val="00D004BE"/>
    <w:rsid w:val="00D0061A"/>
    <w:rsid w:val="00D00DBC"/>
    <w:rsid w:val="00D02FBC"/>
    <w:rsid w:val="00D03586"/>
    <w:rsid w:val="00D03B28"/>
    <w:rsid w:val="00D049AF"/>
    <w:rsid w:val="00D04ABA"/>
    <w:rsid w:val="00D05726"/>
    <w:rsid w:val="00D06104"/>
    <w:rsid w:val="00D06B73"/>
    <w:rsid w:val="00D06EC9"/>
    <w:rsid w:val="00D07171"/>
    <w:rsid w:val="00D075C6"/>
    <w:rsid w:val="00D07ACA"/>
    <w:rsid w:val="00D11148"/>
    <w:rsid w:val="00D11B12"/>
    <w:rsid w:val="00D122CF"/>
    <w:rsid w:val="00D13D12"/>
    <w:rsid w:val="00D14093"/>
    <w:rsid w:val="00D148D3"/>
    <w:rsid w:val="00D14FB9"/>
    <w:rsid w:val="00D15408"/>
    <w:rsid w:val="00D16067"/>
    <w:rsid w:val="00D160AB"/>
    <w:rsid w:val="00D16188"/>
    <w:rsid w:val="00D163B0"/>
    <w:rsid w:val="00D16F2B"/>
    <w:rsid w:val="00D208E1"/>
    <w:rsid w:val="00D213E9"/>
    <w:rsid w:val="00D2166A"/>
    <w:rsid w:val="00D2274F"/>
    <w:rsid w:val="00D22DDD"/>
    <w:rsid w:val="00D24DDF"/>
    <w:rsid w:val="00D25352"/>
    <w:rsid w:val="00D25D64"/>
    <w:rsid w:val="00D26BFE"/>
    <w:rsid w:val="00D27204"/>
    <w:rsid w:val="00D27CE9"/>
    <w:rsid w:val="00D301F0"/>
    <w:rsid w:val="00D30A92"/>
    <w:rsid w:val="00D30E72"/>
    <w:rsid w:val="00D32E0D"/>
    <w:rsid w:val="00D32FFB"/>
    <w:rsid w:val="00D33B6C"/>
    <w:rsid w:val="00D33DF9"/>
    <w:rsid w:val="00D3454C"/>
    <w:rsid w:val="00D34861"/>
    <w:rsid w:val="00D34A65"/>
    <w:rsid w:val="00D35ACC"/>
    <w:rsid w:val="00D37794"/>
    <w:rsid w:val="00D37F45"/>
    <w:rsid w:val="00D40ED7"/>
    <w:rsid w:val="00D4105E"/>
    <w:rsid w:val="00D42631"/>
    <w:rsid w:val="00D42E24"/>
    <w:rsid w:val="00D4378F"/>
    <w:rsid w:val="00D44E53"/>
    <w:rsid w:val="00D46107"/>
    <w:rsid w:val="00D469B0"/>
    <w:rsid w:val="00D47498"/>
    <w:rsid w:val="00D5071A"/>
    <w:rsid w:val="00D50854"/>
    <w:rsid w:val="00D50899"/>
    <w:rsid w:val="00D51A31"/>
    <w:rsid w:val="00D528DE"/>
    <w:rsid w:val="00D52AA2"/>
    <w:rsid w:val="00D53577"/>
    <w:rsid w:val="00D53698"/>
    <w:rsid w:val="00D53E95"/>
    <w:rsid w:val="00D54158"/>
    <w:rsid w:val="00D56582"/>
    <w:rsid w:val="00D5688B"/>
    <w:rsid w:val="00D5723B"/>
    <w:rsid w:val="00D60DAA"/>
    <w:rsid w:val="00D60DD9"/>
    <w:rsid w:val="00D61676"/>
    <w:rsid w:val="00D62C70"/>
    <w:rsid w:val="00D639A7"/>
    <w:rsid w:val="00D63D53"/>
    <w:rsid w:val="00D6426D"/>
    <w:rsid w:val="00D65417"/>
    <w:rsid w:val="00D65DFD"/>
    <w:rsid w:val="00D672B2"/>
    <w:rsid w:val="00D6761F"/>
    <w:rsid w:val="00D67FC5"/>
    <w:rsid w:val="00D70B1E"/>
    <w:rsid w:val="00D71108"/>
    <w:rsid w:val="00D72181"/>
    <w:rsid w:val="00D7396F"/>
    <w:rsid w:val="00D74CCF"/>
    <w:rsid w:val="00D7523E"/>
    <w:rsid w:val="00D75DF9"/>
    <w:rsid w:val="00D76A33"/>
    <w:rsid w:val="00D81AF1"/>
    <w:rsid w:val="00D82AAB"/>
    <w:rsid w:val="00D83CD2"/>
    <w:rsid w:val="00D843D7"/>
    <w:rsid w:val="00D84E4B"/>
    <w:rsid w:val="00D851FD"/>
    <w:rsid w:val="00D8773B"/>
    <w:rsid w:val="00D87F40"/>
    <w:rsid w:val="00D87F7F"/>
    <w:rsid w:val="00D9024B"/>
    <w:rsid w:val="00D9029D"/>
    <w:rsid w:val="00D90345"/>
    <w:rsid w:val="00D906AD"/>
    <w:rsid w:val="00D908CA"/>
    <w:rsid w:val="00D911B2"/>
    <w:rsid w:val="00D91B64"/>
    <w:rsid w:val="00D924F3"/>
    <w:rsid w:val="00D9261D"/>
    <w:rsid w:val="00D92A4E"/>
    <w:rsid w:val="00D933C7"/>
    <w:rsid w:val="00D94217"/>
    <w:rsid w:val="00D944E6"/>
    <w:rsid w:val="00D94607"/>
    <w:rsid w:val="00D95086"/>
    <w:rsid w:val="00D951D3"/>
    <w:rsid w:val="00D958AA"/>
    <w:rsid w:val="00D95BB2"/>
    <w:rsid w:val="00D95C56"/>
    <w:rsid w:val="00D96EAC"/>
    <w:rsid w:val="00D97054"/>
    <w:rsid w:val="00D97D5E"/>
    <w:rsid w:val="00DA0FAA"/>
    <w:rsid w:val="00DA1AC0"/>
    <w:rsid w:val="00DA28EE"/>
    <w:rsid w:val="00DA4017"/>
    <w:rsid w:val="00DA4654"/>
    <w:rsid w:val="00DA4FFE"/>
    <w:rsid w:val="00DA5182"/>
    <w:rsid w:val="00DA551C"/>
    <w:rsid w:val="00DA5B94"/>
    <w:rsid w:val="00DA5FC5"/>
    <w:rsid w:val="00DA6638"/>
    <w:rsid w:val="00DA6D5E"/>
    <w:rsid w:val="00DA72DC"/>
    <w:rsid w:val="00DA7815"/>
    <w:rsid w:val="00DA7B3E"/>
    <w:rsid w:val="00DA7F87"/>
    <w:rsid w:val="00DB10AA"/>
    <w:rsid w:val="00DB138C"/>
    <w:rsid w:val="00DB16ED"/>
    <w:rsid w:val="00DB1796"/>
    <w:rsid w:val="00DB1822"/>
    <w:rsid w:val="00DB2312"/>
    <w:rsid w:val="00DB2BF6"/>
    <w:rsid w:val="00DB32C5"/>
    <w:rsid w:val="00DB359B"/>
    <w:rsid w:val="00DB4270"/>
    <w:rsid w:val="00DB5129"/>
    <w:rsid w:val="00DB5C76"/>
    <w:rsid w:val="00DB6B6A"/>
    <w:rsid w:val="00DB6BB8"/>
    <w:rsid w:val="00DB739D"/>
    <w:rsid w:val="00DC0159"/>
    <w:rsid w:val="00DC0500"/>
    <w:rsid w:val="00DC24BD"/>
    <w:rsid w:val="00DC298F"/>
    <w:rsid w:val="00DC3380"/>
    <w:rsid w:val="00DC3709"/>
    <w:rsid w:val="00DC5090"/>
    <w:rsid w:val="00DC5857"/>
    <w:rsid w:val="00DC5941"/>
    <w:rsid w:val="00DC5A17"/>
    <w:rsid w:val="00DC6CCE"/>
    <w:rsid w:val="00DC72FC"/>
    <w:rsid w:val="00DD086E"/>
    <w:rsid w:val="00DD0F95"/>
    <w:rsid w:val="00DD1554"/>
    <w:rsid w:val="00DD1675"/>
    <w:rsid w:val="00DD1854"/>
    <w:rsid w:val="00DD1AA4"/>
    <w:rsid w:val="00DD1DB7"/>
    <w:rsid w:val="00DD2B27"/>
    <w:rsid w:val="00DD2C61"/>
    <w:rsid w:val="00DD2F32"/>
    <w:rsid w:val="00DD41B3"/>
    <w:rsid w:val="00DD46EB"/>
    <w:rsid w:val="00DD69DD"/>
    <w:rsid w:val="00DD6C9E"/>
    <w:rsid w:val="00DD6D90"/>
    <w:rsid w:val="00DD776A"/>
    <w:rsid w:val="00DE261E"/>
    <w:rsid w:val="00DE2756"/>
    <w:rsid w:val="00DE2DC2"/>
    <w:rsid w:val="00DE32D3"/>
    <w:rsid w:val="00DE35DB"/>
    <w:rsid w:val="00DE370C"/>
    <w:rsid w:val="00DE6730"/>
    <w:rsid w:val="00DE6E80"/>
    <w:rsid w:val="00DE7144"/>
    <w:rsid w:val="00DE72A4"/>
    <w:rsid w:val="00DE7E89"/>
    <w:rsid w:val="00DF0AAB"/>
    <w:rsid w:val="00DF20BE"/>
    <w:rsid w:val="00DF2157"/>
    <w:rsid w:val="00DF2826"/>
    <w:rsid w:val="00DF2A9C"/>
    <w:rsid w:val="00DF3276"/>
    <w:rsid w:val="00DF3569"/>
    <w:rsid w:val="00DF3F2A"/>
    <w:rsid w:val="00DF48AF"/>
    <w:rsid w:val="00DF5167"/>
    <w:rsid w:val="00DF5334"/>
    <w:rsid w:val="00DF6BAA"/>
    <w:rsid w:val="00E013AA"/>
    <w:rsid w:val="00E01409"/>
    <w:rsid w:val="00E015D0"/>
    <w:rsid w:val="00E021E4"/>
    <w:rsid w:val="00E03326"/>
    <w:rsid w:val="00E03458"/>
    <w:rsid w:val="00E0546C"/>
    <w:rsid w:val="00E06316"/>
    <w:rsid w:val="00E06E0B"/>
    <w:rsid w:val="00E1019E"/>
    <w:rsid w:val="00E10534"/>
    <w:rsid w:val="00E10982"/>
    <w:rsid w:val="00E11499"/>
    <w:rsid w:val="00E12136"/>
    <w:rsid w:val="00E12153"/>
    <w:rsid w:val="00E125A2"/>
    <w:rsid w:val="00E14074"/>
    <w:rsid w:val="00E15357"/>
    <w:rsid w:val="00E1643E"/>
    <w:rsid w:val="00E1655A"/>
    <w:rsid w:val="00E20A56"/>
    <w:rsid w:val="00E216A6"/>
    <w:rsid w:val="00E2356B"/>
    <w:rsid w:val="00E23CCE"/>
    <w:rsid w:val="00E2749E"/>
    <w:rsid w:val="00E27CFB"/>
    <w:rsid w:val="00E30354"/>
    <w:rsid w:val="00E3047F"/>
    <w:rsid w:val="00E30E7D"/>
    <w:rsid w:val="00E332F7"/>
    <w:rsid w:val="00E3369A"/>
    <w:rsid w:val="00E342FA"/>
    <w:rsid w:val="00E34594"/>
    <w:rsid w:val="00E34D77"/>
    <w:rsid w:val="00E34EE4"/>
    <w:rsid w:val="00E35B18"/>
    <w:rsid w:val="00E3659A"/>
    <w:rsid w:val="00E366EB"/>
    <w:rsid w:val="00E36BA7"/>
    <w:rsid w:val="00E36F19"/>
    <w:rsid w:val="00E36F79"/>
    <w:rsid w:val="00E374E0"/>
    <w:rsid w:val="00E41267"/>
    <w:rsid w:val="00E413CB"/>
    <w:rsid w:val="00E436A3"/>
    <w:rsid w:val="00E43B06"/>
    <w:rsid w:val="00E44AD5"/>
    <w:rsid w:val="00E44CD0"/>
    <w:rsid w:val="00E461B4"/>
    <w:rsid w:val="00E46A1C"/>
    <w:rsid w:val="00E471FB"/>
    <w:rsid w:val="00E47430"/>
    <w:rsid w:val="00E4775F"/>
    <w:rsid w:val="00E47D4D"/>
    <w:rsid w:val="00E47EF0"/>
    <w:rsid w:val="00E50371"/>
    <w:rsid w:val="00E50484"/>
    <w:rsid w:val="00E511E4"/>
    <w:rsid w:val="00E5120D"/>
    <w:rsid w:val="00E523F8"/>
    <w:rsid w:val="00E54CD3"/>
    <w:rsid w:val="00E54D4C"/>
    <w:rsid w:val="00E55BDC"/>
    <w:rsid w:val="00E55D1F"/>
    <w:rsid w:val="00E56732"/>
    <w:rsid w:val="00E56A3B"/>
    <w:rsid w:val="00E56D83"/>
    <w:rsid w:val="00E60868"/>
    <w:rsid w:val="00E61381"/>
    <w:rsid w:val="00E6233B"/>
    <w:rsid w:val="00E65C6C"/>
    <w:rsid w:val="00E66859"/>
    <w:rsid w:val="00E6798C"/>
    <w:rsid w:val="00E708F9"/>
    <w:rsid w:val="00E716EF"/>
    <w:rsid w:val="00E72FEE"/>
    <w:rsid w:val="00E7405E"/>
    <w:rsid w:val="00E74280"/>
    <w:rsid w:val="00E7664A"/>
    <w:rsid w:val="00E8030A"/>
    <w:rsid w:val="00E8058B"/>
    <w:rsid w:val="00E80636"/>
    <w:rsid w:val="00E814AC"/>
    <w:rsid w:val="00E81724"/>
    <w:rsid w:val="00E81C02"/>
    <w:rsid w:val="00E81C52"/>
    <w:rsid w:val="00E81E0A"/>
    <w:rsid w:val="00E81F19"/>
    <w:rsid w:val="00E82A7A"/>
    <w:rsid w:val="00E82F82"/>
    <w:rsid w:val="00E83C57"/>
    <w:rsid w:val="00E85E9E"/>
    <w:rsid w:val="00E867B4"/>
    <w:rsid w:val="00E8730E"/>
    <w:rsid w:val="00E8786F"/>
    <w:rsid w:val="00E87F29"/>
    <w:rsid w:val="00E90AAD"/>
    <w:rsid w:val="00E917E1"/>
    <w:rsid w:val="00E9253B"/>
    <w:rsid w:val="00E92C22"/>
    <w:rsid w:val="00E92F00"/>
    <w:rsid w:val="00E93227"/>
    <w:rsid w:val="00E942BC"/>
    <w:rsid w:val="00E946BA"/>
    <w:rsid w:val="00E950E7"/>
    <w:rsid w:val="00E9564D"/>
    <w:rsid w:val="00E95B64"/>
    <w:rsid w:val="00E96198"/>
    <w:rsid w:val="00E9758C"/>
    <w:rsid w:val="00E97592"/>
    <w:rsid w:val="00E97F4A"/>
    <w:rsid w:val="00E97F83"/>
    <w:rsid w:val="00EA0C3B"/>
    <w:rsid w:val="00EA2717"/>
    <w:rsid w:val="00EA2A81"/>
    <w:rsid w:val="00EA304C"/>
    <w:rsid w:val="00EA3331"/>
    <w:rsid w:val="00EA35D6"/>
    <w:rsid w:val="00EA3A7E"/>
    <w:rsid w:val="00EA4729"/>
    <w:rsid w:val="00EA56A0"/>
    <w:rsid w:val="00EA6D27"/>
    <w:rsid w:val="00EA7477"/>
    <w:rsid w:val="00EA768C"/>
    <w:rsid w:val="00EA77F3"/>
    <w:rsid w:val="00EA7E1A"/>
    <w:rsid w:val="00EB1537"/>
    <w:rsid w:val="00EB20F9"/>
    <w:rsid w:val="00EB2573"/>
    <w:rsid w:val="00EB3603"/>
    <w:rsid w:val="00EB36EF"/>
    <w:rsid w:val="00EB4D90"/>
    <w:rsid w:val="00EB5D6A"/>
    <w:rsid w:val="00EB7DA9"/>
    <w:rsid w:val="00EC0264"/>
    <w:rsid w:val="00EC0392"/>
    <w:rsid w:val="00EC10AB"/>
    <w:rsid w:val="00EC159F"/>
    <w:rsid w:val="00EC2279"/>
    <w:rsid w:val="00EC24B1"/>
    <w:rsid w:val="00EC3130"/>
    <w:rsid w:val="00EC3F55"/>
    <w:rsid w:val="00EC4DF9"/>
    <w:rsid w:val="00EC507C"/>
    <w:rsid w:val="00EC5AB0"/>
    <w:rsid w:val="00EC5D8C"/>
    <w:rsid w:val="00EC6789"/>
    <w:rsid w:val="00EC6B42"/>
    <w:rsid w:val="00EC7E76"/>
    <w:rsid w:val="00ED0125"/>
    <w:rsid w:val="00ED0298"/>
    <w:rsid w:val="00ED04F2"/>
    <w:rsid w:val="00ED2057"/>
    <w:rsid w:val="00ED23F4"/>
    <w:rsid w:val="00ED3A21"/>
    <w:rsid w:val="00ED3D5A"/>
    <w:rsid w:val="00ED46D9"/>
    <w:rsid w:val="00ED488F"/>
    <w:rsid w:val="00ED4EBD"/>
    <w:rsid w:val="00ED7CD9"/>
    <w:rsid w:val="00EE00AB"/>
    <w:rsid w:val="00EE051B"/>
    <w:rsid w:val="00EE0F7C"/>
    <w:rsid w:val="00EE1243"/>
    <w:rsid w:val="00EE3176"/>
    <w:rsid w:val="00EE3292"/>
    <w:rsid w:val="00EE3D72"/>
    <w:rsid w:val="00EE50CB"/>
    <w:rsid w:val="00EE652A"/>
    <w:rsid w:val="00EE6673"/>
    <w:rsid w:val="00EE6BB1"/>
    <w:rsid w:val="00EE6CC3"/>
    <w:rsid w:val="00EE79C9"/>
    <w:rsid w:val="00EF0EFF"/>
    <w:rsid w:val="00EF128E"/>
    <w:rsid w:val="00EF40CC"/>
    <w:rsid w:val="00EF4BAE"/>
    <w:rsid w:val="00EF6A14"/>
    <w:rsid w:val="00EF6E86"/>
    <w:rsid w:val="00F0000F"/>
    <w:rsid w:val="00F00AF7"/>
    <w:rsid w:val="00F01066"/>
    <w:rsid w:val="00F0120C"/>
    <w:rsid w:val="00F02008"/>
    <w:rsid w:val="00F02D97"/>
    <w:rsid w:val="00F033E6"/>
    <w:rsid w:val="00F038BF"/>
    <w:rsid w:val="00F05F9A"/>
    <w:rsid w:val="00F06C34"/>
    <w:rsid w:val="00F075A8"/>
    <w:rsid w:val="00F07694"/>
    <w:rsid w:val="00F07BAC"/>
    <w:rsid w:val="00F07BDD"/>
    <w:rsid w:val="00F10A00"/>
    <w:rsid w:val="00F11336"/>
    <w:rsid w:val="00F12D19"/>
    <w:rsid w:val="00F13BE3"/>
    <w:rsid w:val="00F1412A"/>
    <w:rsid w:val="00F15820"/>
    <w:rsid w:val="00F1588F"/>
    <w:rsid w:val="00F171EE"/>
    <w:rsid w:val="00F17464"/>
    <w:rsid w:val="00F17C13"/>
    <w:rsid w:val="00F209FE"/>
    <w:rsid w:val="00F21DC4"/>
    <w:rsid w:val="00F23902"/>
    <w:rsid w:val="00F23F58"/>
    <w:rsid w:val="00F24B4A"/>
    <w:rsid w:val="00F2510A"/>
    <w:rsid w:val="00F269E5"/>
    <w:rsid w:val="00F26A34"/>
    <w:rsid w:val="00F26A68"/>
    <w:rsid w:val="00F27D3A"/>
    <w:rsid w:val="00F305A6"/>
    <w:rsid w:val="00F30CA0"/>
    <w:rsid w:val="00F31000"/>
    <w:rsid w:val="00F31A03"/>
    <w:rsid w:val="00F31F79"/>
    <w:rsid w:val="00F323EA"/>
    <w:rsid w:val="00F32DDA"/>
    <w:rsid w:val="00F3385A"/>
    <w:rsid w:val="00F33B87"/>
    <w:rsid w:val="00F34249"/>
    <w:rsid w:val="00F34996"/>
    <w:rsid w:val="00F34AAC"/>
    <w:rsid w:val="00F35AD3"/>
    <w:rsid w:val="00F35B9A"/>
    <w:rsid w:val="00F3669B"/>
    <w:rsid w:val="00F36E4A"/>
    <w:rsid w:val="00F405E0"/>
    <w:rsid w:val="00F4162C"/>
    <w:rsid w:val="00F41DE7"/>
    <w:rsid w:val="00F42328"/>
    <w:rsid w:val="00F42671"/>
    <w:rsid w:val="00F427FC"/>
    <w:rsid w:val="00F434EF"/>
    <w:rsid w:val="00F43CCB"/>
    <w:rsid w:val="00F4485A"/>
    <w:rsid w:val="00F4551D"/>
    <w:rsid w:val="00F50CB0"/>
    <w:rsid w:val="00F515A0"/>
    <w:rsid w:val="00F515B4"/>
    <w:rsid w:val="00F52708"/>
    <w:rsid w:val="00F5320A"/>
    <w:rsid w:val="00F539FB"/>
    <w:rsid w:val="00F54657"/>
    <w:rsid w:val="00F54FA1"/>
    <w:rsid w:val="00F55188"/>
    <w:rsid w:val="00F55741"/>
    <w:rsid w:val="00F561AD"/>
    <w:rsid w:val="00F56919"/>
    <w:rsid w:val="00F56CD2"/>
    <w:rsid w:val="00F56DC0"/>
    <w:rsid w:val="00F601BA"/>
    <w:rsid w:val="00F60452"/>
    <w:rsid w:val="00F60DFF"/>
    <w:rsid w:val="00F612C8"/>
    <w:rsid w:val="00F61DE6"/>
    <w:rsid w:val="00F61E6C"/>
    <w:rsid w:val="00F6215C"/>
    <w:rsid w:val="00F6233F"/>
    <w:rsid w:val="00F643B7"/>
    <w:rsid w:val="00F64B6E"/>
    <w:rsid w:val="00F65198"/>
    <w:rsid w:val="00F65465"/>
    <w:rsid w:val="00F66FE7"/>
    <w:rsid w:val="00F67375"/>
    <w:rsid w:val="00F7000C"/>
    <w:rsid w:val="00F70F7F"/>
    <w:rsid w:val="00F71008"/>
    <w:rsid w:val="00F718B5"/>
    <w:rsid w:val="00F71E85"/>
    <w:rsid w:val="00F73E7A"/>
    <w:rsid w:val="00F75823"/>
    <w:rsid w:val="00F75AE1"/>
    <w:rsid w:val="00F765BA"/>
    <w:rsid w:val="00F7715D"/>
    <w:rsid w:val="00F775E6"/>
    <w:rsid w:val="00F77DC4"/>
    <w:rsid w:val="00F81978"/>
    <w:rsid w:val="00F84A29"/>
    <w:rsid w:val="00F86251"/>
    <w:rsid w:val="00F86974"/>
    <w:rsid w:val="00F90939"/>
    <w:rsid w:val="00F9133B"/>
    <w:rsid w:val="00F913C1"/>
    <w:rsid w:val="00F91475"/>
    <w:rsid w:val="00F93D27"/>
    <w:rsid w:val="00F9444F"/>
    <w:rsid w:val="00F94746"/>
    <w:rsid w:val="00F94DF5"/>
    <w:rsid w:val="00F954FE"/>
    <w:rsid w:val="00F960A8"/>
    <w:rsid w:val="00F9681F"/>
    <w:rsid w:val="00F96B5D"/>
    <w:rsid w:val="00F97ECF"/>
    <w:rsid w:val="00FA1AEE"/>
    <w:rsid w:val="00FA4CCB"/>
    <w:rsid w:val="00FA4CCD"/>
    <w:rsid w:val="00FA5090"/>
    <w:rsid w:val="00FA5A84"/>
    <w:rsid w:val="00FA72A2"/>
    <w:rsid w:val="00FB2C48"/>
    <w:rsid w:val="00FB48D4"/>
    <w:rsid w:val="00FB4F5D"/>
    <w:rsid w:val="00FB548D"/>
    <w:rsid w:val="00FB5A2E"/>
    <w:rsid w:val="00FB65C9"/>
    <w:rsid w:val="00FC0795"/>
    <w:rsid w:val="00FC0871"/>
    <w:rsid w:val="00FC0EAE"/>
    <w:rsid w:val="00FC1191"/>
    <w:rsid w:val="00FC13CF"/>
    <w:rsid w:val="00FC15B4"/>
    <w:rsid w:val="00FC2012"/>
    <w:rsid w:val="00FC2365"/>
    <w:rsid w:val="00FC27B2"/>
    <w:rsid w:val="00FC33B9"/>
    <w:rsid w:val="00FC351C"/>
    <w:rsid w:val="00FC3C06"/>
    <w:rsid w:val="00FC3C9A"/>
    <w:rsid w:val="00FC3E0D"/>
    <w:rsid w:val="00FC5373"/>
    <w:rsid w:val="00FC5BAC"/>
    <w:rsid w:val="00FC79B0"/>
    <w:rsid w:val="00FC7E53"/>
    <w:rsid w:val="00FD047E"/>
    <w:rsid w:val="00FD267D"/>
    <w:rsid w:val="00FD2794"/>
    <w:rsid w:val="00FD2CFF"/>
    <w:rsid w:val="00FD349E"/>
    <w:rsid w:val="00FD34E2"/>
    <w:rsid w:val="00FD3D3B"/>
    <w:rsid w:val="00FD4046"/>
    <w:rsid w:val="00FD57A1"/>
    <w:rsid w:val="00FD6686"/>
    <w:rsid w:val="00FD6BFB"/>
    <w:rsid w:val="00FD74E8"/>
    <w:rsid w:val="00FD76EF"/>
    <w:rsid w:val="00FD7E66"/>
    <w:rsid w:val="00FE0068"/>
    <w:rsid w:val="00FE04C3"/>
    <w:rsid w:val="00FE275F"/>
    <w:rsid w:val="00FE3FD3"/>
    <w:rsid w:val="00FE42FC"/>
    <w:rsid w:val="00FE4D4E"/>
    <w:rsid w:val="00FE519C"/>
    <w:rsid w:val="00FE5203"/>
    <w:rsid w:val="00FE57C2"/>
    <w:rsid w:val="00FE5AE6"/>
    <w:rsid w:val="00FE6D69"/>
    <w:rsid w:val="00FE7B1E"/>
    <w:rsid w:val="00FF00BE"/>
    <w:rsid w:val="00FF173A"/>
    <w:rsid w:val="00FF279F"/>
    <w:rsid w:val="00FF318E"/>
    <w:rsid w:val="00FF32A1"/>
    <w:rsid w:val="00FF347A"/>
    <w:rsid w:val="00FF3C5C"/>
    <w:rsid w:val="00FF41BA"/>
    <w:rsid w:val="00FF4B5A"/>
    <w:rsid w:val="00FF4E89"/>
    <w:rsid w:val="00FF5461"/>
    <w:rsid w:val="00FF57DE"/>
    <w:rsid w:val="00FF60E9"/>
    <w:rsid w:val="00FF6813"/>
    <w:rsid w:val="00FF6B20"/>
    <w:rsid w:val="00FF6D9B"/>
    <w:rsid w:val="052D5512"/>
    <w:rsid w:val="0E86EE37"/>
    <w:rsid w:val="1D25E7DE"/>
    <w:rsid w:val="1E8CC41F"/>
    <w:rsid w:val="3D064A36"/>
    <w:rsid w:val="3EC6CB91"/>
    <w:rsid w:val="40DB71BB"/>
    <w:rsid w:val="63B571AE"/>
    <w:rsid w:val="64533AD3"/>
    <w:rsid w:val="67280A0E"/>
    <w:rsid w:val="6C9E8E08"/>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A5227A"/>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A5227A"/>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A5227A"/>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2261B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2261B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A5227A"/>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A5227A"/>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A5227A"/>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A5227A"/>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6"/>
      </w:numPr>
      <w:spacing w:after="26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rsid w:val="00EB5D6A"/>
    <w:rPr>
      <w:rFonts w:ascii="Times New Roman" w:eastAsia="Times New Roman" w:hAnsi="Times New Roman" w:cs="Times New Roman"/>
      <w:b/>
      <w:kern w:val="32"/>
      <w:sz w:val="26"/>
      <w:szCs w:val="26"/>
      <w:u w:val="single"/>
    </w:r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Footnote Text Char1"/>
    <w:basedOn w:val="Normal"/>
    <w:link w:val="FootnoteTextChar"/>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nhideWhenUsed/>
    <w:qFormat/>
    <w:rsid w:val="00DD46EB"/>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1 Char Char,Footnote Text Char Char Char Char,Footnote Text Char Char Char1,Footnote Text Char Char1 Char,fn Char,Footnote Text MRP Char,Footnote Text Char3 Char,Footnote Text Char2 Char Char,ft Char Char,ft Char1"/>
    <w:basedOn w:val="DefaultParagraphFont"/>
    <w:link w:val="FootnoteText"/>
    <w:rsid w:val="00236117"/>
    <w:rPr>
      <w:rFonts w:ascii="Times New Roman" w:hAnsi="Times New Roman" w:cs="Times New Roman"/>
      <w:sz w:val="26"/>
      <w:szCs w:val="20"/>
    </w:rPr>
  </w:style>
  <w:style w:type="paragraph" w:styleId="Revision">
    <w:name w:val="Revision"/>
    <w:hidden/>
    <w:uiPriority w:val="99"/>
    <w:semiHidden/>
    <w:rsid w:val="002907C5"/>
    <w:pPr>
      <w:spacing w:after="0" w:line="240" w:lineRule="auto"/>
    </w:pPr>
    <w:rPr>
      <w:rFonts w:ascii="Times New Roman" w:hAnsi="Times New Roman" w:cs="Times New Roman"/>
      <w:sz w:val="26"/>
      <w:szCs w:val="22"/>
    </w:rPr>
  </w:style>
  <w:style w:type="paragraph" w:customStyle="1" w:styleId="BlockIndent">
    <w:name w:val="Block Indent"/>
    <w:basedOn w:val="Normal"/>
    <w:next w:val="FERCparanumber"/>
    <w:link w:val="BlockIndentChar"/>
    <w:rsid w:val="00BB5B11"/>
    <w:pPr>
      <w:widowControl/>
      <w:spacing w:after="240"/>
      <w:ind w:left="1440" w:right="1440"/>
    </w:pPr>
  </w:style>
  <w:style w:type="character" w:customStyle="1" w:styleId="BlockIndentChar">
    <w:name w:val="Block Indent Char"/>
    <w:basedOn w:val="FERCparanumberChar"/>
    <w:link w:val="BlockIndent"/>
    <w:rsid w:val="00BB5B11"/>
    <w:rPr>
      <w:rFonts w:ascii="Times New Roman" w:hAnsi="Times New Roman" w:cs="Times New Roman"/>
      <w:sz w:val="26"/>
    </w:rPr>
  </w:style>
  <w:style w:type="character" w:styleId="Mention">
    <w:name w:val="Mention"/>
    <w:basedOn w:val="DefaultParagraphFont"/>
    <w:uiPriority w:val="99"/>
    <w:unhideWhenUsed/>
    <w:rsid w:val="00AE5097"/>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C04AB-6B11-4850-93EA-29B77BCE8913}">
  <ds:schemaRefs>
    <ds:schemaRef ds:uri="Microsoft.SharePoint.Taxonomy.ContentTypeSync"/>
  </ds:schemaRefs>
</ds:datastoreItem>
</file>

<file path=customXml/itemProps2.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3.xml><?xml version="1.0" encoding="utf-8"?>
<ds:datastoreItem xmlns:ds="http://schemas.openxmlformats.org/officeDocument/2006/customXml" ds:itemID="{3F7AA594-AF59-40E9-A981-87AEF281011D}">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7A68A615-D911-483A-8003-266B24E790B4}">
  <ds:schemaRefs>
    <ds:schemaRef ds:uri="http://schemas.microsoft.com/sharepoint/v3/contenttype/forms"/>
  </ds:schemaRefs>
</ds:datastoreItem>
</file>

<file path=customXml/itemProps5.xml><?xml version="1.0" encoding="utf-8"?>
<ds:datastoreItem xmlns:ds="http://schemas.openxmlformats.org/officeDocument/2006/customXml" ds:itemID="{1FA21387-C515-4605-8BAB-DB8BC4EC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2025-07-02T17:00:26Z</cp:lastPrinted>
  <dcterms:created xsi:type="dcterms:W3CDTF">2025-07-02T16:44:00Z</dcterms:created>
  <dcterms:modified xsi:type="dcterms:W3CDTF">2025-07-02T16:44:00Z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24d443ab-afc2-405b-bc84-8edc96db9f36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2025-07-02T16:44:12Z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