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932A4">
      <w:pPr>
        <w:jc w:val="center"/>
      </w:pPr>
      <w:r>
        <w:t>190 FERC ¶ 61,190</w:t>
      </w:r>
    </w:p>
    <w:p w:rsidR="00C94DE1" w:rsidRPr="00CD0B38" w:rsidP="00C37925">
      <w:pPr>
        <w:jc w:val="center"/>
      </w:pPr>
      <w:r>
        <w:rPr>
          <w:b/>
        </w:rPr>
        <w:fldChar w:fldCharType="begin"/>
      </w:r>
      <w:r>
        <w:rPr>
          <w:b/>
        </w:rPr>
        <w:instrText xml:space="preserve"> MACROBUTTON  AcceptAllChangesInDoc </w:instrText>
      </w:r>
      <w:r>
        <w:rPr>
          <w:b/>
        </w:rPr>
        <w:fldChar w:fldCharType="end"/>
      </w:r>
      <w:r w:rsidRPr="00CD0B38">
        <w:t>UNITED STATES OF AMERICA</w:t>
      </w:r>
    </w:p>
    <w:p w:rsidR="00C94DE1" w:rsidRPr="00CD0B38">
      <w:pPr>
        <w:jc w:val="center"/>
      </w:pPr>
      <w:r w:rsidRPr="00CD0B38">
        <w:t>FEDERAL ENERGY REGULATORY COMMISSION</w:t>
      </w:r>
    </w:p>
    <w:p w:rsidR="00C94DE1" w:rsidRPr="00CD0B38"/>
    <w:p w:rsidR="00C94DE1" w:rsidRPr="00C37925" w:rsidP="00C37925">
      <w:pPr>
        <w:widowControl/>
      </w:pPr>
      <w:r w:rsidRPr="00C37925">
        <w:t>Before Commissioners:  Mark C. Christie, Chairman;</w:t>
      </w:r>
    </w:p>
    <w:p w:rsidR="00C37925" w:rsidRPr="00C37925" w:rsidP="00C37925">
      <w:pPr>
        <w:widowControl/>
      </w:pPr>
      <w:r w:rsidRPr="00C37925">
        <w:t xml:space="preserve">                                        Willie L. Phillips, David Rosner,</w:t>
      </w:r>
    </w:p>
    <w:p w:rsidR="00C37925" w:rsidRPr="00CD0B38" w:rsidP="00C37925">
      <w:pPr>
        <w:widowControl/>
      </w:pPr>
      <w:r w:rsidRPr="00C37925">
        <w:t xml:space="preserve">                                        Lindsay S. See, and Judy W. Chang.</w:t>
      </w:r>
    </w:p>
    <w:p w:rsidR="00C94DE1"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C94DE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B201F6">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Niagara Mohawk Power Corporation</w:t>
            </w:r>
          </w:p>
          <w:p w:rsidR="00B06900" w:rsidRPr="00CD0B38">
            <w:pPr>
              <w:widowControl/>
              <w:autoSpaceDE/>
              <w:autoSpaceDN/>
              <w:adjustRightInd/>
              <w:spacing w:after="0" w:line="240" w:lineRule="auto"/>
              <w:rPr>
                <w:rFonts w:ascii="Times New Roman" w:eastAsia="Calibri" w:hAnsi="Times New Roman" w:cs="Arial"/>
                <w:sz w:val="26"/>
                <w:szCs w:val="22"/>
                <w:lang w:val="en-US" w:eastAsia="en-US" w:bidi="ar-SA"/>
              </w:rPr>
            </w:pPr>
            <w:r w:rsidRPr="00745DD4">
              <w:rPr>
                <w:rFonts w:ascii="Times New Roman" w:eastAsia="Times New Roman" w:hAnsi="Calibri" w:cs="Times New Roman"/>
                <w:kern w:val="2"/>
                <w:sz w:val="26"/>
                <w:szCs w:val="22"/>
                <w:lang w:val="en-US" w:eastAsia="en-US" w:bidi="ar-SA"/>
              </w:rPr>
              <w:t>New York Independent System Operator, Inc</w:t>
            </w:r>
            <w:r w:rsidRPr="00091E01">
              <w:rPr>
                <w:rFonts w:ascii="Times New Roman" w:eastAsia="Times New Roman" w:hAnsi="Calibri" w:cs="Times New Roman"/>
                <w:kern w:val="2"/>
                <w:sz w:val="26"/>
                <w:szCs w:val="22"/>
                <w:lang w:val="en-US" w:eastAsia="en-US" w:bidi="ar-SA"/>
              </w:rPr>
              <w:t>.</w:t>
            </w:r>
          </w:p>
        </w:tc>
        <w:tc>
          <w:tcPr>
            <w:tcW w:w="1560" w:type="dxa"/>
            <w:shd w:val="clear" w:color="auto" w:fill="auto"/>
          </w:tcPr>
          <w:p w:rsidR="00C94DE1" w:rsidRPr="00CD0B38" w:rsidP="00C94DE1">
            <w:pPr>
              <w:widowControl/>
              <w:autoSpaceDE/>
              <w:autoSpaceDN/>
              <w:adjustRightInd/>
              <w:spacing w:after="0" w:line="240" w:lineRule="auto"/>
              <w:jc w:val="right"/>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Docket No.</w:t>
            </w:r>
          </w:p>
        </w:tc>
        <w:tc>
          <w:tcPr>
            <w:tcW w:w="1928" w:type="dxa"/>
            <w:shd w:val="clear" w:color="auto" w:fill="auto"/>
            <w:tcMar>
              <w:left w:w="144" w:type="dxa"/>
            </w:tcMar>
          </w:tcPr>
          <w:p w:rsidR="00DB2718">
            <w:pPr>
              <w:widowControl/>
              <w:autoSpaceDE/>
              <w:autoSpaceDN/>
              <w:adjustRightInd/>
              <w:spacing w:after="0" w:line="240" w:lineRule="auto"/>
              <w:rPr>
                <w:rFonts w:ascii="Times New Roman" w:eastAsia="Calibri" w:hAnsi="Times New Roman" w:cs="Arial"/>
                <w:sz w:val="26"/>
                <w:szCs w:val="22"/>
                <w:lang w:val="en-US" w:eastAsia="en-US" w:bidi="ar-SA"/>
              </w:rPr>
            </w:pPr>
            <w:r>
              <w:rPr>
                <w:rFonts w:ascii="Times New Roman" w:eastAsia="Calibri" w:hAnsi="Times New Roman" w:cs="Arial"/>
                <w:sz w:val="26"/>
                <w:szCs w:val="22"/>
                <w:lang w:val="en-US" w:eastAsia="en-US" w:bidi="ar-SA"/>
              </w:rPr>
              <w:t>ER25-312-001</w:t>
            </w:r>
          </w:p>
          <w:p w:rsidR="00C94DE1" w:rsidRPr="00CD0B38">
            <w:pPr>
              <w:widowControl/>
              <w:autoSpaceDE/>
              <w:autoSpaceDN/>
              <w:adjustRightInd/>
              <w:spacing w:after="0" w:line="240" w:lineRule="auto"/>
              <w:rPr>
                <w:rFonts w:ascii="Times New Roman" w:eastAsia="Calibri" w:hAnsi="Times New Roman" w:cs="Arial"/>
                <w:sz w:val="26"/>
                <w:szCs w:val="22"/>
                <w:lang w:val="en-US" w:eastAsia="en-US" w:bidi="ar-SA"/>
              </w:rPr>
            </w:pPr>
          </w:p>
        </w:tc>
      </w:tr>
    </w:tbl>
    <w:p w:rsidR="00C94DE1" w:rsidRPr="00CD0B38">
      <w:pPr>
        <w:jc w:val="center"/>
      </w:pPr>
    </w:p>
    <w:p w:rsidR="00C94DE1" w:rsidRPr="00CD0B38" w:rsidP="00B657B5">
      <w:pPr>
        <w:jc w:val="center"/>
      </w:pPr>
      <w:r w:rsidRPr="00431796">
        <w:t xml:space="preserve">ORDER ACCEPTING </w:t>
      </w:r>
      <w:r w:rsidRPr="00791D33" w:rsidR="00791D33">
        <w:t xml:space="preserve">AND SUSPENDING UNEXECUTED LARGE GENERATOR INTERCONNECTION AGREEMENT, SUBJECT TO REFUND, AND ESTABLISHING HEARING AND SETTLEMENT JUDGE PROCEDURES </w:t>
      </w:r>
    </w:p>
    <w:p w:rsidR="00C94DE1" w:rsidRPr="00CD0B38">
      <w:pPr>
        <w:jc w:val="center"/>
      </w:pPr>
    </w:p>
    <w:p w:rsidR="00C94DE1" w:rsidP="00D14C47">
      <w:pPr>
        <w:widowControl/>
        <w:jc w:val="center"/>
      </w:pPr>
      <w:r w:rsidRPr="00D14C47">
        <w:t>(Issued March 27, 2025)</w:t>
      </w:r>
    </w:p>
    <w:p w:rsidR="00C37925" w:rsidRPr="00C26B1C" w:rsidP="00C37925">
      <w:pPr>
        <w:widowControl/>
        <w:jc w:val="center"/>
        <w:rPr>
          <w:bCs/>
        </w:rPr>
      </w:pPr>
    </w:p>
    <w:p w:rsidR="00C94DE1" w:rsidP="00FE1DBB">
      <w:pPr>
        <w:pStyle w:val="FERCparanumber"/>
      </w:pPr>
      <w:r>
        <w:t>On</w:t>
      </w:r>
      <w:r w:rsidR="00822514">
        <w:t xml:space="preserve"> </w:t>
      </w:r>
      <w:r w:rsidR="00822514">
        <w:rPr>
          <w:szCs w:val="26"/>
        </w:rPr>
        <w:t>October 31, 2024,</w:t>
      </w:r>
      <w:r w:rsidR="00562BF4">
        <w:rPr>
          <w:szCs w:val="26"/>
        </w:rPr>
        <w:t xml:space="preserve"> as amended on January 29, 2025,</w:t>
      </w:r>
      <w:r w:rsidR="00822514">
        <w:rPr>
          <w:szCs w:val="26"/>
        </w:rPr>
        <w:t xml:space="preserve"> </w:t>
      </w:r>
      <w:r w:rsidRPr="0032410B" w:rsidR="00822514">
        <w:t>pursuant to section 205 of the Federal Power Act (FPA)</w:t>
      </w:r>
      <w:r>
        <w:rPr>
          <w:b/>
          <w:vertAlign w:val="superscript"/>
        </w:rPr>
        <w:footnoteReference w:id="3"/>
      </w:r>
      <w:r w:rsidRPr="0032410B" w:rsidR="00822514">
        <w:t xml:space="preserve"> and Part 35 of the Commission’s regulations,</w:t>
      </w:r>
      <w:r>
        <w:rPr>
          <w:b/>
          <w:vertAlign w:val="superscript"/>
        </w:rPr>
        <w:footnoteReference w:id="4"/>
      </w:r>
      <w:r w:rsidRPr="0032410B" w:rsidR="00822514">
        <w:t xml:space="preserve"> </w:t>
      </w:r>
      <w:r w:rsidRPr="00E12CAB" w:rsidR="009C6A5F">
        <w:t>New York Independent System Operator, Inc. (NYISO)</w:t>
      </w:r>
      <w:r w:rsidR="009C6A5F">
        <w:t xml:space="preserve"> filed, </w:t>
      </w:r>
      <w:r w:rsidR="00C7499B">
        <w:t xml:space="preserve">on behalf of </w:t>
      </w:r>
      <w:r w:rsidRPr="00E12CAB" w:rsidR="00822514">
        <w:t>Niagara Mohawk Power Corporation (Niagara Mohawk)</w:t>
      </w:r>
      <w:r w:rsidR="00C7499B">
        <w:t>,</w:t>
      </w:r>
      <w:r w:rsidRPr="00E12CAB" w:rsidR="00822514">
        <w:t xml:space="preserve"> an unexecuted amended and restated </w:t>
      </w:r>
      <w:bookmarkStart w:id="0" w:name="_Hlk183519837"/>
      <w:r w:rsidRPr="00E12CAB" w:rsidR="00822514">
        <w:t>Large Generator Interconnection Agreement</w:t>
      </w:r>
      <w:bookmarkEnd w:id="0"/>
      <w:r w:rsidRPr="00E12CAB" w:rsidR="00822514">
        <w:t xml:space="preserve"> (Amended LGIA) between Niagara Mohawk and Sterling Power Partners</w:t>
      </w:r>
      <w:r w:rsidR="00075318">
        <w:t>,</w:t>
      </w:r>
      <w:r w:rsidRPr="00E12CAB" w:rsidR="00822514">
        <w:t xml:space="preserve"> L.P. (Sterling) </w:t>
      </w:r>
      <w:r w:rsidR="00AF2A26">
        <w:t>(together, the Parties</w:t>
      </w:r>
      <w:r w:rsidRPr="00E12CAB" w:rsidR="00822514">
        <w:t>).</w:t>
      </w:r>
      <w:r>
        <w:rPr>
          <w:rStyle w:val="FootnoteReference"/>
        </w:rPr>
        <w:footnoteReference w:id="5"/>
      </w:r>
      <w:r w:rsidRPr="00E12CAB" w:rsidR="00822514">
        <w:t xml:space="preserve"> </w:t>
      </w:r>
      <w:r w:rsidR="00822514">
        <w:t xml:space="preserve"> </w:t>
      </w:r>
      <w:r w:rsidR="005A58A9">
        <w:t>As discussed below</w:t>
      </w:r>
      <w:r w:rsidR="000E3B01">
        <w:t xml:space="preserve">, we </w:t>
      </w:r>
      <w:r w:rsidRPr="00915D93" w:rsidR="00456E5A">
        <w:t xml:space="preserve">accept the </w:t>
      </w:r>
      <w:r w:rsidR="00456E5A">
        <w:t>Amended LGIA</w:t>
      </w:r>
      <w:r w:rsidRPr="00915D93" w:rsidR="00456E5A">
        <w:t xml:space="preserve">, </w:t>
      </w:r>
      <w:r w:rsidRPr="00E85BEB" w:rsidR="00E85BEB">
        <w:t>suspend it for a nominal period, to become effective November 1, 2024, as requested, subject to refund, and establish hearing and settlement judge procedures.</w:t>
      </w:r>
    </w:p>
    <w:p w:rsidR="00991499" w:rsidP="00541E56">
      <w:pPr>
        <w:pStyle w:val="Heading1"/>
      </w:pPr>
      <w:r>
        <w:t xml:space="preserve">Background </w:t>
      </w:r>
    </w:p>
    <w:p w:rsidR="003E7C14" w:rsidRPr="003E7C14" w:rsidP="007A6D0B">
      <w:pPr>
        <w:pStyle w:val="FERCparanumber"/>
      </w:pPr>
      <w:r w:rsidRPr="00F124E2">
        <w:t>Niagara Mohawk owns and operates transmission facilities in New</w:t>
      </w:r>
      <w:r w:rsidR="005766A4">
        <w:t xml:space="preserve"> York</w:t>
      </w:r>
      <w:r w:rsidRPr="009D1822" w:rsidR="009D1822">
        <w:t>, all of which are subject to the operational control of NYISO.</w:t>
      </w:r>
      <w:r>
        <w:rPr>
          <w:rStyle w:val="FootnoteReference"/>
        </w:rPr>
        <w:footnoteReference w:id="6"/>
      </w:r>
      <w:r w:rsidR="00326D5E">
        <w:t xml:space="preserve">  </w:t>
      </w:r>
      <w:r w:rsidR="00CC096D">
        <w:t xml:space="preserve">Sterling </w:t>
      </w:r>
      <w:r w:rsidR="00326D5E">
        <w:t>own</w:t>
      </w:r>
      <w:r w:rsidR="008F7AB5">
        <w:t xml:space="preserve">s </w:t>
      </w:r>
      <w:r w:rsidR="00CC096D">
        <w:t xml:space="preserve">a 62 </w:t>
      </w:r>
      <w:r w:rsidR="00B62366">
        <w:t xml:space="preserve">MW </w:t>
      </w:r>
      <w:r w:rsidR="00CC096D">
        <w:t>combined-cycle natural gas-fired cogeneration electric generating facility located in Sherrill, New York</w:t>
      </w:r>
      <w:r w:rsidR="00522921">
        <w:t xml:space="preserve"> (Sterling Facility)</w:t>
      </w:r>
      <w:r w:rsidR="00CC096D">
        <w:t>, and sell</w:t>
      </w:r>
      <w:r w:rsidR="006031C1">
        <w:t xml:space="preserve">s the output from that facility </w:t>
      </w:r>
      <w:r w:rsidR="006A6B2D">
        <w:t>into NYISO’s wholesale markets</w:t>
      </w:r>
      <w:r w:rsidR="006031C1">
        <w:t>.</w:t>
      </w:r>
      <w:r>
        <w:rPr>
          <w:rStyle w:val="FootnoteReference"/>
        </w:rPr>
        <w:footnoteReference w:id="7"/>
      </w:r>
      <w:r w:rsidR="00CC096D">
        <w:t xml:space="preserve">  </w:t>
      </w:r>
    </w:p>
    <w:p w:rsidR="008E755E" w:rsidP="00DC79FE">
      <w:pPr>
        <w:pStyle w:val="FERCparanumber"/>
      </w:pPr>
      <w:r>
        <w:t xml:space="preserve">In an order issued in 2007, the Commission accepted, among other things, </w:t>
      </w:r>
      <w:r w:rsidR="006C3BCF">
        <w:t>a</w:t>
      </w:r>
      <w:r w:rsidR="004525E8">
        <w:t>n unexecuted interconnection agreement between Niagara Mohawk and Sterling, intended to replace the</w:t>
      </w:r>
      <w:r w:rsidR="006C3BCF">
        <w:t xml:space="preserve"> late-filed</w:t>
      </w:r>
      <w:r w:rsidR="00505F5E">
        <w:t>,</w:t>
      </w:r>
      <w:r w:rsidR="00E6670B">
        <w:t xml:space="preserve"> executed 1998</w:t>
      </w:r>
      <w:r w:rsidR="004605D4">
        <w:t xml:space="preserve"> amended</w:t>
      </w:r>
      <w:r w:rsidR="006C3BCF">
        <w:t xml:space="preserve"> interconnection agreement between </w:t>
      </w:r>
      <w:r w:rsidR="00766E2F">
        <w:t>the Parties</w:t>
      </w:r>
      <w:r w:rsidR="001649DB">
        <w:t xml:space="preserve"> </w:t>
      </w:r>
      <w:r w:rsidR="00906BFF">
        <w:t>(2007 LGIA)</w:t>
      </w:r>
      <w:r w:rsidR="001649DB">
        <w:t>.</w:t>
      </w:r>
      <w:r>
        <w:rPr>
          <w:rStyle w:val="FootnoteReference"/>
        </w:rPr>
        <w:footnoteReference w:id="8"/>
      </w:r>
      <w:r w:rsidR="00E1433A">
        <w:t xml:space="preserve">  </w:t>
      </w:r>
      <w:r w:rsidR="00B66BAE">
        <w:t>T</w:t>
      </w:r>
      <w:r w:rsidR="002A69F0">
        <w:t xml:space="preserve">he </w:t>
      </w:r>
      <w:r w:rsidR="00DB62BD">
        <w:t xml:space="preserve">Commission </w:t>
      </w:r>
      <w:r w:rsidR="00745067">
        <w:t xml:space="preserve">also </w:t>
      </w:r>
      <w:r w:rsidR="00DB62BD">
        <w:t>determined</w:t>
      </w:r>
      <w:r w:rsidR="00C231AA">
        <w:t xml:space="preserve">, among other things, </w:t>
      </w:r>
      <w:r w:rsidR="00DB62BD">
        <w:t xml:space="preserve">that </w:t>
      </w:r>
      <w:r w:rsidR="006E758C">
        <w:t xml:space="preserve">the single circuit breaker located in the Oneida </w:t>
      </w:r>
      <w:r w:rsidR="00051475">
        <w:t>S</w:t>
      </w:r>
      <w:r w:rsidR="006E758C">
        <w:t xml:space="preserve">ubstation </w:t>
      </w:r>
      <w:r w:rsidR="002A69F0">
        <w:t xml:space="preserve">that </w:t>
      </w:r>
      <w:r w:rsidR="006E758C">
        <w:t>connect</w:t>
      </w:r>
      <w:r w:rsidR="002A69F0">
        <w:t>s</w:t>
      </w:r>
      <w:r w:rsidR="006E758C">
        <w:t xml:space="preserve"> </w:t>
      </w:r>
      <w:r w:rsidR="00D8033F">
        <w:t xml:space="preserve">the Sterling Facility to Niagara Mohawk’s transmission system </w:t>
      </w:r>
      <w:r w:rsidR="00745067">
        <w:t>wa</w:t>
      </w:r>
      <w:r w:rsidR="00D8033F">
        <w:t>s</w:t>
      </w:r>
      <w:r w:rsidR="008C4AC3">
        <w:t xml:space="preserve"> properly classified as an interconnection facility</w:t>
      </w:r>
      <w:r w:rsidR="00051475">
        <w:t xml:space="preserve"> rather than</w:t>
      </w:r>
      <w:r w:rsidR="00651357">
        <w:t xml:space="preserve"> a network facility</w:t>
      </w:r>
      <w:r w:rsidR="001273B0">
        <w:t xml:space="preserve">, </w:t>
      </w:r>
      <w:r w:rsidR="006C61D7">
        <w:t xml:space="preserve">thus </w:t>
      </w:r>
      <w:r w:rsidR="001273B0">
        <w:t xml:space="preserve">allowing Niagara Mohawk to directly recover </w:t>
      </w:r>
      <w:r w:rsidR="00347BB2">
        <w:t xml:space="preserve">from Sterling </w:t>
      </w:r>
      <w:r w:rsidR="002736D5">
        <w:t>its actual</w:t>
      </w:r>
      <w:r w:rsidR="001758DB">
        <w:t xml:space="preserve"> expenses associated with </w:t>
      </w:r>
      <w:r w:rsidR="006C61D7">
        <w:t>operation and maintenance (</w:t>
      </w:r>
      <w:r w:rsidR="001758DB">
        <w:t>O&amp;M</w:t>
      </w:r>
      <w:r w:rsidR="006C61D7">
        <w:t>)</w:t>
      </w:r>
      <w:r w:rsidR="001758DB">
        <w:t xml:space="preserve"> work performed on the </w:t>
      </w:r>
      <w:r w:rsidR="00D46A04">
        <w:t>interconnection</w:t>
      </w:r>
      <w:r w:rsidR="001758DB">
        <w:t xml:space="preserve"> facility</w:t>
      </w:r>
      <w:r w:rsidR="008C4AC3">
        <w:t>.</w:t>
      </w:r>
      <w:r>
        <w:rPr>
          <w:rStyle w:val="FootnoteReference"/>
        </w:rPr>
        <w:footnoteReference w:id="9"/>
      </w:r>
      <w:r w:rsidR="00062E44">
        <w:t xml:space="preserve">  </w:t>
      </w:r>
      <w:r w:rsidR="008A62FC">
        <w:t xml:space="preserve">Subsequently, in 2013, the Commission </w:t>
      </w:r>
      <w:r w:rsidR="002E24CD">
        <w:t>accepted</w:t>
      </w:r>
      <w:r w:rsidR="004C5F60">
        <w:t xml:space="preserve"> </w:t>
      </w:r>
      <w:r w:rsidR="00E44F65">
        <w:t>Niagara Mohawk</w:t>
      </w:r>
      <w:r w:rsidR="00EB6090">
        <w:t>’s</w:t>
      </w:r>
      <w:r w:rsidR="008E30E6">
        <w:t xml:space="preserve"> fil</w:t>
      </w:r>
      <w:r w:rsidR="00EB6090">
        <w:t>ing</w:t>
      </w:r>
      <w:r w:rsidR="008E30E6">
        <w:t xml:space="preserve"> to extend the term of </w:t>
      </w:r>
      <w:r w:rsidR="0002456A">
        <w:t>the</w:t>
      </w:r>
      <w:r w:rsidR="008E30E6">
        <w:t xml:space="preserve"> </w:t>
      </w:r>
      <w:r w:rsidRPr="00A50963" w:rsidR="00A50963">
        <w:t xml:space="preserve">interconnection service under the </w:t>
      </w:r>
      <w:r w:rsidR="00BD4804">
        <w:t xml:space="preserve">2007 </w:t>
      </w:r>
      <w:r w:rsidR="007F4A75">
        <w:t xml:space="preserve">LGIA </w:t>
      </w:r>
      <w:r w:rsidRPr="00A50963" w:rsidR="00A50963">
        <w:t>and to make other non-substantive updates</w:t>
      </w:r>
      <w:r w:rsidR="00B215FA">
        <w:t>, in what is now the Sterling LGIA</w:t>
      </w:r>
      <w:r w:rsidRPr="00A50963" w:rsidR="00A50963">
        <w:t>.</w:t>
      </w:r>
      <w:r>
        <w:rPr>
          <w:rStyle w:val="FootnoteReference"/>
        </w:rPr>
        <w:footnoteReference w:id="10"/>
      </w:r>
      <w:r w:rsidR="007924BB">
        <w:t xml:space="preserve"> </w:t>
      </w:r>
      <w:r w:rsidRPr="00A50963" w:rsidR="00A50963">
        <w:t xml:space="preserve"> </w:t>
      </w:r>
      <w:r w:rsidR="00674DB6">
        <w:t>In that proceeding</w:t>
      </w:r>
      <w:r w:rsidR="0089749F">
        <w:t>,</w:t>
      </w:r>
      <w:r w:rsidR="00674DB6">
        <w:t xml:space="preserve"> </w:t>
      </w:r>
      <w:r w:rsidR="00720A9E">
        <w:t>Niagara Mohawk state</w:t>
      </w:r>
      <w:r w:rsidR="00963633">
        <w:t>d</w:t>
      </w:r>
      <w:r w:rsidR="00720A9E">
        <w:t xml:space="preserve"> that the Sterling LGIA </w:t>
      </w:r>
      <w:r w:rsidR="005A2C17">
        <w:t xml:space="preserve">closely </w:t>
      </w:r>
      <w:r w:rsidR="007551D8">
        <w:t>follow</w:t>
      </w:r>
      <w:r w:rsidR="009C65F1">
        <w:t>s the</w:t>
      </w:r>
      <w:r w:rsidR="00AD0C81">
        <w:t xml:space="preserve"> </w:t>
      </w:r>
      <w:bookmarkStart w:id="2" w:name="_Hlk184206967"/>
      <w:r w:rsidR="00543B69">
        <w:t xml:space="preserve">NYISO </w:t>
      </w:r>
      <w:r w:rsidRPr="006140CD" w:rsidR="00543B69">
        <w:rPr>
          <w:i/>
          <w:iCs/>
        </w:rPr>
        <w:t>pro forma</w:t>
      </w:r>
      <w:r w:rsidR="00543B69">
        <w:t xml:space="preserve"> </w:t>
      </w:r>
      <w:r w:rsidR="00AD0C81">
        <w:t>LGIA</w:t>
      </w:r>
      <w:bookmarkEnd w:id="2"/>
      <w:r w:rsidR="00C823EF">
        <w:t>.</w:t>
      </w:r>
      <w:r w:rsidR="0086447C">
        <w:t xml:space="preserve"> </w:t>
      </w:r>
      <w:r w:rsidR="0045241C">
        <w:t xml:space="preserve"> </w:t>
      </w:r>
    </w:p>
    <w:p w:rsidR="00C94DE1" w:rsidP="00C94DE1">
      <w:pPr>
        <w:pStyle w:val="Heading1"/>
      </w:pPr>
      <w:r>
        <w:t>Filing Summary</w:t>
      </w:r>
    </w:p>
    <w:p w:rsidR="0064204C" w:rsidP="00C94DE1">
      <w:pPr>
        <w:pStyle w:val="FERCparanumber"/>
      </w:pPr>
      <w:r>
        <w:t xml:space="preserve">In </w:t>
      </w:r>
      <w:r w:rsidR="00B252C2">
        <w:t>the</w:t>
      </w:r>
      <w:r w:rsidR="007E0F33">
        <w:t xml:space="preserve"> </w:t>
      </w:r>
      <w:r w:rsidRPr="00C34A5C" w:rsidR="00EA7AE9">
        <w:t>Amended LGIA</w:t>
      </w:r>
      <w:r w:rsidR="007E0F33">
        <w:rPr>
          <w:b/>
          <w:bCs/>
        </w:rPr>
        <w:t xml:space="preserve"> </w:t>
      </w:r>
      <w:r w:rsidR="007E0F33">
        <w:t>filing</w:t>
      </w:r>
      <w:r>
        <w:t xml:space="preserve">, </w:t>
      </w:r>
      <w:r>
        <w:t xml:space="preserve">Niagara Mohawk </w:t>
      </w:r>
      <w:r w:rsidR="00C856C0">
        <w:t xml:space="preserve">states that the </w:t>
      </w:r>
      <w:r w:rsidR="009534D7">
        <w:t>amendments to the Sterling</w:t>
      </w:r>
      <w:r w:rsidR="007454D2">
        <w:t xml:space="preserve"> LGIA account for the replacement of certain</w:t>
      </w:r>
      <w:r w:rsidRPr="00573175" w:rsidR="007454D2">
        <w:t xml:space="preserve"> </w:t>
      </w:r>
      <w:r w:rsidRPr="00573175" w:rsidR="00573175">
        <w:t>Connecting Transmission Owner</w:t>
      </w:r>
      <w:r w:rsidR="000A099A">
        <w:t>’s</w:t>
      </w:r>
      <w:r w:rsidRPr="00573175" w:rsidR="00573175">
        <w:t xml:space="preserve"> Attachment Facilities </w:t>
      </w:r>
      <w:r w:rsidRPr="00F31050" w:rsidR="00825E6B">
        <w:t xml:space="preserve">required to provide interconnection service to the </w:t>
      </w:r>
      <w:r w:rsidR="00825E6B">
        <w:t xml:space="preserve">Sterling </w:t>
      </w:r>
      <w:r w:rsidRPr="00F31050" w:rsidR="00825E6B">
        <w:t>Facility</w:t>
      </w:r>
      <w:r w:rsidRPr="00F31050" w:rsidR="00F31050">
        <w:t>.</w:t>
      </w:r>
      <w:r>
        <w:rPr>
          <w:rStyle w:val="FootnoteReference"/>
        </w:rPr>
        <w:footnoteReference w:id="11"/>
      </w:r>
      <w:r w:rsidR="00AA367F">
        <w:t xml:space="preserve">  Niagara Mohawk states that </w:t>
      </w:r>
      <w:r w:rsidR="00306D52">
        <w:t>the</w:t>
      </w:r>
      <w:r w:rsidRPr="00F31050" w:rsidR="00F31050">
        <w:t xml:space="preserve"> Connecting Transmission Owner</w:t>
      </w:r>
      <w:r w:rsidR="00C03B7F">
        <w:t>’s</w:t>
      </w:r>
      <w:r w:rsidRPr="00F31050" w:rsidR="00F31050">
        <w:t xml:space="preserve"> Attachment Facilities </w:t>
      </w:r>
      <w:r w:rsidR="0068026D">
        <w:t>are at the end of their useful life</w:t>
      </w:r>
      <w:r w:rsidR="009B661B">
        <w:t xml:space="preserve"> and</w:t>
      </w:r>
      <w:r w:rsidR="006B733A">
        <w:t xml:space="preserve"> </w:t>
      </w:r>
      <w:r w:rsidR="00BA4DEB">
        <w:t xml:space="preserve">must be </w:t>
      </w:r>
      <w:r w:rsidR="00047A14">
        <w:t>replace</w:t>
      </w:r>
      <w:r w:rsidR="00BA4DEB">
        <w:t>d</w:t>
      </w:r>
      <w:r w:rsidR="00047A14">
        <w:t xml:space="preserve"> to </w:t>
      </w:r>
      <w:r w:rsidR="00E6283C">
        <w:t xml:space="preserve">continue </w:t>
      </w:r>
      <w:r w:rsidR="000A7FE1">
        <w:t xml:space="preserve">to “ensure </w:t>
      </w:r>
      <w:r w:rsidR="00E6283C">
        <w:t xml:space="preserve">reliability of </w:t>
      </w:r>
      <w:r w:rsidR="000A7FE1">
        <w:t>[</w:t>
      </w:r>
      <w:r w:rsidR="00B508B0">
        <w:t>these</w:t>
      </w:r>
      <w:r w:rsidR="000A7FE1">
        <w:t>]</w:t>
      </w:r>
      <w:r w:rsidR="00B508B0">
        <w:t xml:space="preserve"> </w:t>
      </w:r>
      <w:r w:rsidR="00E6283C">
        <w:t>facilities</w:t>
      </w:r>
      <w:r w:rsidR="00B508B0">
        <w:t xml:space="preserve"> exclus</w:t>
      </w:r>
      <w:r w:rsidR="00570FF8">
        <w:t>ively used by Niagara Mohawk</w:t>
      </w:r>
      <w:r w:rsidR="00A71CBB">
        <w:t xml:space="preserve"> to </w:t>
      </w:r>
      <w:r w:rsidR="00660F8B">
        <w:t xml:space="preserve">transmit </w:t>
      </w:r>
      <w:r w:rsidR="00325EEC">
        <w:t xml:space="preserve">to the </w:t>
      </w:r>
      <w:r w:rsidR="00804962">
        <w:t xml:space="preserve">New York </w:t>
      </w:r>
      <w:r w:rsidR="00290B2D">
        <w:t>Transmission System</w:t>
      </w:r>
      <w:r w:rsidR="000D66F6">
        <w:t xml:space="preserve"> power produced by the </w:t>
      </w:r>
      <w:r w:rsidR="00B92484">
        <w:t>Sterling [Facility</w:t>
      </w:r>
      <w:r w:rsidR="004912B0">
        <w:t>]</w:t>
      </w:r>
      <w:r w:rsidR="002361FC">
        <w:t>.</w:t>
      </w:r>
      <w:r w:rsidR="00290B2D">
        <w:t>”</w:t>
      </w:r>
      <w:r>
        <w:rPr>
          <w:rStyle w:val="FootnoteReference"/>
        </w:rPr>
        <w:footnoteReference w:id="12"/>
      </w:r>
      <w:r w:rsidR="002361FC">
        <w:t xml:space="preserve">  </w:t>
      </w:r>
      <w:r w:rsidR="00091062">
        <w:t xml:space="preserve">Niagara Mohawk </w:t>
      </w:r>
      <w:r w:rsidR="003357E6">
        <w:t xml:space="preserve">contends that </w:t>
      </w:r>
      <w:r w:rsidRPr="003357E6" w:rsidR="003357E6">
        <w:t xml:space="preserve">the Amended LGIA is </w:t>
      </w:r>
      <w:r w:rsidRPr="003357E6" w:rsidR="000F7693">
        <w:t>n</w:t>
      </w:r>
      <w:r w:rsidR="000F7693">
        <w:t>either</w:t>
      </w:r>
      <w:r w:rsidRPr="003357E6" w:rsidR="000F7693">
        <w:t xml:space="preserve"> </w:t>
      </w:r>
      <w:r w:rsidRPr="003357E6" w:rsidR="003357E6">
        <w:t>the result of a request for new interconnection service under the NYISO OATT</w:t>
      </w:r>
      <w:r w:rsidR="003E637A">
        <w:t xml:space="preserve">, nor </w:t>
      </w:r>
      <w:r w:rsidR="00747AC5">
        <w:t>are</w:t>
      </w:r>
      <w:r w:rsidR="003E637A">
        <w:t xml:space="preserve"> </w:t>
      </w:r>
      <w:r w:rsidRPr="003357E6" w:rsidR="003357E6">
        <w:t xml:space="preserve">there proposed increases in capacity of, </w:t>
      </w:r>
      <w:r w:rsidR="000F7693">
        <w:t>or</w:t>
      </w:r>
      <w:r w:rsidRPr="003357E6" w:rsidR="000F7693">
        <w:t xml:space="preserve"> </w:t>
      </w:r>
      <w:r w:rsidRPr="003357E6" w:rsidR="003357E6">
        <w:t>changes to, the characteristics of the Sterling Facility</w:t>
      </w:r>
      <w:r w:rsidR="009E3A98">
        <w:t>.</w:t>
      </w:r>
      <w:r>
        <w:rPr>
          <w:rStyle w:val="FootnoteReference"/>
        </w:rPr>
        <w:footnoteReference w:id="13"/>
      </w:r>
      <w:r w:rsidR="009E3A98">
        <w:t xml:space="preserve"> </w:t>
      </w:r>
      <w:r w:rsidR="00532923">
        <w:t xml:space="preserve"> </w:t>
      </w:r>
      <w:r w:rsidR="002361FC">
        <w:t xml:space="preserve">Niagara Mohawk </w:t>
      </w:r>
      <w:r w:rsidR="00B7753B">
        <w:t>states that a</w:t>
      </w:r>
      <w:r w:rsidR="00410ACF">
        <w:t xml:space="preserve"> </w:t>
      </w:r>
      <w:r w:rsidR="00AA367F">
        <w:t>c</w:t>
      </w:r>
      <w:r w:rsidRPr="00AA367F" w:rsidR="00AA367F">
        <w:t xml:space="preserve">omplete replacement of </w:t>
      </w:r>
      <w:r w:rsidR="0019308E">
        <w:t>its</w:t>
      </w:r>
      <w:r w:rsidRPr="00AA367F" w:rsidR="00AA367F">
        <w:t xml:space="preserve"> portion of a 115-kV tie line supporting the </w:t>
      </w:r>
      <w:r w:rsidR="00CE6323">
        <w:t xml:space="preserve">Sterling </w:t>
      </w:r>
      <w:r w:rsidRPr="00AA367F" w:rsidR="00AA367F">
        <w:t>Facility as well as replacement of certain breakers, switches, controls, protection, communication</w:t>
      </w:r>
      <w:r w:rsidR="00C402EA">
        <w:t>,</w:t>
      </w:r>
      <w:r w:rsidRPr="00AA367F" w:rsidR="00AA367F">
        <w:t xml:space="preserve"> and power equipment facilities are estimated to cost nearly $2.5 million</w:t>
      </w:r>
      <w:r w:rsidR="0019308E">
        <w:t xml:space="preserve">.  </w:t>
      </w:r>
    </w:p>
    <w:p w:rsidR="00487FB0" w:rsidP="00C94DE1">
      <w:pPr>
        <w:pStyle w:val="FERCparanumber"/>
      </w:pPr>
      <w:r>
        <w:t xml:space="preserve">Niagara Mohawk states that </w:t>
      </w:r>
      <w:r w:rsidR="00562269">
        <w:t xml:space="preserve">Sterling has refused to execute the Amended LGIA because </w:t>
      </w:r>
      <w:r w:rsidR="00053FD0">
        <w:t xml:space="preserve">Sterling </w:t>
      </w:r>
      <w:r w:rsidRPr="00053FD0" w:rsidR="00053FD0">
        <w:t xml:space="preserve">takes the position that funding </w:t>
      </w:r>
      <w:r w:rsidR="00BE316F">
        <w:t xml:space="preserve">the </w:t>
      </w:r>
      <w:r w:rsidRPr="00053FD0" w:rsidR="00053FD0">
        <w:t>replacement of the relevant Connecting Transmission Owner</w:t>
      </w:r>
      <w:r w:rsidR="00C03B7F">
        <w:t>’s</w:t>
      </w:r>
      <w:r w:rsidRPr="00053FD0" w:rsidR="00053FD0">
        <w:t xml:space="preserve"> Attachment Facilities is not </w:t>
      </w:r>
      <w:r w:rsidR="00F2437D">
        <w:t>Sterling’s</w:t>
      </w:r>
      <w:r w:rsidRPr="00053FD0" w:rsidR="00053FD0">
        <w:t xml:space="preserve"> responsibility under the Sterling LGIA</w:t>
      </w:r>
      <w:r w:rsidR="00053FD0">
        <w:t>.</w:t>
      </w:r>
      <w:r>
        <w:rPr>
          <w:rStyle w:val="FootnoteReference"/>
        </w:rPr>
        <w:footnoteReference w:id="14"/>
      </w:r>
      <w:r w:rsidR="00F2437D">
        <w:t xml:space="preserve">  Niagara Mohawk argues, however, that </w:t>
      </w:r>
      <w:r w:rsidR="00951C6E">
        <w:t xml:space="preserve">Sterling is required, </w:t>
      </w:r>
      <w:r w:rsidRPr="00951C6E" w:rsidR="00951C6E">
        <w:t>pursuant to Article 11.2 of the Sterling LGIA</w:t>
      </w:r>
      <w:r w:rsidR="00951C6E">
        <w:t>,</w:t>
      </w:r>
      <w:r w:rsidRPr="00951C6E" w:rsidR="00951C6E">
        <w:t xml:space="preserve"> to fund Connecting Transmission Owner’s Attachment Facilities.</w:t>
      </w:r>
      <w:r>
        <w:rPr>
          <w:rStyle w:val="FootnoteReference"/>
        </w:rPr>
        <w:footnoteReference w:id="15"/>
      </w:r>
      <w:r w:rsidR="00723BDE">
        <w:t xml:space="preserve">  Niagara Mohawk further </w:t>
      </w:r>
      <w:r w:rsidR="009201AB">
        <w:t xml:space="preserve">states </w:t>
      </w:r>
      <w:r w:rsidR="00723BDE">
        <w:t xml:space="preserve">that </w:t>
      </w:r>
      <w:r w:rsidRPr="00F97CBC" w:rsidR="00F97CBC">
        <w:t>Article 10.5 of the Sterling LGIA provides that the “Developer shall be responsible for all reasonable expenses including overheads associated with: . . (2) . . . repair and replacement of Transmission Owner’s Attachment Facilities.”</w:t>
      </w:r>
      <w:r>
        <w:rPr>
          <w:rStyle w:val="FootnoteReference"/>
        </w:rPr>
        <w:footnoteReference w:id="16"/>
      </w:r>
    </w:p>
    <w:p w:rsidR="00A7710A" w:rsidP="00A7710A">
      <w:pPr>
        <w:pStyle w:val="FERCparanumber"/>
      </w:pPr>
      <w:r>
        <w:t>Niagara Mohawk states that, f</w:t>
      </w:r>
      <w:r w:rsidRPr="00817389">
        <w:t>or current</w:t>
      </w:r>
      <w:r w:rsidR="003C25EB">
        <w:t xml:space="preserve"> </w:t>
      </w:r>
      <w:r w:rsidRPr="00817389">
        <w:t>interconnection customers</w:t>
      </w:r>
      <w:r w:rsidR="00500DAB">
        <w:t xml:space="preserve"> taking service under a </w:t>
      </w:r>
      <w:r w:rsidR="00500DAB">
        <w:rPr>
          <w:i/>
          <w:iCs/>
        </w:rPr>
        <w:t>pro forma</w:t>
      </w:r>
      <w:r w:rsidR="00500DAB">
        <w:t xml:space="preserve"> LGIA</w:t>
      </w:r>
      <w:r w:rsidRPr="00817389">
        <w:t xml:space="preserve">, Niagara Mohawk requires provision of security for construction of replacement </w:t>
      </w:r>
      <w:r w:rsidR="00162353">
        <w:t xml:space="preserve">Connecting Transmission Owner’s </w:t>
      </w:r>
      <w:r w:rsidRPr="00817389">
        <w:t>Attachment Facilities</w:t>
      </w:r>
      <w:r w:rsidR="00D30926">
        <w:t>;</w:t>
      </w:r>
      <w:r w:rsidRPr="00817389">
        <w:t xml:space="preserve"> </w:t>
      </w:r>
      <w:r>
        <w:t xml:space="preserve">however, </w:t>
      </w:r>
      <w:r w:rsidR="00D27EB8">
        <w:t xml:space="preserve">this </w:t>
      </w:r>
      <w:r w:rsidR="00036BDB">
        <w:t xml:space="preserve">security </w:t>
      </w:r>
      <w:r w:rsidR="006B79DB">
        <w:t>is not required under</w:t>
      </w:r>
      <w:r w:rsidR="00D27EB8">
        <w:t xml:space="preserve"> the Sterling LGIA</w:t>
      </w:r>
      <w:r w:rsidR="006B79DB">
        <w:t xml:space="preserve">.  </w:t>
      </w:r>
      <w:r>
        <w:t xml:space="preserve">According to Niagara Mohawk, Appendix H in the Sterling LGIA renders inapplicable certain provisions of </w:t>
      </w:r>
      <w:r w:rsidR="00ED65AC">
        <w:t xml:space="preserve">the </w:t>
      </w:r>
      <w:r>
        <w:t xml:space="preserve">NYISO </w:t>
      </w:r>
      <w:r>
        <w:rPr>
          <w:i/>
          <w:iCs/>
        </w:rPr>
        <w:t>pro forma</w:t>
      </w:r>
      <w:r>
        <w:t xml:space="preserve"> LGIA because</w:t>
      </w:r>
      <w:r w:rsidR="00433E61">
        <w:t>,</w:t>
      </w:r>
      <w:r>
        <w:t xml:space="preserve"> at the time of the 2007 LGIA, the Parties agreed to omit certain terms that would not be applicable to a generation facility already in commercial operation.</w:t>
      </w:r>
      <w:r>
        <w:rPr>
          <w:rStyle w:val="FootnoteReference"/>
        </w:rPr>
        <w:footnoteReference w:id="17"/>
      </w:r>
      <w:r>
        <w:t xml:space="preserve">  </w:t>
      </w:r>
      <w:r w:rsidR="00720097">
        <w:t>Niagara Mohawk states that the interconnection is governed by a two-party grandfathered interconnection agreement that predates the NYISO OATT.</w:t>
      </w:r>
      <w:r>
        <w:rPr>
          <w:rStyle w:val="FootnoteReference"/>
        </w:rPr>
        <w:footnoteReference w:id="18"/>
      </w:r>
      <w:r w:rsidR="00720097">
        <w:t xml:space="preserve">  </w:t>
      </w:r>
      <w:r w:rsidRPr="00B75A0D" w:rsidR="006B79DB">
        <w:t>Appendix H to the Sterling LGIA currently excludes</w:t>
      </w:r>
      <w:r w:rsidR="006A7CFC">
        <w:t xml:space="preserve"> as inapplicable</w:t>
      </w:r>
      <w:r w:rsidRPr="00B75A0D" w:rsidR="006B79DB">
        <w:t xml:space="preserve"> </w:t>
      </w:r>
      <w:r w:rsidR="00E22CB6">
        <w:t xml:space="preserve">the </w:t>
      </w:r>
      <w:r w:rsidRPr="00B75A0D" w:rsidR="006B79DB">
        <w:t xml:space="preserve">Article 11.5 </w:t>
      </w:r>
      <w:r w:rsidR="006B79DB">
        <w:t>security provisions</w:t>
      </w:r>
      <w:r w:rsidRPr="00B75A0D" w:rsidR="006B79DB">
        <w:t>.</w:t>
      </w:r>
      <w:r w:rsidR="006B79DB">
        <w:t xml:space="preserve">  </w:t>
      </w:r>
      <w:r>
        <w:t>Niagara Mohawk states that, i</w:t>
      </w:r>
      <w:r w:rsidRPr="00F929F1">
        <w:t xml:space="preserve">n </w:t>
      </w:r>
      <w:bookmarkStart w:id="3" w:name="_Hlk191972589"/>
      <w:r w:rsidRPr="00F929F1">
        <w:t>the Amended LGIA</w:t>
      </w:r>
      <w:r>
        <w:t>, it</w:t>
      </w:r>
      <w:r w:rsidRPr="00F929F1">
        <w:t xml:space="preserve"> proposes to remove </w:t>
      </w:r>
      <w:r>
        <w:t>Article 11.5</w:t>
      </w:r>
      <w:r w:rsidRPr="00F929F1">
        <w:t xml:space="preserve"> from Appendix H’s list of excluded terms</w:t>
      </w:r>
      <w:bookmarkEnd w:id="3"/>
      <w:r w:rsidRPr="00F929F1">
        <w:t>.</w:t>
      </w:r>
      <w:r>
        <w:rPr>
          <w:rStyle w:val="FootnoteReference"/>
        </w:rPr>
        <w:footnoteReference w:id="19"/>
      </w:r>
    </w:p>
    <w:p w:rsidR="000D55F9" w:rsidP="00C94DE1">
      <w:pPr>
        <w:pStyle w:val="FERCparanumber"/>
      </w:pPr>
      <w:r>
        <w:t xml:space="preserve">Niagara Mohawk states that Sterling </w:t>
      </w:r>
      <w:r w:rsidR="00F94B29">
        <w:t>rejected</w:t>
      </w:r>
      <w:r w:rsidRPr="00DB14FB" w:rsidR="00DB14FB">
        <w:t xml:space="preserve"> Niagara Mohawk’s proposal to require the provision of security in accordance with Article 11.5.</w:t>
      </w:r>
      <w:r>
        <w:rPr>
          <w:rStyle w:val="FootnoteReference"/>
        </w:rPr>
        <w:footnoteReference w:id="20"/>
      </w:r>
      <w:r w:rsidR="00DB14FB">
        <w:t xml:space="preserve">  </w:t>
      </w:r>
      <w:r w:rsidR="00506C1B">
        <w:t xml:space="preserve">Niagara Mohawk states that </w:t>
      </w:r>
      <w:r w:rsidR="00343906">
        <w:t xml:space="preserve">the </w:t>
      </w:r>
      <w:r w:rsidR="00E30A34">
        <w:t xml:space="preserve">provisions </w:t>
      </w:r>
      <w:r w:rsidR="00343906">
        <w:t xml:space="preserve">of </w:t>
      </w:r>
      <w:r w:rsidRPr="002F4194" w:rsidR="002F4194">
        <w:t xml:space="preserve">Article 11.5 are required by both the Commission’s </w:t>
      </w:r>
      <w:r w:rsidRPr="002F4194" w:rsidR="002F4194">
        <w:rPr>
          <w:i/>
          <w:iCs/>
        </w:rPr>
        <w:t>pro forma</w:t>
      </w:r>
      <w:r w:rsidRPr="002F4194" w:rsidR="002F4194">
        <w:t xml:space="preserve"> LGIA and the terms of th</w:t>
      </w:r>
      <w:r w:rsidR="002F4194">
        <w:t>e</w:t>
      </w:r>
      <w:r w:rsidRPr="002F4194" w:rsidR="002F4194">
        <w:t xml:space="preserve"> </w:t>
      </w:r>
      <w:r w:rsidR="003F025A">
        <w:t xml:space="preserve">NYISO </w:t>
      </w:r>
      <w:r w:rsidR="003F025A">
        <w:rPr>
          <w:i/>
          <w:iCs/>
        </w:rPr>
        <w:t>pro forma</w:t>
      </w:r>
      <w:r w:rsidR="003F025A">
        <w:t xml:space="preserve"> </w:t>
      </w:r>
      <w:r w:rsidRPr="002F4194" w:rsidR="002F4194">
        <w:t>LGIA</w:t>
      </w:r>
      <w:r w:rsidR="000B7C65">
        <w:t>.</w:t>
      </w:r>
      <w:r w:rsidR="002F4194">
        <w:t xml:space="preserve">  </w:t>
      </w:r>
      <w:r w:rsidR="000B7C65">
        <w:t>T</w:t>
      </w:r>
      <w:r w:rsidR="00D45FDF">
        <w:t>herefore</w:t>
      </w:r>
      <w:r w:rsidR="000B7C65">
        <w:t xml:space="preserve">, Niagara </w:t>
      </w:r>
      <w:r w:rsidR="00B273F6">
        <w:t xml:space="preserve">Mohawk </w:t>
      </w:r>
      <w:r w:rsidR="000B7C65">
        <w:t>argues it is</w:t>
      </w:r>
      <w:r w:rsidR="00D45FDF">
        <w:t xml:space="preserve"> just and reasonable </w:t>
      </w:r>
      <w:r w:rsidR="00264F05">
        <w:t xml:space="preserve">to </w:t>
      </w:r>
      <w:r w:rsidR="006D4657">
        <w:t xml:space="preserve">require the provision of security </w:t>
      </w:r>
      <w:r w:rsidRPr="0096481E" w:rsidR="0096481E">
        <w:t xml:space="preserve">in an amount sufficient to cover the cost for </w:t>
      </w:r>
      <w:r w:rsidR="0096481E">
        <w:t>Sterling’s</w:t>
      </w:r>
      <w:r w:rsidRPr="0096481E" w:rsidR="0096481E">
        <w:t xml:space="preserve"> share of constructing, procuring</w:t>
      </w:r>
      <w:r w:rsidR="009931AF">
        <w:t>,</w:t>
      </w:r>
      <w:r w:rsidRPr="0096481E" w:rsidR="0096481E">
        <w:t xml:space="preserve"> and installing the applicable portion of Connecting Transmission Owner’s Attachment Facilities</w:t>
      </w:r>
      <w:r w:rsidR="00D77D1E">
        <w:t>, in part because th</w:t>
      </w:r>
      <w:r w:rsidR="008C2EB3">
        <w:t xml:space="preserve">ose facilities relevant to Sterling’s interconnection are sole use facilities and </w:t>
      </w:r>
      <w:r w:rsidR="00181B26">
        <w:t xml:space="preserve">are </w:t>
      </w:r>
      <w:r w:rsidR="008C2EB3">
        <w:t xml:space="preserve">operated and maintained to provide interconnection service to the </w:t>
      </w:r>
      <w:r w:rsidR="003F025A">
        <w:t xml:space="preserve">Sterling </w:t>
      </w:r>
      <w:r w:rsidR="008C2EB3">
        <w:t>Facility.</w:t>
      </w:r>
    </w:p>
    <w:p w:rsidR="0021648E" w:rsidRPr="0021648E" w:rsidP="0021648E">
      <w:pPr>
        <w:pStyle w:val="FERCparanumber"/>
      </w:pPr>
      <w:r>
        <w:t xml:space="preserve">Niagara Mohawk </w:t>
      </w:r>
      <w:r w:rsidR="00EE4125">
        <w:t xml:space="preserve">states that although it </w:t>
      </w:r>
      <w:r>
        <w:t xml:space="preserve">proposes to update </w:t>
      </w:r>
      <w:r w:rsidRPr="00725A65" w:rsidR="00725A65">
        <w:t>the Sterling LGIA to include all terms required in the current</w:t>
      </w:r>
      <w:r w:rsidR="00342726">
        <w:t>l</w:t>
      </w:r>
      <w:r w:rsidR="00C41D7F">
        <w:t>y</w:t>
      </w:r>
      <w:r w:rsidRPr="00725A65" w:rsidR="00725A65">
        <w:t xml:space="preserve"> effective version of the </w:t>
      </w:r>
      <w:r w:rsidR="000A2A2C">
        <w:t xml:space="preserve">NYISO </w:t>
      </w:r>
      <w:r w:rsidRPr="006140CD" w:rsidR="000A2A2C">
        <w:rPr>
          <w:i/>
          <w:iCs/>
        </w:rPr>
        <w:t>pro forma</w:t>
      </w:r>
      <w:r w:rsidR="000A2A2C">
        <w:t xml:space="preserve"> </w:t>
      </w:r>
      <w:r w:rsidRPr="00725A65" w:rsidR="00725A65">
        <w:t>LGIA</w:t>
      </w:r>
      <w:r w:rsidR="00F51DAA">
        <w:t xml:space="preserve">, </w:t>
      </w:r>
      <w:r w:rsidRPr="00AA7C12" w:rsidR="00502398">
        <w:t>some continue to be rendered inapplicable by Appendix H to the agreement</w:t>
      </w:r>
      <w:r w:rsidR="0017116B">
        <w:t>.</w:t>
      </w:r>
      <w:r>
        <w:rPr>
          <w:rStyle w:val="FootnoteReference"/>
        </w:rPr>
        <w:footnoteReference w:id="21"/>
      </w:r>
      <w:r w:rsidR="00931F45">
        <w:t xml:space="preserve">  </w:t>
      </w:r>
      <w:r w:rsidR="00AA7C12">
        <w:t xml:space="preserve"> </w:t>
      </w:r>
    </w:p>
    <w:p w:rsidR="004C3DEC" w:rsidRPr="004C3DEC" w:rsidP="004C3DEC">
      <w:pPr>
        <w:pStyle w:val="FERCparanumber"/>
      </w:pPr>
      <w:r>
        <w:t xml:space="preserve">Niagara Mohawk proposes </w:t>
      </w:r>
      <w:r w:rsidR="00F9513A">
        <w:t xml:space="preserve">revisions </w:t>
      </w:r>
      <w:r w:rsidR="00016318">
        <w:t>in the Amended LGIA</w:t>
      </w:r>
      <w:r w:rsidR="00F9513A">
        <w:t xml:space="preserve"> </w:t>
      </w:r>
      <w:r>
        <w:t xml:space="preserve">to </w:t>
      </w:r>
      <w:r w:rsidRPr="00537769" w:rsidR="00537769">
        <w:t>update its description of the Connecting Transmission Owner</w:t>
      </w:r>
      <w:r w:rsidR="00C03B7F">
        <w:t>’s</w:t>
      </w:r>
      <w:r w:rsidRPr="00537769" w:rsidR="00537769">
        <w:t xml:space="preserve"> Attachment Facilities contained in Appendix A as well as to describe the circumstances and specifications regarding those Attachment Facilities slated for replacement between June 2025 and May 2027.</w:t>
      </w:r>
      <w:r>
        <w:rPr>
          <w:rStyle w:val="FootnoteReference"/>
        </w:rPr>
        <w:footnoteReference w:id="22"/>
      </w:r>
      <w:r w:rsidR="00537769">
        <w:t xml:space="preserve">  </w:t>
      </w:r>
      <w:r w:rsidR="002A6E49">
        <w:rPr>
          <w:rStyle w:val="FootnoteReference"/>
        </w:rPr>
        <w:t xml:space="preserve"> </w:t>
      </w:r>
    </w:p>
    <w:p w:rsidR="00FE24C1" w:rsidRPr="00FE24C1" w:rsidP="00FE24C1">
      <w:pPr>
        <w:pStyle w:val="FERCparanumber"/>
      </w:pPr>
      <w:r>
        <w:t xml:space="preserve">Niagara Mohawk </w:t>
      </w:r>
      <w:r w:rsidRPr="00FE24C1">
        <w:t xml:space="preserve">proposes to add a description of the methodologies </w:t>
      </w:r>
      <w:r>
        <w:t>it</w:t>
      </w:r>
      <w:r w:rsidRPr="00FE24C1">
        <w:t xml:space="preserve"> uses to calculate the </w:t>
      </w:r>
      <w:r w:rsidR="00773C31">
        <w:t>O</w:t>
      </w:r>
      <w:r>
        <w:t>&amp;M</w:t>
      </w:r>
      <w:r w:rsidR="0094037C">
        <w:t xml:space="preserve"> expense</w:t>
      </w:r>
      <w:r w:rsidRPr="00FE24C1">
        <w:t xml:space="preserve"> charge it assesses to interconnection customers, in accordance with Article 10.5 of the Sterling LGIA</w:t>
      </w:r>
      <w:r w:rsidR="00703966">
        <w:t xml:space="preserve">, </w:t>
      </w:r>
      <w:r w:rsidR="000F5418">
        <w:t xml:space="preserve">and </w:t>
      </w:r>
      <w:r w:rsidRPr="003707A8" w:rsidR="000F5418">
        <w:t xml:space="preserve">to include information regarding the methodologies in Appendix A to the Amended LGIA </w:t>
      </w:r>
      <w:r w:rsidR="001D2A83">
        <w:t xml:space="preserve">in order </w:t>
      </w:r>
      <w:r w:rsidRPr="003707A8" w:rsidR="000F5418">
        <w:t xml:space="preserve">to provide Sterling greater transparency on how </w:t>
      </w:r>
      <w:r w:rsidR="000F5418">
        <w:t>it</w:t>
      </w:r>
      <w:r w:rsidRPr="003707A8" w:rsidR="000F5418">
        <w:t xml:space="preserve"> calculates O&amp;M </w:t>
      </w:r>
      <w:r w:rsidR="000F5418">
        <w:t>e</w:t>
      </w:r>
      <w:r w:rsidRPr="003707A8" w:rsidR="000F5418">
        <w:t>xpense</w:t>
      </w:r>
      <w:r w:rsidR="004F52EA">
        <w:t>s</w:t>
      </w:r>
      <w:r w:rsidRPr="00FE24C1">
        <w:t>.</w:t>
      </w:r>
      <w:r>
        <w:rPr>
          <w:rStyle w:val="FootnoteReference"/>
        </w:rPr>
        <w:footnoteReference w:id="23"/>
      </w:r>
      <w:r w:rsidR="00ED66B3">
        <w:t xml:space="preserve">  Niagara Mohawk </w:t>
      </w:r>
      <w:r w:rsidR="00DC20E9">
        <w:t xml:space="preserve">asserts that the </w:t>
      </w:r>
      <w:r w:rsidRPr="00DC20E9" w:rsidR="00DC20E9">
        <w:t>proposed revisions also acknowledge Sterling</w:t>
      </w:r>
      <w:r w:rsidR="00DC20E9">
        <w:t xml:space="preserve">’s </w:t>
      </w:r>
      <w:r w:rsidRPr="00DC20E9" w:rsidR="00DC20E9">
        <w:t xml:space="preserve">rights to elect between the two O&amp;M </w:t>
      </w:r>
      <w:r w:rsidR="00B0296E">
        <w:t>e</w:t>
      </w:r>
      <w:r w:rsidRPr="00DC20E9" w:rsidR="00DC20E9">
        <w:t>xpense charge methodologies</w:t>
      </w:r>
      <w:r w:rsidR="00E90694">
        <w:t>, i.e.</w:t>
      </w:r>
      <w:r w:rsidR="00E900AD">
        <w:t>,</w:t>
      </w:r>
      <w:r w:rsidR="00E90694">
        <w:t xml:space="preserve"> </w:t>
      </w:r>
      <w:r w:rsidR="003530A3">
        <w:t xml:space="preserve">quarterly reimbursement of </w:t>
      </w:r>
      <w:r w:rsidR="00E90694">
        <w:t xml:space="preserve">actual O&amp;M expenses incurred or </w:t>
      </w:r>
      <w:r w:rsidRPr="00B869A3" w:rsidR="00E90694">
        <w:t>a fixed</w:t>
      </w:r>
      <w:r w:rsidR="00E90694">
        <w:t>,</w:t>
      </w:r>
      <w:r w:rsidRPr="00B869A3" w:rsidR="00E90694">
        <w:t xml:space="preserve"> ongoing charge </w:t>
      </w:r>
      <w:r w:rsidR="00194999">
        <w:t>based on a</w:t>
      </w:r>
      <w:r w:rsidR="002F2280">
        <w:t>n allocation factor</w:t>
      </w:r>
      <w:r w:rsidRPr="003707A8" w:rsidR="003707A8">
        <w:t>.</w:t>
      </w:r>
      <w:r w:rsidR="00670B9B">
        <w:t xml:space="preserve">  Niagara Mohawk states that </w:t>
      </w:r>
      <w:r w:rsidRPr="00670B9B" w:rsidR="00670B9B">
        <w:t xml:space="preserve">O&amp;M Attachment 1 defines Niagara Mohawk’s O&amp;M </w:t>
      </w:r>
      <w:r w:rsidR="00B0296E">
        <w:t>e</w:t>
      </w:r>
      <w:r w:rsidRPr="00670B9B" w:rsidR="00670B9B">
        <w:t xml:space="preserve">xpense </w:t>
      </w:r>
      <w:r w:rsidR="005B2B76">
        <w:t>a</w:t>
      </w:r>
      <w:r w:rsidRPr="00670B9B" w:rsidR="00670B9B">
        <w:t xml:space="preserve">llocation </w:t>
      </w:r>
      <w:r w:rsidR="005B2B76">
        <w:t>f</w:t>
      </w:r>
      <w:r w:rsidRPr="00670B9B" w:rsidR="00670B9B">
        <w:t xml:space="preserve">actor and shows the fixed ongoing charge available to Sterling should it opt not to be billed O&amp;M </w:t>
      </w:r>
      <w:r w:rsidR="005B2B76">
        <w:t>e</w:t>
      </w:r>
      <w:r w:rsidRPr="00670B9B" w:rsidR="00670B9B">
        <w:t>xpense on an actual cost incurred basis.</w:t>
      </w:r>
    </w:p>
    <w:p w:rsidR="00781677" w:rsidP="00C94DE1">
      <w:pPr>
        <w:pStyle w:val="FERCparanumber"/>
      </w:pPr>
      <w:r>
        <w:t xml:space="preserve">Niagara Mohawk </w:t>
      </w:r>
      <w:r w:rsidRPr="00781677">
        <w:t>requests waiver of the Commission’s 60-day notice requirement</w:t>
      </w:r>
      <w:r>
        <w:rPr>
          <w:b/>
          <w:vertAlign w:val="superscript"/>
        </w:rPr>
        <w:footnoteReference w:id="24"/>
      </w:r>
      <w:r w:rsidRPr="00781677">
        <w:t xml:space="preserve"> to permit the </w:t>
      </w:r>
      <w:r>
        <w:t>Amended LGIA</w:t>
      </w:r>
      <w:r w:rsidRPr="00781677">
        <w:t xml:space="preserve"> to become effective on </w:t>
      </w:r>
      <w:r>
        <w:t>November</w:t>
      </w:r>
      <w:r w:rsidRPr="00781677">
        <w:t xml:space="preserve"> </w:t>
      </w:r>
      <w:r>
        <w:t>1</w:t>
      </w:r>
      <w:r w:rsidRPr="00781677">
        <w:t xml:space="preserve">, 2024.  </w:t>
      </w:r>
      <w:r w:rsidR="000801FE">
        <w:t>Niagara Mohawk states that it requests an effective date one day after the date of filing</w:t>
      </w:r>
      <w:r w:rsidR="005C3A15">
        <w:t xml:space="preserve"> and that good cause exists </w:t>
      </w:r>
      <w:r w:rsidR="001463B4">
        <w:t xml:space="preserve">for waiver of prior notice since </w:t>
      </w:r>
      <w:r w:rsidR="005E69CE">
        <w:t xml:space="preserve">Niagara Mohawk has </w:t>
      </w:r>
      <w:r w:rsidR="00F678F0">
        <w:t xml:space="preserve">already begun to incur </w:t>
      </w:r>
      <w:r w:rsidR="00C44B3E">
        <w:t xml:space="preserve">engineering and procurement costs </w:t>
      </w:r>
      <w:r w:rsidR="00E03B04">
        <w:t xml:space="preserve">associated with replacement of </w:t>
      </w:r>
      <w:r w:rsidR="00B96BA1">
        <w:t>the Connecting Transmission Owner</w:t>
      </w:r>
      <w:r w:rsidR="008C5772">
        <w:t>’s</w:t>
      </w:r>
      <w:r w:rsidR="00B96BA1">
        <w:t xml:space="preserve"> Attachment </w:t>
      </w:r>
      <w:r w:rsidR="00452B84">
        <w:t>Facilities.</w:t>
      </w:r>
      <w:r>
        <w:rPr>
          <w:rStyle w:val="FootnoteReference"/>
        </w:rPr>
        <w:footnoteReference w:id="25"/>
      </w:r>
    </w:p>
    <w:p w:rsidR="00C94DE1" w:rsidP="00CB5FD4">
      <w:pPr>
        <w:pStyle w:val="Heading1"/>
      </w:pPr>
      <w:r>
        <w:t>Notice and Responsive Pleadings</w:t>
      </w:r>
    </w:p>
    <w:p w:rsidR="00CB5FD4" w:rsidP="00CB5FD4">
      <w:pPr>
        <w:pStyle w:val="FERCparanumber"/>
      </w:pPr>
      <w:r w:rsidRPr="00AE01C1">
        <w:t xml:space="preserve">Notice of </w:t>
      </w:r>
      <w:r>
        <w:t>Niagara Mohawk</w:t>
      </w:r>
      <w:r w:rsidRPr="00AE01C1">
        <w:t xml:space="preserve">’s filing was published in the </w:t>
      </w:r>
      <w:r w:rsidRPr="0061769A">
        <w:rPr>
          <w:i/>
          <w:iCs/>
        </w:rPr>
        <w:t>Federal Register</w:t>
      </w:r>
      <w:r w:rsidRPr="00AE01C1">
        <w:t xml:space="preserve">, </w:t>
      </w:r>
      <w:r w:rsidR="0017599D">
        <w:t xml:space="preserve">         </w:t>
      </w:r>
      <w:r w:rsidRPr="00AE01C1">
        <w:t xml:space="preserve">89 Fed. Reg. </w:t>
      </w:r>
      <w:r w:rsidR="00F728F5">
        <w:t>88</w:t>
      </w:r>
      <w:r w:rsidR="009F43C2">
        <w:t>274</w:t>
      </w:r>
      <w:r w:rsidRPr="00AE01C1">
        <w:t xml:space="preserve"> (</w:t>
      </w:r>
      <w:r w:rsidR="009F43C2">
        <w:t>Nov</w:t>
      </w:r>
      <w:r w:rsidRPr="00AE01C1">
        <w:t xml:space="preserve">. </w:t>
      </w:r>
      <w:r w:rsidR="009F43C2">
        <w:t>7</w:t>
      </w:r>
      <w:r w:rsidRPr="00AE01C1">
        <w:t xml:space="preserve">, 2024), with interventions and protests due on or before </w:t>
      </w:r>
      <w:r w:rsidR="00DE2044">
        <w:t>November</w:t>
      </w:r>
      <w:r w:rsidRPr="00AE01C1">
        <w:t xml:space="preserve"> </w:t>
      </w:r>
      <w:r w:rsidR="00DE2044">
        <w:t>2</w:t>
      </w:r>
      <w:r w:rsidR="00B06900">
        <w:t>1</w:t>
      </w:r>
      <w:r w:rsidRPr="00AE01C1">
        <w:t xml:space="preserve">, 2024.  </w:t>
      </w:r>
      <w:r w:rsidR="005C5D21">
        <w:t>Sterling filed a</w:t>
      </w:r>
      <w:r w:rsidR="004F5376">
        <w:t xml:space="preserve"> t</w:t>
      </w:r>
      <w:r w:rsidRPr="004F5376" w:rsidR="004F5376">
        <w:t>imely motion to intervene</w:t>
      </w:r>
      <w:r w:rsidR="00773D40">
        <w:t xml:space="preserve"> </w:t>
      </w:r>
      <w:r w:rsidR="004B65E3">
        <w:t>and</w:t>
      </w:r>
      <w:r w:rsidR="002C619C">
        <w:t xml:space="preserve"> </w:t>
      </w:r>
      <w:r w:rsidR="000612D9">
        <w:t>a protest</w:t>
      </w:r>
      <w:r w:rsidR="00587BD7">
        <w:t xml:space="preserve"> (Sterling Protest)</w:t>
      </w:r>
      <w:r w:rsidR="001917F5">
        <w:t xml:space="preserve">.  </w:t>
      </w:r>
      <w:r w:rsidR="00703EF7">
        <w:t>On December 6,</w:t>
      </w:r>
      <w:r w:rsidR="00957F2A">
        <w:t xml:space="preserve"> 2024,</w:t>
      </w:r>
      <w:r w:rsidR="00703EF7">
        <w:t xml:space="preserve"> Niagara Mohawk filed an answer </w:t>
      </w:r>
      <w:r w:rsidR="003A0CD0">
        <w:t xml:space="preserve">to the Sterling Protest </w:t>
      </w:r>
      <w:r w:rsidR="00587BD7">
        <w:t>(Niagara Mohawk Answer)</w:t>
      </w:r>
      <w:r w:rsidR="00703EF7">
        <w:t>.</w:t>
      </w:r>
      <w:r w:rsidR="00E92FA3">
        <w:t xml:space="preserve">  On December 19, </w:t>
      </w:r>
      <w:r w:rsidR="00BA7A95">
        <w:t>2024</w:t>
      </w:r>
      <w:r w:rsidR="005016B6">
        <w:t>,</w:t>
      </w:r>
      <w:r w:rsidR="00BA7A95">
        <w:t xml:space="preserve"> </w:t>
      </w:r>
      <w:r w:rsidR="0014450B">
        <w:t>Sterling filed an</w:t>
      </w:r>
      <w:r w:rsidR="00EB70ED">
        <w:t xml:space="preserve"> answer</w:t>
      </w:r>
      <w:r w:rsidR="003A0CD0">
        <w:t xml:space="preserve"> to the Niagara Mohawk Answer</w:t>
      </w:r>
      <w:r w:rsidR="00587BD7">
        <w:t xml:space="preserve"> (Sterling Answer)</w:t>
      </w:r>
      <w:r w:rsidR="00A56DED">
        <w:t>.</w:t>
      </w:r>
    </w:p>
    <w:p w:rsidR="00037DDE" w:rsidP="00CB5FD4">
      <w:pPr>
        <w:pStyle w:val="FERCparanumber"/>
      </w:pPr>
      <w:r>
        <w:t>On December 20, 2024, Commission staff issued a letter informing Niagara Mohawk that its filing was deficient and requesting additional information (Deficiency Letter).  On January 2</w:t>
      </w:r>
      <w:r w:rsidR="006F020D">
        <w:t xml:space="preserve">9, </w:t>
      </w:r>
      <w:r w:rsidR="005C672D">
        <w:t xml:space="preserve">2025, </w:t>
      </w:r>
      <w:r w:rsidR="006F020D">
        <w:t>Niagara Mohawk filed a response to the Deficiency Letter in Docket No. ER</w:t>
      </w:r>
      <w:r w:rsidR="0086289D">
        <w:t>25-312-001</w:t>
      </w:r>
      <w:r w:rsidR="00F3429E">
        <w:t xml:space="preserve"> (Deficiency Response).  Notice of Niagara Mohawk’s Deficiency Response was published in the </w:t>
      </w:r>
      <w:r w:rsidR="00F3429E">
        <w:rPr>
          <w:i/>
          <w:iCs/>
        </w:rPr>
        <w:t>Federal Register</w:t>
      </w:r>
      <w:r w:rsidR="00F3429E">
        <w:t xml:space="preserve">, </w:t>
      </w:r>
      <w:r w:rsidR="00F34800">
        <w:t xml:space="preserve">90 Fed. Reg. </w:t>
      </w:r>
      <w:r w:rsidR="00DA1A89">
        <w:t>8931</w:t>
      </w:r>
      <w:r w:rsidR="00F34800">
        <w:t xml:space="preserve"> (</w:t>
      </w:r>
      <w:r w:rsidR="00DA1A89">
        <w:t>Feb</w:t>
      </w:r>
      <w:r w:rsidR="00F34800">
        <w:t xml:space="preserve">. </w:t>
      </w:r>
      <w:r w:rsidR="00DA1A89">
        <w:t>4</w:t>
      </w:r>
      <w:r w:rsidR="00F34800">
        <w:t xml:space="preserve">, 2025), with interventions and protests due </w:t>
      </w:r>
      <w:r w:rsidR="00A92001">
        <w:t xml:space="preserve">on or before February </w:t>
      </w:r>
      <w:r w:rsidR="00DA1A89">
        <w:t>19</w:t>
      </w:r>
      <w:r w:rsidR="00A92001">
        <w:t xml:space="preserve">, 2025.  </w:t>
      </w:r>
      <w:r w:rsidRPr="007A212E" w:rsidR="00A92001">
        <w:t>On February</w:t>
      </w:r>
      <w:r w:rsidR="00F77FDB">
        <w:t> </w:t>
      </w:r>
      <w:r w:rsidR="007A212E">
        <w:t>19</w:t>
      </w:r>
      <w:r w:rsidRPr="007A212E" w:rsidR="00A92001">
        <w:t>,</w:t>
      </w:r>
      <w:r w:rsidR="00A6520E">
        <w:t xml:space="preserve"> 2025</w:t>
      </w:r>
      <w:r w:rsidR="00BF157D">
        <w:t>,</w:t>
      </w:r>
      <w:r w:rsidRPr="007A212E" w:rsidR="00A92001">
        <w:t xml:space="preserve"> Sterling filed a protest</w:t>
      </w:r>
      <w:r w:rsidRPr="007A212E" w:rsidR="002B2B01">
        <w:t xml:space="preserve"> (</w:t>
      </w:r>
      <w:r w:rsidR="00010559">
        <w:t xml:space="preserve">Sterling </w:t>
      </w:r>
      <w:r w:rsidRPr="000C0CC1" w:rsidR="00BB40D1">
        <w:t>Protest to D</w:t>
      </w:r>
      <w:r w:rsidRPr="007A212E" w:rsidR="002B2B01">
        <w:t>eficiency Response</w:t>
      </w:r>
      <w:r w:rsidR="002B2B01">
        <w:t>)</w:t>
      </w:r>
      <w:r w:rsidR="00A92001">
        <w:t>.</w:t>
      </w:r>
    </w:p>
    <w:p w:rsidR="00CB2337" w:rsidP="00CB2337">
      <w:pPr>
        <w:pStyle w:val="Heading2"/>
      </w:pPr>
      <w:r>
        <w:t xml:space="preserve">Sterling </w:t>
      </w:r>
      <w:r>
        <w:t>Protest</w:t>
      </w:r>
    </w:p>
    <w:p w:rsidR="002676E3" w:rsidP="002676E3">
      <w:pPr>
        <w:pStyle w:val="FERCparanumber"/>
      </w:pPr>
      <w:r>
        <w:t>Sterling</w:t>
      </w:r>
      <w:r w:rsidR="006D1D3A">
        <w:t xml:space="preserve"> </w:t>
      </w:r>
      <w:r w:rsidR="00781973">
        <w:t>argues</w:t>
      </w:r>
      <w:r w:rsidR="006D1D3A">
        <w:t xml:space="preserve"> that </w:t>
      </w:r>
      <w:r w:rsidRPr="005249DA">
        <w:t>the Amended</w:t>
      </w:r>
      <w:r w:rsidR="006D1D3A">
        <w:t xml:space="preserve"> </w:t>
      </w:r>
      <w:r w:rsidRPr="005249DA">
        <w:t>LGIA contains terms and conditions that</w:t>
      </w:r>
      <w:r w:rsidR="00F423FF">
        <w:t xml:space="preserve"> </w:t>
      </w:r>
      <w:r w:rsidRPr="005249DA">
        <w:t>are not just and reasonable</w:t>
      </w:r>
      <w:r w:rsidR="00F423FF">
        <w:t xml:space="preserve"> and </w:t>
      </w:r>
      <w:r w:rsidRPr="005249DA">
        <w:t>would impose an improper allocation of cost</w:t>
      </w:r>
      <w:r w:rsidR="00764719">
        <w:t>s</w:t>
      </w:r>
      <w:r w:rsidR="00F423FF">
        <w:t xml:space="preserve"> </w:t>
      </w:r>
      <w:r w:rsidRPr="005249DA">
        <w:t xml:space="preserve">related to the interconnection of </w:t>
      </w:r>
      <w:r w:rsidR="00674CBA">
        <w:t xml:space="preserve">the </w:t>
      </w:r>
      <w:r w:rsidRPr="005249DA">
        <w:t xml:space="preserve">Sterling </w:t>
      </w:r>
      <w:r w:rsidR="006677EF">
        <w:t>Facility</w:t>
      </w:r>
      <w:r w:rsidRPr="005249DA">
        <w:t xml:space="preserve"> with </w:t>
      </w:r>
      <w:r w:rsidR="00903FB8">
        <w:t>Niagara Mohawk</w:t>
      </w:r>
      <w:r w:rsidRPr="005249DA">
        <w:t>’s transmission</w:t>
      </w:r>
      <w:r w:rsidR="00F423FF">
        <w:t xml:space="preserve"> </w:t>
      </w:r>
      <w:r w:rsidRPr="005249DA">
        <w:t>system.</w:t>
      </w:r>
      <w:r>
        <w:rPr>
          <w:rStyle w:val="FootnoteReference"/>
        </w:rPr>
        <w:footnoteReference w:id="26"/>
      </w:r>
      <w:r w:rsidR="007F0AD2">
        <w:t xml:space="preserve">  Sterling states that</w:t>
      </w:r>
      <w:r>
        <w:t xml:space="preserve"> the Parties previously agreed and memorialized in the Sterling LGIA Attachment H that “Transmission Owner and Developer are already interconnected, pursuant to a preexisting interconnection agreement.  Therefore, certain terms of the [NYISO </w:t>
      </w:r>
      <w:r w:rsidRPr="00A8076F">
        <w:rPr>
          <w:i/>
          <w:iCs/>
        </w:rPr>
        <w:t>pro</w:t>
      </w:r>
      <w:r>
        <w:rPr>
          <w:i/>
          <w:iCs/>
        </w:rPr>
        <w:t xml:space="preserve"> </w:t>
      </w:r>
      <w:r w:rsidRPr="00A8076F">
        <w:rPr>
          <w:i/>
          <w:iCs/>
        </w:rPr>
        <w:t>forma</w:t>
      </w:r>
      <w:r>
        <w:t xml:space="preserve"> LGIA] are not applicable to this [the Sterling] LGIA, because they relate solely to new interconnections.”</w:t>
      </w:r>
      <w:r>
        <w:rPr>
          <w:rStyle w:val="FootnoteReference"/>
        </w:rPr>
        <w:footnoteReference w:id="27"/>
      </w:r>
      <w:r>
        <w:t xml:space="preserve">  Sterling states that Appendix H to the Sterling LGIA includes a list of non-applicable </w:t>
      </w:r>
      <w:r w:rsidRPr="544527AC">
        <w:rPr>
          <w:i/>
          <w:iCs/>
        </w:rPr>
        <w:t>pro forma</w:t>
      </w:r>
      <w:r>
        <w:t xml:space="preserve"> provisions, including Article 11.5, and the Amended LGIA seeks to apply Article 11.5 to the Parties because Niagara Mohawk seeks to impose the costs associated with its election to redesign the interconnection facilities on Sterling and collect those costs upfront, including approximately a half million dollars for its overhead.   </w:t>
      </w:r>
    </w:p>
    <w:p w:rsidR="00FE1157" w:rsidP="00141296">
      <w:pPr>
        <w:pStyle w:val="FERCparanumber"/>
      </w:pPr>
      <w:r>
        <w:t>Sterling states that</w:t>
      </w:r>
      <w:r w:rsidR="00444CD9">
        <w:t xml:space="preserve">, as designed and constructed, </w:t>
      </w:r>
      <w:bookmarkStart w:id="4" w:name="_Hlk192610589"/>
      <w:r w:rsidR="00444CD9">
        <w:t xml:space="preserve">the </w:t>
      </w:r>
      <w:r w:rsidR="0002452E">
        <w:t xml:space="preserve">facilities </w:t>
      </w:r>
      <w:r w:rsidR="00273C7F">
        <w:t xml:space="preserve">that </w:t>
      </w:r>
      <w:r w:rsidR="00836F12">
        <w:t>interconnect</w:t>
      </w:r>
      <w:r w:rsidR="00273C7F">
        <w:t xml:space="preserve"> the Sterling Facility </w:t>
      </w:r>
      <w:r w:rsidR="00444CD9">
        <w:t xml:space="preserve">include a single </w:t>
      </w:r>
      <w:r w:rsidR="002C0DBF">
        <w:t xml:space="preserve">circuit </w:t>
      </w:r>
      <w:r w:rsidR="00444CD9">
        <w:t>breaker position in Niagara Mohawk’s 115</w:t>
      </w:r>
      <w:r w:rsidR="007A4005">
        <w:t>-</w:t>
      </w:r>
      <w:r w:rsidR="00444CD9">
        <w:t xml:space="preserve">kV Oneida </w:t>
      </w:r>
      <w:r w:rsidR="007A4005">
        <w:t>S</w:t>
      </w:r>
      <w:r w:rsidR="00444CD9">
        <w:t xml:space="preserve">ubstation and </w:t>
      </w:r>
      <w:r w:rsidR="00F96FB8">
        <w:t>a</w:t>
      </w:r>
      <w:r w:rsidR="00444CD9">
        <w:t xml:space="preserve"> 2.5-mile </w:t>
      </w:r>
      <w:r w:rsidR="001345CB">
        <w:t>tie</w:t>
      </w:r>
      <w:r w:rsidR="00444CD9">
        <w:t xml:space="preserve"> line to connect </w:t>
      </w:r>
      <w:r w:rsidR="0007084F">
        <w:t>the Sterling Facility</w:t>
      </w:r>
      <w:r w:rsidR="00444CD9">
        <w:t xml:space="preserve"> with </w:t>
      </w:r>
      <w:r w:rsidR="0007084F">
        <w:t>the</w:t>
      </w:r>
      <w:r w:rsidR="00444CD9">
        <w:t xml:space="preserve"> Oneida </w:t>
      </w:r>
      <w:r w:rsidR="007A4005">
        <w:t>S</w:t>
      </w:r>
      <w:r w:rsidR="00444CD9">
        <w:t>ubstation</w:t>
      </w:r>
      <w:bookmarkEnd w:id="4"/>
      <w:r w:rsidR="00444CD9">
        <w:t>.</w:t>
      </w:r>
      <w:r>
        <w:rPr>
          <w:rStyle w:val="FootnoteReference"/>
        </w:rPr>
        <w:footnoteReference w:id="28"/>
      </w:r>
      <w:r w:rsidR="00444CD9">
        <w:t xml:space="preserve">  Sterling </w:t>
      </w:r>
      <w:r w:rsidR="00470BA3">
        <w:t>argues</w:t>
      </w:r>
      <w:r>
        <w:t xml:space="preserve"> that</w:t>
      </w:r>
      <w:r w:rsidR="0007084F">
        <w:t>,</w:t>
      </w:r>
      <w:r>
        <w:t xml:space="preserve"> </w:t>
      </w:r>
      <w:r w:rsidR="00C15DF6">
        <w:t xml:space="preserve">for purposes unrelated to Sterling, </w:t>
      </w:r>
      <w:r w:rsidR="00903FB8">
        <w:t>Niagara Mohawk</w:t>
      </w:r>
      <w:r w:rsidRPr="007F0AD2" w:rsidR="00903FB8">
        <w:t xml:space="preserve"> </w:t>
      </w:r>
      <w:r w:rsidRPr="007F0AD2">
        <w:t xml:space="preserve">has </w:t>
      </w:r>
      <w:r w:rsidR="00801430">
        <w:t xml:space="preserve">now </w:t>
      </w:r>
      <w:r w:rsidRPr="007F0AD2">
        <w:t>elected to redesign the</w:t>
      </w:r>
      <w:r>
        <w:t xml:space="preserve"> </w:t>
      </w:r>
      <w:r w:rsidR="00836F12">
        <w:t xml:space="preserve">facilities that </w:t>
      </w:r>
      <w:r w:rsidRPr="007F0AD2">
        <w:t xml:space="preserve">interconnect the </w:t>
      </w:r>
      <w:r w:rsidR="00A9062B">
        <w:t xml:space="preserve">Sterling </w:t>
      </w:r>
      <w:r w:rsidR="00204628">
        <w:t>Facility</w:t>
      </w:r>
      <w:r w:rsidRPr="007F0AD2">
        <w:t xml:space="preserve"> from the single </w:t>
      </w:r>
      <w:r w:rsidR="002C0DBF">
        <w:t xml:space="preserve">circuit </w:t>
      </w:r>
      <w:r w:rsidRPr="007F0AD2">
        <w:t>breaker design previously agreed upon</w:t>
      </w:r>
      <w:r>
        <w:t xml:space="preserve"> </w:t>
      </w:r>
      <w:r w:rsidRPr="007F0AD2">
        <w:t>to a breaker-and-a-half configuration</w:t>
      </w:r>
      <w:r w:rsidR="00613DCF">
        <w:t>,</w:t>
      </w:r>
      <w:r w:rsidR="007767E1">
        <w:t xml:space="preserve"> at Sterling’s expense</w:t>
      </w:r>
      <w:r w:rsidR="0022042D">
        <w:t>.</w:t>
      </w:r>
      <w:r w:rsidR="00C4506E">
        <w:t xml:space="preserve">  </w:t>
      </w:r>
      <w:r w:rsidR="00BF6AA1">
        <w:t xml:space="preserve">Sterling </w:t>
      </w:r>
      <w:r w:rsidR="009F1AF1">
        <w:t>argues</w:t>
      </w:r>
      <w:r w:rsidR="00BF6AA1">
        <w:t xml:space="preserve"> that </w:t>
      </w:r>
      <w:r w:rsidR="00C76F25">
        <w:t>Niagara Mohawk</w:t>
      </w:r>
      <w:r w:rsidR="00BF6AA1">
        <w:t xml:space="preserve"> is introducing </w:t>
      </w:r>
      <w:r w:rsidR="009F1AF1">
        <w:t>a</w:t>
      </w:r>
      <w:r w:rsidR="00BF6AA1">
        <w:t xml:space="preserve"> new breaker-and-a-half configuration to benefit </w:t>
      </w:r>
      <w:r w:rsidR="00C76F25">
        <w:t>Niagara Mohawk’s</w:t>
      </w:r>
      <w:r w:rsidR="00BF6AA1">
        <w:t xml:space="preserve"> other customers and to improve reliability and operational flexibility.</w:t>
      </w:r>
      <w:r>
        <w:rPr>
          <w:rStyle w:val="FootnoteReference"/>
        </w:rPr>
        <w:footnoteReference w:id="29"/>
      </w:r>
      <w:r w:rsidR="00BF6AA1">
        <w:t xml:space="preserve"> </w:t>
      </w:r>
      <w:r w:rsidR="00E6517C">
        <w:t xml:space="preserve"> </w:t>
      </w:r>
      <w:r w:rsidR="00BF6AA1">
        <w:t xml:space="preserve">Sterling </w:t>
      </w:r>
      <w:r w:rsidR="0087023C">
        <w:t xml:space="preserve">states that it </w:t>
      </w:r>
      <w:r w:rsidR="00BF6AA1">
        <w:t xml:space="preserve">has objected to </w:t>
      </w:r>
      <w:r w:rsidR="0087023C">
        <w:t>Niagara Mohawk’s</w:t>
      </w:r>
      <w:r w:rsidR="00BF6AA1">
        <w:t xml:space="preserve"> imposition of a redesign as unnecessary and </w:t>
      </w:r>
      <w:r w:rsidR="0087023C">
        <w:t xml:space="preserve">has </w:t>
      </w:r>
      <w:r w:rsidR="00BF6AA1">
        <w:t xml:space="preserve">pointed out that </w:t>
      </w:r>
      <w:r w:rsidR="00F6138F">
        <w:t>the</w:t>
      </w:r>
      <w:r w:rsidR="00BF6AA1">
        <w:t xml:space="preserve"> existing breaker meets all relevant industry standards and </w:t>
      </w:r>
      <w:r w:rsidR="00D35E40">
        <w:t xml:space="preserve">that </w:t>
      </w:r>
      <w:r w:rsidR="00BF6AA1">
        <w:t>the existing configuration is, as agreed to by</w:t>
      </w:r>
      <w:r w:rsidR="000659D6">
        <w:t xml:space="preserve"> </w:t>
      </w:r>
      <w:r w:rsidR="00BF6AA1">
        <w:t xml:space="preserve">the </w:t>
      </w:r>
      <w:r w:rsidR="00534B8C">
        <w:t>P</w:t>
      </w:r>
      <w:r w:rsidR="00BF6AA1">
        <w:t xml:space="preserve">arties in the </w:t>
      </w:r>
      <w:r w:rsidR="000659D6">
        <w:t xml:space="preserve">Sterling </w:t>
      </w:r>
      <w:r w:rsidR="00BF6AA1">
        <w:t>LGIA, in accordance with Good Utility Practice.</w:t>
      </w:r>
    </w:p>
    <w:p w:rsidR="00505450" w:rsidP="007F1717">
      <w:pPr>
        <w:pStyle w:val="FERCparanumber"/>
      </w:pPr>
      <w:r>
        <w:t>Sterling states that</w:t>
      </w:r>
      <w:r w:rsidR="0082543C">
        <w:t>,</w:t>
      </w:r>
      <w:r>
        <w:t xml:space="preserve"> under the terms of the </w:t>
      </w:r>
      <w:r w:rsidR="00601D9D">
        <w:t>NYISO</w:t>
      </w:r>
      <w:r>
        <w:t xml:space="preserve"> </w:t>
      </w:r>
      <w:r w:rsidRPr="00E34BCA">
        <w:rPr>
          <w:i/>
          <w:iCs/>
        </w:rPr>
        <w:t>pro forma</w:t>
      </w:r>
      <w:r>
        <w:t xml:space="preserve"> LGIA, the Developer proposes the System Protection Facilities </w:t>
      </w:r>
      <w:r w:rsidR="00135D28">
        <w:t>as part of its proposed interconnection desi</w:t>
      </w:r>
      <w:r w:rsidR="00C60563">
        <w:t xml:space="preserve">gn </w:t>
      </w:r>
      <w:r>
        <w:t xml:space="preserve">of the </w:t>
      </w:r>
      <w:bookmarkStart w:id="5" w:name="_Hlk184215320"/>
      <w:r>
        <w:t>Developer’s Attachment Facilities</w:t>
      </w:r>
      <w:bookmarkEnd w:id="5"/>
      <w:r w:rsidR="00385538">
        <w:t>.</w:t>
      </w:r>
      <w:r>
        <w:rPr>
          <w:rStyle w:val="FootnoteReference"/>
        </w:rPr>
        <w:footnoteReference w:id="30"/>
      </w:r>
      <w:r w:rsidR="00E94403">
        <w:t xml:space="preserve">  Sterling </w:t>
      </w:r>
      <w:r w:rsidR="00FD2995">
        <w:t xml:space="preserve">states </w:t>
      </w:r>
      <w:r w:rsidR="00D17E52">
        <w:t xml:space="preserve">that </w:t>
      </w:r>
      <w:r w:rsidR="00FD2995">
        <w:t>t</w:t>
      </w:r>
      <w:r w:rsidRPr="00D17E52" w:rsidR="00D17E52">
        <w:t xml:space="preserve">he </w:t>
      </w:r>
      <w:r w:rsidR="00465C8B">
        <w:t>T</w:t>
      </w:r>
      <w:r w:rsidRPr="00D17E52" w:rsidR="00D17E52">
        <w:t xml:space="preserve">ransmission </w:t>
      </w:r>
      <w:r w:rsidR="00465C8B">
        <w:t>O</w:t>
      </w:r>
      <w:r w:rsidRPr="00D17E52" w:rsidR="00D17E52">
        <w:t>wner and NYISO then review those specifications</w:t>
      </w:r>
      <w:r w:rsidR="0005213F">
        <w:t>,</w:t>
      </w:r>
      <w:r w:rsidRPr="00D17E52" w:rsidR="00D17E52">
        <w:t xml:space="preserve"> and the</w:t>
      </w:r>
      <w:r w:rsidR="00465C8B">
        <w:t xml:space="preserve"> </w:t>
      </w:r>
      <w:r w:rsidRPr="00D17E52" w:rsidR="00D17E52">
        <w:t>Developer is obligated to make those changes to the specifications “as may reasonably be required</w:t>
      </w:r>
      <w:r w:rsidR="00465C8B">
        <w:t xml:space="preserve"> </w:t>
      </w:r>
      <w:r w:rsidRPr="00D17E52" w:rsidR="00D17E52">
        <w:t>by the Transmission Owner or NYISO, in accordance with Good Utility Practice, to ensure that</w:t>
      </w:r>
      <w:r w:rsidR="00D87D19">
        <w:t xml:space="preserve"> </w:t>
      </w:r>
      <w:r w:rsidRPr="00D17E52" w:rsidR="00D17E52">
        <w:t>the</w:t>
      </w:r>
      <w:r w:rsidRPr="00BF3ED7" w:rsidR="00BF3ED7">
        <w:t xml:space="preserve"> </w:t>
      </w:r>
      <w:r w:rsidR="00D3739F">
        <w:t>[</w:t>
      </w:r>
      <w:r w:rsidR="00BF3ED7">
        <w:t>Developer’s Attachment Facilitie</w:t>
      </w:r>
      <w:r w:rsidR="00E069F3">
        <w:t>s]</w:t>
      </w:r>
      <w:r w:rsidRPr="00D17E52" w:rsidR="00D17E52">
        <w:t xml:space="preserve"> are compatible with the technical specifications, operational, and safety requirements of</w:t>
      </w:r>
      <w:r w:rsidR="00A97B03">
        <w:t xml:space="preserve"> </w:t>
      </w:r>
      <w:r w:rsidRPr="00D17E52" w:rsidR="00D17E52">
        <w:t>the Transmission Owner and NYISO</w:t>
      </w:r>
      <w:r w:rsidR="00660560">
        <w:t>.”</w:t>
      </w:r>
      <w:r>
        <w:rPr>
          <w:rStyle w:val="FootnoteReference"/>
        </w:rPr>
        <w:footnoteReference w:id="31"/>
      </w:r>
      <w:r w:rsidR="007F1717">
        <w:t xml:space="preserve">  </w:t>
      </w:r>
    </w:p>
    <w:p w:rsidR="00CD48B5" w:rsidRPr="00F22636" w:rsidP="00CD48B5">
      <w:pPr>
        <w:pStyle w:val="FERCparanumber"/>
      </w:pPr>
      <w:r w:rsidRPr="00F22636">
        <w:t>Sterling</w:t>
      </w:r>
      <w:r>
        <w:t xml:space="preserve"> argues </w:t>
      </w:r>
      <w:r w:rsidR="00725AF7">
        <w:t>that</w:t>
      </w:r>
      <w:r>
        <w:t xml:space="preserve"> the Sterling LGIA, Appendix H provides that </w:t>
      </w:r>
      <w:r w:rsidRPr="00F22636">
        <w:t>provisions pertaining to the design proposal, acceptance, and</w:t>
      </w:r>
      <w:r>
        <w:t xml:space="preserve"> </w:t>
      </w:r>
      <w:r w:rsidRPr="00F22636">
        <w:t>construction of the System Protection Facilities were no longer applicable because</w:t>
      </w:r>
      <w:r>
        <w:t xml:space="preserve"> the Sterling</w:t>
      </w:r>
      <w:r w:rsidRPr="00F22636">
        <w:t xml:space="preserve"> LGIA expressly excludes the </w:t>
      </w:r>
      <w:r w:rsidRPr="00F05133">
        <w:rPr>
          <w:i/>
        </w:rPr>
        <w:t>pro</w:t>
      </w:r>
      <w:r w:rsidR="00D3382A">
        <w:rPr>
          <w:i/>
          <w:iCs/>
        </w:rPr>
        <w:t xml:space="preserve"> </w:t>
      </w:r>
      <w:r w:rsidRPr="00F05133">
        <w:rPr>
          <w:i/>
        </w:rPr>
        <w:t>forma</w:t>
      </w:r>
      <w:r w:rsidRPr="00F22636">
        <w:t xml:space="preserve"> provisions related “solely to new</w:t>
      </w:r>
      <w:r>
        <w:t xml:space="preserve"> </w:t>
      </w:r>
      <w:r w:rsidRPr="00F22636">
        <w:t>interconnection,” including “5.10 (Developer Attachment Facilities), including all subsections</w:t>
      </w:r>
      <w:r>
        <w:t xml:space="preserve"> </w:t>
      </w:r>
      <w:r w:rsidRPr="00F22636">
        <w:t>thereof,” and “5.11 (Transmission Owner Attachment Facilities), including all subsections thereof</w:t>
      </w:r>
      <w:r>
        <w:t>.</w:t>
      </w:r>
      <w:r w:rsidRPr="00F22636">
        <w:t>”</w:t>
      </w:r>
    </w:p>
    <w:p w:rsidR="00FA0810" w:rsidP="004F0584">
      <w:pPr>
        <w:pStyle w:val="FERCparanumber"/>
      </w:pPr>
      <w:r>
        <w:t>Sterling contends that n</w:t>
      </w:r>
      <w:r w:rsidRPr="005C66E6">
        <w:t xml:space="preserve">othing in the </w:t>
      </w:r>
      <w:r w:rsidR="00A909D3">
        <w:t xml:space="preserve">Sterling </w:t>
      </w:r>
      <w:r w:rsidRPr="005C66E6">
        <w:t>LGIA provides that the Transmission Owner may, at its sole discretion,</w:t>
      </w:r>
      <w:r w:rsidR="00872849">
        <w:t xml:space="preserve"> </w:t>
      </w:r>
      <w:r w:rsidRPr="005C66E6">
        <w:t xml:space="preserve">obligate the Developer to subsequently reconstruct the </w:t>
      </w:r>
      <w:r w:rsidRPr="00A656B4">
        <w:t>System Protection Facilities</w:t>
      </w:r>
      <w:r w:rsidRPr="005C66E6">
        <w:t xml:space="preserve"> based on the</w:t>
      </w:r>
      <w:r w:rsidR="00872849">
        <w:t xml:space="preserve"> </w:t>
      </w:r>
      <w:r w:rsidRPr="005C66E6">
        <w:t>Transmission Owner simply electing to impose a different design</w:t>
      </w:r>
      <w:r w:rsidR="00E92C54">
        <w:t>.</w:t>
      </w:r>
      <w:r>
        <w:rPr>
          <w:rStyle w:val="FootnoteReference"/>
        </w:rPr>
        <w:footnoteReference w:id="32"/>
      </w:r>
      <w:r w:rsidR="00E92C54">
        <w:t xml:space="preserve">  </w:t>
      </w:r>
      <w:r w:rsidR="005C580D">
        <w:t>Sterling</w:t>
      </w:r>
      <w:r w:rsidR="00E36E1D">
        <w:t xml:space="preserve"> argues that</w:t>
      </w:r>
      <w:r w:rsidR="00986C8C">
        <w:t xml:space="preserve"> i</w:t>
      </w:r>
      <w:r w:rsidR="00E36E1D">
        <w:t>nterconnection costs are a substantial and significant cost of the Developer’s investment in its electrical generating facility, and once Sterling paid for the System Protection Facilities along with the other costs of</w:t>
      </w:r>
      <w:r w:rsidR="00DB14F3">
        <w:t xml:space="preserve"> </w:t>
      </w:r>
      <w:r w:rsidR="00E36E1D">
        <w:t xml:space="preserve">interconnection, it acquired its delivery rights for the facility to the transmission system. </w:t>
      </w:r>
      <w:r w:rsidR="00A2535C">
        <w:t>Sterling contends that t</w:t>
      </w:r>
      <w:r w:rsidR="00E36E1D">
        <w:t>he existing System Protection Facilities operate as designed</w:t>
      </w:r>
      <w:r w:rsidR="00711E46">
        <w:t>,</w:t>
      </w:r>
      <w:r w:rsidR="00E36E1D">
        <w:t xml:space="preserve"> </w:t>
      </w:r>
      <w:r w:rsidR="00711E46">
        <w:t xml:space="preserve">the </w:t>
      </w:r>
      <w:r w:rsidR="00E36E1D">
        <w:t>breaker and communications systems are in good operating condition and well-maintained</w:t>
      </w:r>
      <w:r w:rsidR="00A2535C">
        <w:t>, and Niagara Mohawk</w:t>
      </w:r>
      <w:r w:rsidR="00E36E1D">
        <w:t xml:space="preserve"> has not identified any deficiency in Sterling’s system</w:t>
      </w:r>
      <w:r w:rsidR="00ED3998">
        <w:t>.</w:t>
      </w:r>
      <w:r w:rsidR="00821E63">
        <w:t xml:space="preserve">  Sterling states that Niagara Mohawk has identified the Oneida </w:t>
      </w:r>
      <w:r w:rsidR="00B806FF">
        <w:t>S</w:t>
      </w:r>
      <w:r w:rsidR="00821E63">
        <w:t>ubstation to replace certain of its transformers as a part of a system</w:t>
      </w:r>
      <w:r w:rsidR="00C32FC4">
        <w:t>-</w:t>
      </w:r>
      <w:r w:rsidR="00821E63">
        <w:t>wide plan</w:t>
      </w:r>
      <w:r w:rsidR="00A864C3">
        <w:t>;</w:t>
      </w:r>
      <w:r w:rsidR="00821E63">
        <w:t xml:space="preserve"> however, the replacement of </w:t>
      </w:r>
      <w:r w:rsidR="001C036A">
        <w:t>such</w:t>
      </w:r>
      <w:r w:rsidR="00821E63">
        <w:t xml:space="preserve"> transformers does not require a modification of</w:t>
      </w:r>
      <w:r w:rsidR="00C540D9">
        <w:t xml:space="preserve"> </w:t>
      </w:r>
      <w:r w:rsidR="00821E63">
        <w:t>Sterling’s System Protection Facilities.</w:t>
      </w:r>
      <w:r>
        <w:rPr>
          <w:rStyle w:val="FootnoteReference"/>
        </w:rPr>
        <w:footnoteReference w:id="33"/>
      </w:r>
    </w:p>
    <w:p w:rsidR="00273B3F" w:rsidRPr="004E7703" w:rsidP="00986C8C">
      <w:pPr>
        <w:pStyle w:val="FERCparanumber"/>
      </w:pPr>
      <w:r>
        <w:t xml:space="preserve">Sterling </w:t>
      </w:r>
      <w:r w:rsidR="00C87303">
        <w:t>also</w:t>
      </w:r>
      <w:r>
        <w:t xml:space="preserve"> asserts that Niagara Moha</w:t>
      </w:r>
      <w:r w:rsidR="008D5B2C">
        <w:t>wk’s reliance on</w:t>
      </w:r>
      <w:r w:rsidR="00D33913">
        <w:t xml:space="preserve"> </w:t>
      </w:r>
      <w:r w:rsidR="00CB750C">
        <w:t xml:space="preserve">Sterling </w:t>
      </w:r>
      <w:r w:rsidR="00D33913">
        <w:t xml:space="preserve">LGIA </w:t>
      </w:r>
      <w:r w:rsidR="00CB532A">
        <w:t>A</w:t>
      </w:r>
      <w:r w:rsidR="00CB750C">
        <w:t xml:space="preserve">rticle </w:t>
      </w:r>
      <w:r w:rsidR="00D33913">
        <w:t>11.2 is misplaced.</w:t>
      </w:r>
      <w:r>
        <w:rPr>
          <w:rStyle w:val="FootnoteReference"/>
        </w:rPr>
        <w:footnoteReference w:id="34"/>
      </w:r>
      <w:r w:rsidR="00D33913">
        <w:t xml:space="preserve"> </w:t>
      </w:r>
      <w:r w:rsidR="00CB750C">
        <w:t xml:space="preserve"> </w:t>
      </w:r>
      <w:r w:rsidR="00614223">
        <w:t>Sterling contends that</w:t>
      </w:r>
      <w:r w:rsidR="00D33913">
        <w:t xml:space="preserve"> the operative obligations are to design, procure</w:t>
      </w:r>
      <w:r w:rsidR="00BC2419">
        <w:t>,</w:t>
      </w:r>
      <w:r w:rsidR="00D33913">
        <w:t xml:space="preserve"> construct, install, own</w:t>
      </w:r>
      <w:r w:rsidR="00602B0B">
        <w:t>,</w:t>
      </w:r>
      <w:r w:rsidR="00D33913">
        <w:t xml:space="preserve"> and/or operate</w:t>
      </w:r>
      <w:r w:rsidR="00692BB9">
        <w:t>—</w:t>
      </w:r>
      <w:r w:rsidR="00D33913">
        <w:t>not modify</w:t>
      </w:r>
      <w:r w:rsidR="00B067ED">
        <w:t xml:space="preserve"> and replace</w:t>
      </w:r>
      <w:r w:rsidR="00692BB9">
        <w:t>—</w:t>
      </w:r>
      <w:r w:rsidR="00A32C4D">
        <w:t xml:space="preserve">at the </w:t>
      </w:r>
      <w:r w:rsidR="001503C2">
        <w:t>Transmission Owner</w:t>
      </w:r>
      <w:r w:rsidR="00CB750C">
        <w:t>’</w:t>
      </w:r>
      <w:r w:rsidR="001503C2">
        <w:t xml:space="preserve">s subsequent election.  </w:t>
      </w:r>
      <w:r w:rsidR="004A37C0">
        <w:t>With regard to</w:t>
      </w:r>
      <w:r w:rsidR="001C3837">
        <w:t xml:space="preserve"> </w:t>
      </w:r>
      <w:r w:rsidR="00CB750C">
        <w:t xml:space="preserve">Sterling </w:t>
      </w:r>
      <w:r w:rsidR="00F53D5A">
        <w:t xml:space="preserve">LGIA </w:t>
      </w:r>
      <w:r w:rsidR="00CB532A">
        <w:t>A</w:t>
      </w:r>
      <w:r w:rsidR="00CB750C">
        <w:t xml:space="preserve">rticle </w:t>
      </w:r>
      <w:r w:rsidR="008F3858">
        <w:t>10</w:t>
      </w:r>
      <w:r w:rsidR="00DB512E">
        <w:t>.5</w:t>
      </w:r>
      <w:r w:rsidR="00301707">
        <w:t xml:space="preserve">, </w:t>
      </w:r>
      <w:r w:rsidR="00E85480">
        <w:t>Sterling argues</w:t>
      </w:r>
      <w:r w:rsidR="004A37C0">
        <w:t xml:space="preserve"> that</w:t>
      </w:r>
      <w:r w:rsidR="00301707">
        <w:t xml:space="preserve"> N</w:t>
      </w:r>
      <w:r w:rsidR="00F03C98">
        <w:t>iagara Mohawk</w:t>
      </w:r>
      <w:r w:rsidR="00301707">
        <w:t xml:space="preserve"> is not seeking maintenance of the existing System Protection Facilities, nor even their replacement, but </w:t>
      </w:r>
      <w:r w:rsidRPr="00C73897" w:rsidR="00301707">
        <w:t>a</w:t>
      </w:r>
      <w:r w:rsidRPr="00C73897" w:rsidR="00FA3D0E">
        <w:t xml:space="preserve"> modification due to an entirely different design</w:t>
      </w:r>
      <w:r w:rsidR="00FA3D0E">
        <w:t>.</w:t>
      </w:r>
      <w:r w:rsidR="00D94F22">
        <w:t xml:space="preserve">  Sterling also contends that </w:t>
      </w:r>
      <w:r w:rsidR="00CB532A">
        <w:t>A</w:t>
      </w:r>
      <w:r w:rsidR="00E85480">
        <w:t xml:space="preserve">rticle </w:t>
      </w:r>
      <w:r w:rsidR="00E270D8">
        <w:t>10</w:t>
      </w:r>
      <w:r w:rsidR="004A75D8">
        <w:t xml:space="preserve">.5 </w:t>
      </w:r>
      <w:r w:rsidR="00D94F22">
        <w:t>addresses maintenance costs and makes it clear that the maintenance costs associated with those modifications required for third</w:t>
      </w:r>
      <w:r w:rsidR="00E85480">
        <w:t>-</w:t>
      </w:r>
      <w:r w:rsidR="00D94F22">
        <w:t>party interconnection do not then accrue to the existing interconnection customer</w:t>
      </w:r>
      <w:r w:rsidR="0027791E">
        <w:t>.</w:t>
      </w:r>
      <w:r w:rsidR="00D94F22">
        <w:t xml:space="preserve"> </w:t>
      </w:r>
      <w:r w:rsidR="0027791E">
        <w:t xml:space="preserve"> T</w:t>
      </w:r>
      <w:r w:rsidR="00D94F22">
        <w:t xml:space="preserve">hus, </w:t>
      </w:r>
      <w:r w:rsidR="00E85480">
        <w:t xml:space="preserve">Sterling </w:t>
      </w:r>
      <w:r w:rsidR="00457088">
        <w:t xml:space="preserve">argues that </w:t>
      </w:r>
      <w:r w:rsidR="00CB532A">
        <w:t>A</w:t>
      </w:r>
      <w:r w:rsidR="00E85480">
        <w:t xml:space="preserve">rticle </w:t>
      </w:r>
      <w:r w:rsidR="00D94F22">
        <w:t xml:space="preserve">10.5 does not apply, other </w:t>
      </w:r>
      <w:r w:rsidR="00E85480">
        <w:t xml:space="preserve">than </w:t>
      </w:r>
      <w:r w:rsidR="00D94F22">
        <w:t xml:space="preserve">to confirm that maintenance costs associated with </w:t>
      </w:r>
      <w:r w:rsidR="00A822C5">
        <w:t>the proposed</w:t>
      </w:r>
      <w:r w:rsidR="00462BF6">
        <w:t xml:space="preserve"> </w:t>
      </w:r>
      <w:r w:rsidR="00D94F22">
        <w:t xml:space="preserve">modifications </w:t>
      </w:r>
      <w:r w:rsidR="00A822C5">
        <w:t xml:space="preserve">should </w:t>
      </w:r>
      <w:r w:rsidR="00D94F22">
        <w:t xml:space="preserve">reside with </w:t>
      </w:r>
      <w:r w:rsidR="00462BF6">
        <w:t>Niagara Mohawk</w:t>
      </w:r>
      <w:r w:rsidR="00D94F22">
        <w:t xml:space="preserve"> and not Sterling.</w:t>
      </w:r>
      <w:r>
        <w:rPr>
          <w:rStyle w:val="FootnoteReference"/>
        </w:rPr>
        <w:footnoteReference w:id="35"/>
      </w:r>
      <w:r w:rsidR="00F03C98">
        <w:t xml:space="preserve">  </w:t>
      </w:r>
      <w:r w:rsidR="00E55F5C">
        <w:t xml:space="preserve">Sterling contends that </w:t>
      </w:r>
      <w:r w:rsidR="00462BF6">
        <w:t xml:space="preserve">Sterling </w:t>
      </w:r>
      <w:r w:rsidR="00E55F5C">
        <w:t xml:space="preserve">LGIA </w:t>
      </w:r>
      <w:r w:rsidR="00CB532A">
        <w:t>A</w:t>
      </w:r>
      <w:r w:rsidR="00462BF6">
        <w:t xml:space="preserve">rticle </w:t>
      </w:r>
      <w:r w:rsidR="00E55F5C">
        <w:t>5 addresses modifications</w:t>
      </w:r>
      <w:r w:rsidR="00462BF6">
        <w:t>,</w:t>
      </w:r>
      <w:r w:rsidR="00E55F5C">
        <w:t xml:space="preserve"> and the costs under </w:t>
      </w:r>
      <w:r w:rsidR="00462BF6">
        <w:t xml:space="preserve">such </w:t>
      </w:r>
      <w:r w:rsidR="00E55F5C">
        <w:t>circumstances are to be borne by Niagara Mohawk</w:t>
      </w:r>
      <w:r w:rsidR="0035271B">
        <w:t>.</w:t>
      </w:r>
      <w:r>
        <w:rPr>
          <w:rStyle w:val="FootnoteReference"/>
        </w:rPr>
        <w:footnoteReference w:id="36"/>
      </w:r>
      <w:r w:rsidR="001545E7">
        <w:t xml:space="preserve">  </w:t>
      </w:r>
      <w:r w:rsidRPr="004E7703" w:rsidR="001545E7">
        <w:t>Sterling</w:t>
      </w:r>
      <w:r w:rsidRPr="004E7703" w:rsidR="00986C8C">
        <w:t xml:space="preserve"> states that its </w:t>
      </w:r>
      <w:r w:rsidRPr="004E7703" w:rsidR="001545E7">
        <w:t xml:space="preserve">obligation to pay for modifications or replacements </w:t>
      </w:r>
      <w:r w:rsidRPr="004E7703" w:rsidR="00C84DC5">
        <w:t>extends</w:t>
      </w:r>
      <w:r w:rsidRPr="004E7703" w:rsidR="000039D9">
        <w:t xml:space="preserve"> only to</w:t>
      </w:r>
      <w:r w:rsidRPr="004E7703" w:rsidR="001545E7">
        <w:t xml:space="preserve"> modification</w:t>
      </w:r>
      <w:r w:rsidR="00217B48">
        <w:t>s</w:t>
      </w:r>
      <w:r w:rsidRPr="004E7703" w:rsidR="001545E7">
        <w:t xml:space="preserve"> or replacements tha</w:t>
      </w:r>
      <w:r w:rsidRPr="004E7703" w:rsidR="000039D9">
        <w:t>t</w:t>
      </w:r>
      <w:r w:rsidRPr="004E7703" w:rsidR="001545E7">
        <w:t xml:space="preserve"> are required for Sterling’s interconnection</w:t>
      </w:r>
      <w:r w:rsidRPr="004E7703" w:rsidR="00986C8C">
        <w:t xml:space="preserve"> </w:t>
      </w:r>
      <w:r w:rsidRPr="004E7703" w:rsidR="001545E7">
        <w:t xml:space="preserve">or necessary to maintain </w:t>
      </w:r>
      <w:r w:rsidRPr="004E7703" w:rsidR="00986C8C">
        <w:t xml:space="preserve">Developer Attachment Facilities.  </w:t>
      </w:r>
    </w:p>
    <w:p w:rsidR="00074BB7" w:rsidRPr="00FA0810" w:rsidP="00306C97">
      <w:pPr>
        <w:pStyle w:val="FERCparanumber"/>
      </w:pPr>
      <w:r>
        <w:t xml:space="preserve">Sterling </w:t>
      </w:r>
      <w:r w:rsidR="00166B53">
        <w:t>argues</w:t>
      </w:r>
      <w:r>
        <w:t xml:space="preserve"> that under established </w:t>
      </w:r>
      <w:r w:rsidR="000039D9">
        <w:t xml:space="preserve">Commission </w:t>
      </w:r>
      <w:r>
        <w:t>cost allocation precedent, the costs for Niagara Mohawk’s desired modification belong solely with Niagara Mohawk.</w:t>
      </w:r>
      <w:r>
        <w:rPr>
          <w:rStyle w:val="FootnoteReference"/>
        </w:rPr>
        <w:footnoteReference w:id="37"/>
      </w:r>
      <w:r w:rsidR="00D06FBD">
        <w:t xml:space="preserve">  Sterling con</w:t>
      </w:r>
      <w:r w:rsidR="00F33431">
        <w:t xml:space="preserve">tends that </w:t>
      </w:r>
      <w:r w:rsidR="00780775">
        <w:t>it is well-established that the cost must be allocated in a manner “commensurate with benefits.</w:t>
      </w:r>
      <w:r w:rsidR="00876728">
        <w:t>”</w:t>
      </w:r>
      <w:r>
        <w:rPr>
          <w:rStyle w:val="FootnoteReference"/>
        </w:rPr>
        <w:footnoteReference w:id="38"/>
      </w:r>
      <w:r w:rsidR="00465B63">
        <w:t xml:space="preserve">  Sterling asserts that </w:t>
      </w:r>
      <w:r w:rsidR="00F24827">
        <w:t>Niagara Mohawk’s</w:t>
      </w:r>
      <w:r w:rsidR="00465B63">
        <w:t xml:space="preserve"> position that it can simply elect to make such engineering changes and impose costs at its discretion envisions an unworkable interconnection process in which transmission owners can impose potentially unlimited costs on existing resources.</w:t>
      </w:r>
      <w:r>
        <w:rPr>
          <w:rStyle w:val="FootnoteReference"/>
        </w:rPr>
        <w:footnoteReference w:id="39"/>
      </w:r>
    </w:p>
    <w:p w:rsidR="00D24438" w:rsidP="00D24438">
      <w:pPr>
        <w:pStyle w:val="FERCparanumber"/>
      </w:pPr>
      <w:r>
        <w:t>Sterling argues that Niagara Mohawk also seeks to impose the O&amp;M expense</w:t>
      </w:r>
      <w:r w:rsidR="00DB6055">
        <w:t>s</w:t>
      </w:r>
      <w:r>
        <w:t xml:space="preserve"> on Sterling once the reconfiguration</w:t>
      </w:r>
      <w:r w:rsidR="00123CB6">
        <w:t>,</w:t>
      </w:r>
      <w:r>
        <w:t xml:space="preserve"> </w:t>
      </w:r>
      <w:r w:rsidR="00123CB6">
        <w:t xml:space="preserve">which </w:t>
      </w:r>
      <w:r>
        <w:t xml:space="preserve">benefits </w:t>
      </w:r>
      <w:r w:rsidR="00D12AA6">
        <w:t xml:space="preserve">Niagara Mohawk’s </w:t>
      </w:r>
      <w:r>
        <w:t>other customers and its transmission system</w:t>
      </w:r>
      <w:r w:rsidR="00123CB6">
        <w:t>,</w:t>
      </w:r>
      <w:r>
        <w:t xml:space="preserve"> is complete.  </w:t>
      </w:r>
      <w:r w:rsidR="00484378">
        <w:t>Sterling argues that Niagara Mohawk should bear the costs and O&amp;M expenses incurred by reason of its redesign to a breaker-and-a-half configuration.</w:t>
      </w:r>
      <w:r w:rsidR="001D225F">
        <w:t xml:space="preserve"> </w:t>
      </w:r>
      <w:r w:rsidR="00D0736A">
        <w:t xml:space="preserve"> </w:t>
      </w:r>
      <w:r>
        <w:t>Sterling contends that the Commission rejected a similar unexecuted LGIA attempting to impose the O&amp;M expense on Sterling’s affiliates.</w:t>
      </w:r>
      <w:r>
        <w:rPr>
          <w:rStyle w:val="FootnoteReference"/>
        </w:rPr>
        <w:footnoteReference w:id="40"/>
      </w:r>
      <w:r>
        <w:t xml:space="preserve">  </w:t>
      </w:r>
    </w:p>
    <w:p w:rsidR="00321913" w:rsidP="00321913">
      <w:pPr>
        <w:pStyle w:val="FERCparanumber"/>
      </w:pPr>
      <w:r>
        <w:t xml:space="preserve">Further, </w:t>
      </w:r>
      <w:r>
        <w:t>Sterling states that Niagara Mohawk’s</w:t>
      </w:r>
      <w:r w:rsidRPr="00317ECF">
        <w:t xml:space="preserve"> filing refers</w:t>
      </w:r>
      <w:r>
        <w:t xml:space="preserve"> </w:t>
      </w:r>
      <w:r w:rsidRPr="00317ECF">
        <w:t xml:space="preserve">to the interconnection </w:t>
      </w:r>
      <w:r>
        <w:t>being</w:t>
      </w:r>
      <w:r w:rsidRPr="00317ECF">
        <w:t xml:space="preserve"> governed by a two-party grandfathered interconnection</w:t>
      </w:r>
      <w:r>
        <w:t xml:space="preserve"> </w:t>
      </w:r>
      <w:r w:rsidRPr="00317ECF">
        <w:t>agreement</w:t>
      </w:r>
      <w:r>
        <w:t>,</w:t>
      </w:r>
      <w:r w:rsidRPr="00317ECF">
        <w:t xml:space="preserve"> but</w:t>
      </w:r>
      <w:r>
        <w:t xml:space="preserve"> Sterling argues that t</w:t>
      </w:r>
      <w:r w:rsidRPr="00317ECF">
        <w:t>he Commission has</w:t>
      </w:r>
      <w:r>
        <w:t xml:space="preserve"> </w:t>
      </w:r>
      <w:r w:rsidRPr="00256CD2">
        <w:t>previously rejected the characterization of the Sterling LGIA as a grandfathered agreement</w:t>
      </w:r>
      <w:r>
        <w:t>.</w:t>
      </w:r>
      <w:r>
        <w:rPr>
          <w:rStyle w:val="FootnoteReference"/>
        </w:rPr>
        <w:footnoteReference w:id="41"/>
      </w:r>
    </w:p>
    <w:p w:rsidR="00D24438" w:rsidRPr="00974F0C" w:rsidP="00D24438">
      <w:pPr>
        <w:pStyle w:val="FERCparanumber"/>
      </w:pPr>
      <w:r>
        <w:t xml:space="preserve">Sterling requests </w:t>
      </w:r>
      <w:r w:rsidRPr="0090653B">
        <w:t xml:space="preserve">that the Commission reject </w:t>
      </w:r>
      <w:r>
        <w:t>Niagara Mohawk</w:t>
      </w:r>
      <w:r w:rsidRPr="0090653B">
        <w:t>’s</w:t>
      </w:r>
      <w:r>
        <w:t xml:space="preserve"> </w:t>
      </w:r>
      <w:r w:rsidRPr="0090653B">
        <w:t xml:space="preserve">unexecuted Amended LGIA </w:t>
      </w:r>
      <w:r w:rsidR="00770913">
        <w:t xml:space="preserve">unless </w:t>
      </w:r>
      <w:r w:rsidR="0029422D">
        <w:t>the Commission requires</w:t>
      </w:r>
      <w:r w:rsidRPr="0090653B" w:rsidR="008D4CAA">
        <w:t xml:space="preserve"> </w:t>
      </w:r>
      <w:r w:rsidRPr="0090653B">
        <w:t>modifications to the cost</w:t>
      </w:r>
      <w:r w:rsidR="00CA5DF1">
        <w:t xml:space="preserve"> allocation</w:t>
      </w:r>
      <w:r w:rsidRPr="0090653B">
        <w:t xml:space="preserve"> and O&amp;M expense</w:t>
      </w:r>
      <w:r>
        <w:t xml:space="preserve"> </w:t>
      </w:r>
      <w:r w:rsidRPr="0090653B">
        <w:t>of its elective conversion of the interconnection facilities to a newly designed breaker-and-a-half</w:t>
      </w:r>
      <w:r>
        <w:t xml:space="preserve"> </w:t>
      </w:r>
      <w:r w:rsidRPr="0090653B">
        <w:t>configuration, including the costs of any System Protection Facilities changes required by the</w:t>
      </w:r>
      <w:r>
        <w:t xml:space="preserve"> </w:t>
      </w:r>
      <w:r w:rsidRPr="0090653B">
        <w:t>reconfiguration.</w:t>
      </w:r>
      <w:r>
        <w:rPr>
          <w:rStyle w:val="FootnoteReference"/>
        </w:rPr>
        <w:footnoteReference w:id="42"/>
      </w:r>
    </w:p>
    <w:p w:rsidR="00CB2337" w:rsidP="00CB2337">
      <w:pPr>
        <w:pStyle w:val="Heading2"/>
      </w:pPr>
      <w:r>
        <w:t xml:space="preserve">Niagara Mohawk </w:t>
      </w:r>
      <w:r>
        <w:t xml:space="preserve">Answer </w:t>
      </w:r>
    </w:p>
    <w:p w:rsidR="004021A9" w:rsidP="00DD185F">
      <w:pPr>
        <w:pStyle w:val="FERCparanumber"/>
      </w:pPr>
      <w:r w:rsidRPr="002E10F7">
        <w:t>Niagara</w:t>
      </w:r>
      <w:r w:rsidR="00FB0326">
        <w:t xml:space="preserve"> Mohawk </w:t>
      </w:r>
      <w:r w:rsidR="000D0AD1">
        <w:t>argues that the</w:t>
      </w:r>
      <w:r w:rsidR="003067BE">
        <w:t xml:space="preserve"> Connecting Transmission Owner</w:t>
      </w:r>
      <w:r w:rsidR="00C03B7F">
        <w:t>’s</w:t>
      </w:r>
      <w:r w:rsidR="003067BE">
        <w:t xml:space="preserve"> Attachment </w:t>
      </w:r>
      <w:r w:rsidR="00EB6705">
        <w:t>F</w:t>
      </w:r>
      <w:r w:rsidR="003067BE">
        <w:t xml:space="preserve">acilities </w:t>
      </w:r>
      <w:r w:rsidR="000A0545">
        <w:t xml:space="preserve">that </w:t>
      </w:r>
      <w:r w:rsidR="000D0AD1">
        <w:t xml:space="preserve">are </w:t>
      </w:r>
      <w:r w:rsidR="003067BE">
        <w:t>solely relied upon by the Sterling Facility have reached the end of their useful life.</w:t>
      </w:r>
      <w:r>
        <w:rPr>
          <w:rStyle w:val="FootnoteReference"/>
        </w:rPr>
        <w:footnoteReference w:id="43"/>
      </w:r>
      <w:r w:rsidR="00D87ECC">
        <w:t xml:space="preserve">  </w:t>
      </w:r>
      <w:r w:rsidR="0052303F">
        <w:t xml:space="preserve">Niagara Mohawk states that </w:t>
      </w:r>
      <w:r w:rsidR="00801DFE">
        <w:t>the proposed replacement</w:t>
      </w:r>
      <w:r w:rsidR="00886649">
        <w:t>s</w:t>
      </w:r>
      <w:r w:rsidR="00801DFE">
        <w:t xml:space="preserve"> </w:t>
      </w:r>
      <w:r w:rsidR="00421F05">
        <w:t xml:space="preserve">will cover certain facilities that </w:t>
      </w:r>
      <w:r w:rsidR="00440011">
        <w:t xml:space="preserve">entered service more than </w:t>
      </w:r>
      <w:r w:rsidR="00A77EB1">
        <w:t xml:space="preserve">30 </w:t>
      </w:r>
      <w:r w:rsidR="00440011">
        <w:t>years ago</w:t>
      </w:r>
      <w:r w:rsidR="00880D91">
        <w:t xml:space="preserve">.  </w:t>
      </w:r>
      <w:r>
        <w:t xml:space="preserve">Niagara Mohawk argues that it </w:t>
      </w:r>
      <w:r w:rsidR="00755646">
        <w:t>has</w:t>
      </w:r>
      <w:r>
        <w:t xml:space="preserve"> observ</w:t>
      </w:r>
      <w:r w:rsidR="00755646">
        <w:t>ed</w:t>
      </w:r>
      <w:r>
        <w:t xml:space="preserve"> current power engineering design criteria </w:t>
      </w:r>
      <w:r w:rsidR="00562071">
        <w:t xml:space="preserve">in </w:t>
      </w:r>
      <w:r w:rsidR="009B688F">
        <w:t>selecting the proposed replacements</w:t>
      </w:r>
      <w:r w:rsidR="009458D3">
        <w:t xml:space="preserve">, including </w:t>
      </w:r>
      <w:r w:rsidR="008B61E7">
        <w:t xml:space="preserve">swapping </w:t>
      </w:r>
      <w:r w:rsidR="00F161B4">
        <w:t xml:space="preserve">a single circuit breaker </w:t>
      </w:r>
      <w:r w:rsidR="00596160">
        <w:t>configuration</w:t>
      </w:r>
      <w:r w:rsidR="00F161B4">
        <w:t xml:space="preserve"> for a breaker-and-a-half </w:t>
      </w:r>
      <w:r w:rsidR="00C46996">
        <w:t>configuration</w:t>
      </w:r>
      <w:r w:rsidR="00F161B4">
        <w:t>.</w:t>
      </w:r>
      <w:r>
        <w:rPr>
          <w:rStyle w:val="FootnoteReference"/>
        </w:rPr>
        <w:footnoteReference w:id="44"/>
      </w:r>
      <w:r w:rsidR="003255BF">
        <w:t xml:space="preserve">  </w:t>
      </w:r>
    </w:p>
    <w:p w:rsidR="006252E4" w:rsidP="00DD185F">
      <w:pPr>
        <w:pStyle w:val="FERCparanumber"/>
      </w:pPr>
      <w:r>
        <w:t xml:space="preserve">Niagara Mohawk explains that </w:t>
      </w:r>
      <w:r w:rsidR="001E3DD0">
        <w:t xml:space="preserve">the </w:t>
      </w:r>
      <w:r w:rsidR="00455DA9">
        <w:t xml:space="preserve">facilities </w:t>
      </w:r>
      <w:r w:rsidR="00886649">
        <w:t xml:space="preserve">serving the Sterling Facility that are </w:t>
      </w:r>
      <w:r w:rsidR="00175B1D">
        <w:t xml:space="preserve">in need of replacement </w:t>
      </w:r>
      <w:r w:rsidR="0082388D">
        <w:t>include</w:t>
      </w:r>
      <w:r w:rsidR="00C10A68">
        <w:t xml:space="preserve">: </w:t>
      </w:r>
      <w:r w:rsidR="0082388D">
        <w:t xml:space="preserve"> </w:t>
      </w:r>
      <w:r w:rsidR="00170A44">
        <w:t>(</w:t>
      </w:r>
      <w:r w:rsidR="002214D3">
        <w:t>1</w:t>
      </w:r>
      <w:r w:rsidR="00170A44">
        <w:t xml:space="preserve">) </w:t>
      </w:r>
      <w:r w:rsidR="0082388D">
        <w:t>a 2.5 mile radial 115</w:t>
      </w:r>
      <w:r w:rsidR="00425D13">
        <w:t>-kV generation tie line</w:t>
      </w:r>
      <w:r w:rsidR="0071204C">
        <w:t>;</w:t>
      </w:r>
      <w:r w:rsidR="002B3F0D">
        <w:t xml:space="preserve"> and </w:t>
      </w:r>
      <w:r w:rsidR="00170A44">
        <w:t>(</w:t>
      </w:r>
      <w:r w:rsidR="002214D3">
        <w:t>2</w:t>
      </w:r>
      <w:r w:rsidR="00170A44">
        <w:t xml:space="preserve">) a circuit comprised of </w:t>
      </w:r>
      <w:r w:rsidR="001868EC">
        <w:t>two switches and a circuit breaker located within the fence line of the Oneida Substation.</w:t>
      </w:r>
      <w:r>
        <w:rPr>
          <w:rStyle w:val="FootnoteReference"/>
        </w:rPr>
        <w:footnoteReference w:id="45"/>
      </w:r>
      <w:r w:rsidR="0076689B">
        <w:t xml:space="preserve">  Niagara Mohawk states that </w:t>
      </w:r>
      <w:r w:rsidR="00BC6295">
        <w:t xml:space="preserve">all </w:t>
      </w:r>
      <w:r w:rsidR="005A4852">
        <w:t xml:space="preserve">of </w:t>
      </w:r>
      <w:r w:rsidR="00BC6295">
        <w:t xml:space="preserve">these facilities are located on the generator side of the point of interconnection and are therefore dedicated as sole use facilities that </w:t>
      </w:r>
      <w:r w:rsidR="003F4CE0">
        <w:t>benefit the Sterling Facility.  Niagara Mohawk explains that it is replacing the entire Oneida Substation</w:t>
      </w:r>
      <w:r w:rsidR="00846534">
        <w:t xml:space="preserve">, including all </w:t>
      </w:r>
      <w:r w:rsidR="00031010">
        <w:t>electric facilities and components contained within the fence line.</w:t>
      </w:r>
      <w:r w:rsidR="005D78BB">
        <w:t xml:space="preserve">  Niagara Mohawk states that the Oneida Substation is a </w:t>
      </w:r>
      <w:r w:rsidR="000D6C85">
        <w:t>115</w:t>
      </w:r>
      <w:r w:rsidR="007678FC">
        <w:t>-kV/</w:t>
      </w:r>
      <w:r w:rsidR="009E1DF2">
        <w:t xml:space="preserve">13.2-kV </w:t>
      </w:r>
      <w:r w:rsidR="00A73682">
        <w:t>air-insulated substation with a straight bus design</w:t>
      </w:r>
      <w:r w:rsidR="005E07F4">
        <w:t xml:space="preserve"> and has seven </w:t>
      </w:r>
      <w:r w:rsidR="0010655F">
        <w:t xml:space="preserve">115-kV tie lines that interconnect to it.  </w:t>
      </w:r>
      <w:r w:rsidR="00D17272">
        <w:t xml:space="preserve">Niagara Mohawk asserts that </w:t>
      </w:r>
      <w:r w:rsidR="00B87110">
        <w:t>the need for the substation</w:t>
      </w:r>
      <w:r w:rsidR="00B73F19">
        <w:t xml:space="preserve"> replacement</w:t>
      </w:r>
      <w:r w:rsidR="00B87110">
        <w:t>s is</w:t>
      </w:r>
      <w:r w:rsidR="00B73F19">
        <w:t xml:space="preserve"> based on asset conditio</w:t>
      </w:r>
      <w:r w:rsidR="00077E6C">
        <w:t>n</w:t>
      </w:r>
      <w:r w:rsidR="00E542F2">
        <w:t>,</w:t>
      </w:r>
      <w:r w:rsidR="00C82424">
        <w:t xml:space="preserve"> and, when Niagara Mohawk reviewed several option</w:t>
      </w:r>
      <w:r w:rsidR="00117B9F">
        <w:t xml:space="preserve">s for rebuilding the Oneida Substation, </w:t>
      </w:r>
      <w:r w:rsidR="002E5B74">
        <w:t xml:space="preserve">it determined </w:t>
      </w:r>
      <w:r w:rsidR="00934B87">
        <w:t xml:space="preserve">that </w:t>
      </w:r>
      <w:r w:rsidR="00BC4889">
        <w:t xml:space="preserve">the rebuilt substation must adhere to </w:t>
      </w:r>
      <w:r w:rsidR="0038641F">
        <w:t xml:space="preserve">the design criteria </w:t>
      </w:r>
      <w:r w:rsidR="00840DC9">
        <w:t>published in its TGP28 Transmission Planning Guide.</w:t>
      </w:r>
      <w:r>
        <w:rPr>
          <w:rStyle w:val="FootnoteReference"/>
        </w:rPr>
        <w:footnoteReference w:id="46"/>
      </w:r>
      <w:r w:rsidR="00F05C73">
        <w:t xml:space="preserve">  </w:t>
      </w:r>
    </w:p>
    <w:p w:rsidR="00C75FEC" w:rsidP="00C75FEC">
      <w:pPr>
        <w:pStyle w:val="FERCparanumber"/>
      </w:pPr>
      <w:r>
        <w:t>Niagara Mohawk</w:t>
      </w:r>
      <w:r w:rsidR="006252E4">
        <w:t xml:space="preserve"> asserts that no third-party interconnection is causing the need for a rebuild</w:t>
      </w:r>
      <w:r w:rsidR="0056384C">
        <w:t xml:space="preserve"> </w:t>
      </w:r>
      <w:r w:rsidR="007F2F11">
        <w:t xml:space="preserve">of the </w:t>
      </w:r>
      <w:r w:rsidR="008D5F00">
        <w:t>Connecting Transmission Owner’s Attachment Facilities</w:t>
      </w:r>
      <w:r w:rsidR="006252E4">
        <w:t>.</w:t>
      </w:r>
      <w:r>
        <w:rPr>
          <w:rStyle w:val="FootnoteReference"/>
        </w:rPr>
        <w:footnoteReference w:id="47"/>
      </w:r>
      <w:r w:rsidR="006C452E">
        <w:t xml:space="preserve">  Niagara Mohawk states </w:t>
      </w:r>
      <w:r w:rsidR="00397EB7">
        <w:t xml:space="preserve">that a total rebuild of the Oneida Substation is necessary to ensure operational integrity </w:t>
      </w:r>
      <w:r w:rsidR="00514DB9">
        <w:t xml:space="preserve">of the </w:t>
      </w:r>
      <w:r w:rsidR="00BE59C0">
        <w:t>electrical facilities that interconnect to the substation.</w:t>
      </w:r>
      <w:r>
        <w:rPr>
          <w:rStyle w:val="FootnoteReference"/>
        </w:rPr>
        <w:footnoteReference w:id="48"/>
      </w:r>
      <w:r w:rsidR="00BE59C0">
        <w:t xml:space="preserve">  </w:t>
      </w:r>
      <w:r>
        <w:t xml:space="preserve">To that end, Niagara Mohawk states that the proposed replacement will </w:t>
      </w:r>
      <w:r w:rsidR="006A5E2D">
        <w:t>require</w:t>
      </w:r>
      <w:r>
        <w:t xml:space="preserve"> installation of </w:t>
      </w:r>
      <w:r w:rsidR="00736959">
        <w:t xml:space="preserve">new </w:t>
      </w:r>
      <w:r>
        <w:t>System Protection Facilities,</w:t>
      </w:r>
      <w:r>
        <w:rPr>
          <w:rStyle w:val="FootnoteReference"/>
        </w:rPr>
        <w:footnoteReference w:id="49"/>
      </w:r>
      <w:r>
        <w:t xml:space="preserve"> such as communication-based breaker failure protection, which will help detect the presence of faults or other system anomalies that, if undetected, could jeopardize the integrity of the Sterling Facility or Niagara Mohawk’s transmission system.</w:t>
      </w:r>
      <w:r>
        <w:rPr>
          <w:rStyle w:val="FootnoteReference"/>
        </w:rPr>
        <w:footnoteReference w:id="50"/>
      </w:r>
      <w:r>
        <w:t xml:space="preserve">  </w:t>
      </w:r>
      <w:r w:rsidR="00C63574">
        <w:t xml:space="preserve">Niagara Mohawk </w:t>
      </w:r>
      <w:r w:rsidR="00F458E2">
        <w:t xml:space="preserve">states that </w:t>
      </w:r>
      <w:r w:rsidR="00D116B7">
        <w:t xml:space="preserve">the </w:t>
      </w:r>
      <w:r w:rsidR="003263C6">
        <w:t>terms and conditions of System Protection Facilit</w:t>
      </w:r>
      <w:r w:rsidR="008B6732">
        <w:t>ies are set out in Article 9.6.4 of the Sterling LGIA</w:t>
      </w:r>
      <w:r w:rsidR="008907C4">
        <w:t xml:space="preserve">, </w:t>
      </w:r>
      <w:r w:rsidR="004966ED">
        <w:t>and th</w:t>
      </w:r>
      <w:r w:rsidR="00B145D3">
        <w:t xml:space="preserve">ey impose an ongoing requirement </w:t>
      </w:r>
      <w:r w:rsidR="00893470">
        <w:t>upon Niagara Mohawk to “install at [Sterling’s] expense</w:t>
      </w:r>
      <w:r w:rsidR="00912F5F">
        <w:t xml:space="preserve"> </w:t>
      </w:r>
      <w:r w:rsidRPr="00912F5F" w:rsidR="00912F5F">
        <w:t>any System Protection Facilities that may be required on the Connecting Transmission Owner’s Attachment Facilities or the New York State Transmission System as a result of the interconnection of the</w:t>
      </w:r>
      <w:r w:rsidR="004573E1">
        <w:t xml:space="preserve"> [Sterling Facility</w:t>
      </w:r>
      <w:r w:rsidR="00971A41">
        <w:t>]</w:t>
      </w:r>
      <w:r w:rsidR="00EF3C84">
        <w:t>.</w:t>
      </w:r>
      <w:r w:rsidR="00971A41">
        <w:t>”</w:t>
      </w:r>
      <w:r>
        <w:rPr>
          <w:rStyle w:val="FootnoteReference"/>
        </w:rPr>
        <w:footnoteReference w:id="51"/>
      </w:r>
      <w:r w:rsidR="00EF3C84">
        <w:t xml:space="preserve">  </w:t>
      </w:r>
      <w:r w:rsidR="005F6344">
        <w:t xml:space="preserve">Niagara Mohawk notes that Article 9.6.4.2 </w:t>
      </w:r>
      <w:r w:rsidR="0084260F">
        <w:t>st</w:t>
      </w:r>
      <w:r w:rsidR="0063622C">
        <w:t xml:space="preserve">ates that </w:t>
      </w:r>
      <w:r w:rsidR="005668F8">
        <w:t xml:space="preserve">these </w:t>
      </w:r>
      <w:r w:rsidR="00BA3CA0">
        <w:t xml:space="preserve">System Protection Facilities “shall </w:t>
      </w:r>
      <w:r w:rsidRPr="00734FA9" w:rsidR="00734FA9">
        <w:t>be designed and coordinated with other systems in accordance with Good Utility Practice and Applicable Reliability Standards.”</w:t>
      </w:r>
      <w:r>
        <w:rPr>
          <w:rStyle w:val="FootnoteReference"/>
        </w:rPr>
        <w:footnoteReference w:id="52"/>
      </w:r>
      <w:r w:rsidR="00734FA9">
        <w:t xml:space="preserve">  </w:t>
      </w:r>
      <w:r w:rsidR="004E56FA">
        <w:t xml:space="preserve">Niagara Mohawk </w:t>
      </w:r>
      <w:r w:rsidR="00FB56A8">
        <w:t xml:space="preserve">disputes </w:t>
      </w:r>
      <w:r w:rsidR="007112AE">
        <w:t xml:space="preserve">Sterling’s assertion that </w:t>
      </w:r>
      <w:r w:rsidR="00482B73">
        <w:t>the Parties agreed that the</w:t>
      </w:r>
      <w:r w:rsidR="0036664A">
        <w:t xml:space="preserve"> provisions of the Sterling LGIA governing System Protection Facilities </w:t>
      </w:r>
      <w:r w:rsidR="00FB1112">
        <w:t>would not be applicable moving forward</w:t>
      </w:r>
      <w:r w:rsidR="002C1FCF">
        <w:t xml:space="preserve"> and </w:t>
      </w:r>
      <w:r w:rsidR="007F3ED5">
        <w:t>notes</w:t>
      </w:r>
      <w:r w:rsidR="002C1FCF">
        <w:t xml:space="preserve"> </w:t>
      </w:r>
      <w:r w:rsidR="00AB166F">
        <w:t xml:space="preserve">that, </w:t>
      </w:r>
      <w:r w:rsidR="002C1FCF">
        <w:t>to the contrary</w:t>
      </w:r>
      <w:r w:rsidR="00AB166F">
        <w:t>,</w:t>
      </w:r>
      <w:r w:rsidR="002C1FCF">
        <w:t xml:space="preserve"> </w:t>
      </w:r>
      <w:r w:rsidR="007F3ED5">
        <w:t>Article 9.6.4</w:t>
      </w:r>
      <w:r w:rsidR="00915507">
        <w:t xml:space="preserve"> is not among those </w:t>
      </w:r>
      <w:r w:rsidR="00884B4C">
        <w:t>non-applicable provisions enumerated in Appendix H.</w:t>
      </w:r>
      <w:r>
        <w:rPr>
          <w:rStyle w:val="FootnoteReference"/>
        </w:rPr>
        <w:footnoteReference w:id="53"/>
      </w:r>
      <w:r w:rsidR="00884B4C">
        <w:t xml:space="preserve">  </w:t>
      </w:r>
      <w:r w:rsidR="00854533">
        <w:t xml:space="preserve">Furthermore, Niagara Mohawk </w:t>
      </w:r>
      <w:r w:rsidR="007134C2">
        <w:t>disagrees with Sterling</w:t>
      </w:r>
      <w:r w:rsidR="00365DD4">
        <w:t xml:space="preserve">’s assertion that </w:t>
      </w:r>
      <w:r w:rsidR="00B76977">
        <w:t>Sterling’s</w:t>
      </w:r>
      <w:r w:rsidR="00365DD4">
        <w:t xml:space="preserve"> existing System Protection Facilities </w:t>
      </w:r>
      <w:r w:rsidR="00C04368">
        <w:t>are consistent with Good Utility Practice</w:t>
      </w:r>
      <w:r w:rsidR="004E6325">
        <w:t>;</w:t>
      </w:r>
      <w:r w:rsidR="00004A9B">
        <w:t xml:space="preserve"> Niagara Mohawk points to Mr. Falls’s </w:t>
      </w:r>
      <w:r w:rsidR="00ED1335">
        <w:t xml:space="preserve">affidavit </w:t>
      </w:r>
      <w:r w:rsidR="00B76EE6">
        <w:t xml:space="preserve">claiming that Good Utility Practice </w:t>
      </w:r>
      <w:r w:rsidR="001B7BDC">
        <w:t xml:space="preserve">now requires </w:t>
      </w:r>
      <w:r w:rsidR="00C43CD3">
        <w:t xml:space="preserve">a breaker-and-a-half </w:t>
      </w:r>
      <w:r w:rsidR="00F17F37">
        <w:t>configuration</w:t>
      </w:r>
      <w:r w:rsidR="00C43CD3">
        <w:t>.</w:t>
      </w:r>
    </w:p>
    <w:p w:rsidR="00BF5DB5" w:rsidP="00DD185F">
      <w:pPr>
        <w:pStyle w:val="FERCparanumber"/>
      </w:pPr>
      <w:r>
        <w:t>Niagara Mohawk states that the estimated cost to rebuild the entire Oneida Substation is $38 million</w:t>
      </w:r>
      <w:r w:rsidR="004E4D8F">
        <w:t>;</w:t>
      </w:r>
      <w:r>
        <w:t xml:space="preserve"> </w:t>
      </w:r>
      <w:r w:rsidR="004E4D8F">
        <w:t xml:space="preserve">of that amount, </w:t>
      </w:r>
      <w:r>
        <w:t xml:space="preserve">the estimated cost to </w:t>
      </w:r>
      <w:r w:rsidR="00EA0A8F">
        <w:t xml:space="preserve">decommission and replace the facilities serving the Sterling Facility </w:t>
      </w:r>
      <w:r w:rsidR="00FD6AA5">
        <w:t>is $2.5 million.</w:t>
      </w:r>
      <w:r>
        <w:rPr>
          <w:rStyle w:val="FootnoteReference"/>
        </w:rPr>
        <w:footnoteReference w:id="54"/>
      </w:r>
      <w:r w:rsidR="00FD6AA5">
        <w:t xml:space="preserve">  </w:t>
      </w:r>
      <w:r w:rsidR="00E36904">
        <w:t xml:space="preserve">Niagara Mohawk </w:t>
      </w:r>
      <w:r w:rsidR="00E92226">
        <w:t>states</w:t>
      </w:r>
      <w:r w:rsidR="00EB657F">
        <w:t xml:space="preserve"> that </w:t>
      </w:r>
      <w:r w:rsidR="00431FB6">
        <w:t xml:space="preserve">the </w:t>
      </w:r>
      <w:r w:rsidR="003C0204">
        <w:t>proposed replacement</w:t>
      </w:r>
      <w:r w:rsidR="00FE0093">
        <w:t xml:space="preserve">s </w:t>
      </w:r>
      <w:r w:rsidR="00A845BA">
        <w:t xml:space="preserve">to serve the Sterling Facility </w:t>
      </w:r>
      <w:r w:rsidR="0034383B">
        <w:t xml:space="preserve">will continue to be located on the generator side of the point of </w:t>
      </w:r>
      <w:r w:rsidR="00C80CE1">
        <w:t xml:space="preserve">interconnection and </w:t>
      </w:r>
      <w:r w:rsidR="0051440F">
        <w:t xml:space="preserve">will </w:t>
      </w:r>
      <w:r w:rsidR="00C80CE1">
        <w:t>therefore remain appropriately classified as Connecting Transmission Owner</w:t>
      </w:r>
      <w:r w:rsidR="00C03B7F">
        <w:t>’s</w:t>
      </w:r>
      <w:r w:rsidR="00C80CE1">
        <w:t xml:space="preserve"> Attachment Facilities.</w:t>
      </w:r>
      <w:r>
        <w:rPr>
          <w:rStyle w:val="FootnoteReference"/>
        </w:rPr>
        <w:footnoteReference w:id="55"/>
      </w:r>
    </w:p>
    <w:p w:rsidR="00C80CE1" w:rsidP="00DD185F">
      <w:pPr>
        <w:pStyle w:val="FERCparanumber"/>
      </w:pPr>
      <w:r>
        <w:t xml:space="preserve">Niagara Mohawk argues that </w:t>
      </w:r>
      <w:r w:rsidR="00DB14D2">
        <w:t xml:space="preserve">Sterling is mistaken in its </w:t>
      </w:r>
      <w:r w:rsidR="00102AE5">
        <w:t xml:space="preserve">argument that Article 11.2 of the Sterling LGIA </w:t>
      </w:r>
      <w:r w:rsidR="00A63DE3">
        <w:t xml:space="preserve">does not cover </w:t>
      </w:r>
      <w:r w:rsidR="00472587">
        <w:t xml:space="preserve">any subsequent </w:t>
      </w:r>
      <w:r w:rsidR="00A63DE3">
        <w:t xml:space="preserve">modification or </w:t>
      </w:r>
      <w:r w:rsidR="001C3E84">
        <w:t>replacement of Connecting Transmission Owner</w:t>
      </w:r>
      <w:r w:rsidR="00C03B7F">
        <w:t>’s</w:t>
      </w:r>
      <w:r w:rsidR="001C3E84">
        <w:t xml:space="preserve"> Attachment Facilities at </w:t>
      </w:r>
      <w:r w:rsidR="00326800">
        <w:t>Niagara Mohawk’s election.</w:t>
      </w:r>
      <w:r>
        <w:rPr>
          <w:rStyle w:val="FootnoteReference"/>
        </w:rPr>
        <w:footnoteReference w:id="56"/>
      </w:r>
      <w:r w:rsidR="007B1647">
        <w:t xml:space="preserve">  Niagara Mohawk argues that </w:t>
      </w:r>
      <w:r w:rsidR="00D732CF">
        <w:t xml:space="preserve">this </w:t>
      </w:r>
      <w:r w:rsidR="00061811">
        <w:t xml:space="preserve">interpretation is untenable, as it would </w:t>
      </w:r>
      <w:r w:rsidR="000B0ACC">
        <w:t xml:space="preserve">suggest that </w:t>
      </w:r>
      <w:r w:rsidR="00BA2A82">
        <w:t xml:space="preserve">once </w:t>
      </w:r>
      <w:r w:rsidR="00B40751">
        <w:t>A</w:t>
      </w:r>
      <w:r w:rsidR="00BA2A82">
        <w:t xml:space="preserve">ttachment </w:t>
      </w:r>
      <w:r w:rsidR="00B40751">
        <w:t>F</w:t>
      </w:r>
      <w:r w:rsidR="00BA2A82">
        <w:t xml:space="preserve">acilities are designed, procured, constructed, and installed, Article 11.2 </w:t>
      </w:r>
      <w:r w:rsidR="008E26BB">
        <w:t>of the Sterling LGIA is no longer in effect.</w:t>
      </w:r>
      <w:r>
        <w:rPr>
          <w:rStyle w:val="FootnoteReference"/>
        </w:rPr>
        <w:footnoteReference w:id="57"/>
      </w:r>
      <w:r w:rsidR="008E26BB">
        <w:t xml:space="preserve">  Niagara Mohawk </w:t>
      </w:r>
      <w:r w:rsidR="00FF2E03">
        <w:t xml:space="preserve">argues that, to the extent </w:t>
      </w:r>
      <w:r w:rsidR="000949D3">
        <w:t xml:space="preserve">there is merit in Sterling’s </w:t>
      </w:r>
      <w:r w:rsidR="004A48A2">
        <w:t>argument</w:t>
      </w:r>
      <w:r w:rsidR="00F60D05">
        <w:t xml:space="preserve">, </w:t>
      </w:r>
      <w:r w:rsidR="00B316F0">
        <w:t xml:space="preserve">Article 5.19.2 </w:t>
      </w:r>
      <w:r w:rsidR="00056CAE">
        <w:t xml:space="preserve">reaffirms that the </w:t>
      </w:r>
      <w:r w:rsidR="00F962CB">
        <w:t xml:space="preserve">cost </w:t>
      </w:r>
      <w:r w:rsidR="009F5D38">
        <w:t xml:space="preserve">of the </w:t>
      </w:r>
      <w:r w:rsidR="00056CAE">
        <w:t xml:space="preserve">proposed replacements </w:t>
      </w:r>
      <w:r w:rsidR="009F5D38">
        <w:t xml:space="preserve">is appropriately assigned to Sterling.  </w:t>
      </w:r>
      <w:r w:rsidR="00CE13FB">
        <w:t xml:space="preserve">Niagara Mohawk explains that </w:t>
      </w:r>
      <w:r w:rsidR="009F5D38">
        <w:t xml:space="preserve">Article 5.19.2 states that </w:t>
      </w:r>
      <w:r w:rsidRPr="001A5F81" w:rsidR="001A5F81">
        <w:t>“[a]ny additions, modifications, or replacements made to a Party’s facilities shall be designed, constructed and operated in accordance with this Agreement, NYISO requirements and Good Utility Practice.”</w:t>
      </w:r>
      <w:r>
        <w:rPr>
          <w:rStyle w:val="FootnoteReference"/>
        </w:rPr>
        <w:footnoteReference w:id="58"/>
      </w:r>
      <w:r w:rsidR="002D3EFA">
        <w:t xml:space="preserve">  </w:t>
      </w:r>
      <w:r w:rsidR="00B87110">
        <w:t>Niagara Mohawk acknowledges that, if</w:t>
      </w:r>
      <w:r w:rsidR="00310745">
        <w:t xml:space="preserve"> it were incurring costs </w:t>
      </w:r>
      <w:r w:rsidR="00AF09F6">
        <w:t>to facilitate the interconnection of a third</w:t>
      </w:r>
      <w:r w:rsidR="00AB0BC8">
        <w:t xml:space="preserve"> </w:t>
      </w:r>
      <w:r w:rsidR="00AF09F6">
        <w:t xml:space="preserve">party, Article </w:t>
      </w:r>
      <w:r w:rsidR="001C7299">
        <w:t>5.19.3 would pr</w:t>
      </w:r>
      <w:r w:rsidR="003900D0">
        <w:t xml:space="preserve">eclude the assignment of </w:t>
      </w:r>
      <w:r w:rsidR="00B404EA">
        <w:t xml:space="preserve">those costs to Sterling; however, </w:t>
      </w:r>
      <w:r w:rsidR="003C5A28">
        <w:t xml:space="preserve">Niagara Mohawk asserts </w:t>
      </w:r>
      <w:r w:rsidR="001A5506">
        <w:t xml:space="preserve">once again </w:t>
      </w:r>
      <w:r w:rsidR="003C5A28">
        <w:t xml:space="preserve">that </w:t>
      </w:r>
      <w:r w:rsidR="009A65F9">
        <w:t>this is not the case.</w:t>
      </w:r>
    </w:p>
    <w:p w:rsidR="009A65F9" w:rsidP="00DD185F">
      <w:pPr>
        <w:pStyle w:val="FERCparanumber"/>
      </w:pPr>
      <w:r>
        <w:t xml:space="preserve">Niagara Mohawk argues that </w:t>
      </w:r>
      <w:r w:rsidR="00AD3B6B">
        <w:t xml:space="preserve">assigning </w:t>
      </w:r>
      <w:r w:rsidR="00830DD3">
        <w:t xml:space="preserve">the cost of </w:t>
      </w:r>
      <w:r w:rsidR="0008030F">
        <w:t xml:space="preserve">the proposed replacements </w:t>
      </w:r>
      <w:r w:rsidR="00830DD3">
        <w:t xml:space="preserve">to Sterling is </w:t>
      </w:r>
      <w:r w:rsidR="00CE6F63">
        <w:t>expressly authorized by Article 10.5</w:t>
      </w:r>
      <w:r w:rsidR="000B1802">
        <w:t xml:space="preserve"> of the Sterling LGIA.</w:t>
      </w:r>
      <w:r>
        <w:rPr>
          <w:rStyle w:val="FootnoteReference"/>
        </w:rPr>
        <w:footnoteReference w:id="59"/>
      </w:r>
      <w:r w:rsidR="00BC1AD4">
        <w:t xml:space="preserve">  </w:t>
      </w:r>
      <w:r w:rsidR="00987FF1">
        <w:t xml:space="preserve">Niagara Mohawk argues that, </w:t>
      </w:r>
      <w:r w:rsidR="00CE6454">
        <w:t>given</w:t>
      </w:r>
      <w:r w:rsidR="006F0DA0">
        <w:t xml:space="preserve"> that </w:t>
      </w:r>
      <w:r w:rsidR="00497598">
        <w:t xml:space="preserve">the proposed replacements are </w:t>
      </w:r>
      <w:r w:rsidR="00BF360E">
        <w:t xml:space="preserve">not </w:t>
      </w:r>
      <w:r w:rsidR="00E31A80">
        <w:t xml:space="preserve">driven by </w:t>
      </w:r>
      <w:r w:rsidR="00B1713F">
        <w:t xml:space="preserve">a third-party interconnection, </w:t>
      </w:r>
      <w:r w:rsidR="00ED7E69">
        <w:t xml:space="preserve">Sterling’s </w:t>
      </w:r>
      <w:r w:rsidR="00124DD1">
        <w:t xml:space="preserve">protest is </w:t>
      </w:r>
      <w:r w:rsidR="002E7BA8">
        <w:t>inapposite</w:t>
      </w:r>
      <w:r w:rsidR="00CA2E40">
        <w:t>.</w:t>
      </w:r>
    </w:p>
    <w:p w:rsidR="008F25C5" w:rsidRPr="002E10F7" w:rsidP="00F4600D">
      <w:pPr>
        <w:pStyle w:val="FERCparanumber"/>
      </w:pPr>
      <w:r>
        <w:t xml:space="preserve">Niagara Mohawk </w:t>
      </w:r>
      <w:r w:rsidR="00626D48">
        <w:t xml:space="preserve">explains </w:t>
      </w:r>
      <w:r w:rsidR="004A4559">
        <w:t xml:space="preserve">that </w:t>
      </w:r>
      <w:r w:rsidR="00DC7CBF">
        <w:t xml:space="preserve">Sterling has long benefitted </w:t>
      </w:r>
      <w:r w:rsidR="007879BB">
        <w:t>by Niagara Mohawk</w:t>
      </w:r>
      <w:r w:rsidR="00D50782">
        <w:t xml:space="preserve"> hosting</w:t>
      </w:r>
      <w:r w:rsidR="0035572C">
        <w:t xml:space="preserve"> the </w:t>
      </w:r>
      <w:r w:rsidR="00D2418F">
        <w:t xml:space="preserve">Sterling </w:t>
      </w:r>
      <w:r w:rsidR="00562C61">
        <w:t xml:space="preserve">Attachment </w:t>
      </w:r>
      <w:r w:rsidR="0009621F">
        <w:t>F</w:t>
      </w:r>
      <w:r w:rsidR="0035572C">
        <w:t xml:space="preserve">acilities </w:t>
      </w:r>
      <w:r w:rsidR="00626D48">
        <w:t>within the fence line of the Oneida Substation</w:t>
      </w:r>
      <w:r w:rsidR="00D32300">
        <w:t>,</w:t>
      </w:r>
      <w:r w:rsidR="0035572C">
        <w:t xml:space="preserve"> </w:t>
      </w:r>
      <w:r w:rsidR="00D32300">
        <w:t xml:space="preserve">because </w:t>
      </w:r>
      <w:r w:rsidR="0035572C">
        <w:t xml:space="preserve">the Sterling </w:t>
      </w:r>
      <w:r w:rsidR="008B314B">
        <w:t xml:space="preserve">Attachment </w:t>
      </w:r>
      <w:r w:rsidR="0035572C">
        <w:t>Facilit</w:t>
      </w:r>
      <w:r w:rsidR="008B314B">
        <w:t>ies</w:t>
      </w:r>
      <w:r w:rsidR="0035572C">
        <w:t xml:space="preserve"> </w:t>
      </w:r>
      <w:r w:rsidR="004C7404">
        <w:t xml:space="preserve">were installed </w:t>
      </w:r>
      <w:r w:rsidR="00BF208A">
        <w:t>near</w:t>
      </w:r>
      <w:r w:rsidR="004C7404">
        <w:t xml:space="preserve"> </w:t>
      </w:r>
      <w:r w:rsidR="00B90EF1">
        <w:t>other Niagara Mohawk electrical facilities</w:t>
      </w:r>
      <w:r w:rsidR="00BF208A">
        <w:t xml:space="preserve"> at the substation</w:t>
      </w:r>
      <w:r w:rsidR="0035572C">
        <w:t>.</w:t>
      </w:r>
      <w:r>
        <w:rPr>
          <w:rStyle w:val="FootnoteReference"/>
        </w:rPr>
        <w:footnoteReference w:id="60"/>
      </w:r>
      <w:r w:rsidR="0035572C">
        <w:t xml:space="preserve">  </w:t>
      </w:r>
      <w:r w:rsidR="0034393D">
        <w:t>Niagara Mohawk</w:t>
      </w:r>
      <w:r w:rsidR="00FD40C8">
        <w:t xml:space="preserve"> states that t</w:t>
      </w:r>
      <w:r w:rsidRPr="0034393D" w:rsidR="0034393D">
        <w:t>he Commission has previously determined that Good Utility Practice requires replacement of existing facilities when necessary to maintaining a reliable interconnection.</w:t>
      </w:r>
      <w:r>
        <w:rPr>
          <w:rStyle w:val="FootnoteReference"/>
        </w:rPr>
        <w:footnoteReference w:id="61"/>
      </w:r>
      <w:r w:rsidRPr="0034393D" w:rsidR="0034393D">
        <w:t xml:space="preserve"> </w:t>
      </w:r>
      <w:r w:rsidR="00FD40C8">
        <w:t xml:space="preserve"> </w:t>
      </w:r>
      <w:r w:rsidR="00BF208A">
        <w:t xml:space="preserve">Niagara Mohawk </w:t>
      </w:r>
      <w:r w:rsidR="008639A1">
        <w:t xml:space="preserve">states that </w:t>
      </w:r>
      <w:r w:rsidR="00F456D8">
        <w:t xml:space="preserve">Niagara Mohawk’s </w:t>
      </w:r>
      <w:r w:rsidR="008639A1">
        <w:t>current transmission planning standards</w:t>
      </w:r>
      <w:r w:rsidR="00F654A1">
        <w:t>,</w:t>
      </w:r>
      <w:r w:rsidR="008639A1">
        <w:t xml:space="preserve"> as well as ISO New England Inc.’s Planning Procedure No. 9</w:t>
      </w:r>
      <w:r w:rsidR="00F654A1">
        <w:t>,</w:t>
      </w:r>
      <w:r>
        <w:rPr>
          <w:rStyle w:val="FootnoteReference"/>
        </w:rPr>
        <w:footnoteReference w:id="62"/>
      </w:r>
      <w:r w:rsidR="008639A1">
        <w:t xml:space="preserve"> encourage, if not require, </w:t>
      </w:r>
      <w:r w:rsidR="007018CE">
        <w:t>the use of</w:t>
      </w:r>
      <w:r w:rsidR="00513E7F">
        <w:t xml:space="preserve"> a breaker-and-a-half </w:t>
      </w:r>
      <w:r w:rsidR="0003717E">
        <w:t xml:space="preserve">configuration </w:t>
      </w:r>
      <w:r w:rsidR="00513E7F">
        <w:t xml:space="preserve">criteria </w:t>
      </w:r>
      <w:r w:rsidR="007018CE">
        <w:t>when several transmission elements converge at a single substation.</w:t>
      </w:r>
      <w:r>
        <w:rPr>
          <w:rStyle w:val="FootnoteReference"/>
        </w:rPr>
        <w:footnoteReference w:id="63"/>
      </w:r>
      <w:r w:rsidR="00B01B3E">
        <w:t xml:space="preserve">  Mr. Falls </w:t>
      </w:r>
      <w:r w:rsidR="00324FB4">
        <w:t xml:space="preserve">states in his affidavit that </w:t>
      </w:r>
      <w:r w:rsidR="009A30EF">
        <w:t xml:space="preserve">the “only purpose and function [of the breaker-and-a-half </w:t>
      </w:r>
      <w:r w:rsidR="00F17F37">
        <w:t>configuration</w:t>
      </w:r>
      <w:r w:rsidR="009A30EF">
        <w:t>] is to protect and isolate</w:t>
      </w:r>
      <w:r w:rsidR="002D44B0">
        <w:t xml:space="preserve"> [the tie line that </w:t>
      </w:r>
      <w:r w:rsidR="007127CB">
        <w:t xml:space="preserve">interconnects </w:t>
      </w:r>
      <w:r w:rsidR="00B42782">
        <w:t xml:space="preserve">the </w:t>
      </w:r>
      <w:r w:rsidR="002D44B0">
        <w:t>Sterling</w:t>
      </w:r>
      <w:r w:rsidR="00B42782">
        <w:t xml:space="preserve"> Facility</w:t>
      </w:r>
      <w:r w:rsidR="002D44B0">
        <w:t>] under fault conditions</w:t>
      </w:r>
      <w:r w:rsidR="00DC39FA">
        <w:t>.”</w:t>
      </w:r>
      <w:r>
        <w:rPr>
          <w:rStyle w:val="FootnoteReference"/>
        </w:rPr>
        <w:footnoteReference w:id="64"/>
      </w:r>
      <w:r w:rsidR="00DC39FA">
        <w:t xml:space="preserve">  He further states that the </w:t>
      </w:r>
      <w:r w:rsidR="00B80BCE">
        <w:t>proposed new circuit breakers will only transmit the power generated by the Sterling Facility.</w:t>
      </w:r>
      <w:r w:rsidR="00504589">
        <w:t xml:space="preserve">  </w:t>
      </w:r>
    </w:p>
    <w:p w:rsidR="0034684F" w:rsidP="00766F66">
      <w:pPr>
        <w:pStyle w:val="Heading2"/>
      </w:pPr>
      <w:r>
        <w:t xml:space="preserve">Sterling Answer </w:t>
      </w:r>
    </w:p>
    <w:p w:rsidR="00BA1121" w:rsidRPr="00BA1121" w:rsidP="00BA1121">
      <w:pPr>
        <w:pStyle w:val="FERCparanumber"/>
      </w:pPr>
      <w:r>
        <w:t xml:space="preserve">Sterling </w:t>
      </w:r>
      <w:r w:rsidRPr="00BA1121">
        <w:t xml:space="preserve">contends that </w:t>
      </w:r>
      <w:r w:rsidR="00217216">
        <w:t xml:space="preserve">the operative definition </w:t>
      </w:r>
      <w:r w:rsidR="000944C3">
        <w:t>of Good Utility Practice</w:t>
      </w:r>
      <w:r w:rsidR="00217216">
        <w:t xml:space="preserve"> </w:t>
      </w:r>
      <w:r w:rsidRPr="00BA1121">
        <w:t xml:space="preserve">is </w:t>
      </w:r>
      <w:r w:rsidR="00B84C09">
        <w:t xml:space="preserve">the </w:t>
      </w:r>
      <w:r w:rsidR="000944C3">
        <w:t>one found</w:t>
      </w:r>
      <w:r w:rsidR="00B84C09">
        <w:t xml:space="preserve"> </w:t>
      </w:r>
      <w:r w:rsidRPr="00BA1121">
        <w:t xml:space="preserve">in the </w:t>
      </w:r>
      <w:r w:rsidR="00B84C09">
        <w:t>Sterling</w:t>
      </w:r>
      <w:r w:rsidRPr="00BA1121">
        <w:t xml:space="preserve"> LGIA</w:t>
      </w:r>
      <w:r w:rsidR="00646971">
        <w:t>,</w:t>
      </w:r>
      <w:r w:rsidR="001E3385">
        <w:t xml:space="preserve"> </w:t>
      </w:r>
      <w:r w:rsidR="00660EC7">
        <w:t>and</w:t>
      </w:r>
      <w:r w:rsidRPr="00BA1121">
        <w:t xml:space="preserve"> Niagara Mohawk’s </w:t>
      </w:r>
      <w:r w:rsidR="00866F84">
        <w:t>answer</w:t>
      </w:r>
      <w:r w:rsidRPr="00BA1121">
        <w:t xml:space="preserve"> does not demonstrate that a “different design </w:t>
      </w:r>
      <w:r w:rsidRPr="004948C0">
        <w:t>is</w:t>
      </w:r>
      <w:r w:rsidRPr="00BA1121">
        <w:rPr>
          <w:i/>
          <w:iCs/>
        </w:rPr>
        <w:t xml:space="preserve"> </w:t>
      </w:r>
      <w:r w:rsidRPr="00BA1121">
        <w:t>required,” nor does the affidavit claim that it is required</w:t>
      </w:r>
      <w:r w:rsidR="001F215C">
        <w:t>; instead</w:t>
      </w:r>
      <w:r w:rsidR="000E1085">
        <w:t xml:space="preserve"> Niagara Mohawk</w:t>
      </w:r>
      <w:r w:rsidR="006358B2">
        <w:t xml:space="preserve"> claims </w:t>
      </w:r>
      <w:r w:rsidRPr="00BA1121">
        <w:t xml:space="preserve">only that, in </w:t>
      </w:r>
      <w:r w:rsidR="002261EE">
        <w:t>Mr. Falls’s</w:t>
      </w:r>
      <w:r w:rsidR="00BD6326">
        <w:t xml:space="preserve"> </w:t>
      </w:r>
      <w:r w:rsidRPr="00BA1121">
        <w:t>judgment, Good Utility Practice warrants the redesign.</w:t>
      </w:r>
      <w:r>
        <w:rPr>
          <w:b/>
          <w:vertAlign w:val="superscript"/>
        </w:rPr>
        <w:footnoteReference w:id="65"/>
      </w:r>
      <w:r w:rsidRPr="00BA1121">
        <w:t xml:space="preserve">  Sterling asserts that if Niagara Mohawk did not elect to redesign the interconnection to a breaker-and-a-half </w:t>
      </w:r>
      <w:r w:rsidR="00FC6767">
        <w:t>configuration</w:t>
      </w:r>
      <w:r w:rsidRPr="00BA1121">
        <w:t xml:space="preserve"> for its own purposes to benefit other customers, </w:t>
      </w:r>
      <w:r w:rsidR="001C21A0">
        <w:t>Niagara Mohawk</w:t>
      </w:r>
      <w:r w:rsidRPr="00BA1121">
        <w:t xml:space="preserve"> would not be demanding payment from Sterling to alter the interconnection and the associated </w:t>
      </w:r>
      <w:r w:rsidR="00CD1DD3">
        <w:t xml:space="preserve">O&amp;M </w:t>
      </w:r>
      <w:r w:rsidR="00905E8D">
        <w:t>expense</w:t>
      </w:r>
      <w:r w:rsidRPr="00BA1121">
        <w:t>.</w:t>
      </w:r>
    </w:p>
    <w:p w:rsidR="00E17960" w:rsidP="00D07138">
      <w:pPr>
        <w:pStyle w:val="FERCparanumber"/>
      </w:pPr>
      <w:r>
        <w:t xml:space="preserve">Sterling </w:t>
      </w:r>
      <w:r w:rsidRPr="00D07138" w:rsidR="00D07138">
        <w:t xml:space="preserve">argues that the Commission should deny Niagara Mohawk’s motion </w:t>
      </w:r>
      <w:r w:rsidR="006E0897">
        <w:t xml:space="preserve">to answer </w:t>
      </w:r>
      <w:r w:rsidRPr="00D07138" w:rsidR="00D07138">
        <w:t>because</w:t>
      </w:r>
      <w:r w:rsidR="00C10A68">
        <w:t xml:space="preserve">: </w:t>
      </w:r>
      <w:r w:rsidRPr="00D07138" w:rsidR="00D07138">
        <w:t xml:space="preserve"> (1) it is </w:t>
      </w:r>
      <w:r w:rsidR="00013AED">
        <w:t>an</w:t>
      </w:r>
      <w:r w:rsidRPr="00D07138" w:rsidR="00D07138">
        <w:t xml:space="preserve"> improper answer merely denominated as a motion to supplement</w:t>
      </w:r>
      <w:r w:rsidR="00065678">
        <w:t>;</w:t>
      </w:r>
      <w:r w:rsidRPr="00D07138" w:rsidR="00D07138">
        <w:t xml:space="preserve"> (2) Niagara Mohawk does not demonstrate good cause for filing </w:t>
      </w:r>
      <w:r w:rsidR="00183E24">
        <w:t xml:space="preserve">an affidavit and </w:t>
      </w:r>
      <w:r w:rsidRPr="00D07138" w:rsidR="00D07138">
        <w:t xml:space="preserve">a 2023 generic planning document that predates </w:t>
      </w:r>
      <w:r w:rsidR="00393F01">
        <w:t>its</w:t>
      </w:r>
      <w:r w:rsidRPr="00D07138" w:rsidR="00393F01">
        <w:t xml:space="preserve"> </w:t>
      </w:r>
      <w:r w:rsidRPr="00D07138" w:rsidR="00D07138">
        <w:t>initial filing</w:t>
      </w:r>
      <w:r w:rsidR="00065678">
        <w:t>;</w:t>
      </w:r>
      <w:r w:rsidRPr="00D07138" w:rsidR="00D07138">
        <w:t xml:space="preserve"> and (3) the </w:t>
      </w:r>
      <w:r w:rsidR="00DC4394">
        <w:t>answer</w:t>
      </w:r>
      <w:r w:rsidRPr="00D07138" w:rsidR="00D07138">
        <w:t xml:space="preserve"> does not add useful information.</w:t>
      </w:r>
      <w:r>
        <w:rPr>
          <w:b/>
          <w:vertAlign w:val="superscript"/>
        </w:rPr>
        <w:footnoteReference w:id="66"/>
      </w:r>
    </w:p>
    <w:p w:rsidR="00E92EFB" w:rsidP="00E92EFB">
      <w:pPr>
        <w:pStyle w:val="Heading2"/>
      </w:pPr>
      <w:r>
        <w:t>Deficiency Response</w:t>
      </w:r>
    </w:p>
    <w:p w:rsidR="002F5B1C" w:rsidP="000E6A91">
      <w:pPr>
        <w:pStyle w:val="FERCparanumber"/>
      </w:pPr>
      <w:r>
        <w:t xml:space="preserve">In its Deficiency Letter, </w:t>
      </w:r>
      <w:r w:rsidR="00585A8C">
        <w:t xml:space="preserve">Commission </w:t>
      </w:r>
      <w:r w:rsidR="00615157">
        <w:t>staff</w:t>
      </w:r>
      <w:r w:rsidR="00585A8C">
        <w:t xml:space="preserve"> sought clarification on several aspects of Niagara Mohawk’s proposed Am</w:t>
      </w:r>
      <w:r w:rsidR="00CC452D">
        <w:t>ended LGIA, including the agreement’s status under NYISO’s OATT</w:t>
      </w:r>
      <w:r w:rsidR="00A25899">
        <w:t>, the implications of proposed substation upgrades, and the cost allocation for those upgrades</w:t>
      </w:r>
      <w:r w:rsidR="004308A8">
        <w:t xml:space="preserve">. </w:t>
      </w:r>
      <w:r w:rsidR="0022425B">
        <w:t xml:space="preserve"> </w:t>
      </w:r>
      <w:r w:rsidR="006E68A2">
        <w:t>Commission</w:t>
      </w:r>
      <w:r w:rsidR="006E1176">
        <w:t xml:space="preserve"> staff</w:t>
      </w:r>
      <w:r w:rsidR="006E68A2">
        <w:t xml:space="preserve"> </w:t>
      </w:r>
      <w:r w:rsidR="00C40FDE">
        <w:t>also</w:t>
      </w:r>
      <w:r w:rsidR="006E68A2">
        <w:t xml:space="preserve"> requested </w:t>
      </w:r>
      <w:r w:rsidR="001C18F1">
        <w:t>more information regarding</w:t>
      </w:r>
      <w:r w:rsidR="006E68A2">
        <w:t xml:space="preserve"> whether the infrastructure replacements and reconfiguration at the Oneida Substation </w:t>
      </w:r>
      <w:r w:rsidR="001C18F1">
        <w:t xml:space="preserve">would </w:t>
      </w:r>
      <w:r w:rsidR="006E68A2">
        <w:t xml:space="preserve">constitute a material modification to the </w:t>
      </w:r>
      <w:r w:rsidR="001C18F1">
        <w:t xml:space="preserve">interconnection of the </w:t>
      </w:r>
      <w:r w:rsidR="006E68A2">
        <w:t xml:space="preserve">Sterling Facility, </w:t>
      </w:r>
      <w:r w:rsidR="00410418">
        <w:t>why</w:t>
      </w:r>
      <w:r w:rsidR="006E68A2">
        <w:t xml:space="preserve"> Niagara Mohawk’s proposed cost allocation aligns with tariff requirements</w:t>
      </w:r>
      <w:r>
        <w:t xml:space="preserve">, and </w:t>
      </w:r>
      <w:r w:rsidR="004E11A2">
        <w:t>why</w:t>
      </w:r>
      <w:r>
        <w:t xml:space="preserve"> instating certain provisions of the NYISO </w:t>
      </w:r>
      <w:r w:rsidRPr="00C0522A">
        <w:rPr>
          <w:i/>
        </w:rPr>
        <w:t>pro forma</w:t>
      </w:r>
      <w:r>
        <w:t xml:space="preserve"> LGIA </w:t>
      </w:r>
      <w:r w:rsidR="001C18F1">
        <w:t>would be</w:t>
      </w:r>
      <w:r>
        <w:t xml:space="preserve"> appropriate. </w:t>
      </w:r>
    </w:p>
    <w:p w:rsidR="000E6A91" w:rsidP="000E6A91">
      <w:pPr>
        <w:pStyle w:val="FERCparanumber"/>
      </w:pPr>
      <w:r>
        <w:t xml:space="preserve">Niagara Mohawk </w:t>
      </w:r>
      <w:r w:rsidR="00E15521">
        <w:t>acknowledges</w:t>
      </w:r>
      <w:r w:rsidR="00BB4969">
        <w:t xml:space="preserve"> that </w:t>
      </w:r>
      <w:r w:rsidR="00E15521">
        <w:t xml:space="preserve">the Sterling LGIA is not </w:t>
      </w:r>
      <w:r w:rsidR="00B57BA8">
        <w:t>a grandfathered agreement</w:t>
      </w:r>
      <w:r w:rsidR="003D26ED">
        <w:t xml:space="preserve"> as defined in Attachment X to the NYISO OATT</w:t>
      </w:r>
      <w:r>
        <w:rPr>
          <w:rStyle w:val="FootnoteReference"/>
        </w:rPr>
        <w:footnoteReference w:id="67"/>
      </w:r>
      <w:r w:rsidR="00B57BA8">
        <w:t xml:space="preserve"> </w:t>
      </w:r>
      <w:r w:rsidR="001C46A3">
        <w:t xml:space="preserve">because, </w:t>
      </w:r>
      <w:r w:rsidR="004D4F0F">
        <w:t xml:space="preserve">though the Parties </w:t>
      </w:r>
      <w:r w:rsidR="002A0B9B">
        <w:t>formed</w:t>
      </w:r>
      <w:r w:rsidR="004D4F0F">
        <w:t xml:space="preserve"> an interconnection agreement prior to </w:t>
      </w:r>
      <w:r w:rsidR="000C3D4F">
        <w:t xml:space="preserve">NYISO’s Order No. 2003 compliance, Niagara Mohawk did not </w:t>
      </w:r>
      <w:r w:rsidR="008247DB">
        <w:t>file</w:t>
      </w:r>
      <w:r w:rsidR="000C3D4F">
        <w:t xml:space="preserve"> that agreement </w:t>
      </w:r>
      <w:r w:rsidR="008247DB">
        <w:t>with</w:t>
      </w:r>
      <w:r w:rsidR="000C3D4F">
        <w:t xml:space="preserve"> the Commission until 2007.</w:t>
      </w:r>
      <w:r>
        <w:rPr>
          <w:rStyle w:val="FootnoteReference"/>
        </w:rPr>
        <w:footnoteReference w:id="68"/>
      </w:r>
      <w:r w:rsidR="000C3D4F">
        <w:t xml:space="preserve"> </w:t>
      </w:r>
      <w:r w:rsidR="00B57BA8">
        <w:t xml:space="preserve"> </w:t>
      </w:r>
      <w:r w:rsidR="00300425">
        <w:t xml:space="preserve">Niagara Mohawk argues that the </w:t>
      </w:r>
      <w:r w:rsidR="004F35B7">
        <w:t>ongoing omission of any term identified in A</w:t>
      </w:r>
      <w:r w:rsidR="00C33464">
        <w:t xml:space="preserve">ppendix H to the Sterling LGIA is not consistent with, or superior to, the terms of the NYISO </w:t>
      </w:r>
      <w:r w:rsidR="00C33464">
        <w:rPr>
          <w:i/>
          <w:iCs/>
        </w:rPr>
        <w:t>pro forma</w:t>
      </w:r>
      <w:r w:rsidR="00C33464">
        <w:t xml:space="preserve"> LGIA, but </w:t>
      </w:r>
      <w:r w:rsidR="00EF0703">
        <w:t xml:space="preserve">that </w:t>
      </w:r>
      <w:r w:rsidR="00AB4883">
        <w:t xml:space="preserve">Niagara Mohawk </w:t>
      </w:r>
      <w:r w:rsidR="00EF0703">
        <w:t xml:space="preserve">nonetheless </w:t>
      </w:r>
      <w:r w:rsidR="00AB4883">
        <w:t>proposes to reinstate Article 11.5</w:t>
      </w:r>
      <w:r w:rsidR="007115D3">
        <w:t>.</w:t>
      </w:r>
      <w:r>
        <w:rPr>
          <w:rStyle w:val="FootnoteReference"/>
        </w:rPr>
        <w:footnoteReference w:id="69"/>
      </w:r>
      <w:r w:rsidR="00EF0703">
        <w:t xml:space="preserve">  </w:t>
      </w:r>
      <w:r w:rsidRPr="00E70BA4" w:rsidR="00EF0703">
        <w:t>However</w:t>
      </w:r>
      <w:r w:rsidRPr="00E70BA4" w:rsidR="00471152">
        <w:t xml:space="preserve">, Niagara Mohawk states that it has no objection if the Commission </w:t>
      </w:r>
      <w:r w:rsidRPr="00E70BA4" w:rsidR="00DB1313">
        <w:t>decides that Appendix H should be removed entirely from the Amended LGIA</w:t>
      </w:r>
      <w:r w:rsidR="00DB1313">
        <w:t>.</w:t>
      </w:r>
    </w:p>
    <w:p w:rsidR="00D446DC" w:rsidP="000E6A91">
      <w:pPr>
        <w:pStyle w:val="FERCparanumber"/>
      </w:pPr>
      <w:r>
        <w:t xml:space="preserve">Niagara Mohawk </w:t>
      </w:r>
      <w:r w:rsidR="00A53D79">
        <w:t>states</w:t>
      </w:r>
      <w:r w:rsidR="008743B8">
        <w:t xml:space="preserve"> that</w:t>
      </w:r>
      <w:r w:rsidR="00D40293">
        <w:t>,</w:t>
      </w:r>
      <w:r w:rsidR="005D3A50">
        <w:t xml:space="preserve"> as early as 2021, it identified notable asset deficiencies due to age and condition of various critical components at the Oneida Substation.</w:t>
      </w:r>
      <w:r>
        <w:rPr>
          <w:rStyle w:val="FootnoteReference"/>
        </w:rPr>
        <w:footnoteReference w:id="70"/>
      </w:r>
      <w:r w:rsidR="00FD3954">
        <w:t xml:space="preserve">  </w:t>
      </w:r>
      <w:r w:rsidR="00234D13">
        <w:t>Niagara Mohawk states that it has concluded that five 115-kV oil circuit breakers require</w:t>
      </w:r>
      <w:r w:rsidR="00BA0CDC">
        <w:t xml:space="preserve"> replacement, and that its field engineers have monitored those breakers for years and reported a history of leaks and mechanism issues particular to each</w:t>
      </w:r>
      <w:r w:rsidR="000335FE">
        <w:t xml:space="preserve"> breaker</w:t>
      </w:r>
      <w:r w:rsidR="00BA0CDC">
        <w:t xml:space="preserve">.  </w:t>
      </w:r>
      <w:r w:rsidR="003D7470">
        <w:t xml:space="preserve">Niagara Mohawk further states that the original manufacturers of those breakers </w:t>
      </w:r>
      <w:r w:rsidR="00F92D76">
        <w:t xml:space="preserve">no longer have replacement inventory, as the components have a mixed vintage ranging from 1959 to 1962.  Niagara Mohawk states that other asset deficiencies at the </w:t>
      </w:r>
      <w:r w:rsidR="0042561A">
        <w:t xml:space="preserve">substation </w:t>
      </w:r>
      <w:r w:rsidR="00F92D76">
        <w:t xml:space="preserve">include </w:t>
      </w:r>
      <w:r w:rsidR="00586FD9">
        <w:t xml:space="preserve">worn components applicable to </w:t>
      </w:r>
      <w:r w:rsidR="00436198">
        <w:t>19</w:t>
      </w:r>
      <w:r w:rsidR="00586FD9">
        <w:t xml:space="preserve"> manual gang-operated disconnect switches and 90 cap and pin insulators, which are original to the 1961 </w:t>
      </w:r>
      <w:r w:rsidR="00145CC3">
        <w:t xml:space="preserve">construction of the facility.  Niagara Mohawk states that </w:t>
      </w:r>
      <w:r w:rsidR="003E1128">
        <w:t xml:space="preserve">switches #41 and #43, which are classified as Sterling Attachment Facilities, are among the </w:t>
      </w:r>
      <w:r w:rsidR="009904AB">
        <w:t>19</w:t>
      </w:r>
      <w:r w:rsidR="003E1128">
        <w:t xml:space="preserve"> </w:t>
      </w:r>
      <w:r w:rsidR="00907747">
        <w:t>switches that require replacement.</w:t>
      </w:r>
    </w:p>
    <w:p w:rsidR="00A85BAA" w:rsidP="000E6A91">
      <w:pPr>
        <w:pStyle w:val="FERCparanumber"/>
      </w:pPr>
      <w:r>
        <w:t xml:space="preserve">Niagara Mohawk states that the proposed breaker-and-a-half </w:t>
      </w:r>
      <w:r w:rsidR="0003717E">
        <w:t>configuration</w:t>
      </w:r>
      <w:r w:rsidR="004712D9">
        <w:t xml:space="preserve"> would involve the addition of a new circuit breaker (Breaker R815)</w:t>
      </w:r>
      <w:r w:rsidR="006B0E25">
        <w:t xml:space="preserve"> to the Oneida Substation that would in part be u</w:t>
      </w:r>
      <w:r w:rsidR="00025BA7">
        <w:t>s</w:t>
      </w:r>
      <w:r w:rsidR="006B0E25">
        <w:t xml:space="preserve">ed to </w:t>
      </w:r>
      <w:r w:rsidR="00473090">
        <w:t xml:space="preserve">isolate the Sterling Facility during certain </w:t>
      </w:r>
      <w:r w:rsidR="007E1F49">
        <w:t>O&amp;M</w:t>
      </w:r>
      <w:r w:rsidR="00473090">
        <w:t xml:space="preserve"> work at the substation.</w:t>
      </w:r>
      <w:r>
        <w:rPr>
          <w:rStyle w:val="FootnoteReference"/>
        </w:rPr>
        <w:footnoteReference w:id="71"/>
      </w:r>
      <w:r w:rsidR="00473090">
        <w:t xml:space="preserve">  </w:t>
      </w:r>
      <w:r w:rsidR="00D077DF">
        <w:t>Niagara Mohawk clarifies, however, that Breaker R815</w:t>
      </w:r>
      <w:r w:rsidR="00913BB8">
        <w:t xml:space="preserve"> will be on the transmission side of the point of interconnection, and will therefore not be </w:t>
      </w:r>
      <w:r w:rsidR="00921107">
        <w:t>included in the Connecting Transmission Owner’s Attachment Facilities.</w:t>
      </w:r>
      <w:r w:rsidR="00B44926">
        <w:t xml:space="preserve">  Niagara Mohawk states that it is therefore not proposing to charge Sterling for </w:t>
      </w:r>
      <w:r w:rsidR="00D84ABF">
        <w:t xml:space="preserve">the investment </w:t>
      </w:r>
      <w:r w:rsidR="00CB3E9C">
        <w:t>cost</w:t>
      </w:r>
      <w:r w:rsidR="00D84ABF">
        <w:t xml:space="preserve"> or the O&amp;M expense associated with </w:t>
      </w:r>
      <w:r w:rsidR="009E37F2">
        <w:t xml:space="preserve">the addition of </w:t>
      </w:r>
      <w:r w:rsidR="00D84ABF">
        <w:t xml:space="preserve">Breaker R815.  Niagara Mohawk states that Sterling would only be responsible for the costs </w:t>
      </w:r>
      <w:r w:rsidR="009C0241">
        <w:t xml:space="preserve">applicable to the list of </w:t>
      </w:r>
      <w:r w:rsidRPr="00270E67" w:rsidR="009C0241">
        <w:t>Sterling Attachment Facilities</w:t>
      </w:r>
      <w:r w:rsidR="009C0241">
        <w:t xml:space="preserve"> identified in the Amended LGIA that remain unmodified from the list provided </w:t>
      </w:r>
      <w:r w:rsidR="003D4500">
        <w:t>in the Sterling LGIA.</w:t>
      </w:r>
      <w:r>
        <w:rPr>
          <w:rStyle w:val="FootnoteReference"/>
        </w:rPr>
        <w:footnoteReference w:id="72"/>
      </w:r>
    </w:p>
    <w:p w:rsidR="00270E67" w:rsidP="000E6A91">
      <w:pPr>
        <w:pStyle w:val="FERCparanumber"/>
      </w:pPr>
      <w:r>
        <w:t xml:space="preserve">Niagara Mohawk states that a </w:t>
      </w:r>
      <w:r w:rsidR="00E517FE">
        <w:t>breaker-and-a-half configuration consists of two main buses, and features one circuit breaker between every two circuits, resulting in 1.5 breakers per circuit.</w:t>
      </w:r>
      <w:r>
        <w:rPr>
          <w:rStyle w:val="FootnoteReference"/>
        </w:rPr>
        <w:footnoteReference w:id="73"/>
      </w:r>
      <w:r w:rsidR="001C52B5">
        <w:t xml:space="preserve">  </w:t>
      </w:r>
      <w:r w:rsidR="007C6E91">
        <w:t xml:space="preserve">Niagara Mohawk asserts that one benefit of </w:t>
      </w:r>
      <w:r w:rsidR="00901FAF">
        <w:t>this configuration is that it could take several circuits at the substation into an outage state while isolating the Sterling Facility from that interruption</w:t>
      </w:r>
      <w:r w:rsidR="003B2BAD">
        <w:t>, thus permitting the Sterling Facility to dispatch power notwithstanding the outage</w:t>
      </w:r>
      <w:r w:rsidR="00EA1B42">
        <w:t xml:space="preserve"> state of other circuits</w:t>
      </w:r>
      <w:r w:rsidR="003B2BAD">
        <w:t>.</w:t>
      </w:r>
      <w:r>
        <w:rPr>
          <w:rStyle w:val="FootnoteReference"/>
        </w:rPr>
        <w:footnoteReference w:id="74"/>
      </w:r>
      <w:r w:rsidR="003832F6">
        <w:t xml:space="preserve">  Niagara Mohawk states that another benefit </w:t>
      </w:r>
      <w:r w:rsidR="00264998">
        <w:t xml:space="preserve">of </w:t>
      </w:r>
      <w:r w:rsidR="00C20A1F">
        <w:t xml:space="preserve">this horizontal bus design </w:t>
      </w:r>
      <w:r w:rsidR="00264998">
        <w:t xml:space="preserve">is </w:t>
      </w:r>
      <w:r w:rsidR="00C20A1F">
        <w:t>that it better ensures</w:t>
      </w:r>
      <w:r w:rsidR="00264998">
        <w:t xml:space="preserve"> against safety risks caused by limited workspace due to the close proximity of parallel buses.</w:t>
      </w:r>
    </w:p>
    <w:p w:rsidR="00C20A1F" w:rsidP="000E6A91">
      <w:pPr>
        <w:pStyle w:val="FERCparanumber"/>
      </w:pPr>
      <w:r>
        <w:t xml:space="preserve">Niagara Mohawk adds that it is impractical in an engineering sense to redesign six of seven </w:t>
      </w:r>
      <w:r w:rsidR="0005367D">
        <w:t>circuits in a breaker-and-a-half configuration and leave Sterling’s circuit in a single breaker design.</w:t>
      </w:r>
      <w:r>
        <w:rPr>
          <w:rStyle w:val="FootnoteReference"/>
        </w:rPr>
        <w:footnoteReference w:id="75"/>
      </w:r>
      <w:r w:rsidR="0005367D">
        <w:t xml:space="preserve">  </w:t>
      </w:r>
      <w:r w:rsidR="00CD229B">
        <w:t xml:space="preserve">Niagara Mohawk states that it would increase costs for all customers to accommodate such an unconventional hybrid </w:t>
      </w:r>
      <w:r w:rsidR="00650D4F">
        <w:t>substation design.</w:t>
      </w:r>
    </w:p>
    <w:p w:rsidR="00BC4CE9" w:rsidRPr="00197819" w:rsidP="000E6A91">
      <w:pPr>
        <w:pStyle w:val="FERCparanumber"/>
      </w:pPr>
      <w:r>
        <w:t xml:space="preserve">Niagara Mohawk asserts that </w:t>
      </w:r>
      <w:r w:rsidR="00B36305">
        <w:t xml:space="preserve">neither the replacement </w:t>
      </w:r>
      <w:r w:rsidR="00D5168C">
        <w:t xml:space="preserve">nor the reconfiguration of the Oneida Substation </w:t>
      </w:r>
      <w:r w:rsidR="009D6B5D">
        <w:t>is triggered by, nor do they result in, a material modification to the operating characteristics of the Sterling Facility.</w:t>
      </w:r>
      <w:r>
        <w:rPr>
          <w:rStyle w:val="FootnoteReference"/>
        </w:rPr>
        <w:footnoteReference w:id="76"/>
      </w:r>
      <w:r w:rsidR="0041625A">
        <w:t xml:space="preserve">  Niagara Mohawk states that </w:t>
      </w:r>
      <w:r w:rsidR="00261D38">
        <w:t xml:space="preserve">the voltage criteria during switching and steady state switching at the rebuilt Oneida Substation will not change from the </w:t>
      </w:r>
      <w:r w:rsidR="00162ED8">
        <w:t>voltage criteria presently observed</w:t>
      </w:r>
      <w:r w:rsidRPr="00197819" w:rsidR="00162ED8">
        <w:t>.</w:t>
      </w:r>
      <w:r w:rsidRPr="00197819" w:rsidR="00280705">
        <w:t xml:space="preserve">  Niagara Mohawk states that it is, however, adding a new capacitor bank to th</w:t>
      </w:r>
      <w:r w:rsidRPr="00197819" w:rsidR="003A7861">
        <w:t xml:space="preserve">e rebuilt Oneida Substation at the expense of its native load customers </w:t>
      </w:r>
      <w:r w:rsidRPr="00197819" w:rsidR="00274E2E">
        <w:t>to mitigate the effect on the system that the eventual retirement of the Sterling Facility is expected to cause</w:t>
      </w:r>
      <w:r w:rsidRPr="00197819" w:rsidR="00F16162">
        <w:t>.  Niagara Mohawk further states that this redundancy is informed by Good Utility Practice and the expense will not be borne by Sterling.</w:t>
      </w:r>
    </w:p>
    <w:p w:rsidR="00242C94" w:rsidP="00E029FC">
      <w:pPr>
        <w:pStyle w:val="Heading2"/>
      </w:pPr>
      <w:r>
        <w:t xml:space="preserve">Sterling </w:t>
      </w:r>
      <w:r w:rsidR="00E029FC">
        <w:t>Protest to Deficiency Response</w:t>
      </w:r>
    </w:p>
    <w:p w:rsidR="003D7BAB" w:rsidRPr="00E029FC">
      <w:pPr>
        <w:pStyle w:val="FERCparanumber"/>
      </w:pPr>
      <w:r>
        <w:t>Sterling states that</w:t>
      </w:r>
      <w:r w:rsidR="009D5577">
        <w:t xml:space="preserve"> </w:t>
      </w:r>
      <w:r w:rsidR="00007C89">
        <w:t>Niagara Mohawk’s</w:t>
      </w:r>
      <w:r w:rsidR="009D5577">
        <w:t xml:space="preserve"> </w:t>
      </w:r>
      <w:r w:rsidR="00E90D7E">
        <w:t xml:space="preserve">cost </w:t>
      </w:r>
      <w:r w:rsidR="009D5577">
        <w:t xml:space="preserve">breakdown supplied to Sterling shows that </w:t>
      </w:r>
      <w:r w:rsidR="00F61DB6">
        <w:t>approximately 98%</w:t>
      </w:r>
      <w:r w:rsidR="009D5577">
        <w:t xml:space="preserve"> of the costs </w:t>
      </w:r>
      <w:r w:rsidR="001D739D">
        <w:t xml:space="preserve">at issue </w:t>
      </w:r>
      <w:r w:rsidR="009D5577">
        <w:t xml:space="preserve">are for </w:t>
      </w:r>
      <w:r w:rsidR="00951850">
        <w:t>Connecting Transmission Owner’s Attachment Facilities</w:t>
      </w:r>
      <w:r w:rsidR="009D5577">
        <w:t>.</w:t>
      </w:r>
      <w:r>
        <w:rPr>
          <w:rStyle w:val="FootnoteReference"/>
        </w:rPr>
        <w:footnoteReference w:id="77"/>
      </w:r>
      <w:r w:rsidR="009D5577">
        <w:t xml:space="preserve">  </w:t>
      </w:r>
      <w:r w:rsidR="003C55A4">
        <w:t xml:space="preserve">Sterling states that the Sterling </w:t>
      </w:r>
      <w:r w:rsidR="005233DD">
        <w:t>Facility</w:t>
      </w:r>
      <w:r w:rsidR="003C55A4">
        <w:t xml:space="preserve"> is a peaker unit that operates at approximately </w:t>
      </w:r>
      <w:r w:rsidR="005233DD">
        <w:t>1%</w:t>
      </w:r>
      <w:r w:rsidR="003C55A4">
        <w:t xml:space="preserve"> of its capacity</w:t>
      </w:r>
      <w:r w:rsidR="00303DA6">
        <w:t>, and that</w:t>
      </w:r>
      <w:r w:rsidR="003C55A4">
        <w:t xml:space="preserve"> the current design </w:t>
      </w:r>
      <w:r w:rsidR="002F7FF4">
        <w:t xml:space="preserve">of </w:t>
      </w:r>
      <w:r w:rsidR="009347F1">
        <w:t>the facility’s</w:t>
      </w:r>
      <w:r w:rsidR="002F7FF4">
        <w:t xml:space="preserve"> interconnection to the Oneida Substation</w:t>
      </w:r>
      <w:r w:rsidR="003C55A4">
        <w:t xml:space="preserve"> has </w:t>
      </w:r>
      <w:r w:rsidR="00855404">
        <w:t>therefore</w:t>
      </w:r>
      <w:r w:rsidR="003C55A4">
        <w:t xml:space="preserve"> met its needs</w:t>
      </w:r>
      <w:r w:rsidR="00E3789B">
        <w:t>.</w:t>
      </w:r>
      <w:r>
        <w:rPr>
          <w:rStyle w:val="FootnoteReference"/>
        </w:rPr>
        <w:footnoteReference w:id="78"/>
      </w:r>
      <w:r w:rsidR="00E3789B">
        <w:t xml:space="preserve">  </w:t>
      </w:r>
      <w:r w:rsidR="006C44E4">
        <w:t xml:space="preserve">Sterling </w:t>
      </w:r>
      <w:r w:rsidR="00726893">
        <w:t>asserts</w:t>
      </w:r>
      <w:r w:rsidR="006C44E4">
        <w:t xml:space="preserve"> that installation </w:t>
      </w:r>
      <w:r w:rsidR="00FF63B2">
        <w:t xml:space="preserve">of the capacitor bank </w:t>
      </w:r>
      <w:r w:rsidR="00AF3DDF">
        <w:t xml:space="preserve">included in the proposed </w:t>
      </w:r>
      <w:r w:rsidR="00176190">
        <w:t xml:space="preserve">replacements </w:t>
      </w:r>
      <w:r w:rsidR="006C44E4">
        <w:t>will reduce the voltage support provided by Sterling</w:t>
      </w:r>
      <w:r w:rsidR="00832363">
        <w:t>, thereby harming Sterling</w:t>
      </w:r>
      <w:r w:rsidR="006C44E4">
        <w:t>.</w:t>
      </w:r>
      <w:r>
        <w:rPr>
          <w:rStyle w:val="FootnoteReference"/>
        </w:rPr>
        <w:footnoteReference w:id="79"/>
      </w:r>
      <w:r w:rsidR="006C44E4">
        <w:t xml:space="preserve"> </w:t>
      </w:r>
      <w:r w:rsidR="001E0B40">
        <w:t xml:space="preserve"> Sterling </w:t>
      </w:r>
      <w:r w:rsidR="00093C69">
        <w:t>asserts</w:t>
      </w:r>
      <w:r w:rsidR="001E0B40">
        <w:t xml:space="preserve"> that</w:t>
      </w:r>
      <w:r w:rsidR="00A67A8D">
        <w:t xml:space="preserve"> the proposed replacements</w:t>
      </w:r>
      <w:r w:rsidR="003B7839">
        <w:t xml:space="preserve"> also </w:t>
      </w:r>
      <w:r w:rsidR="00A67A8D">
        <w:t xml:space="preserve">include </w:t>
      </w:r>
      <w:r w:rsidR="003B7839">
        <w:t xml:space="preserve">replacing a relatively new breaker </w:t>
      </w:r>
      <w:r w:rsidR="008C02AD">
        <w:t>that Sterling paid for</w:t>
      </w:r>
      <w:r w:rsidR="003B7839">
        <w:t>.</w:t>
      </w:r>
      <w:r>
        <w:rPr>
          <w:rStyle w:val="FootnoteReference"/>
        </w:rPr>
        <w:footnoteReference w:id="80"/>
      </w:r>
      <w:r w:rsidR="006C44E4">
        <w:t xml:space="preserve">  </w:t>
      </w:r>
      <w:r w:rsidR="00AF2656">
        <w:t xml:space="preserve">Sterling </w:t>
      </w:r>
      <w:r w:rsidR="00006E1C">
        <w:t>also</w:t>
      </w:r>
      <w:r w:rsidR="009633C5">
        <w:t xml:space="preserve"> asserts</w:t>
      </w:r>
      <w:r w:rsidR="00006E1C">
        <w:t xml:space="preserve"> </w:t>
      </w:r>
      <w:r w:rsidR="00AF2656">
        <w:t xml:space="preserve">that Niagara Mohawk’s reference to </w:t>
      </w:r>
      <w:r w:rsidR="00CE4C95">
        <w:t xml:space="preserve">equipment vintages between </w:t>
      </w:r>
      <w:r w:rsidR="00AF2656">
        <w:t xml:space="preserve">1959 </w:t>
      </w:r>
      <w:r w:rsidR="00CE4C95">
        <w:t>and</w:t>
      </w:r>
      <w:r w:rsidR="00AF2656">
        <w:t xml:space="preserve"> 19</w:t>
      </w:r>
      <w:r w:rsidR="00284B23">
        <w:t xml:space="preserve">62 </w:t>
      </w:r>
      <w:r w:rsidR="00CE4C95">
        <w:t>do</w:t>
      </w:r>
      <w:r w:rsidR="00666794">
        <w:t>es</w:t>
      </w:r>
      <w:r w:rsidR="00CE4C95">
        <w:t xml:space="preserve"> </w:t>
      </w:r>
      <w:r w:rsidR="00E87BA3">
        <w:t xml:space="preserve">not </w:t>
      </w:r>
      <w:r w:rsidR="00A577C8">
        <w:t xml:space="preserve">include the breaker that services the </w:t>
      </w:r>
      <w:r w:rsidR="00E87BA3">
        <w:t>Sterling</w:t>
      </w:r>
      <w:r w:rsidR="00A577C8">
        <w:t xml:space="preserve"> Facility</w:t>
      </w:r>
      <w:r w:rsidR="00E17CBC">
        <w:t>.</w:t>
      </w:r>
      <w:r>
        <w:rPr>
          <w:rStyle w:val="FootnoteReference"/>
        </w:rPr>
        <w:footnoteReference w:id="81"/>
      </w:r>
      <w:r w:rsidR="00BA4B6B">
        <w:t xml:space="preserve">  </w:t>
      </w:r>
      <w:r w:rsidR="00D43369">
        <w:t xml:space="preserve">Sterling </w:t>
      </w:r>
      <w:r w:rsidR="00F240BA">
        <w:t xml:space="preserve">argues that </w:t>
      </w:r>
      <w:r w:rsidR="001920BF">
        <w:t xml:space="preserve">no aspect of </w:t>
      </w:r>
      <w:r w:rsidR="00FE774B">
        <w:t xml:space="preserve">the </w:t>
      </w:r>
      <w:r w:rsidR="00A55329">
        <w:t>proposed replacements</w:t>
      </w:r>
      <w:r w:rsidR="001920BF">
        <w:t xml:space="preserve"> </w:t>
      </w:r>
      <w:r w:rsidR="00750FFB">
        <w:t xml:space="preserve">comes about from any changes at the Sterling </w:t>
      </w:r>
      <w:r w:rsidR="00A55329">
        <w:t>Facility</w:t>
      </w:r>
      <w:r w:rsidR="00E33184">
        <w:t>.</w:t>
      </w:r>
      <w:r>
        <w:rPr>
          <w:rStyle w:val="FootnoteReference"/>
        </w:rPr>
        <w:footnoteReference w:id="82"/>
      </w:r>
      <w:r w:rsidR="008710C8">
        <w:t xml:space="preserve"> </w:t>
      </w:r>
      <w:r w:rsidR="00422C65">
        <w:t xml:space="preserve"> </w:t>
      </w:r>
    </w:p>
    <w:p w:rsidR="00DD185F" w:rsidRPr="00745DD4" w:rsidP="00DD185F">
      <w:pPr>
        <w:pStyle w:val="Heading1"/>
      </w:pPr>
      <w:r w:rsidRPr="00745DD4">
        <w:t>Discussion</w:t>
      </w:r>
    </w:p>
    <w:p w:rsidR="00071721" w:rsidP="00071721">
      <w:pPr>
        <w:pStyle w:val="Heading2"/>
      </w:pPr>
      <w:r w:rsidRPr="002E10F7">
        <w:t>Procedural</w:t>
      </w:r>
      <w:r>
        <w:t xml:space="preserve"> Matter</w:t>
      </w:r>
      <w:r w:rsidR="00711D15">
        <w:t>s</w:t>
      </w:r>
    </w:p>
    <w:p w:rsidR="004669D6" w:rsidRPr="00C605EA" w:rsidP="004669D6">
      <w:pPr>
        <w:pStyle w:val="FERCparanumber"/>
      </w:pPr>
      <w:r w:rsidRPr="00C605EA">
        <w:t>Pursuant to Rule 214 of the Commission’s Rules of Practice and Procedure, 18</w:t>
      </w:r>
      <w:r w:rsidR="00C5425A">
        <w:t> </w:t>
      </w:r>
      <w:r w:rsidRPr="00C605EA">
        <w:t>C.F.R. §</w:t>
      </w:r>
      <w:r>
        <w:t> </w:t>
      </w:r>
      <w:r w:rsidRPr="00C605EA">
        <w:t>385.214 (202</w:t>
      </w:r>
      <w:r>
        <w:t>4</w:t>
      </w:r>
      <w:r w:rsidRPr="00C605EA">
        <w:t xml:space="preserve">), </w:t>
      </w:r>
      <w:r w:rsidR="00B20060">
        <w:t>Sterling’s</w:t>
      </w:r>
      <w:r w:rsidRPr="00C605EA" w:rsidR="00B20060">
        <w:t xml:space="preserve"> </w:t>
      </w:r>
      <w:r w:rsidRPr="00C605EA">
        <w:t>timely, unopposed motion to intervene serve</w:t>
      </w:r>
      <w:r w:rsidR="00B20060">
        <w:t>s</w:t>
      </w:r>
      <w:r w:rsidRPr="00C605EA">
        <w:t xml:space="preserve"> to make </w:t>
      </w:r>
      <w:r w:rsidR="00B20060">
        <w:t>it a</w:t>
      </w:r>
      <w:r w:rsidRPr="00C605EA">
        <w:t xml:space="preserve"> part</w:t>
      </w:r>
      <w:r w:rsidR="00B20060">
        <w:t>y</w:t>
      </w:r>
      <w:r w:rsidRPr="00C605EA">
        <w:t xml:space="preserve"> to this proceeding.</w:t>
      </w:r>
    </w:p>
    <w:p w:rsidR="00071721" w:rsidRPr="00711D15" w:rsidP="00135E13">
      <w:pPr>
        <w:pStyle w:val="FERCparanumber"/>
        <w:rPr>
          <w:b/>
          <w:bCs/>
        </w:rPr>
      </w:pPr>
      <w:r>
        <w:t xml:space="preserve">Rule 213(a)(2) of the Commission’s Rules of Practice and Procedure, </w:t>
      </w:r>
      <w:r w:rsidRPr="00C06180">
        <w:t>18</w:t>
      </w:r>
      <w:r w:rsidR="00C5425A">
        <w:t> </w:t>
      </w:r>
      <w:r w:rsidRPr="00C06180">
        <w:t>C.F.R. §</w:t>
      </w:r>
      <w:r w:rsidR="00573E06">
        <w:t> </w:t>
      </w:r>
      <w:r w:rsidRPr="00C06180">
        <w:t>385.213(a)(2)</w:t>
      </w:r>
      <w:r w:rsidR="006C3533">
        <w:t xml:space="preserve"> (2024)</w:t>
      </w:r>
      <w:r>
        <w:t xml:space="preserve">, prohibits an answer to a protest </w:t>
      </w:r>
      <w:r w:rsidR="00253FAB">
        <w:t>or answer</w:t>
      </w:r>
      <w:r>
        <w:t xml:space="preserve"> unless otherwise ordered by the decisional authority.  We accept Niagara Mohawk’s </w:t>
      </w:r>
      <w:r w:rsidR="00F4593E">
        <w:t>and Sterling’s</w:t>
      </w:r>
      <w:r>
        <w:t xml:space="preserve"> answer</w:t>
      </w:r>
      <w:r w:rsidR="00F4593E">
        <w:t>s</w:t>
      </w:r>
      <w:r>
        <w:t xml:space="preserve"> because </w:t>
      </w:r>
      <w:r w:rsidR="006953CB">
        <w:t>they</w:t>
      </w:r>
      <w:r w:rsidR="00F65AB2">
        <w:t xml:space="preserve"> ha</w:t>
      </w:r>
      <w:r w:rsidR="006953CB">
        <w:t>ve</w:t>
      </w:r>
      <w:r>
        <w:t xml:space="preserve"> provided information that assisted us in our decision-making process.</w:t>
      </w:r>
    </w:p>
    <w:p w:rsidR="00711D15" w:rsidRPr="00135E13" w:rsidP="00711D15">
      <w:pPr>
        <w:pStyle w:val="Heading2"/>
      </w:pPr>
      <w:r>
        <w:t>Substantive Matters</w:t>
      </w:r>
    </w:p>
    <w:p w:rsidR="003119D1" w:rsidP="00363CE5">
      <w:pPr>
        <w:pStyle w:val="FERCparanumber"/>
      </w:pPr>
      <w:r>
        <w:t xml:space="preserve">As discussed below, </w:t>
      </w:r>
      <w:r w:rsidRPr="00363CE5" w:rsidR="00363CE5">
        <w:t>we accept the proposed Amended LGIA, suspend it for a nominal period, effective November 1, 2024, as requested, subject to refund, and establish hearing and settlement judge procedures.</w:t>
      </w:r>
      <w:r w:rsidR="00363CE5">
        <w:t xml:space="preserve"> </w:t>
      </w:r>
    </w:p>
    <w:p w:rsidR="00F9693D" w:rsidP="00F9693D">
      <w:pPr>
        <w:pStyle w:val="FERCparanumber"/>
      </w:pPr>
      <w:r>
        <w:t xml:space="preserve">Our preliminary analysis indicates that Niagara Mohawk’s Amended LGIA has not been shown to be just and reasonable and may be unjust, unreasonable, unduly discriminatory or preferential, or otherwise unlawful.  Niagara Mohawk’s filing raises issues of material fact that cannot be resolved based on the record before us and are more appropriately addressed in the hearing and settlement judge procedures ordered below.  </w:t>
      </w:r>
    </w:p>
    <w:p w:rsidR="00AD76EA" w:rsidP="00F9693D">
      <w:pPr>
        <w:pStyle w:val="FERCparanumber"/>
      </w:pPr>
      <w:r>
        <w:t>While we are setting these matters for a trial-type evidentiary hearing,</w:t>
      </w:r>
      <w:r>
        <w:rPr>
          <w:rStyle w:val="FootnoteReference"/>
        </w:rPr>
        <w:footnoteReference w:id="83"/>
      </w:r>
      <w:r>
        <w:t xml:space="preserve"> we encourage efforts to reach settlement before hearing procedures commence.  To aid settlement efforts, we will hold the hearing in abeyance and direct that a settlement judge be appointed, pursuant to Rule 603 of the Commission’s Rules of Practice and Procedure.</w:t>
      </w:r>
      <w:r>
        <w:rPr>
          <w:rStyle w:val="FootnoteReference"/>
        </w:rPr>
        <w:footnoteReference w:id="84"/>
      </w:r>
      <w:r>
        <w:t xml:space="preserve">  If the parties desire, they may, by mutual agreement, request a specific judge as the settlement judge in the proceeding.  The Chief Judge, however, may not be able to designate the requested settlement judge based on workload requirements which determines judges’ availability.</w:t>
      </w:r>
      <w:r>
        <w:rPr>
          <w:rStyle w:val="FootnoteReference"/>
        </w:rPr>
        <w:footnoteReference w:id="85"/>
      </w:r>
      <w:r>
        <w:t xml:space="preserve">  The settlement judge shall report to the Chief Judge and the Commission within 30 days of the date of the appointment of the settlement judge on the status of settlement discussions.  Based on this report, the Chief Judge shall provide additional time to continue settlement discussions or provide for commencement of a hearing by assigning the case to a presiding judge.</w:t>
      </w:r>
    </w:p>
    <w:p w:rsidR="00C94DE1" w:rsidP="003407F2">
      <w:pPr>
        <w:pStyle w:val="FERCparanumber"/>
        <w:numPr>
          <w:ilvl w:val="0"/>
          <w:numId w:val="0"/>
        </w:numPr>
        <w:contextualSpacing/>
      </w:pPr>
      <w:r w:rsidRPr="003D7BAB">
        <w:rPr>
          <w:u w:val="single"/>
        </w:rPr>
        <w:t>The Commission orders</w:t>
      </w:r>
      <w:r w:rsidRPr="00CD0B38">
        <w:t>:</w:t>
      </w:r>
    </w:p>
    <w:p w:rsidR="003407F2" w:rsidP="003407F2">
      <w:pPr>
        <w:pStyle w:val="FERCparanumber"/>
        <w:numPr>
          <w:ilvl w:val="0"/>
          <w:numId w:val="0"/>
        </w:numPr>
        <w:contextualSpacing/>
      </w:pPr>
    </w:p>
    <w:p w:rsidR="00EA45E3" w:rsidRPr="00CD0B38" w:rsidP="00EA45E3">
      <w:pPr>
        <w:pStyle w:val="FERCparanumber"/>
        <w:numPr>
          <w:ilvl w:val="0"/>
          <w:numId w:val="32"/>
        </w:numPr>
        <w:ind w:left="0" w:firstLine="720"/>
      </w:pPr>
      <w:r>
        <w:t>Niagara Mohawk’s proposed Amended LGIA is hereby accepted for filing, and suspended for a nominal period, effective November 1, 2024, subject to refund, as discussed in the body of this order.</w:t>
      </w:r>
    </w:p>
    <w:p w:rsidR="00EA45E3" w:rsidP="00EA45E3">
      <w:pPr>
        <w:pStyle w:val="FERCparanumber"/>
        <w:numPr>
          <w:ilvl w:val="0"/>
          <w:numId w:val="32"/>
        </w:numPr>
        <w:ind w:left="0" w:firstLine="720"/>
      </w:pPr>
      <w:r>
        <w:t xml:space="preserve">Pursuant to the authority contained in and subject to the jurisdiction conferred on the Federal Energy Regulatory Commission by section 402(a) of the Department of Energy Organization Act and the FPA, particularly sections 205 and 206 thereof, and pursuant to the Commission’s Rules of Practice and Procedure and the regulations under the FPA (18 C.F.R. Chapter I), a public hearing shall be held concerning the justness and reasonableness of Niagara Mohawk’s proposed Amended LGIA, as discussed in the body of this order.  However, the hearing will be held in abeyance to provide time for settlement judge procedures, as discussed in Ordering Paragraphs (C) and (D) below. </w:t>
      </w:r>
    </w:p>
    <w:p w:rsidR="00EA45E3" w:rsidP="00EA45E3">
      <w:pPr>
        <w:pStyle w:val="FERCparanumber"/>
        <w:numPr>
          <w:ilvl w:val="0"/>
          <w:numId w:val="32"/>
        </w:numPr>
        <w:ind w:left="0" w:firstLine="720"/>
      </w:pPr>
      <w:r>
        <w:t>Pursuant to Rule 603 of the Commission’s Rules of Practice and Procedure, 18 C.F.R. § 385.603, the Chief Judge is hereby directed to appoint a settlement judge in this proceeding within 45 days of the date of this order.  Such settlement judge shall have all powers and duties enumerated in Rule 603 and shall convene a settle</w:t>
      </w:r>
      <w:r w:rsidR="00BC3BA5">
        <w:t>ment</w:t>
      </w:r>
      <w:r>
        <w:t xml:space="preserve"> conference as soon as practicable after the Chief Judge designates the settlement judge.  If parties decide to request a specific judge, they must make their request to the Chief Judge within five days of the date of this order. </w:t>
      </w:r>
    </w:p>
    <w:p w:rsidR="00EA45E3" w:rsidP="00EA45E3">
      <w:pPr>
        <w:pStyle w:val="FERCparanumber"/>
        <w:numPr>
          <w:ilvl w:val="0"/>
          <w:numId w:val="32"/>
        </w:numPr>
        <w:ind w:left="0" w:firstLine="720"/>
      </w:pPr>
      <w:r>
        <w:t xml:space="preserve">Within 30 days of the appointment of the settlement judge, the settlement judge shall file a report with the Commission and the Chief Judge on the status of the settlement discussions.  Based on this report, the Chief Judge shall provide participants with additional time to continue their settlement discussions, if appropriate, or assign this case to a presiding judge for a trial-type evidentiary hearing, if appropriate.  If settlement discussions continue, the settlement judge shall file a report at least every 60 days thereafter, informing the Commission and the Chief Judge of participants’ progress toward settlement. </w:t>
      </w:r>
    </w:p>
    <w:p w:rsidR="00EA45E3" w:rsidRPr="00CD0B38" w:rsidP="00EA45E3">
      <w:pPr>
        <w:pStyle w:val="FERCparanumber"/>
        <w:numPr>
          <w:ilvl w:val="0"/>
          <w:numId w:val="32"/>
        </w:numPr>
        <w:ind w:left="0" w:firstLine="720"/>
      </w:pPr>
      <w:r>
        <w:t xml:space="preserve">If settlement judge procedures fail and a trial-type evidentiary hearing is to be held, a presiding judge, to be designated by the Chief Judge, shall, within 45 days of the date of the presiding judge’s designation, convene a prehearing conference in these proceedings in a hearing room of the Commission, 888 First Street, NE, Washington, DC 20426, or remotely (by telephone or electronically), as appropriate.  Such a conference shall be held for the purpose of establishing a procedural schedule.  The presiding judge is authorized to establish procedural dates, and to rule on all motions (except motions to dismiss) as provided in the Commission’s Rules of Practice and Procedure. </w:t>
      </w:r>
    </w:p>
    <w:p w:rsidR="00C94DE1">
      <w:r w:rsidRPr="00CD0B38">
        <w:t>By the Commission.</w:t>
      </w:r>
    </w:p>
    <w:p w:rsidR="00C37925"/>
    <w:p w:rsidR="00FF32A1" w:rsidP="00F02ED6">
      <w:pPr>
        <w:widowControl/>
      </w:pPr>
      <w:r w:rsidRPr="00C37925">
        <w:t>( S E A L )</w:t>
      </w:r>
    </w:p>
    <w:p w:rsidR="00F02ED6" w:rsidP="00F02ED6">
      <w:pPr>
        <w:widowControl/>
      </w:pPr>
    </w:p>
    <w:p w:rsidR="00F02ED6" w:rsidP="00F02ED6">
      <w:pPr>
        <w:widowControl/>
      </w:pPr>
    </w:p>
    <w:p w:rsidR="00F02ED6" w:rsidP="00F02ED6">
      <w:pPr>
        <w:widowControl/>
      </w:pPr>
    </w:p>
    <w:p w:rsidR="00F02ED6" w:rsidRPr="00F02ED6" w:rsidP="00F02ED6">
      <w:pPr>
        <w:widowControl/>
        <w:ind w:firstLine="2174"/>
        <w:jc w:val="center"/>
      </w:pPr>
      <w:r w:rsidRPr="00F02ED6">
        <w:t>Carlos D. Clay,</w:t>
      </w:r>
    </w:p>
    <w:p w:rsidR="00F02ED6" w:rsidRPr="0003382F" w:rsidP="00F02ED6">
      <w:pPr>
        <w:widowControl/>
        <w:ind w:firstLine="2174"/>
        <w:jc w:val="center"/>
      </w:pPr>
      <w:r w:rsidRPr="00F02ED6">
        <w:t xml:space="preserve"> Deputy Secretary.</w:t>
      </w:r>
    </w:p>
    <w:sectPr w:rsidSect="00C94DE1">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39" w:rsidP="0048020B">
      <w:r>
        <w:separator/>
      </w:r>
    </w:p>
  </w:endnote>
  <w:endnote w:type="continuationSeparator" w:id="1">
    <w:p w:rsidR="00D75339" w:rsidP="0048020B">
      <w:r>
        <w:continuationSeparator/>
      </w:r>
    </w:p>
  </w:endnote>
  <w:endnote w:type="continuationNotice" w:id="2">
    <w:p w:rsidR="00D7533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Italic">
    <w:altName w:val="Yu Gothic"/>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39" w:rsidP="0048020B">
      <w:r>
        <w:separator/>
      </w:r>
    </w:p>
  </w:footnote>
  <w:footnote w:type="continuationSeparator" w:id="1">
    <w:p w:rsidR="00D75339" w:rsidP="0048020B">
      <w:r>
        <w:continuationSeparator/>
      </w:r>
    </w:p>
  </w:footnote>
  <w:footnote w:type="continuationNotice" w:id="2">
    <w:p w:rsidR="00D75339" w:rsidRPr="003112BB" w:rsidP="003112BB">
      <w:pPr>
        <w:spacing w:line="14" w:lineRule="exact"/>
        <w:rPr>
          <w:sz w:val="2"/>
        </w:rPr>
      </w:pPr>
    </w:p>
  </w:footnote>
  <w:footnote w:id="3">
    <w:p w:rsidR="00822514" w:rsidP="00822514">
      <w:pPr>
        <w:pStyle w:val="FootnoteText"/>
      </w:pPr>
      <w:r>
        <w:rPr>
          <w:rStyle w:val="FootnoteReference"/>
        </w:rPr>
        <w:footnoteRef/>
      </w:r>
      <w:r>
        <w:t xml:space="preserve"> </w:t>
      </w:r>
      <w:r w:rsidRPr="006925CA">
        <w:t>16 U.S.C. § 824d</w:t>
      </w:r>
      <w:r>
        <w:t>.</w:t>
      </w:r>
    </w:p>
  </w:footnote>
  <w:footnote w:id="4">
    <w:p w:rsidR="00822514" w:rsidP="00822514">
      <w:pPr>
        <w:pStyle w:val="FootnoteText"/>
      </w:pPr>
      <w:r>
        <w:rPr>
          <w:rStyle w:val="FootnoteReference"/>
        </w:rPr>
        <w:footnoteRef/>
      </w:r>
      <w:r>
        <w:t xml:space="preserve"> </w:t>
      </w:r>
      <w:r w:rsidRPr="00F845BB">
        <w:t>18 C.F.R. pt. 35 (202</w:t>
      </w:r>
      <w:r>
        <w:t>4</w:t>
      </w:r>
      <w:r w:rsidRPr="00F845BB">
        <w:t>).</w:t>
      </w:r>
    </w:p>
  </w:footnote>
  <w:footnote w:id="5">
    <w:p w:rsidR="007647E4">
      <w:pPr>
        <w:pStyle w:val="FootnoteText"/>
      </w:pPr>
      <w:r>
        <w:rPr>
          <w:rStyle w:val="FootnoteReference"/>
        </w:rPr>
        <w:footnoteRef/>
      </w:r>
      <w:r>
        <w:t xml:space="preserve"> The Amended LGIA </w:t>
      </w:r>
      <w:r w:rsidR="002322A4">
        <w:t xml:space="preserve">will </w:t>
      </w:r>
      <w:r w:rsidRPr="007647E4">
        <w:t>supersede the LGIA currently on file with the Commission that is designated as the Third Revised Service Agreement No. 1144 (Sterling LGIA) under the NYISO Open Access Transmission Tariff</w:t>
      </w:r>
      <w:r w:rsidR="002F697B">
        <w:t xml:space="preserve"> (OATT)</w:t>
      </w:r>
      <w:r w:rsidR="006C520F">
        <w:t>.</w:t>
      </w:r>
    </w:p>
  </w:footnote>
  <w:footnote w:id="6">
    <w:p w:rsidR="009D1822">
      <w:pPr>
        <w:pStyle w:val="FootnoteText"/>
      </w:pPr>
      <w:r>
        <w:rPr>
          <w:rStyle w:val="FootnoteReference"/>
        </w:rPr>
        <w:footnoteRef/>
      </w:r>
      <w:r>
        <w:t xml:space="preserve"> Transmittal at </w:t>
      </w:r>
      <w:r w:rsidR="00FC54D7">
        <w:t>2-3.</w:t>
      </w:r>
    </w:p>
  </w:footnote>
  <w:footnote w:id="7">
    <w:p w:rsidR="00CC096D" w:rsidP="00CC096D">
      <w:pPr>
        <w:pStyle w:val="FootnoteText"/>
      </w:pPr>
      <w:r>
        <w:rPr>
          <w:rStyle w:val="FootnoteReference"/>
        </w:rPr>
        <w:footnoteRef/>
      </w:r>
      <w:r>
        <w:t xml:space="preserve"> </w:t>
      </w:r>
      <w:bookmarkStart w:id="1" w:name="_Hlk192161918"/>
      <w:r w:rsidR="00E900AD">
        <w:rPr>
          <w:i/>
          <w:iCs/>
        </w:rPr>
        <w:t>Id.</w:t>
      </w:r>
      <w:r w:rsidR="00E900AD">
        <w:t xml:space="preserve"> </w:t>
      </w:r>
      <w:r>
        <w:t>at 3.</w:t>
      </w:r>
      <w:bookmarkEnd w:id="1"/>
    </w:p>
  </w:footnote>
  <w:footnote w:id="8">
    <w:p w:rsidR="00741427">
      <w:pPr>
        <w:pStyle w:val="FootnoteText"/>
      </w:pPr>
      <w:r>
        <w:rPr>
          <w:rStyle w:val="FootnoteReference"/>
        </w:rPr>
        <w:footnoteRef/>
      </w:r>
      <w:r>
        <w:t xml:space="preserve"> </w:t>
      </w:r>
      <w:r w:rsidRPr="00AE6744" w:rsidR="00196673">
        <w:rPr>
          <w:i/>
          <w:iCs/>
        </w:rPr>
        <w:t>Niagara Mohawk Power Corp.</w:t>
      </w:r>
      <w:r w:rsidRPr="00AE6744" w:rsidR="00196673">
        <w:t xml:space="preserve">, 121 FERC </w:t>
      </w:r>
      <w:r w:rsidRPr="00E83D4A" w:rsidR="0087264C">
        <w:t>¶</w:t>
      </w:r>
      <w:r w:rsidRPr="00AE6744" w:rsidR="00196673">
        <w:t xml:space="preserve"> 61,104 (2007)</w:t>
      </w:r>
      <w:r w:rsidR="00196673">
        <w:t xml:space="preserve"> (October 2007 Order)</w:t>
      </w:r>
      <w:r w:rsidRPr="00AE6744" w:rsidR="00196673">
        <w:t xml:space="preserve">, </w:t>
      </w:r>
      <w:r w:rsidRPr="00AE6744" w:rsidR="00196673">
        <w:rPr>
          <w:i/>
          <w:iCs/>
        </w:rPr>
        <w:t>order on reh’g</w:t>
      </w:r>
      <w:r w:rsidRPr="00AE6744" w:rsidR="00196673">
        <w:t xml:space="preserve">, 123 FERC </w:t>
      </w:r>
      <w:r w:rsidRPr="00E83D4A" w:rsidR="00060DA8">
        <w:t>¶</w:t>
      </w:r>
      <w:r w:rsidRPr="00AE6744" w:rsidR="00196673">
        <w:t xml:space="preserve"> 61,144 (2008)</w:t>
      </w:r>
      <w:r w:rsidR="00196673">
        <w:t>.</w:t>
      </w:r>
    </w:p>
  </w:footnote>
  <w:footnote w:id="9">
    <w:p w:rsidR="008C4AC3">
      <w:pPr>
        <w:pStyle w:val="FootnoteText"/>
      </w:pPr>
      <w:r>
        <w:rPr>
          <w:rStyle w:val="FootnoteReference"/>
        </w:rPr>
        <w:footnoteRef/>
      </w:r>
      <w:r>
        <w:t xml:space="preserve"> October </w:t>
      </w:r>
      <w:r w:rsidR="009E7A89">
        <w:t>2007 Order</w:t>
      </w:r>
      <w:r w:rsidR="00CD27C3">
        <w:t>,</w:t>
      </w:r>
      <w:r w:rsidRPr="00CD27C3" w:rsidR="00CD27C3">
        <w:t xml:space="preserve"> </w:t>
      </w:r>
      <w:r w:rsidRPr="00914DE6" w:rsidR="00CD27C3">
        <w:t xml:space="preserve">121 FERC </w:t>
      </w:r>
      <w:r w:rsidRPr="00E83D4A" w:rsidR="00DF7EB9">
        <w:t>¶</w:t>
      </w:r>
      <w:r w:rsidRPr="00914DE6" w:rsidR="00CD27C3">
        <w:t xml:space="preserve"> 61,104</w:t>
      </w:r>
      <w:r w:rsidR="009E7A89">
        <w:t xml:space="preserve"> at PP</w:t>
      </w:r>
      <w:r w:rsidR="007E268F">
        <w:t xml:space="preserve"> </w:t>
      </w:r>
      <w:r w:rsidR="009B14FD">
        <w:t xml:space="preserve">13 n.8, </w:t>
      </w:r>
      <w:r w:rsidR="007E268F">
        <w:t>1</w:t>
      </w:r>
      <w:r w:rsidR="008B280F">
        <w:t>9</w:t>
      </w:r>
      <w:r w:rsidR="003D5BBB">
        <w:t>.</w:t>
      </w:r>
    </w:p>
  </w:footnote>
  <w:footnote w:id="10">
    <w:p w:rsidR="007924BB">
      <w:pPr>
        <w:pStyle w:val="FootnoteText"/>
      </w:pPr>
      <w:r>
        <w:rPr>
          <w:rStyle w:val="FootnoteReference"/>
        </w:rPr>
        <w:footnoteRef/>
      </w:r>
      <w:r>
        <w:t xml:space="preserve"> </w:t>
      </w:r>
      <w:r w:rsidRPr="003222C1" w:rsidR="0009047B">
        <w:rPr>
          <w:i/>
        </w:rPr>
        <w:t>Niagara Mohawk Power Corp.</w:t>
      </w:r>
      <w:r w:rsidRPr="0009047B" w:rsidR="0009047B">
        <w:t xml:space="preserve">, </w:t>
      </w:r>
      <w:r w:rsidRPr="004F05BD" w:rsidR="00401ABD">
        <w:t>Docket No</w:t>
      </w:r>
      <w:r w:rsidR="00401ABD">
        <w:t>s</w:t>
      </w:r>
      <w:r w:rsidRPr="004F05BD" w:rsidR="00401ABD">
        <w:t>. ER13-736</w:t>
      </w:r>
      <w:r w:rsidR="00401ABD">
        <w:t>-000 and ER13-736-001</w:t>
      </w:r>
      <w:r w:rsidRPr="004F05BD" w:rsidR="00401ABD">
        <w:t xml:space="preserve"> (Mar. 1, 2013) (</w:t>
      </w:r>
      <w:r w:rsidR="00401ABD">
        <w:t>delegated</w:t>
      </w:r>
      <w:r w:rsidRPr="004F05BD" w:rsidR="00401ABD">
        <w:t xml:space="preserve"> order</w:t>
      </w:r>
      <w:r w:rsidR="00401ABD">
        <w:t>)</w:t>
      </w:r>
      <w:r w:rsidRPr="004F05BD" w:rsidR="00401ABD">
        <w:t>.</w:t>
      </w:r>
    </w:p>
  </w:footnote>
  <w:footnote w:id="11">
    <w:p w:rsidR="00F31050">
      <w:pPr>
        <w:pStyle w:val="FootnoteText"/>
      </w:pPr>
      <w:r>
        <w:rPr>
          <w:rStyle w:val="FootnoteReference"/>
        </w:rPr>
        <w:footnoteRef/>
      </w:r>
      <w:r>
        <w:t xml:space="preserve"> </w:t>
      </w:r>
      <w:r w:rsidR="00DD25A2">
        <w:t xml:space="preserve">Transmittal at </w:t>
      </w:r>
      <w:r w:rsidR="0032408E">
        <w:t xml:space="preserve">2, </w:t>
      </w:r>
      <w:r w:rsidR="00DD25A2">
        <w:t>4.</w:t>
      </w:r>
    </w:p>
  </w:footnote>
  <w:footnote w:id="12">
    <w:p w:rsidR="000A7FE1">
      <w:pPr>
        <w:pStyle w:val="FootnoteText"/>
      </w:pPr>
      <w:r>
        <w:rPr>
          <w:rStyle w:val="FootnoteReference"/>
        </w:rPr>
        <w:footnoteRef/>
      </w:r>
      <w:r>
        <w:t xml:space="preserve"> </w:t>
      </w:r>
      <w:r w:rsidR="000F2029">
        <w:rPr>
          <w:i/>
          <w:iCs/>
        </w:rPr>
        <w:t>Id.</w:t>
      </w:r>
      <w:r w:rsidR="000F2029">
        <w:t xml:space="preserve"> at</w:t>
      </w:r>
      <w:r w:rsidR="00BA7BCB">
        <w:t xml:space="preserve"> 2.</w:t>
      </w:r>
    </w:p>
  </w:footnote>
  <w:footnote w:id="13">
    <w:p w:rsidR="00427E5A">
      <w:pPr>
        <w:pStyle w:val="FootnoteText"/>
      </w:pPr>
      <w:r>
        <w:rPr>
          <w:rStyle w:val="FootnoteReference"/>
        </w:rPr>
        <w:footnoteRef/>
      </w:r>
      <w:r>
        <w:t xml:space="preserve"> </w:t>
      </w:r>
      <w:r w:rsidRPr="00427E5A">
        <w:rPr>
          <w:i/>
          <w:iCs/>
        </w:rPr>
        <w:t>Id.</w:t>
      </w:r>
      <w:r w:rsidRPr="00427E5A">
        <w:t xml:space="preserve"> at </w:t>
      </w:r>
      <w:r>
        <w:t>2</w:t>
      </w:r>
      <w:r w:rsidRPr="00427E5A">
        <w:t>.</w:t>
      </w:r>
    </w:p>
  </w:footnote>
  <w:footnote w:id="14">
    <w:p w:rsidR="00053FD0">
      <w:pPr>
        <w:pStyle w:val="FootnoteText"/>
      </w:pPr>
      <w:r>
        <w:rPr>
          <w:rStyle w:val="FootnoteReference"/>
        </w:rPr>
        <w:footnoteRef/>
      </w:r>
      <w:r>
        <w:t xml:space="preserve"> </w:t>
      </w:r>
      <w:r w:rsidR="00E900AD">
        <w:rPr>
          <w:i/>
          <w:iCs/>
        </w:rPr>
        <w:t>Id.</w:t>
      </w:r>
      <w:r w:rsidR="00A5297C">
        <w:t xml:space="preserve"> at 4.</w:t>
      </w:r>
    </w:p>
  </w:footnote>
  <w:footnote w:id="15">
    <w:p w:rsidR="00951C6E">
      <w:pPr>
        <w:pStyle w:val="FootnoteText"/>
      </w:pPr>
      <w:r>
        <w:rPr>
          <w:rStyle w:val="FootnoteReference"/>
        </w:rPr>
        <w:footnoteRef/>
      </w:r>
      <w:r>
        <w:t xml:space="preserve"> </w:t>
      </w:r>
      <w:r w:rsidR="00934D18">
        <w:rPr>
          <w:i/>
          <w:iCs/>
        </w:rPr>
        <w:t>Id.</w:t>
      </w:r>
      <w:r w:rsidR="00934D18">
        <w:t xml:space="preserve"> at 4-5. </w:t>
      </w:r>
      <w:r>
        <w:t xml:space="preserve"> </w:t>
      </w:r>
      <w:r w:rsidR="00674605">
        <w:t>Article 11.2 states “</w:t>
      </w:r>
      <w:r w:rsidRPr="00674605" w:rsidR="00674605">
        <w:t>Transmission Owner shall design, procure, construct, install own and/or control the Transmission Owner’s Attachment Facilities described in Appendix A hereto, at the sole expense of the Developer.”</w:t>
      </w:r>
      <w:r>
        <w:t xml:space="preserve"> </w:t>
      </w:r>
      <w:r w:rsidR="008E4CA0">
        <w:t xml:space="preserve"> </w:t>
      </w:r>
      <w:r w:rsidR="00D11B50">
        <w:t xml:space="preserve">NYISO, </w:t>
      </w:r>
      <w:r w:rsidR="0097371D">
        <w:t xml:space="preserve">NYISO Agreements, </w:t>
      </w:r>
      <w:r w:rsidR="00D11B50">
        <w:t>Agreement No. 1144</w:t>
      </w:r>
      <w:r w:rsidR="006A0D08">
        <w:t xml:space="preserve"> </w:t>
      </w:r>
      <w:r w:rsidR="00DF081F">
        <w:t>(</w:t>
      </w:r>
      <w:r w:rsidR="00D11B50">
        <w:t xml:space="preserve">SG-1144, </w:t>
      </w:r>
      <w:r w:rsidR="00960BD8">
        <w:t xml:space="preserve">LGIA between </w:t>
      </w:r>
      <w:r w:rsidR="00E52F38">
        <w:t>Niagara Mohawk Power Corporation</w:t>
      </w:r>
      <w:r w:rsidR="002B405C">
        <w:t>, Alliance</w:t>
      </w:r>
      <w:r w:rsidR="00262321">
        <w:t xml:space="preserve"> Energy, Sterling Power</w:t>
      </w:r>
      <w:r w:rsidR="00E52F38">
        <w:t xml:space="preserve"> Partners L.P.</w:t>
      </w:r>
      <w:r w:rsidR="00DF081F">
        <w:t>)</w:t>
      </w:r>
      <w:r w:rsidR="003805AC">
        <w:t xml:space="preserve"> (1.0.0)</w:t>
      </w:r>
      <w:r w:rsidR="00770E8A">
        <w:t>, art. 11.2</w:t>
      </w:r>
      <w:r w:rsidR="007F38C6">
        <w:t>.</w:t>
      </w:r>
      <w:r w:rsidRPr="007B6A76" w:rsidR="007B6A76">
        <w:t xml:space="preserve"> </w:t>
      </w:r>
      <w:r w:rsidR="007B6A76">
        <w:t xml:space="preserve"> The Sterling LGIA refers to Sterling as “Developer” and to Niagara Mohawk as “Transmission Owner.”  Those terms refer to the same parties when used in this order.</w:t>
      </w:r>
    </w:p>
  </w:footnote>
  <w:footnote w:id="16">
    <w:p w:rsidR="007F38C6">
      <w:pPr>
        <w:pStyle w:val="FootnoteText"/>
      </w:pPr>
      <w:r>
        <w:rPr>
          <w:rStyle w:val="FootnoteReference"/>
        </w:rPr>
        <w:footnoteRef/>
      </w:r>
      <w:r>
        <w:t xml:space="preserve"> Transmittal at 5 (quoting </w:t>
      </w:r>
      <w:r w:rsidR="003805AC">
        <w:t xml:space="preserve">NYISO, </w:t>
      </w:r>
      <w:r w:rsidR="0097371D">
        <w:t>NY</w:t>
      </w:r>
      <w:r w:rsidR="0079544E">
        <w:t xml:space="preserve">ISO Agreements, </w:t>
      </w:r>
      <w:r w:rsidR="003805AC">
        <w:t>Agreement No. 1144</w:t>
      </w:r>
      <w:r w:rsidR="006A0D08">
        <w:t xml:space="preserve"> </w:t>
      </w:r>
      <w:r w:rsidR="00DF081F">
        <w:t>(</w:t>
      </w:r>
      <w:r w:rsidR="003805AC">
        <w:t xml:space="preserve">SG-1144, LGIA between </w:t>
      </w:r>
      <w:r w:rsidR="00E52F38">
        <w:t>NiMo</w:t>
      </w:r>
      <w:r w:rsidR="003805AC">
        <w:t>, Alliance Energy, Sterling Power</w:t>
      </w:r>
      <w:r w:rsidR="00DF081F">
        <w:t>)</w:t>
      </w:r>
      <w:r w:rsidR="00E70445">
        <w:t xml:space="preserve"> (1.0.0)</w:t>
      </w:r>
      <w:r w:rsidR="002271AF">
        <w:t>, art</w:t>
      </w:r>
      <w:r w:rsidR="00513E75">
        <w:t>. 10.5</w:t>
      </w:r>
      <w:r>
        <w:t>).</w:t>
      </w:r>
      <w:r w:rsidR="00F62B0F">
        <w:t xml:space="preserve">  </w:t>
      </w:r>
    </w:p>
  </w:footnote>
  <w:footnote w:id="17">
    <w:p w:rsidR="00A7710A" w:rsidP="00A7710A">
      <w:pPr>
        <w:pStyle w:val="FootnoteText"/>
      </w:pPr>
      <w:r>
        <w:rPr>
          <w:rStyle w:val="FootnoteReference"/>
        </w:rPr>
        <w:footnoteRef/>
      </w:r>
      <w:r>
        <w:t xml:space="preserve"> </w:t>
      </w:r>
      <w:r w:rsidR="009B2496">
        <w:rPr>
          <w:i/>
          <w:iCs/>
        </w:rPr>
        <w:t>Id.</w:t>
      </w:r>
      <w:r w:rsidR="009B2496">
        <w:t xml:space="preserve"> at </w:t>
      </w:r>
      <w:r w:rsidR="00C62BFD">
        <w:t>5</w:t>
      </w:r>
      <w:r>
        <w:t xml:space="preserve"> </w:t>
      </w:r>
      <w:r w:rsidR="009C1EAE">
        <w:rPr>
          <w:iCs/>
        </w:rPr>
        <w:t xml:space="preserve">(citing </w:t>
      </w:r>
      <w:r w:rsidRPr="000777F2">
        <w:t>October 2007 Order</w:t>
      </w:r>
      <w:r>
        <w:t>,</w:t>
      </w:r>
      <w:r w:rsidRPr="00914DE6">
        <w:t xml:space="preserve"> </w:t>
      </w:r>
      <w:r w:rsidRPr="00B241A2">
        <w:t xml:space="preserve">121 FERC </w:t>
      </w:r>
      <w:r w:rsidRPr="002A1D78" w:rsidR="000F43D7">
        <w:t>¶</w:t>
      </w:r>
      <w:r w:rsidRPr="00B241A2">
        <w:t xml:space="preserve"> 61,104</w:t>
      </w:r>
      <w:r w:rsidR="00C33D37">
        <w:t xml:space="preserve">, </w:t>
      </w:r>
      <w:r w:rsidR="00950CDB">
        <w:rPr>
          <w:i/>
          <w:iCs/>
        </w:rPr>
        <w:t>order on reh’g</w:t>
      </w:r>
      <w:r w:rsidR="006A0419">
        <w:rPr>
          <w:i/>
          <w:iCs/>
        </w:rPr>
        <w:t>,</w:t>
      </w:r>
      <w:r w:rsidR="00BB7A9A">
        <w:rPr>
          <w:i/>
          <w:iCs/>
        </w:rPr>
        <w:t xml:space="preserve"> </w:t>
      </w:r>
      <w:r w:rsidR="00BB7A9A">
        <w:t xml:space="preserve">123 FERC </w:t>
      </w:r>
      <w:r w:rsidRPr="00E83D4A" w:rsidR="00AC21B1">
        <w:t>¶</w:t>
      </w:r>
      <w:r w:rsidR="00BB7A9A">
        <w:t xml:space="preserve"> 61,144 (2008)</w:t>
      </w:r>
      <w:r w:rsidRPr="000777F2">
        <w:t xml:space="preserve">; </w:t>
      </w:r>
      <w:r w:rsidRPr="004C2266">
        <w:rPr>
          <w:i/>
          <w:iCs/>
        </w:rPr>
        <w:t>Niagara Mohawk</w:t>
      </w:r>
      <w:r w:rsidRPr="000777F2">
        <w:t>, Docket No. ER07-1019-005</w:t>
      </w:r>
      <w:r w:rsidR="00A72F94">
        <w:t xml:space="preserve"> </w:t>
      </w:r>
      <w:r w:rsidR="001F648A">
        <w:t>(Aug. 7, 2008</w:t>
      </w:r>
      <w:r w:rsidR="00704BE6">
        <w:t>)</w:t>
      </w:r>
      <w:r w:rsidR="00B2346B">
        <w:t xml:space="preserve"> (delegated order))</w:t>
      </w:r>
      <w:r w:rsidRPr="000777F2">
        <w:t>.</w:t>
      </w:r>
    </w:p>
  </w:footnote>
  <w:footnote w:id="18">
    <w:p w:rsidR="00720097" w:rsidRPr="00223AF1" w:rsidP="00720097">
      <w:pPr>
        <w:pStyle w:val="FootnoteText"/>
      </w:pPr>
      <w:r>
        <w:rPr>
          <w:rStyle w:val="FootnoteReference"/>
        </w:rPr>
        <w:footnoteRef/>
      </w:r>
      <w:r>
        <w:t xml:space="preserve"> </w:t>
      </w:r>
      <w:r>
        <w:rPr>
          <w:i/>
          <w:iCs/>
        </w:rPr>
        <w:t>Id.</w:t>
      </w:r>
      <w:r>
        <w:t xml:space="preserve"> at 4.</w:t>
      </w:r>
    </w:p>
  </w:footnote>
  <w:footnote w:id="19">
    <w:p w:rsidR="00A7710A" w:rsidP="00A7710A">
      <w:pPr>
        <w:pStyle w:val="FootnoteText"/>
      </w:pPr>
      <w:r>
        <w:rPr>
          <w:rStyle w:val="FootnoteReference"/>
        </w:rPr>
        <w:footnoteRef/>
      </w:r>
      <w:r>
        <w:t xml:space="preserve"> Article 11.5 states: </w:t>
      </w:r>
    </w:p>
    <w:p w:rsidR="00A7710A" w:rsidP="004948C0">
      <w:pPr>
        <w:pStyle w:val="FootnoteText"/>
        <w:ind w:left="1440" w:right="1440" w:firstLine="0"/>
      </w:pPr>
      <w:r w:rsidRPr="0069741C">
        <w:t xml:space="preserve">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w:t>
      </w:r>
      <w:r>
        <w:t>. . . .</w:t>
      </w:r>
      <w:r w:rsidRPr="0069741C">
        <w:t xml:space="preserve"> </w:t>
      </w:r>
      <w:r>
        <w:t xml:space="preserve"> </w:t>
      </w:r>
    </w:p>
    <w:p w:rsidR="00A7710A" w:rsidP="00A5271A">
      <w:pPr>
        <w:pStyle w:val="FootnoteText"/>
        <w:ind w:right="720" w:firstLine="0"/>
      </w:pPr>
      <w:r>
        <w:t xml:space="preserve">NYISO, NYISO Agreements, Agreement No. 1144 </w:t>
      </w:r>
      <w:r w:rsidR="005A5ACC">
        <w:t>(</w:t>
      </w:r>
      <w:r>
        <w:t>SG-1144, LGIA between NiMo, Alliance Energy, Sterling Power</w:t>
      </w:r>
      <w:r w:rsidR="005A5ACC">
        <w:t>)</w:t>
      </w:r>
      <w:r>
        <w:t xml:space="preserve"> (1.0.0)</w:t>
      </w:r>
      <w:r w:rsidR="008D1C7D">
        <w:t>, art. 11.5</w:t>
      </w:r>
      <w:r>
        <w:t>.</w:t>
      </w:r>
    </w:p>
  </w:footnote>
  <w:footnote w:id="20">
    <w:p w:rsidR="00DB14FB">
      <w:pPr>
        <w:pStyle w:val="FootnoteText"/>
      </w:pPr>
      <w:r>
        <w:rPr>
          <w:rStyle w:val="FootnoteReference"/>
        </w:rPr>
        <w:footnoteRef/>
      </w:r>
      <w:r>
        <w:t xml:space="preserve"> Transmittal at 5.</w:t>
      </w:r>
    </w:p>
  </w:footnote>
  <w:footnote w:id="21">
    <w:p w:rsidR="008E5E8A">
      <w:pPr>
        <w:pStyle w:val="FootnoteText"/>
      </w:pPr>
      <w:r>
        <w:rPr>
          <w:rStyle w:val="FootnoteReference"/>
        </w:rPr>
        <w:footnoteRef/>
      </w:r>
      <w:r>
        <w:t xml:space="preserve"> </w:t>
      </w:r>
      <w:r w:rsidR="006624F9">
        <w:rPr>
          <w:i/>
          <w:iCs/>
        </w:rPr>
        <w:t>Id.</w:t>
      </w:r>
      <w:r>
        <w:t xml:space="preserve"> (citing </w:t>
      </w:r>
      <w:r w:rsidRPr="008E5E8A">
        <w:rPr>
          <w:i/>
        </w:rPr>
        <w:t>N.Y. Indep. Sys. Operator</w:t>
      </w:r>
      <w:r w:rsidRPr="008E5E8A">
        <w:t>, Compliance Filings for Order Nos. 2003 and 2003-A, Docket No. ER24-1915-000 (filed May 1, 2024)</w:t>
      </w:r>
      <w:r>
        <w:t>).</w:t>
      </w:r>
    </w:p>
  </w:footnote>
  <w:footnote w:id="22">
    <w:p w:rsidR="00537769">
      <w:pPr>
        <w:pStyle w:val="FootnoteText"/>
      </w:pPr>
      <w:r>
        <w:rPr>
          <w:rStyle w:val="FootnoteReference"/>
        </w:rPr>
        <w:footnoteRef/>
      </w:r>
      <w:r>
        <w:t xml:space="preserve"> </w:t>
      </w:r>
      <w:r w:rsidR="006624F9">
        <w:rPr>
          <w:i/>
          <w:iCs/>
        </w:rPr>
        <w:t>Id.</w:t>
      </w:r>
    </w:p>
  </w:footnote>
  <w:footnote w:id="23">
    <w:p w:rsidR="002F524F">
      <w:pPr>
        <w:pStyle w:val="FootnoteText"/>
      </w:pPr>
      <w:r>
        <w:rPr>
          <w:rStyle w:val="FootnoteReference"/>
        </w:rPr>
        <w:footnoteRef/>
      </w:r>
      <w:r>
        <w:t xml:space="preserve"> </w:t>
      </w:r>
      <w:r w:rsidR="006624F9">
        <w:rPr>
          <w:i/>
          <w:iCs/>
        </w:rPr>
        <w:t>Id.</w:t>
      </w:r>
      <w:r>
        <w:t xml:space="preserve"> at 6.</w:t>
      </w:r>
    </w:p>
  </w:footnote>
  <w:footnote w:id="24">
    <w:p w:rsidR="00781677" w:rsidP="00781677">
      <w:pPr>
        <w:pStyle w:val="FootnoteText"/>
      </w:pPr>
      <w:r>
        <w:rPr>
          <w:rStyle w:val="FootnoteReference"/>
        </w:rPr>
        <w:footnoteRef/>
      </w:r>
      <w:r>
        <w:t xml:space="preserve"> 18 C.F.R. § 35.3(a)</w:t>
      </w:r>
      <w:r w:rsidR="00C37925">
        <w:t xml:space="preserve"> (2024)</w:t>
      </w:r>
      <w:r>
        <w:t>.</w:t>
      </w:r>
    </w:p>
  </w:footnote>
  <w:footnote w:id="25">
    <w:p w:rsidR="00FA427E">
      <w:pPr>
        <w:pStyle w:val="FootnoteText"/>
      </w:pPr>
      <w:r>
        <w:rPr>
          <w:rStyle w:val="FootnoteReference"/>
        </w:rPr>
        <w:footnoteRef/>
      </w:r>
      <w:r>
        <w:t xml:space="preserve"> Transmittal at 6.</w:t>
      </w:r>
    </w:p>
  </w:footnote>
  <w:footnote w:id="26">
    <w:p w:rsidR="002318DE">
      <w:pPr>
        <w:pStyle w:val="FootnoteText"/>
      </w:pPr>
      <w:r>
        <w:rPr>
          <w:rStyle w:val="FootnoteReference"/>
        </w:rPr>
        <w:footnoteRef/>
      </w:r>
      <w:r>
        <w:t xml:space="preserve"> Sterling Protest at 1.</w:t>
      </w:r>
    </w:p>
  </w:footnote>
  <w:footnote w:id="27">
    <w:p w:rsidR="002676E3" w:rsidP="002676E3">
      <w:pPr>
        <w:pStyle w:val="FootnoteText"/>
      </w:pPr>
      <w:r>
        <w:rPr>
          <w:rStyle w:val="FootnoteReference"/>
        </w:rPr>
        <w:footnoteRef/>
      </w:r>
      <w:r>
        <w:t xml:space="preserve"> </w:t>
      </w:r>
      <w:r>
        <w:rPr>
          <w:i/>
          <w:iCs/>
        </w:rPr>
        <w:t>Id.</w:t>
      </w:r>
      <w:r>
        <w:t xml:space="preserve"> at 4.</w:t>
      </w:r>
    </w:p>
  </w:footnote>
  <w:footnote w:id="28">
    <w:p w:rsidR="00444CD9" w:rsidP="00444CD9">
      <w:pPr>
        <w:pStyle w:val="FootnoteText"/>
      </w:pPr>
      <w:r>
        <w:rPr>
          <w:rStyle w:val="FootnoteReference"/>
        </w:rPr>
        <w:footnoteRef/>
      </w:r>
      <w:r>
        <w:t xml:space="preserve"> </w:t>
      </w:r>
      <w:r w:rsidR="006624F9">
        <w:rPr>
          <w:i/>
          <w:iCs/>
        </w:rPr>
        <w:t>Id.</w:t>
      </w:r>
      <w:r>
        <w:t xml:space="preserve"> at 3.</w:t>
      </w:r>
    </w:p>
  </w:footnote>
  <w:footnote w:id="29">
    <w:p w:rsidR="00E6517C">
      <w:pPr>
        <w:pStyle w:val="FootnoteText"/>
      </w:pPr>
      <w:r>
        <w:rPr>
          <w:rStyle w:val="FootnoteReference"/>
        </w:rPr>
        <w:footnoteRef/>
      </w:r>
      <w:r>
        <w:t xml:space="preserve"> </w:t>
      </w:r>
      <w:r w:rsidR="006624F9">
        <w:rPr>
          <w:i/>
          <w:iCs/>
        </w:rPr>
        <w:t>Id.</w:t>
      </w:r>
      <w:r w:rsidR="006624F9">
        <w:t xml:space="preserve"> </w:t>
      </w:r>
      <w:r>
        <w:t>at 5.</w:t>
      </w:r>
    </w:p>
  </w:footnote>
  <w:footnote w:id="30">
    <w:p w:rsidR="00385538">
      <w:pPr>
        <w:pStyle w:val="FootnoteText"/>
      </w:pPr>
      <w:r>
        <w:rPr>
          <w:rStyle w:val="FootnoteReference"/>
        </w:rPr>
        <w:footnoteRef/>
      </w:r>
      <w:r>
        <w:t xml:space="preserve"> </w:t>
      </w:r>
      <w:r w:rsidR="006624F9">
        <w:rPr>
          <w:i/>
          <w:iCs/>
        </w:rPr>
        <w:t>Id.</w:t>
      </w:r>
      <w:r>
        <w:t xml:space="preserve"> at 6</w:t>
      </w:r>
      <w:r w:rsidR="00114AC5">
        <w:t>.</w:t>
      </w:r>
      <w:r w:rsidR="00D17E52">
        <w:t xml:space="preserve">  </w:t>
      </w:r>
      <w:r w:rsidRPr="00745DD4" w:rsidR="00967B17">
        <w:rPr>
          <w:i/>
        </w:rPr>
        <w:t>See</w:t>
      </w:r>
      <w:r w:rsidRPr="00745DD4" w:rsidR="00967B17">
        <w:t xml:space="preserve"> </w:t>
      </w:r>
      <w:r w:rsidRPr="00745DD4" w:rsidR="005100B2">
        <w:t>NYISO</w:t>
      </w:r>
      <w:r w:rsidR="00791466">
        <w:t xml:space="preserve">, </w:t>
      </w:r>
      <w:r w:rsidR="00282B7F">
        <w:t xml:space="preserve">NYISO Tariffs, </w:t>
      </w:r>
      <w:r w:rsidR="00791466">
        <w:t>NYISO OATT</w:t>
      </w:r>
      <w:r w:rsidR="00780B01">
        <w:t>,</w:t>
      </w:r>
      <w:r w:rsidR="00F0677C">
        <w:t xml:space="preserve"> </w:t>
      </w:r>
      <w:r w:rsidR="007058AC">
        <w:t xml:space="preserve">attach. X, </w:t>
      </w:r>
      <w:r w:rsidRPr="006A0D08" w:rsidR="006A0D08">
        <w:t>§</w:t>
      </w:r>
      <w:r w:rsidRPr="00AF34D1" w:rsidR="00AF34D1">
        <w:t> </w:t>
      </w:r>
      <w:r w:rsidR="003D3C0E">
        <w:t>30.14</w:t>
      </w:r>
      <w:r w:rsidR="00120869">
        <w:t xml:space="preserve"> </w:t>
      </w:r>
      <w:r w:rsidR="007A238C">
        <w:t>(</w:t>
      </w:r>
      <w:r w:rsidR="001A0088">
        <w:t>Appendices</w:t>
      </w:r>
      <w:r w:rsidR="007A238C">
        <w:t>) (0.0.0)</w:t>
      </w:r>
      <w:r w:rsidR="004377DF">
        <w:t xml:space="preserve">, </w:t>
      </w:r>
      <w:r w:rsidR="000D61AF">
        <w:t>app. 6,</w:t>
      </w:r>
      <w:r w:rsidRPr="00745DD4" w:rsidR="005100B2">
        <w:t xml:space="preserve"> </w:t>
      </w:r>
      <w:r w:rsidRPr="00745DD4" w:rsidR="00D17E52">
        <w:t>art</w:t>
      </w:r>
      <w:r w:rsidRPr="00745DD4" w:rsidR="00A34CFC">
        <w:t>.</w:t>
      </w:r>
      <w:r w:rsidRPr="00745DD4" w:rsidR="00D17E52">
        <w:t xml:space="preserve"> 5.10.1</w:t>
      </w:r>
      <w:r w:rsidR="00EE0C98">
        <w:t>.</w:t>
      </w:r>
    </w:p>
  </w:footnote>
  <w:footnote w:id="31">
    <w:p w:rsidR="00660560">
      <w:pPr>
        <w:pStyle w:val="FootnoteText"/>
      </w:pPr>
      <w:r>
        <w:rPr>
          <w:rStyle w:val="FootnoteReference"/>
        </w:rPr>
        <w:footnoteRef/>
      </w:r>
      <w:r>
        <w:t xml:space="preserve"> Sterling Protest at 6.  </w:t>
      </w:r>
      <w:r w:rsidRPr="00745DD4" w:rsidR="00A34CFC">
        <w:rPr>
          <w:i/>
        </w:rPr>
        <w:t xml:space="preserve">See </w:t>
      </w:r>
      <w:r w:rsidRPr="009A670C" w:rsidR="000D61AF">
        <w:t>NYISO</w:t>
      </w:r>
      <w:r w:rsidR="000D61AF">
        <w:t xml:space="preserve">, </w:t>
      </w:r>
      <w:r w:rsidR="00BA29E6">
        <w:t xml:space="preserve">NYISO Tariffs, </w:t>
      </w:r>
      <w:r w:rsidR="000D61AF">
        <w:t xml:space="preserve">NYISO OATT, </w:t>
      </w:r>
      <w:r w:rsidR="00837F2A">
        <w:t xml:space="preserve">attach. X, </w:t>
      </w:r>
      <w:r w:rsidRPr="006A0D08" w:rsidR="006A0D08">
        <w:t>§</w:t>
      </w:r>
      <w:r w:rsidRPr="00AF34D1" w:rsidR="00A16085">
        <w:t> </w:t>
      </w:r>
      <w:r w:rsidR="000D61AF">
        <w:t>30.14</w:t>
      </w:r>
      <w:r w:rsidR="00120869">
        <w:t xml:space="preserve"> </w:t>
      </w:r>
      <w:r w:rsidR="00837F2A">
        <w:t>(</w:t>
      </w:r>
      <w:r w:rsidR="000D61AF">
        <w:t>Appendices</w:t>
      </w:r>
      <w:r w:rsidR="00837F2A">
        <w:t>) (0.0.0)</w:t>
      </w:r>
      <w:r w:rsidR="000D61AF">
        <w:t xml:space="preserve">, app. 6, </w:t>
      </w:r>
      <w:r w:rsidRPr="00745DD4">
        <w:t>art</w:t>
      </w:r>
      <w:r w:rsidRPr="00745DD4" w:rsidR="00413280">
        <w:t>.</w:t>
      </w:r>
      <w:r w:rsidRPr="00745DD4">
        <w:t xml:space="preserve"> 5.10.2</w:t>
      </w:r>
      <w:r w:rsidR="00674CBA">
        <w:t>.</w:t>
      </w:r>
    </w:p>
  </w:footnote>
  <w:footnote w:id="32">
    <w:p w:rsidR="009A174A">
      <w:pPr>
        <w:pStyle w:val="FootnoteText"/>
      </w:pPr>
      <w:r>
        <w:rPr>
          <w:rStyle w:val="FootnoteReference"/>
        </w:rPr>
        <w:footnoteRef/>
      </w:r>
      <w:r>
        <w:t xml:space="preserve"> Sterling Protest at 7.</w:t>
      </w:r>
      <w:r w:rsidR="007A103A">
        <w:t xml:space="preserve">  The Sterling LGIA defines System Protection Facilities as “</w:t>
      </w:r>
      <w:r w:rsidRPr="007D5AD4" w:rsidR="007A103A">
        <w:t>the equipment, including necessary protection signal communications equipment, required to</w:t>
      </w:r>
      <w:r w:rsidR="00C10A68">
        <w:t xml:space="preserve">: </w:t>
      </w:r>
      <w:r w:rsidRPr="007D5AD4" w:rsidR="007A103A">
        <w:t xml:space="preserve"> (1) protect the New York State Transmission</w:t>
      </w:r>
      <w:r w:rsidR="007A103A">
        <w:t xml:space="preserve"> System </w:t>
      </w:r>
      <w:r w:rsidRPr="0023555A" w:rsidR="007A103A">
        <w:t>from faults or other electrical disturbances occurring at the Large Generating Facility</w:t>
      </w:r>
      <w:r w:rsidR="0071204C">
        <w:t>;</w:t>
      </w:r>
      <w:r w:rsidRPr="0023555A" w:rsidR="007A103A">
        <w:t xml:space="preserve">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r w:rsidR="007A103A">
        <w:t>.”  NYISO, NYISO Agreements, Agreement No. 1144 (SG-1144, LGIA between NiMo, Alliance Energy, Sterling Power) (1.0.0)</w:t>
      </w:r>
      <w:r w:rsidR="007862F3">
        <w:t>,</w:t>
      </w:r>
      <w:r w:rsidR="007A103A">
        <w:t xml:space="preserve"> art. 1.</w:t>
      </w:r>
    </w:p>
  </w:footnote>
  <w:footnote w:id="33">
    <w:p w:rsidR="00821E63">
      <w:pPr>
        <w:pStyle w:val="FootnoteText"/>
      </w:pPr>
      <w:r>
        <w:rPr>
          <w:rStyle w:val="FootnoteReference"/>
        </w:rPr>
        <w:footnoteRef/>
      </w:r>
      <w:r>
        <w:t xml:space="preserve"> </w:t>
      </w:r>
      <w:r w:rsidR="007862F3">
        <w:t>Sterling Protest</w:t>
      </w:r>
      <w:r w:rsidR="00A51A91">
        <w:t xml:space="preserve"> </w:t>
      </w:r>
      <w:r>
        <w:t>at 7</w:t>
      </w:r>
      <w:r w:rsidR="007862F3">
        <w:t>.</w:t>
      </w:r>
    </w:p>
  </w:footnote>
  <w:footnote w:id="34">
    <w:p w:rsidR="00835F24">
      <w:pPr>
        <w:pStyle w:val="FootnoteText"/>
      </w:pPr>
      <w:r>
        <w:rPr>
          <w:rStyle w:val="FootnoteReference"/>
        </w:rPr>
        <w:footnoteRef/>
      </w:r>
      <w:r>
        <w:t xml:space="preserve"> </w:t>
      </w:r>
      <w:r w:rsidR="00A51A91">
        <w:rPr>
          <w:i/>
          <w:iCs/>
        </w:rPr>
        <w:t>Id.</w:t>
      </w:r>
      <w:r w:rsidR="00A51A91">
        <w:t xml:space="preserve"> </w:t>
      </w:r>
      <w:r>
        <w:t>at 8.</w:t>
      </w:r>
    </w:p>
  </w:footnote>
  <w:footnote w:id="35">
    <w:p w:rsidR="008E64E1">
      <w:pPr>
        <w:pStyle w:val="FootnoteText"/>
      </w:pPr>
      <w:r>
        <w:rPr>
          <w:rStyle w:val="FootnoteReference"/>
        </w:rPr>
        <w:footnoteRef/>
      </w:r>
      <w:r>
        <w:t xml:space="preserve"> </w:t>
      </w:r>
      <w:r w:rsidR="00A51A91">
        <w:rPr>
          <w:i/>
          <w:iCs/>
        </w:rPr>
        <w:t>Id.</w:t>
      </w:r>
      <w:r w:rsidR="00A51A91">
        <w:t xml:space="preserve"> </w:t>
      </w:r>
      <w:r>
        <w:t>at 9.</w:t>
      </w:r>
    </w:p>
  </w:footnote>
  <w:footnote w:id="36">
    <w:p w:rsidR="00835E4E" w:rsidP="00544326">
      <w:pPr>
        <w:pStyle w:val="FootnoteText"/>
      </w:pPr>
      <w:r>
        <w:rPr>
          <w:rStyle w:val="FootnoteReference"/>
        </w:rPr>
        <w:footnoteRef/>
      </w:r>
      <w:r>
        <w:t xml:space="preserve"> </w:t>
      </w:r>
      <w:r>
        <w:rPr>
          <w:i/>
          <w:iCs/>
        </w:rPr>
        <w:t>Id.</w:t>
      </w:r>
      <w:r>
        <w:t xml:space="preserve">  Sterling LGIA </w:t>
      </w:r>
      <w:r w:rsidR="00E769AA">
        <w:t>Article</w:t>
      </w:r>
      <w:r>
        <w:t xml:space="preserve"> 5.19.3</w:t>
      </w:r>
      <w:r w:rsidR="00362189">
        <w:t>, entitled “Modification Costs</w:t>
      </w:r>
      <w:r w:rsidR="002C7771">
        <w:t>,</w:t>
      </w:r>
      <w:r w:rsidR="00362189">
        <w:t xml:space="preserve">” states </w:t>
      </w:r>
      <w:r>
        <w:t xml:space="preserve">in full: </w:t>
      </w:r>
      <w:r w:rsidR="00362189">
        <w:t xml:space="preserve"> </w:t>
      </w:r>
    </w:p>
    <w:p w:rsidR="00544326" w:rsidP="00BE7F2F">
      <w:pPr>
        <w:pStyle w:val="FootnoteText"/>
        <w:ind w:left="1440" w:right="1440" w:firstLine="0"/>
      </w:pPr>
      <w:r w:rsidRPr="00835E4E">
        <w:t>Developer shall not be assigned the costs of any additions, modifications, or replacements that Transmission Owner makes to the Transmission Owner</w:t>
      </w:r>
      <w:r w:rsidR="002E5C81">
        <w:t>’</w:t>
      </w:r>
      <w:r w:rsidRPr="00835E4E">
        <w:t xml:space="preserve">s Attachment Facilities or the New York State Transmission System to facilitate the interconnection </w:t>
      </w:r>
      <w:r w:rsidRPr="001D104B">
        <w:t>of a third party</w:t>
      </w:r>
      <w:r w:rsidRPr="00835E4E">
        <w:t xml:space="preserve"> to the Transmission Owner</w:t>
      </w:r>
      <w:r w:rsidR="002E5C81">
        <w:t>’</w:t>
      </w:r>
      <w:r w:rsidRPr="00835E4E">
        <w:t>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544326" w:rsidP="00F05133">
      <w:pPr>
        <w:pStyle w:val="FootnoteText"/>
        <w:ind w:firstLine="0"/>
      </w:pPr>
      <w:r>
        <w:t>NYISO, NYISO Agreements, Agreement No. 1144 (SG-1144, LGIA between NiMo, Alliance Energy, Sterling Power) (1.0.0), art. 5.19.3.</w:t>
      </w:r>
    </w:p>
  </w:footnote>
  <w:footnote w:id="37">
    <w:p w:rsidR="00074BB7" w:rsidRPr="006140CD" w:rsidP="002A1D78">
      <w:pPr>
        <w:pStyle w:val="FootnoteText"/>
        <w:rPr>
          <w:i/>
          <w:iCs/>
        </w:rPr>
      </w:pPr>
      <w:r>
        <w:rPr>
          <w:rStyle w:val="FootnoteReference"/>
        </w:rPr>
        <w:footnoteRef/>
      </w:r>
      <w:r>
        <w:t xml:space="preserve"> </w:t>
      </w:r>
      <w:r w:rsidR="007B1E3A">
        <w:rPr>
          <w:i/>
          <w:iCs/>
        </w:rPr>
        <w:t>Id.</w:t>
      </w:r>
      <w:r>
        <w:t xml:space="preserve"> at 10 (citing </w:t>
      </w:r>
      <w:r w:rsidRPr="002A1D78" w:rsidR="002A1D78">
        <w:rPr>
          <w:i/>
          <w:iCs/>
        </w:rPr>
        <w:t>N</w:t>
      </w:r>
      <w:r w:rsidR="008244DF">
        <w:rPr>
          <w:i/>
          <w:iCs/>
        </w:rPr>
        <w:t>.</w:t>
      </w:r>
      <w:r w:rsidRPr="002A1D78" w:rsidR="002A1D78">
        <w:rPr>
          <w:i/>
          <w:iCs/>
        </w:rPr>
        <w:t>Y</w:t>
      </w:r>
      <w:r w:rsidR="008244DF">
        <w:rPr>
          <w:i/>
          <w:iCs/>
        </w:rPr>
        <w:t>.</w:t>
      </w:r>
      <w:r w:rsidRPr="002A1D78" w:rsidR="002A1D78">
        <w:rPr>
          <w:i/>
          <w:iCs/>
        </w:rPr>
        <w:t xml:space="preserve"> Ind</w:t>
      </w:r>
      <w:r w:rsidR="00662D8F">
        <w:rPr>
          <w:i/>
          <w:iCs/>
        </w:rPr>
        <w:t>ep</w:t>
      </w:r>
      <w:r w:rsidRPr="002A1D78" w:rsidR="002A1D78">
        <w:rPr>
          <w:i/>
          <w:iCs/>
        </w:rPr>
        <w:t>. Sys. Operator, Inc</w:t>
      </w:r>
      <w:r w:rsidRPr="002A1D78" w:rsidR="002A1D78">
        <w:t xml:space="preserve">., 124 FERC ¶ 61,238, </w:t>
      </w:r>
      <w:r w:rsidR="000039D9">
        <w:t xml:space="preserve">at </w:t>
      </w:r>
      <w:r w:rsidR="00F811C3">
        <w:t>P</w:t>
      </w:r>
      <w:r w:rsidRPr="0017344E" w:rsidR="0017344E">
        <w:t> </w:t>
      </w:r>
      <w:r w:rsidR="00F811C3">
        <w:t>34</w:t>
      </w:r>
      <w:r w:rsidRPr="002A1D78" w:rsidR="002A1D78">
        <w:t xml:space="preserve"> </w:t>
      </w:r>
      <w:r w:rsidR="000039D9">
        <w:t>(</w:t>
      </w:r>
      <w:r w:rsidRPr="002A1D78" w:rsidR="002A1D78">
        <w:t>2008</w:t>
      </w:r>
      <w:r w:rsidR="000039D9">
        <w:t>)</w:t>
      </w:r>
      <w:r w:rsidRPr="002A1D78" w:rsidR="002A1D78">
        <w:t xml:space="preserve">; </w:t>
      </w:r>
      <w:r w:rsidRPr="002A1D78" w:rsidR="002A1D78">
        <w:rPr>
          <w:i/>
          <w:iCs/>
        </w:rPr>
        <w:t>ISO New England</w:t>
      </w:r>
      <w:r w:rsidR="002A1D78">
        <w:rPr>
          <w:i/>
          <w:iCs/>
        </w:rPr>
        <w:t xml:space="preserve"> </w:t>
      </w:r>
      <w:r w:rsidRPr="002A1D78" w:rsidR="002A1D78">
        <w:rPr>
          <w:i/>
          <w:iCs/>
        </w:rPr>
        <w:t>Inc</w:t>
      </w:r>
      <w:r w:rsidRPr="002A1D78" w:rsidR="002A1D78">
        <w:t>., 127 FERC ¶ 61,112</w:t>
      </w:r>
      <w:r w:rsidR="000039D9">
        <w:t>,</w:t>
      </w:r>
      <w:r w:rsidRPr="002A1D78" w:rsidR="002A1D78">
        <w:t xml:space="preserve"> at </w:t>
      </w:r>
      <w:r w:rsidR="000039D9">
        <w:t>P</w:t>
      </w:r>
      <w:r w:rsidRPr="002A1D78" w:rsidR="002A1D78">
        <w:t xml:space="preserve"> 9 (2011)</w:t>
      </w:r>
      <w:r w:rsidR="002A1D78">
        <w:t>)</w:t>
      </w:r>
      <w:r w:rsidRPr="002A1D78" w:rsidR="002A1D78">
        <w:t>.</w:t>
      </w:r>
    </w:p>
  </w:footnote>
  <w:footnote w:id="38">
    <w:p w:rsidR="00780775" w:rsidRPr="006140CD" w:rsidP="00BB200A">
      <w:pPr>
        <w:pStyle w:val="FootnoteText"/>
        <w:rPr>
          <w:i/>
          <w:iCs/>
        </w:rPr>
      </w:pPr>
      <w:r>
        <w:rPr>
          <w:rStyle w:val="FootnoteReference"/>
        </w:rPr>
        <w:footnoteRef/>
      </w:r>
      <w:r>
        <w:t xml:space="preserve"> </w:t>
      </w:r>
      <w:r w:rsidR="007B1E3A">
        <w:rPr>
          <w:i/>
          <w:iCs/>
        </w:rPr>
        <w:t>Id.</w:t>
      </w:r>
      <w:r>
        <w:t xml:space="preserve"> (citing</w:t>
      </w:r>
      <w:r w:rsidRPr="00BB200A" w:rsidR="00BB200A">
        <w:rPr>
          <w:rFonts w:ascii="TimesNewRoman,Italic" w:hAnsi="TimesNewRoman,Italic" w:cs="TimesNewRoman,Italic"/>
          <w:i/>
          <w:iCs/>
          <w:sz w:val="24"/>
          <w:szCs w:val="24"/>
        </w:rPr>
        <w:t xml:space="preserve"> </w:t>
      </w:r>
      <w:r w:rsidRPr="00BB200A" w:rsidR="00BB200A">
        <w:rPr>
          <w:i/>
          <w:iCs/>
        </w:rPr>
        <w:t>Pub. Serv. Elec. &amp; Gas Co. v.</w:t>
      </w:r>
      <w:r w:rsidR="00BB200A">
        <w:rPr>
          <w:i/>
          <w:iCs/>
        </w:rPr>
        <w:t xml:space="preserve"> </w:t>
      </w:r>
      <w:r w:rsidRPr="00BB200A" w:rsidR="00BB200A">
        <w:rPr>
          <w:i/>
          <w:iCs/>
        </w:rPr>
        <w:t>FERC</w:t>
      </w:r>
      <w:r w:rsidRPr="00BB200A" w:rsidR="00BB200A">
        <w:t>, 989 F.3d 10, 14 (D.C. Cir. 2021)</w:t>
      </w:r>
      <w:r w:rsidR="00BB200A">
        <w:t>)</w:t>
      </w:r>
      <w:r w:rsidRPr="00BB200A" w:rsidR="00BB200A">
        <w:t>.</w:t>
      </w:r>
      <w:r>
        <w:t xml:space="preserve"> </w:t>
      </w:r>
    </w:p>
  </w:footnote>
  <w:footnote w:id="39">
    <w:p w:rsidR="008E3A27">
      <w:pPr>
        <w:pStyle w:val="FootnoteText"/>
      </w:pPr>
      <w:r>
        <w:rPr>
          <w:rStyle w:val="FootnoteReference"/>
        </w:rPr>
        <w:footnoteRef/>
      </w:r>
      <w:r>
        <w:t xml:space="preserve"> </w:t>
      </w:r>
      <w:r w:rsidR="007B1E3A">
        <w:rPr>
          <w:i/>
          <w:iCs/>
        </w:rPr>
        <w:t>Id.</w:t>
      </w:r>
      <w:r w:rsidR="007B1E3A">
        <w:t xml:space="preserve"> </w:t>
      </w:r>
      <w:r>
        <w:t>at 11.</w:t>
      </w:r>
    </w:p>
  </w:footnote>
  <w:footnote w:id="40">
    <w:p w:rsidR="007C7EA0" w:rsidRPr="00745DD4">
      <w:pPr>
        <w:pStyle w:val="FootnoteText"/>
        <w:rPr>
          <w:i/>
        </w:rPr>
      </w:pPr>
      <w:r>
        <w:rPr>
          <w:rStyle w:val="FootnoteReference"/>
        </w:rPr>
        <w:footnoteRef/>
      </w:r>
      <w:r>
        <w:t xml:space="preserve"> </w:t>
      </w:r>
      <w:r w:rsidR="007B1E3A">
        <w:rPr>
          <w:i/>
          <w:iCs/>
        </w:rPr>
        <w:t>Id.</w:t>
      </w:r>
      <w:r w:rsidR="00AC0233">
        <w:t xml:space="preserve"> at 2 (citing October 2007 Order, </w:t>
      </w:r>
      <w:r w:rsidRPr="003E445D" w:rsidR="00AC0233">
        <w:t xml:space="preserve">121 FERC </w:t>
      </w:r>
      <w:r w:rsidRPr="002A1D78" w:rsidR="0049511F">
        <w:t>¶</w:t>
      </w:r>
      <w:r w:rsidRPr="003E445D" w:rsidR="00AC0233">
        <w:t xml:space="preserve"> 61,104</w:t>
      </w:r>
      <w:r w:rsidRPr="00211A7B" w:rsidR="00AC0233">
        <w:t xml:space="preserve"> at </w:t>
      </w:r>
      <w:r w:rsidR="00AC0233">
        <w:t>P</w:t>
      </w:r>
      <w:r w:rsidRPr="00211A7B" w:rsidR="00AC0233">
        <w:t xml:space="preserve"> 19</w:t>
      </w:r>
      <w:r w:rsidR="00AC0233">
        <w:t>)</w:t>
      </w:r>
      <w:r w:rsidRPr="00211A7B" w:rsidR="00AC0233">
        <w:t>.</w:t>
      </w:r>
    </w:p>
  </w:footnote>
  <w:footnote w:id="41">
    <w:p w:rsidR="00321913" w:rsidP="001D47AC">
      <w:pPr>
        <w:widowControl/>
        <w:autoSpaceDE w:val="0"/>
        <w:autoSpaceDN w:val="0"/>
        <w:adjustRightInd w:val="0"/>
        <w:ind w:firstLine="720"/>
      </w:pPr>
      <w:r>
        <w:rPr>
          <w:rStyle w:val="FootnoteReference"/>
        </w:rPr>
        <w:footnoteRef/>
      </w:r>
      <w:r>
        <w:t xml:space="preserve"> </w:t>
      </w:r>
      <w:r w:rsidR="007B1E3A">
        <w:rPr>
          <w:i/>
          <w:iCs/>
        </w:rPr>
        <w:t>Id.</w:t>
      </w:r>
      <w:r w:rsidR="007B1E3A">
        <w:t xml:space="preserve"> </w:t>
      </w:r>
      <w:r>
        <w:t>at 3 (citing October 2007 Order</w:t>
      </w:r>
      <w:r w:rsidR="00914DE6">
        <w:t>,</w:t>
      </w:r>
      <w:r w:rsidRPr="00914DE6" w:rsidR="00914DE6">
        <w:t xml:space="preserve"> </w:t>
      </w:r>
      <w:r w:rsidRPr="00B241A2" w:rsidR="00914DE6">
        <w:t xml:space="preserve">121 FERC </w:t>
      </w:r>
      <w:r w:rsidRPr="002A1D78" w:rsidR="0049511F">
        <w:t>¶</w:t>
      </w:r>
      <w:r w:rsidRPr="00B241A2" w:rsidR="00914DE6">
        <w:t xml:space="preserve"> 61,104</w:t>
      </w:r>
      <w:r w:rsidRPr="001F5463">
        <w:t xml:space="preserve"> at </w:t>
      </w:r>
      <w:r>
        <w:t>P</w:t>
      </w:r>
      <w:r w:rsidRPr="001F5463">
        <w:t xml:space="preserve"> 22</w:t>
      </w:r>
      <w:r w:rsidR="004B7B11">
        <w:t>)</w:t>
      </w:r>
      <w:r w:rsidR="00AB6A4E">
        <w:t>.</w:t>
      </w:r>
      <w:r w:rsidR="008823B9">
        <w:t xml:space="preserve"> </w:t>
      </w:r>
    </w:p>
    <w:p w:rsidR="00321913" w:rsidRPr="003E445D" w:rsidP="005431CF">
      <w:pPr>
        <w:widowControl/>
        <w:autoSpaceDE w:val="0"/>
        <w:autoSpaceDN w:val="0"/>
        <w:adjustRightInd w:val="0"/>
        <w:rPr>
          <w:rFonts w:ascii="TimesNewRoman" w:hAnsi="TimesNewRoman" w:cs="TimesNewRoman"/>
          <w:szCs w:val="26"/>
        </w:rPr>
      </w:pPr>
    </w:p>
  </w:footnote>
  <w:footnote w:id="42">
    <w:p w:rsidR="00D24438" w:rsidP="00D24438">
      <w:pPr>
        <w:pStyle w:val="FootnoteText"/>
      </w:pPr>
      <w:r>
        <w:rPr>
          <w:rStyle w:val="FootnoteReference"/>
        </w:rPr>
        <w:footnoteRef/>
      </w:r>
      <w:r>
        <w:t xml:space="preserve"> </w:t>
      </w:r>
      <w:r w:rsidR="007B1E3A">
        <w:rPr>
          <w:i/>
          <w:iCs/>
        </w:rPr>
        <w:t>Id.</w:t>
      </w:r>
      <w:r w:rsidR="007B1E3A">
        <w:t xml:space="preserve"> </w:t>
      </w:r>
      <w:r>
        <w:t>at 2.</w:t>
      </w:r>
    </w:p>
  </w:footnote>
  <w:footnote w:id="43">
    <w:p w:rsidR="003067BE">
      <w:pPr>
        <w:pStyle w:val="FootnoteText"/>
      </w:pPr>
      <w:r>
        <w:rPr>
          <w:rStyle w:val="FootnoteReference"/>
        </w:rPr>
        <w:footnoteRef/>
      </w:r>
      <w:r>
        <w:t xml:space="preserve"> Niagara Mohawk Answer at </w:t>
      </w:r>
      <w:r w:rsidR="00D87ECC">
        <w:t>3.</w:t>
      </w:r>
    </w:p>
  </w:footnote>
  <w:footnote w:id="44">
    <w:p w:rsidR="008A4869">
      <w:pPr>
        <w:pStyle w:val="FootnoteText"/>
      </w:pPr>
      <w:r>
        <w:rPr>
          <w:rStyle w:val="FootnoteReference"/>
        </w:rPr>
        <w:footnoteRef/>
      </w:r>
      <w:r>
        <w:t xml:space="preserve"> </w:t>
      </w:r>
      <w:r w:rsidR="007B1E3A">
        <w:rPr>
          <w:i/>
          <w:iCs/>
        </w:rPr>
        <w:t>Id.</w:t>
      </w:r>
      <w:r w:rsidR="007B1E3A">
        <w:t xml:space="preserve"> </w:t>
      </w:r>
      <w:r>
        <w:t xml:space="preserve">at </w:t>
      </w:r>
      <w:r w:rsidR="00607547">
        <w:t>5.</w:t>
      </w:r>
    </w:p>
  </w:footnote>
  <w:footnote w:id="45">
    <w:p w:rsidR="0076689B">
      <w:pPr>
        <w:pStyle w:val="FootnoteText"/>
      </w:pPr>
      <w:r>
        <w:rPr>
          <w:rStyle w:val="FootnoteReference"/>
        </w:rPr>
        <w:footnoteRef/>
      </w:r>
      <w:r>
        <w:t xml:space="preserve"> </w:t>
      </w:r>
      <w:r w:rsidR="007B1E3A">
        <w:rPr>
          <w:i/>
          <w:iCs/>
        </w:rPr>
        <w:t>Id.</w:t>
      </w:r>
      <w:r w:rsidR="007B1E3A">
        <w:t xml:space="preserve"> </w:t>
      </w:r>
      <w:r>
        <w:t>at 6.</w:t>
      </w:r>
    </w:p>
  </w:footnote>
  <w:footnote w:id="46">
    <w:p w:rsidR="00F05C73">
      <w:pPr>
        <w:pStyle w:val="FootnoteText"/>
      </w:pPr>
      <w:r>
        <w:rPr>
          <w:rStyle w:val="FootnoteReference"/>
        </w:rPr>
        <w:footnoteRef/>
      </w:r>
      <w:r>
        <w:t xml:space="preserve"> </w:t>
      </w:r>
      <w:r w:rsidR="007B1E3A">
        <w:rPr>
          <w:i/>
          <w:iCs/>
        </w:rPr>
        <w:t>Id.</w:t>
      </w:r>
      <w:r w:rsidR="00D81C58">
        <w:t xml:space="preserve"> at</w:t>
      </w:r>
      <w:r>
        <w:t xml:space="preserve"> </w:t>
      </w:r>
      <w:r w:rsidR="0067692F">
        <w:t xml:space="preserve">6-7. </w:t>
      </w:r>
      <w:r w:rsidR="00BD23EA">
        <w:t xml:space="preserve"> </w:t>
      </w:r>
      <w:r w:rsidRPr="00BD23EA" w:rsidR="00BD23EA">
        <w:t xml:space="preserve">Niagara Mohawk includes in its answer an affidavit from </w:t>
      </w:r>
      <w:r w:rsidR="0071204C">
        <w:t xml:space="preserve">              </w:t>
      </w:r>
      <w:r w:rsidRPr="00BD23EA" w:rsidR="00BD23EA">
        <w:t xml:space="preserve">Mr. Michael Falls, the Director of Transmission Planning and Asset Management of its New York division, which in part describes why Good Utility Practice supports construction of a breaker-and-a-half </w:t>
      </w:r>
      <w:r w:rsidR="005E41FF">
        <w:t>configuration</w:t>
      </w:r>
      <w:r w:rsidRPr="00BD23EA" w:rsidR="005E41FF">
        <w:t xml:space="preserve"> </w:t>
      </w:r>
      <w:r w:rsidRPr="00BD23EA" w:rsidR="00BD23EA">
        <w:t>at the Oneida Substation</w:t>
      </w:r>
      <w:r w:rsidR="003B5E56">
        <w:t>.</w:t>
      </w:r>
      <w:r w:rsidR="00BD23EA">
        <w:t xml:space="preserve"> </w:t>
      </w:r>
      <w:r w:rsidR="00A526B7">
        <w:t xml:space="preserve"> </w:t>
      </w:r>
      <w:r w:rsidR="0067692F">
        <w:rPr>
          <w:i/>
          <w:iCs/>
        </w:rPr>
        <w:t>See</w:t>
      </w:r>
      <w:r w:rsidR="002A374B">
        <w:rPr>
          <w:i/>
          <w:iCs/>
        </w:rPr>
        <w:t xml:space="preserve"> id.</w:t>
      </w:r>
      <w:r w:rsidR="0067692F">
        <w:t xml:space="preserve"> </w:t>
      </w:r>
      <w:r w:rsidR="00785A0F">
        <w:t>Ex. A</w:t>
      </w:r>
      <w:r w:rsidR="00D53722">
        <w:t xml:space="preserve"> (Affidavit of Michael Falls)</w:t>
      </w:r>
      <w:r w:rsidR="009A283B">
        <w:t xml:space="preserve"> </w:t>
      </w:r>
      <w:r w:rsidRPr="00E83D4A" w:rsidR="00D57CA3">
        <w:t>¶¶</w:t>
      </w:r>
      <w:r w:rsidR="004B4763">
        <w:t xml:space="preserve"> 10-12</w:t>
      </w:r>
      <w:r w:rsidR="00D53722">
        <w:t xml:space="preserve"> (First Falls Affidavit)</w:t>
      </w:r>
      <w:r w:rsidR="0067692F">
        <w:t>.</w:t>
      </w:r>
    </w:p>
  </w:footnote>
  <w:footnote w:id="47">
    <w:p w:rsidR="006C452E">
      <w:pPr>
        <w:pStyle w:val="FootnoteText"/>
      </w:pPr>
      <w:r>
        <w:rPr>
          <w:rStyle w:val="FootnoteReference"/>
        </w:rPr>
        <w:footnoteRef/>
      </w:r>
      <w:r>
        <w:t xml:space="preserve"> </w:t>
      </w:r>
      <w:r w:rsidR="002A374B">
        <w:rPr>
          <w:i/>
          <w:iCs/>
        </w:rPr>
        <w:t>Id.</w:t>
      </w:r>
      <w:r w:rsidR="002A374B">
        <w:t xml:space="preserve"> </w:t>
      </w:r>
      <w:r w:rsidR="00F076E2">
        <w:t xml:space="preserve">at </w:t>
      </w:r>
      <w:r w:rsidR="00D96EBE">
        <w:t>7.</w:t>
      </w:r>
    </w:p>
  </w:footnote>
  <w:footnote w:id="48">
    <w:p w:rsidR="00BE59C0">
      <w:pPr>
        <w:pStyle w:val="FootnoteText"/>
      </w:pPr>
      <w:r>
        <w:rPr>
          <w:rStyle w:val="FootnoteReference"/>
        </w:rPr>
        <w:footnoteRef/>
      </w:r>
      <w:r>
        <w:t xml:space="preserve"> </w:t>
      </w:r>
      <w:r w:rsidR="00A636AA">
        <w:rPr>
          <w:i/>
          <w:iCs/>
        </w:rPr>
        <w:t>Id.</w:t>
      </w:r>
    </w:p>
  </w:footnote>
  <w:footnote w:id="49">
    <w:p w:rsidR="00C75FEC" w:rsidP="00C75FEC">
      <w:pPr>
        <w:pStyle w:val="FootnoteText"/>
      </w:pPr>
      <w:r>
        <w:rPr>
          <w:rStyle w:val="FootnoteReference"/>
        </w:rPr>
        <w:footnoteRef/>
      </w:r>
      <w:r>
        <w:t xml:space="preserve"> </w:t>
      </w:r>
      <w:r w:rsidR="00A636AA">
        <w:rPr>
          <w:i/>
          <w:iCs/>
        </w:rPr>
        <w:t>Id.</w:t>
      </w:r>
    </w:p>
  </w:footnote>
  <w:footnote w:id="50">
    <w:p w:rsidR="00C75FEC" w:rsidRPr="00507278" w:rsidP="00C75FEC">
      <w:pPr>
        <w:pStyle w:val="FootnoteText"/>
      </w:pPr>
      <w:r>
        <w:rPr>
          <w:rStyle w:val="FootnoteReference"/>
        </w:rPr>
        <w:footnoteRef/>
      </w:r>
      <w:r>
        <w:t xml:space="preserve"> </w:t>
      </w:r>
      <w:r>
        <w:rPr>
          <w:i/>
          <w:iCs/>
        </w:rPr>
        <w:t>Id.</w:t>
      </w:r>
      <w:r>
        <w:t xml:space="preserve"> at 4.</w:t>
      </w:r>
    </w:p>
  </w:footnote>
  <w:footnote w:id="51">
    <w:p w:rsidR="00CB1C06">
      <w:pPr>
        <w:pStyle w:val="FootnoteText"/>
      </w:pPr>
      <w:r>
        <w:rPr>
          <w:rStyle w:val="FootnoteReference"/>
        </w:rPr>
        <w:footnoteRef/>
      </w:r>
      <w:r>
        <w:t xml:space="preserve"> </w:t>
      </w:r>
      <w:r w:rsidR="00A636AA">
        <w:rPr>
          <w:i/>
          <w:iCs/>
        </w:rPr>
        <w:t>Id.</w:t>
      </w:r>
      <w:r>
        <w:t xml:space="preserve"> at 16 (quoting </w:t>
      </w:r>
      <w:r w:rsidR="00C662C3">
        <w:t xml:space="preserve">NYISO, NYISO Agreements, Agreement No. 1144 </w:t>
      </w:r>
      <w:r w:rsidR="005A5ACC">
        <w:t>(</w:t>
      </w:r>
      <w:r w:rsidR="00C662C3">
        <w:t xml:space="preserve">SG-1144, LGIA between NiMo, Alliance Energy, </w:t>
      </w:r>
      <w:r>
        <w:t xml:space="preserve">Sterling </w:t>
      </w:r>
      <w:r w:rsidR="00C662C3">
        <w:t>Power</w:t>
      </w:r>
      <w:r w:rsidR="005A5ACC">
        <w:t>)</w:t>
      </w:r>
      <w:r w:rsidR="00C662C3">
        <w:t xml:space="preserve"> (1.0.0)</w:t>
      </w:r>
      <w:r w:rsidR="004B5EE1">
        <w:t>, art. 9.6.4</w:t>
      </w:r>
      <w:r w:rsidR="00C662C3">
        <w:t>)</w:t>
      </w:r>
      <w:r>
        <w:t>.</w:t>
      </w:r>
    </w:p>
  </w:footnote>
  <w:footnote w:id="52">
    <w:p w:rsidR="00734FA9">
      <w:pPr>
        <w:pStyle w:val="FootnoteText"/>
      </w:pPr>
      <w:r>
        <w:rPr>
          <w:rStyle w:val="FootnoteReference"/>
        </w:rPr>
        <w:footnoteRef/>
      </w:r>
      <w:r>
        <w:t xml:space="preserve"> </w:t>
      </w:r>
      <w:r w:rsidR="00A636AA">
        <w:rPr>
          <w:i/>
          <w:iCs/>
        </w:rPr>
        <w:t>Id.</w:t>
      </w:r>
      <w:r>
        <w:t xml:space="preserve"> (quoting </w:t>
      </w:r>
      <w:r w:rsidR="00C662C3">
        <w:t xml:space="preserve">NYISO, NYISO Agreements, Agreement No. 1144 </w:t>
      </w:r>
      <w:r w:rsidR="005A5ACC">
        <w:t>(</w:t>
      </w:r>
      <w:r w:rsidR="00C662C3">
        <w:t xml:space="preserve">SG-1144, LGIA between NiMo, Alliance Energy, </w:t>
      </w:r>
      <w:r>
        <w:t xml:space="preserve">Sterling </w:t>
      </w:r>
      <w:r w:rsidR="00C662C3">
        <w:t>Power</w:t>
      </w:r>
      <w:r w:rsidR="005A5ACC">
        <w:t>)</w:t>
      </w:r>
      <w:r w:rsidR="00C662C3">
        <w:t xml:space="preserve"> (1.0.0)</w:t>
      </w:r>
      <w:r w:rsidR="004B5EE1">
        <w:t>, art. 9.6.4.2</w:t>
      </w:r>
      <w:r>
        <w:t>).</w:t>
      </w:r>
    </w:p>
  </w:footnote>
  <w:footnote w:id="53">
    <w:p w:rsidR="00884B4C">
      <w:pPr>
        <w:pStyle w:val="FootnoteText"/>
      </w:pPr>
      <w:r>
        <w:rPr>
          <w:rStyle w:val="FootnoteReference"/>
        </w:rPr>
        <w:footnoteRef/>
      </w:r>
      <w:r>
        <w:t xml:space="preserve"> </w:t>
      </w:r>
      <w:r w:rsidR="00A636AA">
        <w:rPr>
          <w:i/>
          <w:iCs/>
        </w:rPr>
        <w:t>Id.</w:t>
      </w:r>
      <w:r w:rsidR="00A636AA">
        <w:t xml:space="preserve"> </w:t>
      </w:r>
      <w:r>
        <w:t>at 17.</w:t>
      </w:r>
    </w:p>
  </w:footnote>
  <w:footnote w:id="54">
    <w:p w:rsidR="00FD6AA5">
      <w:pPr>
        <w:pStyle w:val="FootnoteText"/>
      </w:pPr>
      <w:r>
        <w:rPr>
          <w:rStyle w:val="FootnoteReference"/>
        </w:rPr>
        <w:footnoteRef/>
      </w:r>
      <w:r>
        <w:t xml:space="preserve"> </w:t>
      </w:r>
      <w:r w:rsidR="00A636AA">
        <w:rPr>
          <w:i/>
          <w:iCs/>
        </w:rPr>
        <w:t>Id.</w:t>
      </w:r>
      <w:r w:rsidR="00A636AA">
        <w:t xml:space="preserve"> </w:t>
      </w:r>
      <w:r>
        <w:t>at 7.</w:t>
      </w:r>
    </w:p>
  </w:footnote>
  <w:footnote w:id="55">
    <w:p w:rsidR="00C80CE1">
      <w:pPr>
        <w:pStyle w:val="FootnoteText"/>
      </w:pPr>
      <w:r>
        <w:rPr>
          <w:rStyle w:val="FootnoteReference"/>
        </w:rPr>
        <w:footnoteRef/>
      </w:r>
      <w:r>
        <w:t xml:space="preserve"> </w:t>
      </w:r>
      <w:r w:rsidR="000B046F">
        <w:rPr>
          <w:i/>
          <w:iCs/>
        </w:rPr>
        <w:t>Id.</w:t>
      </w:r>
      <w:r w:rsidR="000B046F">
        <w:t xml:space="preserve"> </w:t>
      </w:r>
      <w:r>
        <w:t>at 8.</w:t>
      </w:r>
    </w:p>
  </w:footnote>
  <w:footnote w:id="56">
    <w:p w:rsidR="008D189A">
      <w:pPr>
        <w:pStyle w:val="FootnoteText"/>
      </w:pPr>
      <w:r>
        <w:rPr>
          <w:rStyle w:val="FootnoteReference"/>
        </w:rPr>
        <w:footnoteRef/>
      </w:r>
      <w:r>
        <w:t xml:space="preserve"> </w:t>
      </w:r>
      <w:r w:rsidR="000B046F">
        <w:rPr>
          <w:i/>
          <w:iCs/>
        </w:rPr>
        <w:t>Id.</w:t>
      </w:r>
    </w:p>
  </w:footnote>
  <w:footnote w:id="57">
    <w:p w:rsidR="008E26BB">
      <w:pPr>
        <w:pStyle w:val="FootnoteText"/>
      </w:pPr>
      <w:r>
        <w:rPr>
          <w:rStyle w:val="FootnoteReference"/>
        </w:rPr>
        <w:footnoteRef/>
      </w:r>
      <w:r>
        <w:t xml:space="preserve"> </w:t>
      </w:r>
      <w:r w:rsidR="000B046F">
        <w:rPr>
          <w:i/>
          <w:iCs/>
        </w:rPr>
        <w:t>Id.</w:t>
      </w:r>
      <w:r w:rsidR="000B046F">
        <w:t xml:space="preserve"> </w:t>
      </w:r>
      <w:r>
        <w:t>at 9.</w:t>
      </w:r>
    </w:p>
  </w:footnote>
  <w:footnote w:id="58">
    <w:p w:rsidR="001A5F81">
      <w:pPr>
        <w:pStyle w:val="FootnoteText"/>
      </w:pPr>
      <w:r>
        <w:rPr>
          <w:rStyle w:val="FootnoteReference"/>
        </w:rPr>
        <w:footnoteRef/>
      </w:r>
      <w:r>
        <w:t xml:space="preserve"> </w:t>
      </w:r>
      <w:r w:rsidR="00C206D6">
        <w:rPr>
          <w:i/>
          <w:iCs/>
        </w:rPr>
        <w:t xml:space="preserve">Id. </w:t>
      </w:r>
      <w:r w:rsidR="00C206D6">
        <w:t xml:space="preserve">(quoting </w:t>
      </w:r>
      <w:r w:rsidR="00C662C3">
        <w:t xml:space="preserve">NYISO, NYISO Agreements, Agreement No. 1144 </w:t>
      </w:r>
      <w:r w:rsidR="005A5ACC">
        <w:t>(</w:t>
      </w:r>
      <w:r w:rsidR="00C662C3">
        <w:t>SG-1144, LGIA between NiMo, Alliance Energy, Sterling Power</w:t>
      </w:r>
      <w:r w:rsidR="005A5ACC">
        <w:t>)</w:t>
      </w:r>
      <w:r w:rsidR="00C662C3">
        <w:t xml:space="preserve"> (1.0.0)</w:t>
      </w:r>
      <w:r w:rsidR="004B5EE1">
        <w:t>, art. 5.19.2</w:t>
      </w:r>
      <w:r w:rsidR="00C206D6">
        <w:t>)</w:t>
      </w:r>
      <w:r w:rsidR="00C662C3">
        <w:t>.</w:t>
      </w:r>
    </w:p>
  </w:footnote>
  <w:footnote w:id="59">
    <w:p w:rsidR="00BC1AD4">
      <w:pPr>
        <w:pStyle w:val="FootnoteText"/>
      </w:pPr>
      <w:r>
        <w:rPr>
          <w:rStyle w:val="FootnoteReference"/>
        </w:rPr>
        <w:footnoteRef/>
      </w:r>
      <w:r>
        <w:t xml:space="preserve"> </w:t>
      </w:r>
      <w:r w:rsidR="00AB0BC8">
        <w:rPr>
          <w:i/>
          <w:iCs/>
        </w:rPr>
        <w:t>I</w:t>
      </w:r>
      <w:r w:rsidR="00AB0BC8">
        <w:rPr>
          <w:i/>
        </w:rPr>
        <w:t xml:space="preserve">d. </w:t>
      </w:r>
      <w:r>
        <w:t xml:space="preserve">at </w:t>
      </w:r>
      <w:r w:rsidR="00A0118B">
        <w:t>10.</w:t>
      </w:r>
    </w:p>
  </w:footnote>
  <w:footnote w:id="60">
    <w:p w:rsidR="0035572C">
      <w:pPr>
        <w:pStyle w:val="FootnoteText"/>
      </w:pPr>
      <w:r>
        <w:rPr>
          <w:rStyle w:val="FootnoteReference"/>
        </w:rPr>
        <w:footnoteRef/>
      </w:r>
      <w:r>
        <w:t xml:space="preserve"> </w:t>
      </w:r>
      <w:r w:rsidR="000B046F">
        <w:rPr>
          <w:i/>
          <w:iCs/>
        </w:rPr>
        <w:t>Id.</w:t>
      </w:r>
      <w:r w:rsidR="000B046F">
        <w:t xml:space="preserve"> </w:t>
      </w:r>
      <w:r>
        <w:t>at 11.</w:t>
      </w:r>
    </w:p>
  </w:footnote>
  <w:footnote w:id="61">
    <w:p w:rsidR="00FD40C8" w:rsidP="00031F3C">
      <w:pPr>
        <w:pStyle w:val="FootnoteText"/>
      </w:pPr>
      <w:r>
        <w:rPr>
          <w:rStyle w:val="FootnoteReference"/>
        </w:rPr>
        <w:footnoteRef/>
      </w:r>
      <w:r>
        <w:t xml:space="preserve"> </w:t>
      </w:r>
      <w:r w:rsidRPr="00FE1444" w:rsidR="00FE1444">
        <w:rPr>
          <w:i/>
          <w:iCs/>
        </w:rPr>
        <w:t>Id.</w:t>
      </w:r>
      <w:r w:rsidRPr="00FE1444" w:rsidR="00FE1444">
        <w:t xml:space="preserve"> </w:t>
      </w:r>
      <w:r w:rsidR="00FE1444">
        <w:t xml:space="preserve">(citing </w:t>
      </w:r>
      <w:r w:rsidRPr="00031F3C" w:rsidR="00031F3C">
        <w:rPr>
          <w:i/>
          <w:iCs/>
        </w:rPr>
        <w:t>Avangrid Inc. v. NextEra Energy Res</w:t>
      </w:r>
      <w:r w:rsidR="000577D0">
        <w:rPr>
          <w:i/>
          <w:iCs/>
        </w:rPr>
        <w:t>.</w:t>
      </w:r>
      <w:r w:rsidRPr="00031F3C" w:rsidR="00031F3C">
        <w:rPr>
          <w:i/>
          <w:iCs/>
        </w:rPr>
        <w:t>, LLC</w:t>
      </w:r>
      <w:r w:rsidRPr="00031F3C" w:rsidR="00031F3C">
        <w:t xml:space="preserve">, 182 FERC </w:t>
      </w:r>
      <w:r w:rsidRPr="00E83D4A" w:rsidR="003B423C">
        <w:t>¶</w:t>
      </w:r>
      <w:r w:rsidRPr="00031F3C" w:rsidR="00031F3C">
        <w:t xml:space="preserve"> 61,044, </w:t>
      </w:r>
      <w:r w:rsidRPr="00031F3C" w:rsidR="00031F3C">
        <w:rPr>
          <w:i/>
          <w:iCs/>
        </w:rPr>
        <w:t>order addressing arguments raised on reh’g</w:t>
      </w:r>
      <w:r w:rsidRPr="00031F3C" w:rsidR="00031F3C">
        <w:t xml:space="preserve">, 183 FERC </w:t>
      </w:r>
      <w:r w:rsidRPr="00E83D4A" w:rsidR="003B423C">
        <w:t>¶</w:t>
      </w:r>
      <w:r w:rsidRPr="00031F3C" w:rsidR="00031F3C">
        <w:t xml:space="preserve"> 61,196 (2023), </w:t>
      </w:r>
      <w:r w:rsidRPr="00031F3C" w:rsidR="00031F3C">
        <w:rPr>
          <w:i/>
          <w:iCs/>
        </w:rPr>
        <w:t>aff’d</w:t>
      </w:r>
      <w:r w:rsidRPr="00031F3C" w:rsidR="00031F3C">
        <w:t xml:space="preserve">, </w:t>
      </w:r>
      <w:r w:rsidRPr="00031F3C" w:rsidR="00031F3C">
        <w:rPr>
          <w:i/>
          <w:iCs/>
        </w:rPr>
        <w:t>NextEra Energy Res</w:t>
      </w:r>
      <w:r w:rsidR="00E951F9">
        <w:rPr>
          <w:i/>
          <w:iCs/>
        </w:rPr>
        <w:t>.</w:t>
      </w:r>
      <w:r w:rsidRPr="00031F3C" w:rsidR="00031F3C">
        <w:rPr>
          <w:i/>
          <w:iCs/>
        </w:rPr>
        <w:t xml:space="preserve"> LLC v. FERC</w:t>
      </w:r>
      <w:r w:rsidRPr="00031F3C" w:rsidR="00031F3C">
        <w:t>, 118 F.4th 361 (D.C. Cir. 2024) (finding that existing circuit breaker must be uprated and replaced to support interconnection in accordance with Good Utility Practice)</w:t>
      </w:r>
      <w:r w:rsidR="00B22094">
        <w:t>)</w:t>
      </w:r>
      <w:r w:rsidRPr="00031F3C" w:rsidR="00031F3C">
        <w:t>.</w:t>
      </w:r>
    </w:p>
  </w:footnote>
  <w:footnote w:id="62">
    <w:p w:rsidR="006F7D2B">
      <w:pPr>
        <w:pStyle w:val="FootnoteText"/>
      </w:pPr>
      <w:r>
        <w:rPr>
          <w:rStyle w:val="FootnoteReference"/>
        </w:rPr>
        <w:footnoteRef/>
      </w:r>
      <w:r>
        <w:t xml:space="preserve"> </w:t>
      </w:r>
      <w:r w:rsidRPr="00C21EB7" w:rsidR="007D4EC3">
        <w:rPr>
          <w:i/>
          <w:iCs/>
        </w:rPr>
        <w:t>Id.</w:t>
      </w:r>
      <w:r>
        <w:t xml:space="preserve"> </w:t>
      </w:r>
      <w:r w:rsidR="000C5748">
        <w:t>F</w:t>
      </w:r>
      <w:r w:rsidR="00C1757E">
        <w:t xml:space="preserve">irst Falls Affidavit </w:t>
      </w:r>
      <w:r w:rsidRPr="00E83D4A" w:rsidR="00671E66">
        <w:t>¶</w:t>
      </w:r>
      <w:r w:rsidR="00671E66">
        <w:t xml:space="preserve"> 9 (explaining </w:t>
      </w:r>
      <w:r w:rsidR="00033B98">
        <w:t xml:space="preserve">that </w:t>
      </w:r>
      <w:r w:rsidR="008F7A3A">
        <w:t xml:space="preserve">in </w:t>
      </w:r>
      <w:r w:rsidR="00033B98">
        <w:t>ISO New England, where Niagara Mohawk</w:t>
      </w:r>
      <w:r w:rsidR="002849C1">
        <w:t>’s affiliate provides interconnection service</w:t>
      </w:r>
      <w:r w:rsidR="00FF5E05">
        <w:t xml:space="preserve">, </w:t>
      </w:r>
      <w:r w:rsidR="00FD6060">
        <w:t xml:space="preserve">Planning Procedure No. 9 requires </w:t>
      </w:r>
      <w:r w:rsidR="00FF5E05">
        <w:t xml:space="preserve">transmission owners </w:t>
      </w:r>
      <w:r w:rsidR="00FD6060">
        <w:t xml:space="preserve">to </w:t>
      </w:r>
      <w:r w:rsidR="00FF5E05">
        <w:t>design certain substation facilities using a breaker-and-a-half configuration).</w:t>
      </w:r>
    </w:p>
  </w:footnote>
  <w:footnote w:id="63">
    <w:p w:rsidR="007018CE">
      <w:pPr>
        <w:pStyle w:val="FootnoteText"/>
      </w:pPr>
      <w:r>
        <w:rPr>
          <w:rStyle w:val="FootnoteReference"/>
        </w:rPr>
        <w:footnoteRef/>
      </w:r>
      <w:r>
        <w:t xml:space="preserve"> </w:t>
      </w:r>
      <w:r w:rsidR="000B046F">
        <w:rPr>
          <w:i/>
          <w:iCs/>
        </w:rPr>
        <w:t>Id.</w:t>
      </w:r>
      <w:r>
        <w:t xml:space="preserve"> </w:t>
      </w:r>
      <w:r w:rsidR="00625B79">
        <w:t xml:space="preserve"> </w:t>
      </w:r>
      <w:r w:rsidR="00625B79">
        <w:rPr>
          <w:i/>
          <w:iCs/>
        </w:rPr>
        <w:t>See id.</w:t>
      </w:r>
      <w:r w:rsidR="00625B79">
        <w:t xml:space="preserve"> </w:t>
      </w:r>
      <w:r w:rsidRPr="00785A0F" w:rsidR="00B01B3E">
        <w:t>Ex. A-2</w:t>
      </w:r>
      <w:r w:rsidR="00B01B3E">
        <w:t>.</w:t>
      </w:r>
    </w:p>
  </w:footnote>
  <w:footnote w:id="64">
    <w:p w:rsidR="00DC39FA">
      <w:pPr>
        <w:pStyle w:val="FootnoteText"/>
      </w:pPr>
      <w:r>
        <w:rPr>
          <w:rStyle w:val="FootnoteReference"/>
        </w:rPr>
        <w:footnoteRef/>
      </w:r>
      <w:r>
        <w:t xml:space="preserve"> </w:t>
      </w:r>
      <w:r w:rsidR="00BA1237">
        <w:rPr>
          <w:i/>
          <w:iCs/>
        </w:rPr>
        <w:t>Id.</w:t>
      </w:r>
      <w:r w:rsidR="00BA1237">
        <w:t xml:space="preserve"> </w:t>
      </w:r>
      <w:r w:rsidRPr="00BA1237" w:rsidR="00BA1237">
        <w:t>First</w:t>
      </w:r>
      <w:r w:rsidR="00BA1237">
        <w:t xml:space="preserve"> Falls Affidavit</w:t>
      </w:r>
      <w:r w:rsidR="009E7669">
        <w:t xml:space="preserve"> </w:t>
      </w:r>
      <w:r w:rsidRPr="00E83D4A" w:rsidR="00BA1237">
        <w:t>¶</w:t>
      </w:r>
      <w:r w:rsidR="009E7669">
        <w:t xml:space="preserve"> 13.</w:t>
      </w:r>
    </w:p>
  </w:footnote>
  <w:footnote w:id="65">
    <w:p w:rsidR="00BA1121" w:rsidP="00BA1121">
      <w:pPr>
        <w:pStyle w:val="FootnoteText"/>
      </w:pPr>
      <w:r>
        <w:rPr>
          <w:rStyle w:val="FootnoteReference"/>
        </w:rPr>
        <w:footnoteRef/>
      </w:r>
      <w:r>
        <w:t xml:space="preserve"> </w:t>
      </w:r>
      <w:r w:rsidRPr="00D86F2F">
        <w:t>Sterling Answer</w:t>
      </w:r>
      <w:r>
        <w:t xml:space="preserve"> at 3 (citing Niagara Mohawk Answer at 5; </w:t>
      </w:r>
      <w:r w:rsidR="00A01BE1">
        <w:rPr>
          <w:i/>
          <w:iCs/>
        </w:rPr>
        <w:t>id.</w:t>
      </w:r>
      <w:r w:rsidR="00A01BE1">
        <w:t xml:space="preserve"> First Falls Affidavit </w:t>
      </w:r>
      <w:r w:rsidRPr="00E83D4A" w:rsidR="00A01BE1">
        <w:t>¶</w:t>
      </w:r>
      <w:r w:rsidR="00A01BE1">
        <w:t xml:space="preserve"> </w:t>
      </w:r>
      <w:r>
        <w:t xml:space="preserve">9). </w:t>
      </w:r>
    </w:p>
  </w:footnote>
  <w:footnote w:id="66">
    <w:p w:rsidR="00D07138" w:rsidP="00D07138">
      <w:pPr>
        <w:pStyle w:val="FootnoteText"/>
      </w:pPr>
      <w:r>
        <w:rPr>
          <w:rStyle w:val="FootnoteReference"/>
        </w:rPr>
        <w:footnoteRef/>
      </w:r>
      <w:r>
        <w:t xml:space="preserve"> </w:t>
      </w:r>
      <w:r w:rsidR="00435B65">
        <w:rPr>
          <w:i/>
          <w:iCs/>
        </w:rPr>
        <w:t>Id.</w:t>
      </w:r>
      <w:r>
        <w:t xml:space="preserve"> at 3-5.</w:t>
      </w:r>
    </w:p>
  </w:footnote>
  <w:footnote w:id="67">
    <w:p w:rsidR="00B57BA8" w:rsidRPr="00B0079A">
      <w:pPr>
        <w:pStyle w:val="FootnoteText"/>
      </w:pPr>
      <w:r>
        <w:rPr>
          <w:rStyle w:val="FootnoteReference"/>
        </w:rPr>
        <w:footnoteRef/>
      </w:r>
      <w:r>
        <w:t xml:space="preserve"> </w:t>
      </w:r>
      <w:r w:rsidR="00B0079A">
        <w:rPr>
          <w:i/>
          <w:iCs/>
        </w:rPr>
        <w:t>See</w:t>
      </w:r>
      <w:r w:rsidR="00B0079A">
        <w:t xml:space="preserve"> NYISO, NYISO Tariffs, NYISO OATT, attach. X</w:t>
      </w:r>
      <w:r w:rsidR="00D13763">
        <w:t xml:space="preserve">, </w:t>
      </w:r>
      <w:r w:rsidRPr="006A0D08" w:rsidR="00D13763">
        <w:t>§</w:t>
      </w:r>
      <w:r w:rsidR="00D13763">
        <w:t xml:space="preserve"> 30.5 (Procedures for Interconnection Requests Submitted Prior to Effective Date of Standard Large Facility Interconnection Procedures)</w:t>
      </w:r>
      <w:r w:rsidR="00F62ECF">
        <w:t xml:space="preserve"> (1.0.0), </w:t>
      </w:r>
      <w:r w:rsidRPr="006A0D08" w:rsidR="00F62ECF">
        <w:t>§</w:t>
      </w:r>
      <w:r w:rsidR="00F62ECF">
        <w:t xml:space="preserve"> 30.5.1.1.3.</w:t>
      </w:r>
    </w:p>
  </w:footnote>
  <w:footnote w:id="68">
    <w:p w:rsidR="00352AE0">
      <w:pPr>
        <w:pStyle w:val="FootnoteText"/>
      </w:pPr>
      <w:r>
        <w:rPr>
          <w:rStyle w:val="FootnoteReference"/>
        </w:rPr>
        <w:footnoteRef/>
      </w:r>
      <w:r>
        <w:t xml:space="preserve"> Deficiency Response at 2.</w:t>
      </w:r>
    </w:p>
  </w:footnote>
  <w:footnote w:id="69">
    <w:p w:rsidR="007115D3" w:rsidRPr="007115D3">
      <w:pPr>
        <w:pStyle w:val="FootnoteText"/>
      </w:pPr>
      <w:r>
        <w:rPr>
          <w:rStyle w:val="FootnoteReference"/>
        </w:rPr>
        <w:footnoteRef/>
      </w:r>
      <w:r>
        <w:t xml:space="preserve"> </w:t>
      </w:r>
      <w:r w:rsidR="00352AE0">
        <w:rPr>
          <w:i/>
          <w:iCs/>
        </w:rPr>
        <w:t>Id.</w:t>
      </w:r>
      <w:r>
        <w:t xml:space="preserve"> at 3.</w:t>
      </w:r>
    </w:p>
  </w:footnote>
  <w:footnote w:id="70">
    <w:p w:rsidR="005D3A50" w:rsidRPr="005D3A50">
      <w:pPr>
        <w:pStyle w:val="FootnoteText"/>
      </w:pPr>
      <w:r>
        <w:rPr>
          <w:rStyle w:val="FootnoteReference"/>
        </w:rPr>
        <w:footnoteRef/>
      </w:r>
      <w:r>
        <w:t xml:space="preserve"> </w:t>
      </w:r>
      <w:r>
        <w:rPr>
          <w:i/>
          <w:iCs/>
        </w:rPr>
        <w:t>Id.</w:t>
      </w:r>
      <w:r>
        <w:t xml:space="preserve"> attach. C </w:t>
      </w:r>
      <w:r w:rsidR="008018A2">
        <w:t xml:space="preserve">(Affidavit of </w:t>
      </w:r>
      <w:r w:rsidR="00A00394">
        <w:t xml:space="preserve">Michael Falls) </w:t>
      </w:r>
      <w:r w:rsidRPr="00E83D4A" w:rsidR="00547D36">
        <w:t>¶</w:t>
      </w:r>
      <w:r w:rsidR="00FD3954">
        <w:t xml:space="preserve"> </w:t>
      </w:r>
      <w:r w:rsidR="00D40293">
        <w:t>5</w:t>
      </w:r>
      <w:r w:rsidR="00A00394">
        <w:t xml:space="preserve"> (Second Falls Affidavit)</w:t>
      </w:r>
      <w:r w:rsidR="00FD3954">
        <w:t>.</w:t>
      </w:r>
    </w:p>
  </w:footnote>
  <w:footnote w:id="71">
    <w:p w:rsidR="00473090" w:rsidRPr="00FD3954">
      <w:pPr>
        <w:pStyle w:val="FootnoteText"/>
      </w:pPr>
      <w:r>
        <w:rPr>
          <w:rStyle w:val="FootnoteReference"/>
        </w:rPr>
        <w:footnoteRef/>
      </w:r>
      <w:r>
        <w:t xml:space="preserve"> </w:t>
      </w:r>
      <w:r>
        <w:rPr>
          <w:i/>
          <w:iCs/>
        </w:rPr>
        <w:t>Id.</w:t>
      </w:r>
      <w:r w:rsidR="00FD3954">
        <w:t xml:space="preserve"> at 3.</w:t>
      </w:r>
    </w:p>
  </w:footnote>
  <w:footnote w:id="72">
    <w:p w:rsidR="003D4500" w:rsidRPr="003D4500">
      <w:pPr>
        <w:pStyle w:val="FootnoteText"/>
      </w:pPr>
      <w:r>
        <w:rPr>
          <w:rStyle w:val="FootnoteReference"/>
        </w:rPr>
        <w:footnoteRef/>
      </w:r>
      <w:r>
        <w:t xml:space="preserve"> </w:t>
      </w:r>
      <w:r>
        <w:rPr>
          <w:i/>
          <w:iCs/>
        </w:rPr>
        <w:t>Id.</w:t>
      </w:r>
      <w:r>
        <w:t xml:space="preserve"> at 3-4.</w:t>
      </w:r>
    </w:p>
  </w:footnote>
  <w:footnote w:id="73">
    <w:p w:rsidR="001228AE" w:rsidRPr="001C52B5">
      <w:pPr>
        <w:pStyle w:val="FootnoteText"/>
      </w:pPr>
      <w:r>
        <w:rPr>
          <w:rStyle w:val="FootnoteReference"/>
        </w:rPr>
        <w:footnoteRef/>
      </w:r>
      <w:r>
        <w:t xml:space="preserve"> </w:t>
      </w:r>
      <w:r>
        <w:rPr>
          <w:i/>
          <w:iCs/>
        </w:rPr>
        <w:t>Id.</w:t>
      </w:r>
      <w:r>
        <w:t xml:space="preserve"> </w:t>
      </w:r>
      <w:r w:rsidR="00A00394">
        <w:t>Second Falls Affidavit</w:t>
      </w:r>
      <w:r>
        <w:t xml:space="preserve"> </w:t>
      </w:r>
      <w:r w:rsidRPr="00E83D4A" w:rsidR="009C7100">
        <w:t>¶</w:t>
      </w:r>
      <w:r w:rsidR="001C52B5">
        <w:t xml:space="preserve"> 8.  </w:t>
      </w:r>
      <w:r w:rsidR="001C52B5">
        <w:rPr>
          <w:i/>
          <w:iCs/>
        </w:rPr>
        <w:t>See id.</w:t>
      </w:r>
      <w:r w:rsidR="001C52B5">
        <w:t xml:space="preserve"> attach. A at A-10.</w:t>
      </w:r>
    </w:p>
  </w:footnote>
  <w:footnote w:id="74">
    <w:p w:rsidR="00727C2F" w:rsidRPr="00727C2F">
      <w:pPr>
        <w:pStyle w:val="FootnoteText"/>
      </w:pPr>
      <w:r>
        <w:rPr>
          <w:rStyle w:val="FootnoteReference"/>
        </w:rPr>
        <w:footnoteRef/>
      </w:r>
      <w:r>
        <w:t xml:space="preserve"> </w:t>
      </w:r>
      <w:r>
        <w:rPr>
          <w:i/>
          <w:iCs/>
        </w:rPr>
        <w:t>Id.</w:t>
      </w:r>
      <w:r>
        <w:t xml:space="preserve"> </w:t>
      </w:r>
      <w:r w:rsidR="009C7100">
        <w:t xml:space="preserve">Second Falls Affidavit </w:t>
      </w:r>
      <w:r w:rsidRPr="00E83D4A" w:rsidR="009C7100">
        <w:t>¶</w:t>
      </w:r>
      <w:r>
        <w:t xml:space="preserve"> 8.</w:t>
      </w:r>
    </w:p>
  </w:footnote>
  <w:footnote w:id="75">
    <w:p w:rsidR="0005367D" w:rsidRPr="0005367D">
      <w:pPr>
        <w:pStyle w:val="FootnoteText"/>
      </w:pPr>
      <w:r>
        <w:rPr>
          <w:rStyle w:val="FootnoteReference"/>
        </w:rPr>
        <w:footnoteRef/>
      </w:r>
      <w:r>
        <w:t xml:space="preserve"> </w:t>
      </w:r>
      <w:r>
        <w:rPr>
          <w:i/>
          <w:iCs/>
        </w:rPr>
        <w:t>Id.</w:t>
      </w:r>
      <w:r>
        <w:t xml:space="preserve"> </w:t>
      </w:r>
      <w:r w:rsidR="009C7100">
        <w:t xml:space="preserve">Second Falls Affidavit </w:t>
      </w:r>
      <w:r w:rsidRPr="00E83D4A" w:rsidR="009C7100">
        <w:t>¶</w:t>
      </w:r>
      <w:r>
        <w:t xml:space="preserve"> 9.</w:t>
      </w:r>
    </w:p>
  </w:footnote>
  <w:footnote w:id="76">
    <w:p w:rsidR="009D6B5D" w:rsidRPr="009D6B5D">
      <w:pPr>
        <w:pStyle w:val="FootnoteText"/>
      </w:pPr>
      <w:r>
        <w:rPr>
          <w:rStyle w:val="FootnoteReference"/>
        </w:rPr>
        <w:footnoteRef/>
      </w:r>
      <w:r>
        <w:t xml:space="preserve"> </w:t>
      </w:r>
      <w:r>
        <w:rPr>
          <w:i/>
          <w:iCs/>
        </w:rPr>
        <w:t>Id.</w:t>
      </w:r>
      <w:r>
        <w:t xml:space="preserve"> </w:t>
      </w:r>
      <w:r w:rsidR="009C7100">
        <w:t xml:space="preserve">Second Falls Affidavit </w:t>
      </w:r>
      <w:r w:rsidRPr="00E83D4A" w:rsidR="009C7100">
        <w:t>¶</w:t>
      </w:r>
      <w:r w:rsidR="00712A69">
        <w:t xml:space="preserve"> 10.</w:t>
      </w:r>
    </w:p>
  </w:footnote>
  <w:footnote w:id="77">
    <w:p w:rsidR="00A14647">
      <w:pPr>
        <w:pStyle w:val="FootnoteText"/>
      </w:pPr>
      <w:r>
        <w:rPr>
          <w:rStyle w:val="FootnoteReference"/>
        </w:rPr>
        <w:footnoteRef/>
      </w:r>
      <w:r>
        <w:t xml:space="preserve"> </w:t>
      </w:r>
      <w:r w:rsidR="00CE3C51">
        <w:t>Sterling Protest to Defi</w:t>
      </w:r>
      <w:r w:rsidR="00D54F16">
        <w:t>ciency Response</w:t>
      </w:r>
      <w:r>
        <w:t xml:space="preserve"> at </w:t>
      </w:r>
      <w:r w:rsidRPr="00320D84">
        <w:t>2</w:t>
      </w:r>
      <w:r w:rsidR="00155A52">
        <w:t xml:space="preserve"> and Ex</w:t>
      </w:r>
      <w:r w:rsidRPr="00320D84" w:rsidR="003C2DEA">
        <w:t>.</w:t>
      </w:r>
    </w:p>
  </w:footnote>
  <w:footnote w:id="78">
    <w:p w:rsidR="002F7FF4">
      <w:pPr>
        <w:pStyle w:val="FootnoteText"/>
      </w:pPr>
      <w:r>
        <w:rPr>
          <w:rStyle w:val="FootnoteReference"/>
        </w:rPr>
        <w:footnoteRef/>
      </w:r>
      <w:r>
        <w:t xml:space="preserve"> </w:t>
      </w:r>
      <w:r w:rsidR="00097ECD">
        <w:rPr>
          <w:i/>
          <w:iCs/>
        </w:rPr>
        <w:t>Id.</w:t>
      </w:r>
      <w:r>
        <w:t xml:space="preserve"> at </w:t>
      </w:r>
      <w:r w:rsidR="00726893">
        <w:t>2.</w:t>
      </w:r>
    </w:p>
  </w:footnote>
  <w:footnote w:id="79">
    <w:p w:rsidR="006C44E4">
      <w:pPr>
        <w:pStyle w:val="FootnoteText"/>
      </w:pPr>
      <w:r>
        <w:rPr>
          <w:rStyle w:val="FootnoteReference"/>
        </w:rPr>
        <w:footnoteRef/>
      </w:r>
      <w:r>
        <w:t xml:space="preserve"> </w:t>
      </w:r>
      <w:r w:rsidR="00C42FED">
        <w:rPr>
          <w:i/>
          <w:iCs/>
        </w:rPr>
        <w:t>Id.</w:t>
      </w:r>
      <w:r>
        <w:t xml:space="preserve"> at 2</w:t>
      </w:r>
      <w:r w:rsidR="00FD7A54">
        <w:t>-3</w:t>
      </w:r>
      <w:r>
        <w:t xml:space="preserve"> (citing </w:t>
      </w:r>
      <w:r w:rsidR="00D86488">
        <w:t>Deficiency Response</w:t>
      </w:r>
      <w:r w:rsidR="009C7100">
        <w:t>,</w:t>
      </w:r>
      <w:r w:rsidR="00D86488">
        <w:t xml:space="preserve"> </w:t>
      </w:r>
      <w:r w:rsidR="009C7100">
        <w:t xml:space="preserve">Second Falls Affidavit </w:t>
      </w:r>
      <w:r w:rsidRPr="00E83D4A" w:rsidR="009C7100">
        <w:t>¶</w:t>
      </w:r>
      <w:r w:rsidRPr="009140EC" w:rsidR="009140EC">
        <w:t> </w:t>
      </w:r>
      <w:r w:rsidR="00D86488">
        <w:t>10</w:t>
      </w:r>
      <w:r>
        <w:t>).</w:t>
      </w:r>
    </w:p>
  </w:footnote>
  <w:footnote w:id="80">
    <w:p w:rsidR="003B7839">
      <w:pPr>
        <w:pStyle w:val="FootnoteText"/>
      </w:pPr>
      <w:r>
        <w:rPr>
          <w:rStyle w:val="FootnoteReference"/>
        </w:rPr>
        <w:footnoteRef/>
      </w:r>
      <w:r>
        <w:t xml:space="preserve"> </w:t>
      </w:r>
      <w:r w:rsidR="00C42FED">
        <w:rPr>
          <w:i/>
          <w:iCs/>
        </w:rPr>
        <w:t>Id.</w:t>
      </w:r>
      <w:r>
        <w:t xml:space="preserve"> at 2-3</w:t>
      </w:r>
      <w:r w:rsidR="008C02AD">
        <w:t xml:space="preserve"> (citing </w:t>
      </w:r>
      <w:r w:rsidR="006110BA">
        <w:t>Sterling Protest</w:t>
      </w:r>
      <w:r w:rsidR="005E2B85">
        <w:t xml:space="preserve"> Ex. A)</w:t>
      </w:r>
      <w:r>
        <w:t>.</w:t>
      </w:r>
    </w:p>
  </w:footnote>
  <w:footnote w:id="81">
    <w:p w:rsidR="00E17CBC">
      <w:pPr>
        <w:pStyle w:val="FootnoteText"/>
      </w:pPr>
      <w:r>
        <w:rPr>
          <w:rStyle w:val="FootnoteReference"/>
        </w:rPr>
        <w:footnoteRef/>
      </w:r>
      <w:r>
        <w:t xml:space="preserve"> </w:t>
      </w:r>
      <w:r w:rsidR="00C42FED">
        <w:rPr>
          <w:i/>
          <w:iCs/>
        </w:rPr>
        <w:t>Id.</w:t>
      </w:r>
      <w:r>
        <w:t xml:space="preserve"> at </w:t>
      </w:r>
      <w:r w:rsidR="00211E81">
        <w:t>3.</w:t>
      </w:r>
    </w:p>
  </w:footnote>
  <w:footnote w:id="82">
    <w:p w:rsidR="00E33184">
      <w:pPr>
        <w:pStyle w:val="FootnoteText"/>
      </w:pPr>
      <w:r>
        <w:rPr>
          <w:rStyle w:val="FootnoteReference"/>
        </w:rPr>
        <w:footnoteRef/>
      </w:r>
      <w:r>
        <w:t xml:space="preserve"> </w:t>
      </w:r>
      <w:r w:rsidR="00C42FED">
        <w:rPr>
          <w:i/>
          <w:iCs/>
        </w:rPr>
        <w:t>Id.</w:t>
      </w:r>
      <w:r>
        <w:t xml:space="preserve"> at 3-4 (citing </w:t>
      </w:r>
      <w:r w:rsidR="00DF4879">
        <w:t>Deficiency Response</w:t>
      </w:r>
      <w:r w:rsidR="009C7100">
        <w:t>,</w:t>
      </w:r>
      <w:r w:rsidR="00DF4879">
        <w:t xml:space="preserve"> </w:t>
      </w:r>
      <w:r w:rsidR="009C7100">
        <w:t xml:space="preserve">Second Falls Affidavit </w:t>
      </w:r>
      <w:r w:rsidRPr="00E83D4A" w:rsidR="009C7100">
        <w:t>¶</w:t>
      </w:r>
      <w:r w:rsidRPr="009140EC" w:rsidR="009140EC">
        <w:t> </w:t>
      </w:r>
      <w:r w:rsidR="00DF4879">
        <w:t>10</w:t>
      </w:r>
      <w:r>
        <w:t>).</w:t>
      </w:r>
    </w:p>
  </w:footnote>
  <w:footnote w:id="83">
    <w:p w:rsidR="00F9693D" w:rsidRPr="00596143" w:rsidP="00F9693D">
      <w:pPr>
        <w:pStyle w:val="FootnoteText"/>
      </w:pPr>
      <w:r>
        <w:rPr>
          <w:rStyle w:val="FootnoteReference"/>
        </w:rPr>
        <w:footnoteRef/>
      </w:r>
      <w:r>
        <w:t xml:space="preserve"> Trial Staff is a participant in the hearing and settlement judge procedures.  </w:t>
      </w:r>
      <w:r>
        <w:rPr>
          <w:i/>
          <w:iCs/>
        </w:rPr>
        <w:t xml:space="preserve">See </w:t>
      </w:r>
      <w:r>
        <w:t>18 C.F.R. §§ 385.102(b), (c)</w:t>
      </w:r>
      <w:r w:rsidR="00C37925">
        <w:t xml:space="preserve"> (2024)</w:t>
      </w:r>
      <w:r>
        <w:t>.</w:t>
      </w:r>
    </w:p>
  </w:footnote>
  <w:footnote w:id="84">
    <w:p w:rsidR="00F9693D" w:rsidRPr="00965C26" w:rsidP="00F9693D">
      <w:pPr>
        <w:pStyle w:val="FootnoteText"/>
      </w:pPr>
      <w:r>
        <w:rPr>
          <w:rStyle w:val="FootnoteReference"/>
        </w:rPr>
        <w:footnoteRef/>
      </w:r>
      <w:r>
        <w:t xml:space="preserve"> </w:t>
      </w:r>
      <w:r w:rsidR="00C37925">
        <w:t>18 C.F.R.</w:t>
      </w:r>
      <w:r>
        <w:rPr>
          <w:i/>
          <w:iCs/>
        </w:rPr>
        <w:t xml:space="preserve"> </w:t>
      </w:r>
      <w:r>
        <w:t>§ 385.603</w:t>
      </w:r>
      <w:r w:rsidR="00C37925">
        <w:t xml:space="preserve"> (2024)</w:t>
      </w:r>
      <w:r>
        <w:t>.</w:t>
      </w:r>
    </w:p>
  </w:footnote>
  <w:footnote w:id="85">
    <w:p w:rsidR="00F9693D" w:rsidP="00F9693D">
      <w:pPr>
        <w:pStyle w:val="FootnoteText"/>
      </w:pPr>
      <w:r>
        <w:rPr>
          <w:rStyle w:val="FootnoteReference"/>
        </w:rPr>
        <w:footnoteRef/>
      </w:r>
      <w:r>
        <w:t xml:space="preserve"> If parties decide to request a specific judge, they must make their joint request to the Chief Judge by telephone at (202) 502-8500 within five days of this order.  The Commission’s website contains a list of Commission judges available for settlement proceedings and a summary of their background and experience (</w:t>
      </w:r>
      <w:r w:rsidRPr="00C37925">
        <w:t>https://www.ferc.gov/available-settlement-judges</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9063EB" w:rsidRPr="009063EB" w:rsidP="009063EB">
                <w:pPr>
                  <w:rPr>
                    <w:rFonts w:eastAsia="Times New Roman"/>
                    <w:noProof/>
                    <w:color w:val="FF0000"/>
                    <w:szCs w:val="26"/>
                  </w:rPr>
                </w:pPr>
                <w:r w:rsidRPr="009063EB">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94DE1">
    <w:pPr>
      <w:pStyle w:val="Header"/>
      <w:tabs>
        <w:tab w:val="clear" w:pos="4680"/>
      </w:tabs>
      <w:spacing w:after="240"/>
    </w:pPr>
    <w:r>
      <w:t>Docket No. ER25-312-00</w:t>
    </w:r>
    <w:r w:rsidR="00E327C4">
      <w:t>1</w:t>
    </w:r>
    <w:r>
      <w:tab/>
    </w:r>
    <w:r>
      <w:fldChar w:fldCharType="begin"/>
    </w:r>
    <w:r>
      <w:instrText xml:space="preserve"> PAGE  \* MERGEFORMAT </w:instrText>
    </w:r>
    <w:r>
      <w:fldChar w:fldCharType="separate"/>
    </w:r>
    <w:r>
      <w:rPr>
        <w:noProof/>
      </w:rPr>
      <w:t>- 19 -</w:t>
    </w:r>
    <w:r>
      <w:fldChar w:fldCharType="end"/>
    </w:r>
    <w:r>
      <w:rPr>
        <w:noProof/>
      </w:rPr>
      <w:pict>
        <v:shapetype id="_x0000_t202" coordsize="21600,21600" o:spt="202" path="m,l,21600r21600,l21600,xe">
          <v:stroke joinstyle="miter"/>
          <v:path gradientshapeok="t" o:connecttype="rect"/>
        </v:shapetype>
        <v:shape id="Text Box 3" o:spid="_x0000_s2050"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9063EB" w:rsidRPr="009063EB" w:rsidP="009063EB">
                <w:pPr>
                  <w:rPr>
                    <w:rFonts w:eastAsia="Times New Roman"/>
                    <w:noProof/>
                    <w:color w:val="FF0000"/>
                    <w:szCs w:val="26"/>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1" type="#_x0000_t202" alt="CUI" style="width:34.95pt;height:34.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9063EB" w:rsidRPr="009063EB" w:rsidP="009063EB">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BD353E"/>
    <w:multiLevelType w:val="hybridMultilevel"/>
    <w:tmpl w:val="0596C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31EE2901"/>
    <w:multiLevelType w:val="hybridMultilevel"/>
    <w:tmpl w:val="E290438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E9448D"/>
    <w:multiLevelType w:val="hybridMultilevel"/>
    <w:tmpl w:val="5D3C3BC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34329D4"/>
    <w:multiLevelType w:val="hybridMultilevel"/>
    <w:tmpl w:val="64103F6E"/>
    <w:lvl w:ilvl="0">
      <w:start w:val="1"/>
      <w:numFmt w:val="upperLetter"/>
      <w:pStyle w:val="BlockIndent"/>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0">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A195DAE"/>
    <w:multiLevelType w:val="hybridMultilevel"/>
    <w:tmpl w:val="7C6A7164"/>
    <w:lvl w:ilvl="0">
      <w:start w:val="1"/>
      <w:numFmt w:val="upperLetter"/>
      <w:lvlText w:val="(%1)"/>
      <w:lvlJc w:val="left"/>
      <w:pPr>
        <w:ind w:left="1800" w:hanging="216"/>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2">
    <w:nsid w:val="5B6502FF"/>
    <w:multiLevelType w:val="multilevel"/>
    <w:tmpl w:val="DE200FE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3">
    <w:nsid w:val="65F94059"/>
    <w:multiLevelType w:val="hybridMultilevel"/>
    <w:tmpl w:val="A54615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6">
    <w:nsid w:val="74133EE9"/>
    <w:multiLevelType w:val="hybridMultilevel"/>
    <w:tmpl w:val="11B25AF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9B44465"/>
    <w:multiLevelType w:val="hybridMultilevel"/>
    <w:tmpl w:val="DDFA49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4"/>
  </w:num>
  <w:num w:numId="13">
    <w:abstractNumId w:val="14"/>
  </w:num>
  <w:num w:numId="14">
    <w:abstractNumId w:val="25"/>
  </w:num>
  <w:num w:numId="15">
    <w:abstractNumId w:val="22"/>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9"/>
  </w:num>
  <w:num w:numId="22">
    <w:abstractNumId w:val="18"/>
  </w:num>
  <w:num w:numId="23">
    <w:abstractNumId w:val="20"/>
  </w:num>
  <w:num w:numId="24">
    <w:abstractNumId w:val="16"/>
  </w:num>
  <w:num w:numId="25">
    <w:abstractNumId w:val="28"/>
    <w:lvlOverride w:ilvl="0">
      <w:startOverride w:val="1"/>
    </w:lvlOverride>
  </w:num>
  <w:num w:numId="26">
    <w:abstractNumId w:val="26"/>
  </w:num>
  <w:num w:numId="27">
    <w:abstractNumId w:val="23"/>
  </w:num>
  <w:num w:numId="28">
    <w:abstractNumId w:val="17"/>
  </w:num>
  <w:num w:numId="29">
    <w:abstractNumId w:val="19"/>
  </w:num>
  <w:num w:numId="30">
    <w:abstractNumId w:val="27"/>
  </w:num>
  <w:num w:numId="31">
    <w:abstractNumId w:val="28"/>
    <w:lvlOverride w:ilvl="0">
      <w:startOverride w:val="1"/>
    </w:lvlOverride>
  </w:num>
  <w:num w:numId="32">
    <w:abstractNumId w:val="21"/>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3E7BCA"/>
    <w:rsid w:val="00000BF9"/>
    <w:rsid w:val="00001084"/>
    <w:rsid w:val="00001998"/>
    <w:rsid w:val="0000244A"/>
    <w:rsid w:val="0000308C"/>
    <w:rsid w:val="00003340"/>
    <w:rsid w:val="00003664"/>
    <w:rsid w:val="00003991"/>
    <w:rsid w:val="000039D9"/>
    <w:rsid w:val="00003C1F"/>
    <w:rsid w:val="00003EAB"/>
    <w:rsid w:val="0000400B"/>
    <w:rsid w:val="0000437F"/>
    <w:rsid w:val="000047D7"/>
    <w:rsid w:val="00004A9B"/>
    <w:rsid w:val="00004E4E"/>
    <w:rsid w:val="00005148"/>
    <w:rsid w:val="0000528C"/>
    <w:rsid w:val="00005447"/>
    <w:rsid w:val="00005D4B"/>
    <w:rsid w:val="00005D78"/>
    <w:rsid w:val="00005F53"/>
    <w:rsid w:val="000069D9"/>
    <w:rsid w:val="00006A88"/>
    <w:rsid w:val="00006AF2"/>
    <w:rsid w:val="00006E1C"/>
    <w:rsid w:val="000071EA"/>
    <w:rsid w:val="0000731D"/>
    <w:rsid w:val="00007610"/>
    <w:rsid w:val="00007757"/>
    <w:rsid w:val="00007BD4"/>
    <w:rsid w:val="00007C89"/>
    <w:rsid w:val="00010559"/>
    <w:rsid w:val="00010B22"/>
    <w:rsid w:val="00010EB6"/>
    <w:rsid w:val="00010FA6"/>
    <w:rsid w:val="00011675"/>
    <w:rsid w:val="000118C8"/>
    <w:rsid w:val="0001191F"/>
    <w:rsid w:val="00011EFB"/>
    <w:rsid w:val="000120DE"/>
    <w:rsid w:val="0001234E"/>
    <w:rsid w:val="000124DB"/>
    <w:rsid w:val="000125DE"/>
    <w:rsid w:val="000126E1"/>
    <w:rsid w:val="00012764"/>
    <w:rsid w:val="000132E1"/>
    <w:rsid w:val="00013AA0"/>
    <w:rsid w:val="00013AED"/>
    <w:rsid w:val="00013D79"/>
    <w:rsid w:val="000143AA"/>
    <w:rsid w:val="000145EF"/>
    <w:rsid w:val="00014A60"/>
    <w:rsid w:val="00014E94"/>
    <w:rsid w:val="00014F83"/>
    <w:rsid w:val="0001521A"/>
    <w:rsid w:val="00015271"/>
    <w:rsid w:val="0001528E"/>
    <w:rsid w:val="0001539E"/>
    <w:rsid w:val="00015584"/>
    <w:rsid w:val="00016318"/>
    <w:rsid w:val="00016A8A"/>
    <w:rsid w:val="0001799D"/>
    <w:rsid w:val="00017C47"/>
    <w:rsid w:val="00017D0C"/>
    <w:rsid w:val="0002042F"/>
    <w:rsid w:val="000208DD"/>
    <w:rsid w:val="000208EF"/>
    <w:rsid w:val="000209D9"/>
    <w:rsid w:val="00021900"/>
    <w:rsid w:val="000228A4"/>
    <w:rsid w:val="00022A33"/>
    <w:rsid w:val="0002355F"/>
    <w:rsid w:val="00023619"/>
    <w:rsid w:val="00023F68"/>
    <w:rsid w:val="0002452E"/>
    <w:rsid w:val="0002456A"/>
    <w:rsid w:val="00024B61"/>
    <w:rsid w:val="00025BA7"/>
    <w:rsid w:val="00026041"/>
    <w:rsid w:val="000261AB"/>
    <w:rsid w:val="000265AF"/>
    <w:rsid w:val="00026691"/>
    <w:rsid w:val="00026815"/>
    <w:rsid w:val="00026CF9"/>
    <w:rsid w:val="00026E18"/>
    <w:rsid w:val="00026E3D"/>
    <w:rsid w:val="00027340"/>
    <w:rsid w:val="00027A4D"/>
    <w:rsid w:val="00027A9A"/>
    <w:rsid w:val="0003008C"/>
    <w:rsid w:val="00030248"/>
    <w:rsid w:val="0003083C"/>
    <w:rsid w:val="00030C66"/>
    <w:rsid w:val="00031010"/>
    <w:rsid w:val="0003178E"/>
    <w:rsid w:val="00031934"/>
    <w:rsid w:val="00031C64"/>
    <w:rsid w:val="00031CD2"/>
    <w:rsid w:val="00031F30"/>
    <w:rsid w:val="00031F3C"/>
    <w:rsid w:val="0003211C"/>
    <w:rsid w:val="00032EBE"/>
    <w:rsid w:val="000335FE"/>
    <w:rsid w:val="0003382F"/>
    <w:rsid w:val="00033B98"/>
    <w:rsid w:val="00033C6B"/>
    <w:rsid w:val="00033F72"/>
    <w:rsid w:val="00034049"/>
    <w:rsid w:val="0003452F"/>
    <w:rsid w:val="00034EC3"/>
    <w:rsid w:val="00035BE6"/>
    <w:rsid w:val="000363E8"/>
    <w:rsid w:val="00036AD7"/>
    <w:rsid w:val="00036B2D"/>
    <w:rsid w:val="00036B50"/>
    <w:rsid w:val="00036BDB"/>
    <w:rsid w:val="0003717E"/>
    <w:rsid w:val="000371C5"/>
    <w:rsid w:val="00037200"/>
    <w:rsid w:val="000372F4"/>
    <w:rsid w:val="000374AC"/>
    <w:rsid w:val="00037835"/>
    <w:rsid w:val="00037B74"/>
    <w:rsid w:val="00037DDE"/>
    <w:rsid w:val="00037DE7"/>
    <w:rsid w:val="00040122"/>
    <w:rsid w:val="000402ED"/>
    <w:rsid w:val="000406F0"/>
    <w:rsid w:val="00040B47"/>
    <w:rsid w:val="00040C54"/>
    <w:rsid w:val="00040C86"/>
    <w:rsid w:val="00040D40"/>
    <w:rsid w:val="000414A5"/>
    <w:rsid w:val="0004177D"/>
    <w:rsid w:val="00041A40"/>
    <w:rsid w:val="00041E3B"/>
    <w:rsid w:val="00042209"/>
    <w:rsid w:val="00042230"/>
    <w:rsid w:val="0004262F"/>
    <w:rsid w:val="000428C4"/>
    <w:rsid w:val="00042B9A"/>
    <w:rsid w:val="00042D06"/>
    <w:rsid w:val="00043496"/>
    <w:rsid w:val="00043544"/>
    <w:rsid w:val="00043B72"/>
    <w:rsid w:val="0004433C"/>
    <w:rsid w:val="0004448A"/>
    <w:rsid w:val="0004474C"/>
    <w:rsid w:val="00044E6E"/>
    <w:rsid w:val="00044F51"/>
    <w:rsid w:val="00044FB6"/>
    <w:rsid w:val="000452F7"/>
    <w:rsid w:val="00045A95"/>
    <w:rsid w:val="00045D69"/>
    <w:rsid w:val="00045F25"/>
    <w:rsid w:val="000460BF"/>
    <w:rsid w:val="0004624A"/>
    <w:rsid w:val="00046ACF"/>
    <w:rsid w:val="00046B49"/>
    <w:rsid w:val="000477B0"/>
    <w:rsid w:val="0004792C"/>
    <w:rsid w:val="000479E9"/>
    <w:rsid w:val="00047A14"/>
    <w:rsid w:val="0005095F"/>
    <w:rsid w:val="00050DE8"/>
    <w:rsid w:val="00051077"/>
    <w:rsid w:val="0005135D"/>
    <w:rsid w:val="00051475"/>
    <w:rsid w:val="0005147B"/>
    <w:rsid w:val="000516F1"/>
    <w:rsid w:val="00051F45"/>
    <w:rsid w:val="0005213F"/>
    <w:rsid w:val="000526A9"/>
    <w:rsid w:val="00052C69"/>
    <w:rsid w:val="00052C77"/>
    <w:rsid w:val="0005330A"/>
    <w:rsid w:val="00053373"/>
    <w:rsid w:val="0005367D"/>
    <w:rsid w:val="0005376F"/>
    <w:rsid w:val="0005387F"/>
    <w:rsid w:val="000539CB"/>
    <w:rsid w:val="00053FD0"/>
    <w:rsid w:val="000541C2"/>
    <w:rsid w:val="00054B48"/>
    <w:rsid w:val="00054EE8"/>
    <w:rsid w:val="000550DC"/>
    <w:rsid w:val="0005575D"/>
    <w:rsid w:val="00055F5F"/>
    <w:rsid w:val="000561B4"/>
    <w:rsid w:val="000561FB"/>
    <w:rsid w:val="00056355"/>
    <w:rsid w:val="00056494"/>
    <w:rsid w:val="0005656E"/>
    <w:rsid w:val="00056779"/>
    <w:rsid w:val="000567C8"/>
    <w:rsid w:val="00056CAE"/>
    <w:rsid w:val="00056EB6"/>
    <w:rsid w:val="00057466"/>
    <w:rsid w:val="000577D0"/>
    <w:rsid w:val="000577D2"/>
    <w:rsid w:val="00057984"/>
    <w:rsid w:val="00057A50"/>
    <w:rsid w:val="00060130"/>
    <w:rsid w:val="00060412"/>
    <w:rsid w:val="00060DA8"/>
    <w:rsid w:val="00060DC5"/>
    <w:rsid w:val="00061095"/>
    <w:rsid w:val="00061155"/>
    <w:rsid w:val="0006117F"/>
    <w:rsid w:val="000612D9"/>
    <w:rsid w:val="00061811"/>
    <w:rsid w:val="0006207F"/>
    <w:rsid w:val="000622E0"/>
    <w:rsid w:val="00062732"/>
    <w:rsid w:val="00062734"/>
    <w:rsid w:val="00062A27"/>
    <w:rsid w:val="00062B92"/>
    <w:rsid w:val="00062E44"/>
    <w:rsid w:val="0006350A"/>
    <w:rsid w:val="0006434D"/>
    <w:rsid w:val="0006446A"/>
    <w:rsid w:val="00065678"/>
    <w:rsid w:val="000659D6"/>
    <w:rsid w:val="00065F74"/>
    <w:rsid w:val="00066063"/>
    <w:rsid w:val="00066187"/>
    <w:rsid w:val="00066410"/>
    <w:rsid w:val="00066DFB"/>
    <w:rsid w:val="00066E21"/>
    <w:rsid w:val="000674BD"/>
    <w:rsid w:val="00067CB0"/>
    <w:rsid w:val="0007056B"/>
    <w:rsid w:val="000705AE"/>
    <w:rsid w:val="0007084F"/>
    <w:rsid w:val="00070857"/>
    <w:rsid w:val="00070C1E"/>
    <w:rsid w:val="00070CFA"/>
    <w:rsid w:val="0007131F"/>
    <w:rsid w:val="00071390"/>
    <w:rsid w:val="00071721"/>
    <w:rsid w:val="00071770"/>
    <w:rsid w:val="00071C84"/>
    <w:rsid w:val="00071CBA"/>
    <w:rsid w:val="00071CEC"/>
    <w:rsid w:val="00071D50"/>
    <w:rsid w:val="00071FF8"/>
    <w:rsid w:val="00072847"/>
    <w:rsid w:val="00072C1F"/>
    <w:rsid w:val="000731E5"/>
    <w:rsid w:val="0007377C"/>
    <w:rsid w:val="000739E0"/>
    <w:rsid w:val="00073B41"/>
    <w:rsid w:val="00073D39"/>
    <w:rsid w:val="00073D7D"/>
    <w:rsid w:val="00074610"/>
    <w:rsid w:val="00074843"/>
    <w:rsid w:val="000748E2"/>
    <w:rsid w:val="00074BB7"/>
    <w:rsid w:val="00075318"/>
    <w:rsid w:val="000754DB"/>
    <w:rsid w:val="000756A7"/>
    <w:rsid w:val="0007594B"/>
    <w:rsid w:val="00076048"/>
    <w:rsid w:val="000761EE"/>
    <w:rsid w:val="0007636C"/>
    <w:rsid w:val="0007691A"/>
    <w:rsid w:val="000777D2"/>
    <w:rsid w:val="000777F2"/>
    <w:rsid w:val="00077E6C"/>
    <w:rsid w:val="000801FE"/>
    <w:rsid w:val="000802C6"/>
    <w:rsid w:val="0008030F"/>
    <w:rsid w:val="00080A0A"/>
    <w:rsid w:val="00081995"/>
    <w:rsid w:val="00081D80"/>
    <w:rsid w:val="00081E64"/>
    <w:rsid w:val="00082462"/>
    <w:rsid w:val="000826E2"/>
    <w:rsid w:val="00082839"/>
    <w:rsid w:val="00082AFA"/>
    <w:rsid w:val="00082B17"/>
    <w:rsid w:val="00082B97"/>
    <w:rsid w:val="00082D6D"/>
    <w:rsid w:val="00082EF9"/>
    <w:rsid w:val="0008345B"/>
    <w:rsid w:val="00083E6E"/>
    <w:rsid w:val="00083F69"/>
    <w:rsid w:val="000840ED"/>
    <w:rsid w:val="00084143"/>
    <w:rsid w:val="0008414D"/>
    <w:rsid w:val="0008439F"/>
    <w:rsid w:val="000846FC"/>
    <w:rsid w:val="0008478C"/>
    <w:rsid w:val="000847BA"/>
    <w:rsid w:val="00084868"/>
    <w:rsid w:val="000848FD"/>
    <w:rsid w:val="00084A31"/>
    <w:rsid w:val="00084B76"/>
    <w:rsid w:val="000855FE"/>
    <w:rsid w:val="000857EA"/>
    <w:rsid w:val="0008640B"/>
    <w:rsid w:val="0008673F"/>
    <w:rsid w:val="00086765"/>
    <w:rsid w:val="00086BE8"/>
    <w:rsid w:val="00086D98"/>
    <w:rsid w:val="00087073"/>
    <w:rsid w:val="00087786"/>
    <w:rsid w:val="0008778D"/>
    <w:rsid w:val="0008798A"/>
    <w:rsid w:val="00087BBD"/>
    <w:rsid w:val="00087E46"/>
    <w:rsid w:val="00087FFA"/>
    <w:rsid w:val="00090443"/>
    <w:rsid w:val="0009047B"/>
    <w:rsid w:val="0009072E"/>
    <w:rsid w:val="0009091E"/>
    <w:rsid w:val="00090A96"/>
    <w:rsid w:val="00091062"/>
    <w:rsid w:val="00091697"/>
    <w:rsid w:val="00091769"/>
    <w:rsid w:val="000919D4"/>
    <w:rsid w:val="00091E01"/>
    <w:rsid w:val="0009220E"/>
    <w:rsid w:val="0009221A"/>
    <w:rsid w:val="00092634"/>
    <w:rsid w:val="000929CD"/>
    <w:rsid w:val="00093273"/>
    <w:rsid w:val="00093649"/>
    <w:rsid w:val="00093BA3"/>
    <w:rsid w:val="00093C69"/>
    <w:rsid w:val="00093D95"/>
    <w:rsid w:val="0009429E"/>
    <w:rsid w:val="000944C3"/>
    <w:rsid w:val="00094624"/>
    <w:rsid w:val="00094823"/>
    <w:rsid w:val="00094850"/>
    <w:rsid w:val="000949D3"/>
    <w:rsid w:val="0009570C"/>
    <w:rsid w:val="000958B7"/>
    <w:rsid w:val="000958FC"/>
    <w:rsid w:val="00095D6A"/>
    <w:rsid w:val="00096175"/>
    <w:rsid w:val="0009621F"/>
    <w:rsid w:val="000964EA"/>
    <w:rsid w:val="00096912"/>
    <w:rsid w:val="0009696F"/>
    <w:rsid w:val="00096B53"/>
    <w:rsid w:val="00097058"/>
    <w:rsid w:val="000977AD"/>
    <w:rsid w:val="00097A01"/>
    <w:rsid w:val="00097B5F"/>
    <w:rsid w:val="00097C05"/>
    <w:rsid w:val="00097ECD"/>
    <w:rsid w:val="000A013A"/>
    <w:rsid w:val="000A03F8"/>
    <w:rsid w:val="000A0545"/>
    <w:rsid w:val="000A099A"/>
    <w:rsid w:val="000A0F50"/>
    <w:rsid w:val="000A0FAC"/>
    <w:rsid w:val="000A143A"/>
    <w:rsid w:val="000A1A3C"/>
    <w:rsid w:val="000A210A"/>
    <w:rsid w:val="000A297B"/>
    <w:rsid w:val="000A2A2C"/>
    <w:rsid w:val="000A2C0E"/>
    <w:rsid w:val="000A2C76"/>
    <w:rsid w:val="000A3294"/>
    <w:rsid w:val="000A33B4"/>
    <w:rsid w:val="000A3C76"/>
    <w:rsid w:val="000A3C93"/>
    <w:rsid w:val="000A3D2F"/>
    <w:rsid w:val="000A433D"/>
    <w:rsid w:val="000A4394"/>
    <w:rsid w:val="000A44A6"/>
    <w:rsid w:val="000A4EBB"/>
    <w:rsid w:val="000A4F74"/>
    <w:rsid w:val="000A585E"/>
    <w:rsid w:val="000A5BAC"/>
    <w:rsid w:val="000A6190"/>
    <w:rsid w:val="000A6263"/>
    <w:rsid w:val="000A62E6"/>
    <w:rsid w:val="000A6683"/>
    <w:rsid w:val="000A6835"/>
    <w:rsid w:val="000A6C08"/>
    <w:rsid w:val="000A6FAF"/>
    <w:rsid w:val="000A7248"/>
    <w:rsid w:val="000A75FD"/>
    <w:rsid w:val="000A7CE9"/>
    <w:rsid w:val="000A7FE1"/>
    <w:rsid w:val="000B046F"/>
    <w:rsid w:val="000B0ACC"/>
    <w:rsid w:val="000B0FD9"/>
    <w:rsid w:val="000B156A"/>
    <w:rsid w:val="000B1802"/>
    <w:rsid w:val="000B1A34"/>
    <w:rsid w:val="000B25F1"/>
    <w:rsid w:val="000B260E"/>
    <w:rsid w:val="000B275C"/>
    <w:rsid w:val="000B36E1"/>
    <w:rsid w:val="000B3DB9"/>
    <w:rsid w:val="000B4124"/>
    <w:rsid w:val="000B4148"/>
    <w:rsid w:val="000B427B"/>
    <w:rsid w:val="000B472B"/>
    <w:rsid w:val="000B4FA7"/>
    <w:rsid w:val="000B50B2"/>
    <w:rsid w:val="000B50FF"/>
    <w:rsid w:val="000B5358"/>
    <w:rsid w:val="000B5FBD"/>
    <w:rsid w:val="000B62CD"/>
    <w:rsid w:val="000B673D"/>
    <w:rsid w:val="000B72C7"/>
    <w:rsid w:val="000B7636"/>
    <w:rsid w:val="000B7708"/>
    <w:rsid w:val="000B7C04"/>
    <w:rsid w:val="000B7C65"/>
    <w:rsid w:val="000B7DC3"/>
    <w:rsid w:val="000B7E62"/>
    <w:rsid w:val="000C0253"/>
    <w:rsid w:val="000C033F"/>
    <w:rsid w:val="000C05E3"/>
    <w:rsid w:val="000C0750"/>
    <w:rsid w:val="000C086C"/>
    <w:rsid w:val="000C0ACE"/>
    <w:rsid w:val="000C0CC1"/>
    <w:rsid w:val="000C1B4A"/>
    <w:rsid w:val="000C1DCA"/>
    <w:rsid w:val="000C1FCA"/>
    <w:rsid w:val="000C1FF7"/>
    <w:rsid w:val="000C2851"/>
    <w:rsid w:val="000C2927"/>
    <w:rsid w:val="000C2B3B"/>
    <w:rsid w:val="000C2C37"/>
    <w:rsid w:val="000C3103"/>
    <w:rsid w:val="000C31D4"/>
    <w:rsid w:val="000C3B4F"/>
    <w:rsid w:val="000C3D4F"/>
    <w:rsid w:val="000C4A0B"/>
    <w:rsid w:val="000C4C0A"/>
    <w:rsid w:val="000C4C96"/>
    <w:rsid w:val="000C5748"/>
    <w:rsid w:val="000C5E42"/>
    <w:rsid w:val="000C6869"/>
    <w:rsid w:val="000C7602"/>
    <w:rsid w:val="000C7BA2"/>
    <w:rsid w:val="000D0028"/>
    <w:rsid w:val="000D0040"/>
    <w:rsid w:val="000D0AD1"/>
    <w:rsid w:val="000D0EE6"/>
    <w:rsid w:val="000D179C"/>
    <w:rsid w:val="000D182D"/>
    <w:rsid w:val="000D1D09"/>
    <w:rsid w:val="000D1D4B"/>
    <w:rsid w:val="000D1EEC"/>
    <w:rsid w:val="000D1FB6"/>
    <w:rsid w:val="000D2507"/>
    <w:rsid w:val="000D272F"/>
    <w:rsid w:val="000D2A70"/>
    <w:rsid w:val="000D2B00"/>
    <w:rsid w:val="000D3012"/>
    <w:rsid w:val="000D3442"/>
    <w:rsid w:val="000D36F8"/>
    <w:rsid w:val="000D3806"/>
    <w:rsid w:val="000D44FE"/>
    <w:rsid w:val="000D4705"/>
    <w:rsid w:val="000D4EA1"/>
    <w:rsid w:val="000D5480"/>
    <w:rsid w:val="000D55F9"/>
    <w:rsid w:val="000D5933"/>
    <w:rsid w:val="000D61AF"/>
    <w:rsid w:val="000D66F6"/>
    <w:rsid w:val="000D686E"/>
    <w:rsid w:val="000D6C85"/>
    <w:rsid w:val="000D6D89"/>
    <w:rsid w:val="000D6FD0"/>
    <w:rsid w:val="000D71FA"/>
    <w:rsid w:val="000D739B"/>
    <w:rsid w:val="000D75A6"/>
    <w:rsid w:val="000D7684"/>
    <w:rsid w:val="000D7B5B"/>
    <w:rsid w:val="000D7DD4"/>
    <w:rsid w:val="000D7E4E"/>
    <w:rsid w:val="000D7E96"/>
    <w:rsid w:val="000E065C"/>
    <w:rsid w:val="000E07ED"/>
    <w:rsid w:val="000E0857"/>
    <w:rsid w:val="000E0A59"/>
    <w:rsid w:val="000E0D18"/>
    <w:rsid w:val="000E0FB3"/>
    <w:rsid w:val="000E1085"/>
    <w:rsid w:val="000E1276"/>
    <w:rsid w:val="000E156A"/>
    <w:rsid w:val="000E1E6F"/>
    <w:rsid w:val="000E2057"/>
    <w:rsid w:val="000E2410"/>
    <w:rsid w:val="000E26E1"/>
    <w:rsid w:val="000E2BFA"/>
    <w:rsid w:val="000E3026"/>
    <w:rsid w:val="000E3B01"/>
    <w:rsid w:val="000E3CA1"/>
    <w:rsid w:val="000E3F53"/>
    <w:rsid w:val="000E4263"/>
    <w:rsid w:val="000E42F6"/>
    <w:rsid w:val="000E4305"/>
    <w:rsid w:val="000E4923"/>
    <w:rsid w:val="000E5154"/>
    <w:rsid w:val="000E549C"/>
    <w:rsid w:val="000E62FC"/>
    <w:rsid w:val="000E646F"/>
    <w:rsid w:val="000E66B7"/>
    <w:rsid w:val="000E6959"/>
    <w:rsid w:val="000E6A19"/>
    <w:rsid w:val="000E6A7A"/>
    <w:rsid w:val="000E6A91"/>
    <w:rsid w:val="000E7A78"/>
    <w:rsid w:val="000F02DD"/>
    <w:rsid w:val="000F073D"/>
    <w:rsid w:val="000F0BC9"/>
    <w:rsid w:val="000F0E9B"/>
    <w:rsid w:val="000F11F7"/>
    <w:rsid w:val="000F1558"/>
    <w:rsid w:val="000F177A"/>
    <w:rsid w:val="000F2004"/>
    <w:rsid w:val="000F2029"/>
    <w:rsid w:val="000F2313"/>
    <w:rsid w:val="000F254C"/>
    <w:rsid w:val="000F2728"/>
    <w:rsid w:val="000F2DC1"/>
    <w:rsid w:val="000F34AE"/>
    <w:rsid w:val="000F372C"/>
    <w:rsid w:val="000F39E2"/>
    <w:rsid w:val="000F3F21"/>
    <w:rsid w:val="000F43D7"/>
    <w:rsid w:val="000F5045"/>
    <w:rsid w:val="000F5109"/>
    <w:rsid w:val="000F5418"/>
    <w:rsid w:val="000F5A68"/>
    <w:rsid w:val="000F5D02"/>
    <w:rsid w:val="000F5ED0"/>
    <w:rsid w:val="000F603B"/>
    <w:rsid w:val="000F6163"/>
    <w:rsid w:val="000F6403"/>
    <w:rsid w:val="000F6BFC"/>
    <w:rsid w:val="000F6C7F"/>
    <w:rsid w:val="000F6D16"/>
    <w:rsid w:val="000F6EC0"/>
    <w:rsid w:val="000F6EC3"/>
    <w:rsid w:val="000F74A1"/>
    <w:rsid w:val="000F7693"/>
    <w:rsid w:val="000F7968"/>
    <w:rsid w:val="00100103"/>
    <w:rsid w:val="001006F0"/>
    <w:rsid w:val="00100E10"/>
    <w:rsid w:val="00100E1B"/>
    <w:rsid w:val="00101107"/>
    <w:rsid w:val="00101177"/>
    <w:rsid w:val="001015C3"/>
    <w:rsid w:val="00101DFC"/>
    <w:rsid w:val="00101EB7"/>
    <w:rsid w:val="00102736"/>
    <w:rsid w:val="0010290F"/>
    <w:rsid w:val="00102AE5"/>
    <w:rsid w:val="00102C1A"/>
    <w:rsid w:val="00102C38"/>
    <w:rsid w:val="00102D68"/>
    <w:rsid w:val="00104146"/>
    <w:rsid w:val="00104324"/>
    <w:rsid w:val="0010463A"/>
    <w:rsid w:val="001048CD"/>
    <w:rsid w:val="00104F76"/>
    <w:rsid w:val="001058CF"/>
    <w:rsid w:val="001058D2"/>
    <w:rsid w:val="00105C8F"/>
    <w:rsid w:val="00105D29"/>
    <w:rsid w:val="0010655F"/>
    <w:rsid w:val="0010691E"/>
    <w:rsid w:val="001069D3"/>
    <w:rsid w:val="0010717E"/>
    <w:rsid w:val="001076E4"/>
    <w:rsid w:val="00110C96"/>
    <w:rsid w:val="00110EAE"/>
    <w:rsid w:val="00111185"/>
    <w:rsid w:val="0011166B"/>
    <w:rsid w:val="00111A97"/>
    <w:rsid w:val="001120BB"/>
    <w:rsid w:val="001121B0"/>
    <w:rsid w:val="00112B0A"/>
    <w:rsid w:val="00113085"/>
    <w:rsid w:val="00113CFA"/>
    <w:rsid w:val="00114099"/>
    <w:rsid w:val="001140BD"/>
    <w:rsid w:val="0011418D"/>
    <w:rsid w:val="00114716"/>
    <w:rsid w:val="001148CC"/>
    <w:rsid w:val="00114AC5"/>
    <w:rsid w:val="001154C9"/>
    <w:rsid w:val="00115699"/>
    <w:rsid w:val="00115F88"/>
    <w:rsid w:val="001161B6"/>
    <w:rsid w:val="00116655"/>
    <w:rsid w:val="00116928"/>
    <w:rsid w:val="00116EB3"/>
    <w:rsid w:val="00117333"/>
    <w:rsid w:val="00117B9F"/>
    <w:rsid w:val="00117C4B"/>
    <w:rsid w:val="00120603"/>
    <w:rsid w:val="00120869"/>
    <w:rsid w:val="001208A2"/>
    <w:rsid w:val="00120943"/>
    <w:rsid w:val="001209EF"/>
    <w:rsid w:val="00121BAE"/>
    <w:rsid w:val="00121FC4"/>
    <w:rsid w:val="00122108"/>
    <w:rsid w:val="001221AB"/>
    <w:rsid w:val="001223BE"/>
    <w:rsid w:val="00122838"/>
    <w:rsid w:val="001228AE"/>
    <w:rsid w:val="001234CD"/>
    <w:rsid w:val="001236E4"/>
    <w:rsid w:val="001239A7"/>
    <w:rsid w:val="00123A4E"/>
    <w:rsid w:val="00123CB6"/>
    <w:rsid w:val="00123E93"/>
    <w:rsid w:val="00123FFF"/>
    <w:rsid w:val="0012413E"/>
    <w:rsid w:val="00124674"/>
    <w:rsid w:val="001246B6"/>
    <w:rsid w:val="00124C66"/>
    <w:rsid w:val="00124DD1"/>
    <w:rsid w:val="00125189"/>
    <w:rsid w:val="0012532A"/>
    <w:rsid w:val="0012543D"/>
    <w:rsid w:val="00126126"/>
    <w:rsid w:val="00126354"/>
    <w:rsid w:val="001268B9"/>
    <w:rsid w:val="0012713F"/>
    <w:rsid w:val="001273B0"/>
    <w:rsid w:val="00127478"/>
    <w:rsid w:val="001279B9"/>
    <w:rsid w:val="00127B20"/>
    <w:rsid w:val="0013038A"/>
    <w:rsid w:val="0013046C"/>
    <w:rsid w:val="00130749"/>
    <w:rsid w:val="00130819"/>
    <w:rsid w:val="00130CCE"/>
    <w:rsid w:val="0013116F"/>
    <w:rsid w:val="00131704"/>
    <w:rsid w:val="001319CB"/>
    <w:rsid w:val="00131A86"/>
    <w:rsid w:val="001324DB"/>
    <w:rsid w:val="00132D57"/>
    <w:rsid w:val="00132E1B"/>
    <w:rsid w:val="001330FE"/>
    <w:rsid w:val="00133119"/>
    <w:rsid w:val="00133275"/>
    <w:rsid w:val="00133515"/>
    <w:rsid w:val="00133593"/>
    <w:rsid w:val="0013391D"/>
    <w:rsid w:val="00133974"/>
    <w:rsid w:val="00133BE0"/>
    <w:rsid w:val="00133E04"/>
    <w:rsid w:val="001345CB"/>
    <w:rsid w:val="00134767"/>
    <w:rsid w:val="00134830"/>
    <w:rsid w:val="00134966"/>
    <w:rsid w:val="00135134"/>
    <w:rsid w:val="00135286"/>
    <w:rsid w:val="0013535F"/>
    <w:rsid w:val="001357FE"/>
    <w:rsid w:val="00135D28"/>
    <w:rsid w:val="00135E13"/>
    <w:rsid w:val="0013623F"/>
    <w:rsid w:val="001366AE"/>
    <w:rsid w:val="001370F8"/>
    <w:rsid w:val="0013752E"/>
    <w:rsid w:val="0013761A"/>
    <w:rsid w:val="00137634"/>
    <w:rsid w:val="00137637"/>
    <w:rsid w:val="001379E4"/>
    <w:rsid w:val="001407BC"/>
    <w:rsid w:val="00140979"/>
    <w:rsid w:val="00140C2C"/>
    <w:rsid w:val="00140CDF"/>
    <w:rsid w:val="00140E70"/>
    <w:rsid w:val="00141229"/>
    <w:rsid w:val="00141296"/>
    <w:rsid w:val="001421AA"/>
    <w:rsid w:val="00142549"/>
    <w:rsid w:val="00142585"/>
    <w:rsid w:val="001432EF"/>
    <w:rsid w:val="00143479"/>
    <w:rsid w:val="001441F3"/>
    <w:rsid w:val="00144330"/>
    <w:rsid w:val="001444CC"/>
    <w:rsid w:val="0014450B"/>
    <w:rsid w:val="00144518"/>
    <w:rsid w:val="0014496D"/>
    <w:rsid w:val="00145054"/>
    <w:rsid w:val="00145C1A"/>
    <w:rsid w:val="00145CC3"/>
    <w:rsid w:val="0014604B"/>
    <w:rsid w:val="00146073"/>
    <w:rsid w:val="00146074"/>
    <w:rsid w:val="001463B4"/>
    <w:rsid w:val="00146A50"/>
    <w:rsid w:val="00146AEE"/>
    <w:rsid w:val="001503C2"/>
    <w:rsid w:val="00151018"/>
    <w:rsid w:val="001512A7"/>
    <w:rsid w:val="00151531"/>
    <w:rsid w:val="00151540"/>
    <w:rsid w:val="00151969"/>
    <w:rsid w:val="00151B0D"/>
    <w:rsid w:val="001520D4"/>
    <w:rsid w:val="00152F7E"/>
    <w:rsid w:val="00153431"/>
    <w:rsid w:val="0015346E"/>
    <w:rsid w:val="0015369F"/>
    <w:rsid w:val="0015371A"/>
    <w:rsid w:val="00154330"/>
    <w:rsid w:val="001545D0"/>
    <w:rsid w:val="001545E7"/>
    <w:rsid w:val="001549DE"/>
    <w:rsid w:val="00154A5F"/>
    <w:rsid w:val="00154C7A"/>
    <w:rsid w:val="00154ECB"/>
    <w:rsid w:val="001554FB"/>
    <w:rsid w:val="00155A52"/>
    <w:rsid w:val="00155B48"/>
    <w:rsid w:val="00155DF9"/>
    <w:rsid w:val="001562CC"/>
    <w:rsid w:val="0015644F"/>
    <w:rsid w:val="001564BB"/>
    <w:rsid w:val="001565D0"/>
    <w:rsid w:val="00156717"/>
    <w:rsid w:val="00157320"/>
    <w:rsid w:val="00157E41"/>
    <w:rsid w:val="00157FF7"/>
    <w:rsid w:val="00160993"/>
    <w:rsid w:val="00160BC8"/>
    <w:rsid w:val="0016105B"/>
    <w:rsid w:val="0016155F"/>
    <w:rsid w:val="00161A18"/>
    <w:rsid w:val="00161A43"/>
    <w:rsid w:val="00162353"/>
    <w:rsid w:val="00162B00"/>
    <w:rsid w:val="00162B95"/>
    <w:rsid w:val="00162D53"/>
    <w:rsid w:val="00162EA6"/>
    <w:rsid w:val="00162ED8"/>
    <w:rsid w:val="00163060"/>
    <w:rsid w:val="001642C3"/>
    <w:rsid w:val="001649DB"/>
    <w:rsid w:val="00164B23"/>
    <w:rsid w:val="00164C46"/>
    <w:rsid w:val="00164E72"/>
    <w:rsid w:val="0016531B"/>
    <w:rsid w:val="001665B1"/>
    <w:rsid w:val="00166B53"/>
    <w:rsid w:val="001671F3"/>
    <w:rsid w:val="001672C4"/>
    <w:rsid w:val="00167674"/>
    <w:rsid w:val="00167844"/>
    <w:rsid w:val="001678DB"/>
    <w:rsid w:val="00170042"/>
    <w:rsid w:val="0017019A"/>
    <w:rsid w:val="001703B8"/>
    <w:rsid w:val="00170A44"/>
    <w:rsid w:val="00170B23"/>
    <w:rsid w:val="00170F8C"/>
    <w:rsid w:val="0017116B"/>
    <w:rsid w:val="001714D8"/>
    <w:rsid w:val="00172656"/>
    <w:rsid w:val="00172664"/>
    <w:rsid w:val="001730D7"/>
    <w:rsid w:val="0017311B"/>
    <w:rsid w:val="00173145"/>
    <w:rsid w:val="00173369"/>
    <w:rsid w:val="0017344E"/>
    <w:rsid w:val="0017360C"/>
    <w:rsid w:val="00173FBA"/>
    <w:rsid w:val="001743D4"/>
    <w:rsid w:val="0017488A"/>
    <w:rsid w:val="0017495D"/>
    <w:rsid w:val="00174E43"/>
    <w:rsid w:val="00175134"/>
    <w:rsid w:val="001752BF"/>
    <w:rsid w:val="001758DB"/>
    <w:rsid w:val="0017599D"/>
    <w:rsid w:val="00175B1D"/>
    <w:rsid w:val="00175DA8"/>
    <w:rsid w:val="00175E97"/>
    <w:rsid w:val="00176190"/>
    <w:rsid w:val="00176238"/>
    <w:rsid w:val="0017696A"/>
    <w:rsid w:val="00176AD9"/>
    <w:rsid w:val="00176E2A"/>
    <w:rsid w:val="0017701D"/>
    <w:rsid w:val="0018071F"/>
    <w:rsid w:val="00180A89"/>
    <w:rsid w:val="00180C53"/>
    <w:rsid w:val="0018189A"/>
    <w:rsid w:val="001818D4"/>
    <w:rsid w:val="00181B26"/>
    <w:rsid w:val="001824BE"/>
    <w:rsid w:val="001824C7"/>
    <w:rsid w:val="00182A8D"/>
    <w:rsid w:val="00182BDF"/>
    <w:rsid w:val="0018388A"/>
    <w:rsid w:val="00183CB9"/>
    <w:rsid w:val="00183E24"/>
    <w:rsid w:val="001841A9"/>
    <w:rsid w:val="001843BF"/>
    <w:rsid w:val="001844AE"/>
    <w:rsid w:val="00184BAE"/>
    <w:rsid w:val="00184CE1"/>
    <w:rsid w:val="00184DC9"/>
    <w:rsid w:val="00185941"/>
    <w:rsid w:val="00185CB9"/>
    <w:rsid w:val="00185E07"/>
    <w:rsid w:val="00185EBB"/>
    <w:rsid w:val="00185EEB"/>
    <w:rsid w:val="0018661D"/>
    <w:rsid w:val="001868EC"/>
    <w:rsid w:val="00186BAB"/>
    <w:rsid w:val="001871CF"/>
    <w:rsid w:val="001871DB"/>
    <w:rsid w:val="0018758C"/>
    <w:rsid w:val="00187624"/>
    <w:rsid w:val="00187AD7"/>
    <w:rsid w:val="00187EAF"/>
    <w:rsid w:val="00187F23"/>
    <w:rsid w:val="00187FB7"/>
    <w:rsid w:val="001904CC"/>
    <w:rsid w:val="00190515"/>
    <w:rsid w:val="00190522"/>
    <w:rsid w:val="001907DC"/>
    <w:rsid w:val="001907E8"/>
    <w:rsid w:val="00191412"/>
    <w:rsid w:val="00191617"/>
    <w:rsid w:val="0019170F"/>
    <w:rsid w:val="001917F5"/>
    <w:rsid w:val="00191F7F"/>
    <w:rsid w:val="00191F89"/>
    <w:rsid w:val="001920BF"/>
    <w:rsid w:val="0019292E"/>
    <w:rsid w:val="00192CF5"/>
    <w:rsid w:val="00192D34"/>
    <w:rsid w:val="0019308E"/>
    <w:rsid w:val="00193548"/>
    <w:rsid w:val="001940D1"/>
    <w:rsid w:val="001941C2"/>
    <w:rsid w:val="0019426F"/>
    <w:rsid w:val="00194446"/>
    <w:rsid w:val="00194999"/>
    <w:rsid w:val="00194B97"/>
    <w:rsid w:val="0019545A"/>
    <w:rsid w:val="00195803"/>
    <w:rsid w:val="0019598F"/>
    <w:rsid w:val="00195CD1"/>
    <w:rsid w:val="00195D51"/>
    <w:rsid w:val="00195DA4"/>
    <w:rsid w:val="00195F68"/>
    <w:rsid w:val="001960DD"/>
    <w:rsid w:val="00196673"/>
    <w:rsid w:val="001968B6"/>
    <w:rsid w:val="00196E7F"/>
    <w:rsid w:val="00196EA8"/>
    <w:rsid w:val="00196F00"/>
    <w:rsid w:val="001970FD"/>
    <w:rsid w:val="001974AF"/>
    <w:rsid w:val="00197611"/>
    <w:rsid w:val="001977E3"/>
    <w:rsid w:val="00197819"/>
    <w:rsid w:val="001979BD"/>
    <w:rsid w:val="001A0088"/>
    <w:rsid w:val="001A0428"/>
    <w:rsid w:val="001A0ADC"/>
    <w:rsid w:val="001A121E"/>
    <w:rsid w:val="001A15CF"/>
    <w:rsid w:val="001A176B"/>
    <w:rsid w:val="001A22E6"/>
    <w:rsid w:val="001A2AB8"/>
    <w:rsid w:val="001A2AF1"/>
    <w:rsid w:val="001A2F14"/>
    <w:rsid w:val="001A3288"/>
    <w:rsid w:val="001A33D6"/>
    <w:rsid w:val="001A391C"/>
    <w:rsid w:val="001A3AFF"/>
    <w:rsid w:val="001A3BCA"/>
    <w:rsid w:val="001A3CAE"/>
    <w:rsid w:val="001A4B0D"/>
    <w:rsid w:val="001A4F9C"/>
    <w:rsid w:val="001A506B"/>
    <w:rsid w:val="001A5506"/>
    <w:rsid w:val="001A563A"/>
    <w:rsid w:val="001A5CBE"/>
    <w:rsid w:val="001A5DE6"/>
    <w:rsid w:val="001A5F81"/>
    <w:rsid w:val="001A5FCB"/>
    <w:rsid w:val="001A6019"/>
    <w:rsid w:val="001A6449"/>
    <w:rsid w:val="001A6452"/>
    <w:rsid w:val="001A6483"/>
    <w:rsid w:val="001A681C"/>
    <w:rsid w:val="001A7B06"/>
    <w:rsid w:val="001A7B23"/>
    <w:rsid w:val="001B042B"/>
    <w:rsid w:val="001B1141"/>
    <w:rsid w:val="001B1D1E"/>
    <w:rsid w:val="001B1FE9"/>
    <w:rsid w:val="001B254F"/>
    <w:rsid w:val="001B2C6D"/>
    <w:rsid w:val="001B2DF9"/>
    <w:rsid w:val="001B362D"/>
    <w:rsid w:val="001B3E90"/>
    <w:rsid w:val="001B4008"/>
    <w:rsid w:val="001B421A"/>
    <w:rsid w:val="001B43A1"/>
    <w:rsid w:val="001B4447"/>
    <w:rsid w:val="001B4AD4"/>
    <w:rsid w:val="001B4FB2"/>
    <w:rsid w:val="001B587C"/>
    <w:rsid w:val="001B5BC4"/>
    <w:rsid w:val="001B5D35"/>
    <w:rsid w:val="001B5D49"/>
    <w:rsid w:val="001B5E8E"/>
    <w:rsid w:val="001B6B5C"/>
    <w:rsid w:val="001B6C81"/>
    <w:rsid w:val="001B6D85"/>
    <w:rsid w:val="001B6F68"/>
    <w:rsid w:val="001B78D9"/>
    <w:rsid w:val="001B7A2F"/>
    <w:rsid w:val="001B7AE2"/>
    <w:rsid w:val="001B7BDC"/>
    <w:rsid w:val="001C036A"/>
    <w:rsid w:val="001C0398"/>
    <w:rsid w:val="001C03CD"/>
    <w:rsid w:val="001C0A00"/>
    <w:rsid w:val="001C0BE6"/>
    <w:rsid w:val="001C18F1"/>
    <w:rsid w:val="001C19BA"/>
    <w:rsid w:val="001C1C9D"/>
    <w:rsid w:val="001C1FB9"/>
    <w:rsid w:val="001C208C"/>
    <w:rsid w:val="001C21A0"/>
    <w:rsid w:val="001C2EAF"/>
    <w:rsid w:val="001C2FBB"/>
    <w:rsid w:val="001C3837"/>
    <w:rsid w:val="001C3D2D"/>
    <w:rsid w:val="001C3D54"/>
    <w:rsid w:val="001C3E84"/>
    <w:rsid w:val="001C42D1"/>
    <w:rsid w:val="001C4310"/>
    <w:rsid w:val="001C46A3"/>
    <w:rsid w:val="001C4E30"/>
    <w:rsid w:val="001C52B5"/>
    <w:rsid w:val="001C5488"/>
    <w:rsid w:val="001C5A27"/>
    <w:rsid w:val="001C5A7E"/>
    <w:rsid w:val="001C5EBB"/>
    <w:rsid w:val="001C5EBF"/>
    <w:rsid w:val="001C5EDD"/>
    <w:rsid w:val="001C68DB"/>
    <w:rsid w:val="001C699A"/>
    <w:rsid w:val="001C6CA0"/>
    <w:rsid w:val="001C6F9F"/>
    <w:rsid w:val="001C721F"/>
    <w:rsid w:val="001C7299"/>
    <w:rsid w:val="001C7AAC"/>
    <w:rsid w:val="001D054D"/>
    <w:rsid w:val="001D079D"/>
    <w:rsid w:val="001D091A"/>
    <w:rsid w:val="001D0B4F"/>
    <w:rsid w:val="001D0D05"/>
    <w:rsid w:val="001D0F47"/>
    <w:rsid w:val="001D104B"/>
    <w:rsid w:val="001D11A1"/>
    <w:rsid w:val="001D137B"/>
    <w:rsid w:val="001D181E"/>
    <w:rsid w:val="001D1D81"/>
    <w:rsid w:val="001D225F"/>
    <w:rsid w:val="001D23A3"/>
    <w:rsid w:val="001D24AB"/>
    <w:rsid w:val="001D2614"/>
    <w:rsid w:val="001D264B"/>
    <w:rsid w:val="001D2A83"/>
    <w:rsid w:val="001D3A85"/>
    <w:rsid w:val="001D3B0D"/>
    <w:rsid w:val="001D3DAB"/>
    <w:rsid w:val="001D3FA1"/>
    <w:rsid w:val="001D4122"/>
    <w:rsid w:val="001D435D"/>
    <w:rsid w:val="001D47AC"/>
    <w:rsid w:val="001D4908"/>
    <w:rsid w:val="001D52AE"/>
    <w:rsid w:val="001D532B"/>
    <w:rsid w:val="001D5398"/>
    <w:rsid w:val="001D58C8"/>
    <w:rsid w:val="001D62A2"/>
    <w:rsid w:val="001D62B6"/>
    <w:rsid w:val="001D6D57"/>
    <w:rsid w:val="001D6F94"/>
    <w:rsid w:val="001D739D"/>
    <w:rsid w:val="001D740D"/>
    <w:rsid w:val="001D7927"/>
    <w:rsid w:val="001D797E"/>
    <w:rsid w:val="001E01AA"/>
    <w:rsid w:val="001E0B40"/>
    <w:rsid w:val="001E11C9"/>
    <w:rsid w:val="001E1306"/>
    <w:rsid w:val="001E17F6"/>
    <w:rsid w:val="001E1C88"/>
    <w:rsid w:val="001E216F"/>
    <w:rsid w:val="001E330F"/>
    <w:rsid w:val="001E3385"/>
    <w:rsid w:val="001E3463"/>
    <w:rsid w:val="001E374E"/>
    <w:rsid w:val="001E3DD0"/>
    <w:rsid w:val="001E4142"/>
    <w:rsid w:val="001E456C"/>
    <w:rsid w:val="001E45FC"/>
    <w:rsid w:val="001E46D3"/>
    <w:rsid w:val="001E52A7"/>
    <w:rsid w:val="001E59F9"/>
    <w:rsid w:val="001E5B1A"/>
    <w:rsid w:val="001E634D"/>
    <w:rsid w:val="001E6DB8"/>
    <w:rsid w:val="001E74B4"/>
    <w:rsid w:val="001E7A8F"/>
    <w:rsid w:val="001E7AC0"/>
    <w:rsid w:val="001E7BAC"/>
    <w:rsid w:val="001E7CF6"/>
    <w:rsid w:val="001E7F03"/>
    <w:rsid w:val="001F0133"/>
    <w:rsid w:val="001F0437"/>
    <w:rsid w:val="001F12DE"/>
    <w:rsid w:val="001F183A"/>
    <w:rsid w:val="001F1C9E"/>
    <w:rsid w:val="001F1E04"/>
    <w:rsid w:val="001F20FD"/>
    <w:rsid w:val="001F215C"/>
    <w:rsid w:val="001F2F02"/>
    <w:rsid w:val="001F300F"/>
    <w:rsid w:val="001F34A2"/>
    <w:rsid w:val="001F39EF"/>
    <w:rsid w:val="001F400E"/>
    <w:rsid w:val="001F4DB5"/>
    <w:rsid w:val="001F50C9"/>
    <w:rsid w:val="001F51A0"/>
    <w:rsid w:val="001F5463"/>
    <w:rsid w:val="001F55F7"/>
    <w:rsid w:val="001F5641"/>
    <w:rsid w:val="001F5915"/>
    <w:rsid w:val="001F5A25"/>
    <w:rsid w:val="001F5CC6"/>
    <w:rsid w:val="001F61C2"/>
    <w:rsid w:val="001F63DD"/>
    <w:rsid w:val="001F648A"/>
    <w:rsid w:val="001F6E07"/>
    <w:rsid w:val="001F72F4"/>
    <w:rsid w:val="001F7785"/>
    <w:rsid w:val="001F7813"/>
    <w:rsid w:val="001F7930"/>
    <w:rsid w:val="00200059"/>
    <w:rsid w:val="002001C5"/>
    <w:rsid w:val="002004CD"/>
    <w:rsid w:val="00200B72"/>
    <w:rsid w:val="002017B5"/>
    <w:rsid w:val="00201A65"/>
    <w:rsid w:val="00201B20"/>
    <w:rsid w:val="00201E31"/>
    <w:rsid w:val="00202560"/>
    <w:rsid w:val="0020285C"/>
    <w:rsid w:val="00202BC3"/>
    <w:rsid w:val="00202E55"/>
    <w:rsid w:val="00203911"/>
    <w:rsid w:val="00204628"/>
    <w:rsid w:val="00204896"/>
    <w:rsid w:val="00205609"/>
    <w:rsid w:val="0020585B"/>
    <w:rsid w:val="00206392"/>
    <w:rsid w:val="00206554"/>
    <w:rsid w:val="00206617"/>
    <w:rsid w:val="002072CF"/>
    <w:rsid w:val="0020768F"/>
    <w:rsid w:val="00207A3A"/>
    <w:rsid w:val="002101EF"/>
    <w:rsid w:val="0021069B"/>
    <w:rsid w:val="002106BF"/>
    <w:rsid w:val="00211033"/>
    <w:rsid w:val="0021124E"/>
    <w:rsid w:val="00211765"/>
    <w:rsid w:val="002118A6"/>
    <w:rsid w:val="00211A7B"/>
    <w:rsid w:val="00211CBB"/>
    <w:rsid w:val="00211E81"/>
    <w:rsid w:val="00211F7A"/>
    <w:rsid w:val="0021226B"/>
    <w:rsid w:val="00212A59"/>
    <w:rsid w:val="00212A81"/>
    <w:rsid w:val="00212E00"/>
    <w:rsid w:val="00213251"/>
    <w:rsid w:val="002136E7"/>
    <w:rsid w:val="00213C7C"/>
    <w:rsid w:val="00214897"/>
    <w:rsid w:val="00214D03"/>
    <w:rsid w:val="002152A5"/>
    <w:rsid w:val="00215659"/>
    <w:rsid w:val="002159D6"/>
    <w:rsid w:val="002159E8"/>
    <w:rsid w:val="002160DE"/>
    <w:rsid w:val="0021648E"/>
    <w:rsid w:val="00217216"/>
    <w:rsid w:val="002173F3"/>
    <w:rsid w:val="00217988"/>
    <w:rsid w:val="00217B48"/>
    <w:rsid w:val="00217B81"/>
    <w:rsid w:val="00217D90"/>
    <w:rsid w:val="002202AA"/>
    <w:rsid w:val="002203B2"/>
    <w:rsid w:val="0022042D"/>
    <w:rsid w:val="002205D4"/>
    <w:rsid w:val="002206DB"/>
    <w:rsid w:val="00220736"/>
    <w:rsid w:val="00220A01"/>
    <w:rsid w:val="00220B42"/>
    <w:rsid w:val="00220D02"/>
    <w:rsid w:val="00220E3E"/>
    <w:rsid w:val="002211B2"/>
    <w:rsid w:val="002211E5"/>
    <w:rsid w:val="002214D3"/>
    <w:rsid w:val="0022158A"/>
    <w:rsid w:val="0022182D"/>
    <w:rsid w:val="00221A20"/>
    <w:rsid w:val="00221C03"/>
    <w:rsid w:val="00221F90"/>
    <w:rsid w:val="00222206"/>
    <w:rsid w:val="002226D9"/>
    <w:rsid w:val="002229CD"/>
    <w:rsid w:val="002230ED"/>
    <w:rsid w:val="0022349A"/>
    <w:rsid w:val="0022357A"/>
    <w:rsid w:val="00223AF1"/>
    <w:rsid w:val="00223C4F"/>
    <w:rsid w:val="0022425B"/>
    <w:rsid w:val="0022427D"/>
    <w:rsid w:val="00224859"/>
    <w:rsid w:val="002251F8"/>
    <w:rsid w:val="002252E3"/>
    <w:rsid w:val="00225492"/>
    <w:rsid w:val="00225A12"/>
    <w:rsid w:val="00225B8A"/>
    <w:rsid w:val="00225F59"/>
    <w:rsid w:val="00226183"/>
    <w:rsid w:val="002261B3"/>
    <w:rsid w:val="002261EE"/>
    <w:rsid w:val="002263AB"/>
    <w:rsid w:val="002263FA"/>
    <w:rsid w:val="00226C0B"/>
    <w:rsid w:val="00226CF0"/>
    <w:rsid w:val="00226D7F"/>
    <w:rsid w:val="00226FB1"/>
    <w:rsid w:val="002271AF"/>
    <w:rsid w:val="0022768E"/>
    <w:rsid w:val="002277DB"/>
    <w:rsid w:val="00227A19"/>
    <w:rsid w:val="00227C78"/>
    <w:rsid w:val="00230DEA"/>
    <w:rsid w:val="002318B6"/>
    <w:rsid w:val="002318DE"/>
    <w:rsid w:val="00231A3F"/>
    <w:rsid w:val="00231E18"/>
    <w:rsid w:val="002322A4"/>
    <w:rsid w:val="0023244D"/>
    <w:rsid w:val="00232873"/>
    <w:rsid w:val="00232B82"/>
    <w:rsid w:val="00232CF6"/>
    <w:rsid w:val="00233062"/>
    <w:rsid w:val="002331C2"/>
    <w:rsid w:val="0023360B"/>
    <w:rsid w:val="00233CEF"/>
    <w:rsid w:val="00233F51"/>
    <w:rsid w:val="00233FD0"/>
    <w:rsid w:val="00234316"/>
    <w:rsid w:val="00234BCB"/>
    <w:rsid w:val="00234D13"/>
    <w:rsid w:val="002351CE"/>
    <w:rsid w:val="002352B0"/>
    <w:rsid w:val="002354E4"/>
    <w:rsid w:val="0023555A"/>
    <w:rsid w:val="00235FAB"/>
    <w:rsid w:val="002361AF"/>
    <w:rsid w:val="002361FC"/>
    <w:rsid w:val="002365DF"/>
    <w:rsid w:val="00236ECE"/>
    <w:rsid w:val="00237F26"/>
    <w:rsid w:val="00240493"/>
    <w:rsid w:val="002408F4"/>
    <w:rsid w:val="00240CF2"/>
    <w:rsid w:val="00240DA3"/>
    <w:rsid w:val="002425B7"/>
    <w:rsid w:val="002426DC"/>
    <w:rsid w:val="00242C94"/>
    <w:rsid w:val="00243942"/>
    <w:rsid w:val="00243B34"/>
    <w:rsid w:val="00243EF0"/>
    <w:rsid w:val="00243FB9"/>
    <w:rsid w:val="002441C7"/>
    <w:rsid w:val="00244B27"/>
    <w:rsid w:val="00244F58"/>
    <w:rsid w:val="00244FC5"/>
    <w:rsid w:val="00245681"/>
    <w:rsid w:val="00245B20"/>
    <w:rsid w:val="0024610E"/>
    <w:rsid w:val="00246464"/>
    <w:rsid w:val="002464E8"/>
    <w:rsid w:val="00246521"/>
    <w:rsid w:val="0024710C"/>
    <w:rsid w:val="00247468"/>
    <w:rsid w:val="00247A79"/>
    <w:rsid w:val="00247D23"/>
    <w:rsid w:val="00247D5C"/>
    <w:rsid w:val="002500D9"/>
    <w:rsid w:val="00251000"/>
    <w:rsid w:val="0025115F"/>
    <w:rsid w:val="002517DE"/>
    <w:rsid w:val="00251849"/>
    <w:rsid w:val="00251D0E"/>
    <w:rsid w:val="002521CA"/>
    <w:rsid w:val="0025230D"/>
    <w:rsid w:val="0025275A"/>
    <w:rsid w:val="0025295C"/>
    <w:rsid w:val="00252C03"/>
    <w:rsid w:val="00252DB1"/>
    <w:rsid w:val="00253776"/>
    <w:rsid w:val="00253885"/>
    <w:rsid w:val="00253888"/>
    <w:rsid w:val="00253FAB"/>
    <w:rsid w:val="00253FE5"/>
    <w:rsid w:val="00254047"/>
    <w:rsid w:val="0025429D"/>
    <w:rsid w:val="0025462B"/>
    <w:rsid w:val="00254A67"/>
    <w:rsid w:val="00254C34"/>
    <w:rsid w:val="00254CB8"/>
    <w:rsid w:val="00254EBA"/>
    <w:rsid w:val="00255417"/>
    <w:rsid w:val="002554CB"/>
    <w:rsid w:val="00255502"/>
    <w:rsid w:val="002555C4"/>
    <w:rsid w:val="00255886"/>
    <w:rsid w:val="00255B45"/>
    <w:rsid w:val="00255E1C"/>
    <w:rsid w:val="00255E55"/>
    <w:rsid w:val="00256731"/>
    <w:rsid w:val="00256732"/>
    <w:rsid w:val="002568FA"/>
    <w:rsid w:val="00256A0B"/>
    <w:rsid w:val="00256B7E"/>
    <w:rsid w:val="00256CD2"/>
    <w:rsid w:val="00256CF5"/>
    <w:rsid w:val="002572F2"/>
    <w:rsid w:val="002574C2"/>
    <w:rsid w:val="00257989"/>
    <w:rsid w:val="00257BB0"/>
    <w:rsid w:val="00257C48"/>
    <w:rsid w:val="002604AB"/>
    <w:rsid w:val="00260517"/>
    <w:rsid w:val="002605E3"/>
    <w:rsid w:val="002609AE"/>
    <w:rsid w:val="00260DF1"/>
    <w:rsid w:val="0026118C"/>
    <w:rsid w:val="002618B8"/>
    <w:rsid w:val="00261D0F"/>
    <w:rsid w:val="00261D38"/>
    <w:rsid w:val="00261D83"/>
    <w:rsid w:val="00261E94"/>
    <w:rsid w:val="00262321"/>
    <w:rsid w:val="00262458"/>
    <w:rsid w:val="00262B47"/>
    <w:rsid w:val="00262FED"/>
    <w:rsid w:val="00263134"/>
    <w:rsid w:val="002633FD"/>
    <w:rsid w:val="0026438B"/>
    <w:rsid w:val="0026447A"/>
    <w:rsid w:val="00264998"/>
    <w:rsid w:val="00264A1B"/>
    <w:rsid w:val="00264F05"/>
    <w:rsid w:val="002650E6"/>
    <w:rsid w:val="002657A5"/>
    <w:rsid w:val="00265A3A"/>
    <w:rsid w:val="00266072"/>
    <w:rsid w:val="002660AE"/>
    <w:rsid w:val="00266862"/>
    <w:rsid w:val="0026713C"/>
    <w:rsid w:val="00267328"/>
    <w:rsid w:val="00267402"/>
    <w:rsid w:val="00267489"/>
    <w:rsid w:val="002676E3"/>
    <w:rsid w:val="002704C6"/>
    <w:rsid w:val="00270633"/>
    <w:rsid w:val="00270E67"/>
    <w:rsid w:val="00271387"/>
    <w:rsid w:val="00271C89"/>
    <w:rsid w:val="00271DDC"/>
    <w:rsid w:val="0027247A"/>
    <w:rsid w:val="0027276D"/>
    <w:rsid w:val="00272FC2"/>
    <w:rsid w:val="002736D5"/>
    <w:rsid w:val="0027372E"/>
    <w:rsid w:val="00273B3F"/>
    <w:rsid w:val="00273B85"/>
    <w:rsid w:val="00273C7F"/>
    <w:rsid w:val="00273C84"/>
    <w:rsid w:val="00273FFE"/>
    <w:rsid w:val="0027442D"/>
    <w:rsid w:val="00274963"/>
    <w:rsid w:val="00274AB4"/>
    <w:rsid w:val="00274E2E"/>
    <w:rsid w:val="002751D8"/>
    <w:rsid w:val="002757BD"/>
    <w:rsid w:val="002757F1"/>
    <w:rsid w:val="00275BE0"/>
    <w:rsid w:val="00276947"/>
    <w:rsid w:val="00276C50"/>
    <w:rsid w:val="00277207"/>
    <w:rsid w:val="002775E7"/>
    <w:rsid w:val="0027768A"/>
    <w:rsid w:val="002777F9"/>
    <w:rsid w:val="0027791E"/>
    <w:rsid w:val="00277D36"/>
    <w:rsid w:val="00277D6F"/>
    <w:rsid w:val="002800AC"/>
    <w:rsid w:val="0028013F"/>
    <w:rsid w:val="002804FC"/>
    <w:rsid w:val="00280705"/>
    <w:rsid w:val="00280C10"/>
    <w:rsid w:val="00280D77"/>
    <w:rsid w:val="00280F2B"/>
    <w:rsid w:val="002811B8"/>
    <w:rsid w:val="002813DC"/>
    <w:rsid w:val="002815BF"/>
    <w:rsid w:val="002816A5"/>
    <w:rsid w:val="002816FA"/>
    <w:rsid w:val="002817CE"/>
    <w:rsid w:val="00281EAB"/>
    <w:rsid w:val="00282047"/>
    <w:rsid w:val="00282688"/>
    <w:rsid w:val="00282B7F"/>
    <w:rsid w:val="00283AA6"/>
    <w:rsid w:val="00283B8C"/>
    <w:rsid w:val="0028417A"/>
    <w:rsid w:val="0028432C"/>
    <w:rsid w:val="0028462B"/>
    <w:rsid w:val="0028487D"/>
    <w:rsid w:val="002849C1"/>
    <w:rsid w:val="00284B23"/>
    <w:rsid w:val="00284B29"/>
    <w:rsid w:val="00284E46"/>
    <w:rsid w:val="00284FE4"/>
    <w:rsid w:val="002857E2"/>
    <w:rsid w:val="00285BD4"/>
    <w:rsid w:val="00286512"/>
    <w:rsid w:val="002870A9"/>
    <w:rsid w:val="00287708"/>
    <w:rsid w:val="00290886"/>
    <w:rsid w:val="002908C0"/>
    <w:rsid w:val="00290ABD"/>
    <w:rsid w:val="00290B2D"/>
    <w:rsid w:val="00290C66"/>
    <w:rsid w:val="00290F0B"/>
    <w:rsid w:val="002912E5"/>
    <w:rsid w:val="002914CA"/>
    <w:rsid w:val="002919B9"/>
    <w:rsid w:val="00292DAB"/>
    <w:rsid w:val="002931A1"/>
    <w:rsid w:val="00293371"/>
    <w:rsid w:val="002936E1"/>
    <w:rsid w:val="00293D38"/>
    <w:rsid w:val="00293D76"/>
    <w:rsid w:val="00293E05"/>
    <w:rsid w:val="00293FB9"/>
    <w:rsid w:val="0029422D"/>
    <w:rsid w:val="00294CA4"/>
    <w:rsid w:val="00294E00"/>
    <w:rsid w:val="00295062"/>
    <w:rsid w:val="0029526F"/>
    <w:rsid w:val="00295394"/>
    <w:rsid w:val="00295633"/>
    <w:rsid w:val="002957D3"/>
    <w:rsid w:val="0029595E"/>
    <w:rsid w:val="00295DC2"/>
    <w:rsid w:val="002961E5"/>
    <w:rsid w:val="002963E1"/>
    <w:rsid w:val="00296B43"/>
    <w:rsid w:val="00296F98"/>
    <w:rsid w:val="0029704F"/>
    <w:rsid w:val="00297298"/>
    <w:rsid w:val="0029746A"/>
    <w:rsid w:val="002A0B4A"/>
    <w:rsid w:val="002A0B67"/>
    <w:rsid w:val="002A0B9B"/>
    <w:rsid w:val="002A110B"/>
    <w:rsid w:val="002A11F8"/>
    <w:rsid w:val="002A1367"/>
    <w:rsid w:val="002A14B3"/>
    <w:rsid w:val="002A1D78"/>
    <w:rsid w:val="002A1F18"/>
    <w:rsid w:val="002A244E"/>
    <w:rsid w:val="002A34C1"/>
    <w:rsid w:val="002A3664"/>
    <w:rsid w:val="002A374B"/>
    <w:rsid w:val="002A3F45"/>
    <w:rsid w:val="002A473E"/>
    <w:rsid w:val="002A4B0C"/>
    <w:rsid w:val="002A4B9D"/>
    <w:rsid w:val="002A5A03"/>
    <w:rsid w:val="002A5C43"/>
    <w:rsid w:val="002A5FC8"/>
    <w:rsid w:val="002A665E"/>
    <w:rsid w:val="002A68B0"/>
    <w:rsid w:val="002A69F0"/>
    <w:rsid w:val="002A6C25"/>
    <w:rsid w:val="002A6E49"/>
    <w:rsid w:val="002A729E"/>
    <w:rsid w:val="002A7378"/>
    <w:rsid w:val="002A7FB5"/>
    <w:rsid w:val="002A7FCF"/>
    <w:rsid w:val="002B0148"/>
    <w:rsid w:val="002B0B43"/>
    <w:rsid w:val="002B0FE0"/>
    <w:rsid w:val="002B18B3"/>
    <w:rsid w:val="002B23E3"/>
    <w:rsid w:val="002B2500"/>
    <w:rsid w:val="002B262D"/>
    <w:rsid w:val="002B2B01"/>
    <w:rsid w:val="002B2E41"/>
    <w:rsid w:val="002B33DC"/>
    <w:rsid w:val="002B35F2"/>
    <w:rsid w:val="002B37A4"/>
    <w:rsid w:val="002B3D53"/>
    <w:rsid w:val="002B3F0D"/>
    <w:rsid w:val="002B405C"/>
    <w:rsid w:val="002B412F"/>
    <w:rsid w:val="002B46C8"/>
    <w:rsid w:val="002B473D"/>
    <w:rsid w:val="002B4DB0"/>
    <w:rsid w:val="002B4E40"/>
    <w:rsid w:val="002B4F00"/>
    <w:rsid w:val="002B4FA0"/>
    <w:rsid w:val="002B5CEC"/>
    <w:rsid w:val="002B5E6D"/>
    <w:rsid w:val="002B6125"/>
    <w:rsid w:val="002B6141"/>
    <w:rsid w:val="002B61F5"/>
    <w:rsid w:val="002B621C"/>
    <w:rsid w:val="002B6A85"/>
    <w:rsid w:val="002B6AB6"/>
    <w:rsid w:val="002B6B7D"/>
    <w:rsid w:val="002B71B0"/>
    <w:rsid w:val="002B727F"/>
    <w:rsid w:val="002B72EF"/>
    <w:rsid w:val="002B76A2"/>
    <w:rsid w:val="002C014E"/>
    <w:rsid w:val="002C09C6"/>
    <w:rsid w:val="002C0C1C"/>
    <w:rsid w:val="002C0DBF"/>
    <w:rsid w:val="002C12B0"/>
    <w:rsid w:val="002C1FCF"/>
    <w:rsid w:val="002C20DA"/>
    <w:rsid w:val="002C258F"/>
    <w:rsid w:val="002C2724"/>
    <w:rsid w:val="002C2A84"/>
    <w:rsid w:val="002C2D03"/>
    <w:rsid w:val="002C311B"/>
    <w:rsid w:val="002C328F"/>
    <w:rsid w:val="002C3507"/>
    <w:rsid w:val="002C3CBB"/>
    <w:rsid w:val="002C4072"/>
    <w:rsid w:val="002C47B7"/>
    <w:rsid w:val="002C4A0D"/>
    <w:rsid w:val="002C57E5"/>
    <w:rsid w:val="002C5CDC"/>
    <w:rsid w:val="002C619C"/>
    <w:rsid w:val="002C623C"/>
    <w:rsid w:val="002C7704"/>
    <w:rsid w:val="002C7771"/>
    <w:rsid w:val="002C7F13"/>
    <w:rsid w:val="002D0308"/>
    <w:rsid w:val="002D0754"/>
    <w:rsid w:val="002D10AC"/>
    <w:rsid w:val="002D1528"/>
    <w:rsid w:val="002D15ED"/>
    <w:rsid w:val="002D206A"/>
    <w:rsid w:val="002D21FA"/>
    <w:rsid w:val="002D2626"/>
    <w:rsid w:val="002D2F52"/>
    <w:rsid w:val="002D358E"/>
    <w:rsid w:val="002D3EFA"/>
    <w:rsid w:val="002D405C"/>
    <w:rsid w:val="002D44B0"/>
    <w:rsid w:val="002D5001"/>
    <w:rsid w:val="002D5A0F"/>
    <w:rsid w:val="002D65B3"/>
    <w:rsid w:val="002D67AE"/>
    <w:rsid w:val="002D6A0F"/>
    <w:rsid w:val="002D6D39"/>
    <w:rsid w:val="002D7AA6"/>
    <w:rsid w:val="002D7D06"/>
    <w:rsid w:val="002D7D6B"/>
    <w:rsid w:val="002D7EDB"/>
    <w:rsid w:val="002E06A1"/>
    <w:rsid w:val="002E0AFD"/>
    <w:rsid w:val="002E10F7"/>
    <w:rsid w:val="002E1332"/>
    <w:rsid w:val="002E1498"/>
    <w:rsid w:val="002E1965"/>
    <w:rsid w:val="002E2247"/>
    <w:rsid w:val="002E2431"/>
    <w:rsid w:val="002E24CD"/>
    <w:rsid w:val="002E28F2"/>
    <w:rsid w:val="002E294F"/>
    <w:rsid w:val="002E2BD1"/>
    <w:rsid w:val="002E3073"/>
    <w:rsid w:val="002E32D8"/>
    <w:rsid w:val="002E3468"/>
    <w:rsid w:val="002E399E"/>
    <w:rsid w:val="002E3B1E"/>
    <w:rsid w:val="002E3D0E"/>
    <w:rsid w:val="002E3D80"/>
    <w:rsid w:val="002E4404"/>
    <w:rsid w:val="002E4E8A"/>
    <w:rsid w:val="002E50D8"/>
    <w:rsid w:val="002E53C6"/>
    <w:rsid w:val="002E5434"/>
    <w:rsid w:val="002E5A2F"/>
    <w:rsid w:val="002E5B74"/>
    <w:rsid w:val="002E5C81"/>
    <w:rsid w:val="002E6CF2"/>
    <w:rsid w:val="002E72A5"/>
    <w:rsid w:val="002E7BA8"/>
    <w:rsid w:val="002E7D80"/>
    <w:rsid w:val="002E7F81"/>
    <w:rsid w:val="002F02F0"/>
    <w:rsid w:val="002F05F9"/>
    <w:rsid w:val="002F08DF"/>
    <w:rsid w:val="002F0BE6"/>
    <w:rsid w:val="002F0E0E"/>
    <w:rsid w:val="002F1681"/>
    <w:rsid w:val="002F1D06"/>
    <w:rsid w:val="002F2280"/>
    <w:rsid w:val="002F2E19"/>
    <w:rsid w:val="002F3244"/>
    <w:rsid w:val="002F34F5"/>
    <w:rsid w:val="002F3964"/>
    <w:rsid w:val="002F3D28"/>
    <w:rsid w:val="002F4008"/>
    <w:rsid w:val="002F4194"/>
    <w:rsid w:val="002F465B"/>
    <w:rsid w:val="002F4E2A"/>
    <w:rsid w:val="002F4EDC"/>
    <w:rsid w:val="002F524F"/>
    <w:rsid w:val="002F52A9"/>
    <w:rsid w:val="002F5620"/>
    <w:rsid w:val="002F563E"/>
    <w:rsid w:val="002F56E9"/>
    <w:rsid w:val="002F5A99"/>
    <w:rsid w:val="002F5B1C"/>
    <w:rsid w:val="002F61C1"/>
    <w:rsid w:val="002F65EF"/>
    <w:rsid w:val="002F6756"/>
    <w:rsid w:val="002F68C7"/>
    <w:rsid w:val="002F697B"/>
    <w:rsid w:val="002F6A33"/>
    <w:rsid w:val="002F6A54"/>
    <w:rsid w:val="002F6D43"/>
    <w:rsid w:val="002F706F"/>
    <w:rsid w:val="002F72F7"/>
    <w:rsid w:val="002F77CA"/>
    <w:rsid w:val="002F785A"/>
    <w:rsid w:val="002F7B08"/>
    <w:rsid w:val="002F7D9F"/>
    <w:rsid w:val="002F7FF4"/>
    <w:rsid w:val="00300229"/>
    <w:rsid w:val="003003AA"/>
    <w:rsid w:val="00300425"/>
    <w:rsid w:val="003009A7"/>
    <w:rsid w:val="00300CDD"/>
    <w:rsid w:val="00300CEB"/>
    <w:rsid w:val="00301707"/>
    <w:rsid w:val="00301D68"/>
    <w:rsid w:val="00302274"/>
    <w:rsid w:val="00302D38"/>
    <w:rsid w:val="003031DA"/>
    <w:rsid w:val="003036F9"/>
    <w:rsid w:val="00303A3D"/>
    <w:rsid w:val="00303DA6"/>
    <w:rsid w:val="00304671"/>
    <w:rsid w:val="003048E4"/>
    <w:rsid w:val="00304A77"/>
    <w:rsid w:val="003050A8"/>
    <w:rsid w:val="003056C8"/>
    <w:rsid w:val="003056CF"/>
    <w:rsid w:val="00305A20"/>
    <w:rsid w:val="003062C4"/>
    <w:rsid w:val="003067BE"/>
    <w:rsid w:val="00306C97"/>
    <w:rsid w:val="00306D52"/>
    <w:rsid w:val="003078FF"/>
    <w:rsid w:val="00307CFB"/>
    <w:rsid w:val="003105CF"/>
    <w:rsid w:val="00310745"/>
    <w:rsid w:val="0031077C"/>
    <w:rsid w:val="00310CDA"/>
    <w:rsid w:val="003112BB"/>
    <w:rsid w:val="003119D1"/>
    <w:rsid w:val="00312651"/>
    <w:rsid w:val="00312F34"/>
    <w:rsid w:val="00312FA2"/>
    <w:rsid w:val="00313247"/>
    <w:rsid w:val="0031333E"/>
    <w:rsid w:val="0031338B"/>
    <w:rsid w:val="003135F4"/>
    <w:rsid w:val="00313634"/>
    <w:rsid w:val="003139B3"/>
    <w:rsid w:val="00314246"/>
    <w:rsid w:val="00314387"/>
    <w:rsid w:val="00314563"/>
    <w:rsid w:val="00314EC5"/>
    <w:rsid w:val="0031522F"/>
    <w:rsid w:val="0031525B"/>
    <w:rsid w:val="00315501"/>
    <w:rsid w:val="003158E0"/>
    <w:rsid w:val="00315AD8"/>
    <w:rsid w:val="00315C68"/>
    <w:rsid w:val="0031600E"/>
    <w:rsid w:val="00316623"/>
    <w:rsid w:val="00316F7C"/>
    <w:rsid w:val="003173EA"/>
    <w:rsid w:val="003173FF"/>
    <w:rsid w:val="003176E3"/>
    <w:rsid w:val="00317ECF"/>
    <w:rsid w:val="00317EF5"/>
    <w:rsid w:val="00320210"/>
    <w:rsid w:val="0032079B"/>
    <w:rsid w:val="00320D6F"/>
    <w:rsid w:val="00320D84"/>
    <w:rsid w:val="00321231"/>
    <w:rsid w:val="003216A7"/>
    <w:rsid w:val="00321913"/>
    <w:rsid w:val="00321B23"/>
    <w:rsid w:val="00321E28"/>
    <w:rsid w:val="00321FFF"/>
    <w:rsid w:val="003222C1"/>
    <w:rsid w:val="003224A0"/>
    <w:rsid w:val="003226F5"/>
    <w:rsid w:val="00322F05"/>
    <w:rsid w:val="003233BA"/>
    <w:rsid w:val="003233D5"/>
    <w:rsid w:val="00323412"/>
    <w:rsid w:val="00323830"/>
    <w:rsid w:val="00323833"/>
    <w:rsid w:val="00323ED1"/>
    <w:rsid w:val="0032408E"/>
    <w:rsid w:val="0032410B"/>
    <w:rsid w:val="0032438C"/>
    <w:rsid w:val="00324392"/>
    <w:rsid w:val="003247D6"/>
    <w:rsid w:val="00324F79"/>
    <w:rsid w:val="00324FB4"/>
    <w:rsid w:val="003255BF"/>
    <w:rsid w:val="00325BF8"/>
    <w:rsid w:val="00325EEC"/>
    <w:rsid w:val="00325F2B"/>
    <w:rsid w:val="003263C6"/>
    <w:rsid w:val="00326451"/>
    <w:rsid w:val="003264FA"/>
    <w:rsid w:val="00326558"/>
    <w:rsid w:val="00326800"/>
    <w:rsid w:val="00326D5E"/>
    <w:rsid w:val="00327064"/>
    <w:rsid w:val="0032721E"/>
    <w:rsid w:val="00327401"/>
    <w:rsid w:val="0033034B"/>
    <w:rsid w:val="00330498"/>
    <w:rsid w:val="0033080B"/>
    <w:rsid w:val="003308BB"/>
    <w:rsid w:val="00330E24"/>
    <w:rsid w:val="003313CC"/>
    <w:rsid w:val="00331400"/>
    <w:rsid w:val="003314D7"/>
    <w:rsid w:val="00331A40"/>
    <w:rsid w:val="00331C86"/>
    <w:rsid w:val="003321D2"/>
    <w:rsid w:val="00332CFF"/>
    <w:rsid w:val="00332F6C"/>
    <w:rsid w:val="00333579"/>
    <w:rsid w:val="00333593"/>
    <w:rsid w:val="00333752"/>
    <w:rsid w:val="00333FD0"/>
    <w:rsid w:val="003346EB"/>
    <w:rsid w:val="00334A5B"/>
    <w:rsid w:val="00334D06"/>
    <w:rsid w:val="003353A3"/>
    <w:rsid w:val="003357E6"/>
    <w:rsid w:val="00335933"/>
    <w:rsid w:val="00335953"/>
    <w:rsid w:val="00335A52"/>
    <w:rsid w:val="00335D4F"/>
    <w:rsid w:val="00336058"/>
    <w:rsid w:val="00336412"/>
    <w:rsid w:val="003370E4"/>
    <w:rsid w:val="00337131"/>
    <w:rsid w:val="00337335"/>
    <w:rsid w:val="00337D92"/>
    <w:rsid w:val="003407F2"/>
    <w:rsid w:val="003408E6"/>
    <w:rsid w:val="00340A2C"/>
    <w:rsid w:val="00340EC0"/>
    <w:rsid w:val="00340F27"/>
    <w:rsid w:val="003412B3"/>
    <w:rsid w:val="00341749"/>
    <w:rsid w:val="003419FC"/>
    <w:rsid w:val="00341CA9"/>
    <w:rsid w:val="00342171"/>
    <w:rsid w:val="00342726"/>
    <w:rsid w:val="003434F6"/>
    <w:rsid w:val="0034352E"/>
    <w:rsid w:val="003437BD"/>
    <w:rsid w:val="0034383B"/>
    <w:rsid w:val="00343906"/>
    <w:rsid w:val="0034393D"/>
    <w:rsid w:val="00343A08"/>
    <w:rsid w:val="00343D67"/>
    <w:rsid w:val="00344493"/>
    <w:rsid w:val="003447F5"/>
    <w:rsid w:val="0034529B"/>
    <w:rsid w:val="0034544A"/>
    <w:rsid w:val="00345459"/>
    <w:rsid w:val="00346007"/>
    <w:rsid w:val="003462A4"/>
    <w:rsid w:val="00346351"/>
    <w:rsid w:val="00346401"/>
    <w:rsid w:val="0034660A"/>
    <w:rsid w:val="0034684F"/>
    <w:rsid w:val="00347247"/>
    <w:rsid w:val="00347415"/>
    <w:rsid w:val="003478CF"/>
    <w:rsid w:val="00347970"/>
    <w:rsid w:val="00347BB2"/>
    <w:rsid w:val="00350456"/>
    <w:rsid w:val="003509C8"/>
    <w:rsid w:val="00350CF1"/>
    <w:rsid w:val="00350E98"/>
    <w:rsid w:val="00350FC8"/>
    <w:rsid w:val="00350FCC"/>
    <w:rsid w:val="00351557"/>
    <w:rsid w:val="003520AD"/>
    <w:rsid w:val="00352504"/>
    <w:rsid w:val="0035264F"/>
    <w:rsid w:val="00352698"/>
    <w:rsid w:val="0035271B"/>
    <w:rsid w:val="00352AE0"/>
    <w:rsid w:val="00352B6A"/>
    <w:rsid w:val="003530A3"/>
    <w:rsid w:val="003531AE"/>
    <w:rsid w:val="003532C4"/>
    <w:rsid w:val="00353821"/>
    <w:rsid w:val="00353BAF"/>
    <w:rsid w:val="00353CEB"/>
    <w:rsid w:val="00353CF4"/>
    <w:rsid w:val="00353D28"/>
    <w:rsid w:val="0035517D"/>
    <w:rsid w:val="0035538D"/>
    <w:rsid w:val="0035572C"/>
    <w:rsid w:val="003558F5"/>
    <w:rsid w:val="00355DE5"/>
    <w:rsid w:val="0035660D"/>
    <w:rsid w:val="00356733"/>
    <w:rsid w:val="00356A6B"/>
    <w:rsid w:val="003572AD"/>
    <w:rsid w:val="00360087"/>
    <w:rsid w:val="003608E7"/>
    <w:rsid w:val="00360AA1"/>
    <w:rsid w:val="00360D22"/>
    <w:rsid w:val="00360E32"/>
    <w:rsid w:val="00360E87"/>
    <w:rsid w:val="00361050"/>
    <w:rsid w:val="00361B8B"/>
    <w:rsid w:val="00362139"/>
    <w:rsid w:val="00362189"/>
    <w:rsid w:val="00362406"/>
    <w:rsid w:val="003627ED"/>
    <w:rsid w:val="00362870"/>
    <w:rsid w:val="00362A7B"/>
    <w:rsid w:val="00362B9E"/>
    <w:rsid w:val="00362E27"/>
    <w:rsid w:val="0036334F"/>
    <w:rsid w:val="00363871"/>
    <w:rsid w:val="00363CE5"/>
    <w:rsid w:val="0036414B"/>
    <w:rsid w:val="00364590"/>
    <w:rsid w:val="00364821"/>
    <w:rsid w:val="0036488D"/>
    <w:rsid w:val="0036492B"/>
    <w:rsid w:val="00364B83"/>
    <w:rsid w:val="00364C5D"/>
    <w:rsid w:val="00364E6F"/>
    <w:rsid w:val="0036500A"/>
    <w:rsid w:val="00365768"/>
    <w:rsid w:val="00365B10"/>
    <w:rsid w:val="00365DD4"/>
    <w:rsid w:val="0036664A"/>
    <w:rsid w:val="00366A94"/>
    <w:rsid w:val="00366BC8"/>
    <w:rsid w:val="00366BDD"/>
    <w:rsid w:val="003702C0"/>
    <w:rsid w:val="003707A8"/>
    <w:rsid w:val="003708CE"/>
    <w:rsid w:val="00370B89"/>
    <w:rsid w:val="00370BF8"/>
    <w:rsid w:val="00370DB3"/>
    <w:rsid w:val="00371147"/>
    <w:rsid w:val="003715C8"/>
    <w:rsid w:val="00371F37"/>
    <w:rsid w:val="00372070"/>
    <w:rsid w:val="00372213"/>
    <w:rsid w:val="0037222E"/>
    <w:rsid w:val="00372329"/>
    <w:rsid w:val="003724A5"/>
    <w:rsid w:val="003724C6"/>
    <w:rsid w:val="003726F9"/>
    <w:rsid w:val="003729FE"/>
    <w:rsid w:val="00372AB6"/>
    <w:rsid w:val="00372D8A"/>
    <w:rsid w:val="00373191"/>
    <w:rsid w:val="00373849"/>
    <w:rsid w:val="00373A0E"/>
    <w:rsid w:val="00374532"/>
    <w:rsid w:val="003746C2"/>
    <w:rsid w:val="00374868"/>
    <w:rsid w:val="00374B71"/>
    <w:rsid w:val="0037533A"/>
    <w:rsid w:val="00375962"/>
    <w:rsid w:val="00375D38"/>
    <w:rsid w:val="00375DF4"/>
    <w:rsid w:val="00376014"/>
    <w:rsid w:val="003760C7"/>
    <w:rsid w:val="00376313"/>
    <w:rsid w:val="00376550"/>
    <w:rsid w:val="003767FF"/>
    <w:rsid w:val="00377981"/>
    <w:rsid w:val="00377E5A"/>
    <w:rsid w:val="00380105"/>
    <w:rsid w:val="003805AC"/>
    <w:rsid w:val="00380819"/>
    <w:rsid w:val="00380B54"/>
    <w:rsid w:val="00380F18"/>
    <w:rsid w:val="00381255"/>
    <w:rsid w:val="00381575"/>
    <w:rsid w:val="003817E3"/>
    <w:rsid w:val="003819B2"/>
    <w:rsid w:val="00381D6A"/>
    <w:rsid w:val="00382450"/>
    <w:rsid w:val="00382703"/>
    <w:rsid w:val="00382B70"/>
    <w:rsid w:val="00382DF7"/>
    <w:rsid w:val="00383004"/>
    <w:rsid w:val="003830CE"/>
    <w:rsid w:val="003832F6"/>
    <w:rsid w:val="00385037"/>
    <w:rsid w:val="003851D4"/>
    <w:rsid w:val="003853BF"/>
    <w:rsid w:val="00385538"/>
    <w:rsid w:val="00385552"/>
    <w:rsid w:val="00385E2D"/>
    <w:rsid w:val="00385EDC"/>
    <w:rsid w:val="0038628E"/>
    <w:rsid w:val="0038641F"/>
    <w:rsid w:val="0038706A"/>
    <w:rsid w:val="00387196"/>
    <w:rsid w:val="00387ED6"/>
    <w:rsid w:val="003900D0"/>
    <w:rsid w:val="003905A7"/>
    <w:rsid w:val="00390AD9"/>
    <w:rsid w:val="00390B97"/>
    <w:rsid w:val="0039110C"/>
    <w:rsid w:val="003915CA"/>
    <w:rsid w:val="003919F3"/>
    <w:rsid w:val="00391A9D"/>
    <w:rsid w:val="003922C9"/>
    <w:rsid w:val="00392350"/>
    <w:rsid w:val="00392488"/>
    <w:rsid w:val="00392567"/>
    <w:rsid w:val="0039262E"/>
    <w:rsid w:val="003928F6"/>
    <w:rsid w:val="00392C17"/>
    <w:rsid w:val="00392F15"/>
    <w:rsid w:val="00392F94"/>
    <w:rsid w:val="003937F3"/>
    <w:rsid w:val="003938F2"/>
    <w:rsid w:val="00393E9D"/>
    <w:rsid w:val="00393F01"/>
    <w:rsid w:val="00394DCA"/>
    <w:rsid w:val="003957CD"/>
    <w:rsid w:val="00395A17"/>
    <w:rsid w:val="00395D1D"/>
    <w:rsid w:val="00395F40"/>
    <w:rsid w:val="00396971"/>
    <w:rsid w:val="003971F0"/>
    <w:rsid w:val="003979C7"/>
    <w:rsid w:val="00397A3A"/>
    <w:rsid w:val="00397EB7"/>
    <w:rsid w:val="003A0223"/>
    <w:rsid w:val="003A0956"/>
    <w:rsid w:val="003A0ABF"/>
    <w:rsid w:val="003A0CD0"/>
    <w:rsid w:val="003A0E07"/>
    <w:rsid w:val="003A15D6"/>
    <w:rsid w:val="003A1E42"/>
    <w:rsid w:val="003A1F79"/>
    <w:rsid w:val="003A1F83"/>
    <w:rsid w:val="003A1FF6"/>
    <w:rsid w:val="003A20A6"/>
    <w:rsid w:val="003A2354"/>
    <w:rsid w:val="003A2370"/>
    <w:rsid w:val="003A275A"/>
    <w:rsid w:val="003A2947"/>
    <w:rsid w:val="003A2CE3"/>
    <w:rsid w:val="003A3CBE"/>
    <w:rsid w:val="003A3D5D"/>
    <w:rsid w:val="003A3DDA"/>
    <w:rsid w:val="003A4CB0"/>
    <w:rsid w:val="003A5145"/>
    <w:rsid w:val="003A58B9"/>
    <w:rsid w:val="003A5A5E"/>
    <w:rsid w:val="003A5C01"/>
    <w:rsid w:val="003A6175"/>
    <w:rsid w:val="003A6542"/>
    <w:rsid w:val="003A734C"/>
    <w:rsid w:val="003A75DE"/>
    <w:rsid w:val="003A7761"/>
    <w:rsid w:val="003A7861"/>
    <w:rsid w:val="003A7AA5"/>
    <w:rsid w:val="003A7C86"/>
    <w:rsid w:val="003A7E55"/>
    <w:rsid w:val="003B02E2"/>
    <w:rsid w:val="003B081F"/>
    <w:rsid w:val="003B08A1"/>
    <w:rsid w:val="003B0AC6"/>
    <w:rsid w:val="003B0FCA"/>
    <w:rsid w:val="003B1813"/>
    <w:rsid w:val="003B1891"/>
    <w:rsid w:val="003B1D93"/>
    <w:rsid w:val="003B1F84"/>
    <w:rsid w:val="003B2445"/>
    <w:rsid w:val="003B24E9"/>
    <w:rsid w:val="003B26E7"/>
    <w:rsid w:val="003B27D5"/>
    <w:rsid w:val="003B2BAD"/>
    <w:rsid w:val="003B2C4E"/>
    <w:rsid w:val="003B30CE"/>
    <w:rsid w:val="003B3918"/>
    <w:rsid w:val="003B40C3"/>
    <w:rsid w:val="003B423C"/>
    <w:rsid w:val="003B42EB"/>
    <w:rsid w:val="003B44C7"/>
    <w:rsid w:val="003B51EC"/>
    <w:rsid w:val="003B55CE"/>
    <w:rsid w:val="003B5D73"/>
    <w:rsid w:val="003B5E56"/>
    <w:rsid w:val="003B65B2"/>
    <w:rsid w:val="003B65C5"/>
    <w:rsid w:val="003B6721"/>
    <w:rsid w:val="003B688E"/>
    <w:rsid w:val="003B6A5F"/>
    <w:rsid w:val="003B6C88"/>
    <w:rsid w:val="003B7839"/>
    <w:rsid w:val="003B7E9A"/>
    <w:rsid w:val="003B7F05"/>
    <w:rsid w:val="003C0204"/>
    <w:rsid w:val="003C06E3"/>
    <w:rsid w:val="003C18D1"/>
    <w:rsid w:val="003C1BD2"/>
    <w:rsid w:val="003C2018"/>
    <w:rsid w:val="003C2470"/>
    <w:rsid w:val="003C25EB"/>
    <w:rsid w:val="003C2B82"/>
    <w:rsid w:val="003C2DEA"/>
    <w:rsid w:val="003C3A1E"/>
    <w:rsid w:val="003C454E"/>
    <w:rsid w:val="003C4F28"/>
    <w:rsid w:val="003C505B"/>
    <w:rsid w:val="003C5278"/>
    <w:rsid w:val="003C5590"/>
    <w:rsid w:val="003C55A4"/>
    <w:rsid w:val="003C5A28"/>
    <w:rsid w:val="003C5AEE"/>
    <w:rsid w:val="003C5BD9"/>
    <w:rsid w:val="003C6283"/>
    <w:rsid w:val="003C6F0F"/>
    <w:rsid w:val="003C71A9"/>
    <w:rsid w:val="003C71CF"/>
    <w:rsid w:val="003C789D"/>
    <w:rsid w:val="003C79E0"/>
    <w:rsid w:val="003C7C3C"/>
    <w:rsid w:val="003D0120"/>
    <w:rsid w:val="003D0971"/>
    <w:rsid w:val="003D0AAA"/>
    <w:rsid w:val="003D0F1B"/>
    <w:rsid w:val="003D1402"/>
    <w:rsid w:val="003D17E1"/>
    <w:rsid w:val="003D188C"/>
    <w:rsid w:val="003D1A1F"/>
    <w:rsid w:val="003D1F50"/>
    <w:rsid w:val="003D217F"/>
    <w:rsid w:val="003D21A3"/>
    <w:rsid w:val="003D2451"/>
    <w:rsid w:val="003D24DA"/>
    <w:rsid w:val="003D26ED"/>
    <w:rsid w:val="003D2DB5"/>
    <w:rsid w:val="003D344C"/>
    <w:rsid w:val="003D360D"/>
    <w:rsid w:val="003D3677"/>
    <w:rsid w:val="003D3C0E"/>
    <w:rsid w:val="003D3C48"/>
    <w:rsid w:val="003D4450"/>
    <w:rsid w:val="003D44DB"/>
    <w:rsid w:val="003D4500"/>
    <w:rsid w:val="003D4A56"/>
    <w:rsid w:val="003D4FE5"/>
    <w:rsid w:val="003D5827"/>
    <w:rsid w:val="003D5B34"/>
    <w:rsid w:val="003D5BBB"/>
    <w:rsid w:val="003D644D"/>
    <w:rsid w:val="003D6552"/>
    <w:rsid w:val="003D70AE"/>
    <w:rsid w:val="003D734A"/>
    <w:rsid w:val="003D7470"/>
    <w:rsid w:val="003D7524"/>
    <w:rsid w:val="003D78DC"/>
    <w:rsid w:val="003D7B2C"/>
    <w:rsid w:val="003D7B67"/>
    <w:rsid w:val="003D7BAB"/>
    <w:rsid w:val="003D7D99"/>
    <w:rsid w:val="003E01E5"/>
    <w:rsid w:val="003E0510"/>
    <w:rsid w:val="003E0649"/>
    <w:rsid w:val="003E083E"/>
    <w:rsid w:val="003E0A9A"/>
    <w:rsid w:val="003E1078"/>
    <w:rsid w:val="003E1128"/>
    <w:rsid w:val="003E12D6"/>
    <w:rsid w:val="003E13D6"/>
    <w:rsid w:val="003E18A3"/>
    <w:rsid w:val="003E1912"/>
    <w:rsid w:val="003E1917"/>
    <w:rsid w:val="003E1A94"/>
    <w:rsid w:val="003E1FDA"/>
    <w:rsid w:val="003E259A"/>
    <w:rsid w:val="003E2DE1"/>
    <w:rsid w:val="003E3566"/>
    <w:rsid w:val="003E38A9"/>
    <w:rsid w:val="003E3A75"/>
    <w:rsid w:val="003E3B2A"/>
    <w:rsid w:val="003E3B54"/>
    <w:rsid w:val="003E3FDD"/>
    <w:rsid w:val="003E427C"/>
    <w:rsid w:val="003E4293"/>
    <w:rsid w:val="003E445D"/>
    <w:rsid w:val="003E4473"/>
    <w:rsid w:val="003E44F7"/>
    <w:rsid w:val="003E51BA"/>
    <w:rsid w:val="003E5211"/>
    <w:rsid w:val="003E52F7"/>
    <w:rsid w:val="003E5307"/>
    <w:rsid w:val="003E5BF9"/>
    <w:rsid w:val="003E5FE1"/>
    <w:rsid w:val="003E61FE"/>
    <w:rsid w:val="003E637A"/>
    <w:rsid w:val="003E66F5"/>
    <w:rsid w:val="003E678B"/>
    <w:rsid w:val="003E6847"/>
    <w:rsid w:val="003E6908"/>
    <w:rsid w:val="003E71B6"/>
    <w:rsid w:val="003E72E1"/>
    <w:rsid w:val="003E760D"/>
    <w:rsid w:val="003E7614"/>
    <w:rsid w:val="003E7B1D"/>
    <w:rsid w:val="003E7BCA"/>
    <w:rsid w:val="003E7C14"/>
    <w:rsid w:val="003F025A"/>
    <w:rsid w:val="003F03B2"/>
    <w:rsid w:val="003F03F6"/>
    <w:rsid w:val="003F0533"/>
    <w:rsid w:val="003F0585"/>
    <w:rsid w:val="003F0871"/>
    <w:rsid w:val="003F0CA0"/>
    <w:rsid w:val="003F0E07"/>
    <w:rsid w:val="003F148D"/>
    <w:rsid w:val="003F2688"/>
    <w:rsid w:val="003F2920"/>
    <w:rsid w:val="003F2FB8"/>
    <w:rsid w:val="003F31D2"/>
    <w:rsid w:val="003F3716"/>
    <w:rsid w:val="003F37DB"/>
    <w:rsid w:val="003F3DB6"/>
    <w:rsid w:val="003F3DC0"/>
    <w:rsid w:val="003F3E0F"/>
    <w:rsid w:val="003F4845"/>
    <w:rsid w:val="003F4CE0"/>
    <w:rsid w:val="003F4DBE"/>
    <w:rsid w:val="003F5476"/>
    <w:rsid w:val="003F5548"/>
    <w:rsid w:val="003F557E"/>
    <w:rsid w:val="003F5869"/>
    <w:rsid w:val="003F5F5F"/>
    <w:rsid w:val="003F62BA"/>
    <w:rsid w:val="003F6B8B"/>
    <w:rsid w:val="003F71B6"/>
    <w:rsid w:val="003F7218"/>
    <w:rsid w:val="003F7357"/>
    <w:rsid w:val="003F7CC5"/>
    <w:rsid w:val="0040067B"/>
    <w:rsid w:val="004007C3"/>
    <w:rsid w:val="00400885"/>
    <w:rsid w:val="00400D26"/>
    <w:rsid w:val="00400D68"/>
    <w:rsid w:val="004013E6"/>
    <w:rsid w:val="00401561"/>
    <w:rsid w:val="00401A63"/>
    <w:rsid w:val="00401A9E"/>
    <w:rsid w:val="00401ABD"/>
    <w:rsid w:val="004021A9"/>
    <w:rsid w:val="004024A4"/>
    <w:rsid w:val="004029AC"/>
    <w:rsid w:val="00402E62"/>
    <w:rsid w:val="004036A3"/>
    <w:rsid w:val="0040406A"/>
    <w:rsid w:val="00404433"/>
    <w:rsid w:val="00404EAF"/>
    <w:rsid w:val="0040508B"/>
    <w:rsid w:val="004051AA"/>
    <w:rsid w:val="00405730"/>
    <w:rsid w:val="00405C2D"/>
    <w:rsid w:val="004062EB"/>
    <w:rsid w:val="004065A8"/>
    <w:rsid w:val="004067AD"/>
    <w:rsid w:val="00406930"/>
    <w:rsid w:val="00406B8F"/>
    <w:rsid w:val="004074C9"/>
    <w:rsid w:val="00407EE0"/>
    <w:rsid w:val="00407FD5"/>
    <w:rsid w:val="00410418"/>
    <w:rsid w:val="00410ACF"/>
    <w:rsid w:val="00410B43"/>
    <w:rsid w:val="00410E25"/>
    <w:rsid w:val="00411150"/>
    <w:rsid w:val="00411C8B"/>
    <w:rsid w:val="00411F2B"/>
    <w:rsid w:val="004124E4"/>
    <w:rsid w:val="00412570"/>
    <w:rsid w:val="004129D8"/>
    <w:rsid w:val="00413249"/>
    <w:rsid w:val="00413280"/>
    <w:rsid w:val="004132B5"/>
    <w:rsid w:val="00413709"/>
    <w:rsid w:val="00413751"/>
    <w:rsid w:val="00413B5B"/>
    <w:rsid w:val="004143CD"/>
    <w:rsid w:val="00414473"/>
    <w:rsid w:val="00414806"/>
    <w:rsid w:val="00414B52"/>
    <w:rsid w:val="00414B53"/>
    <w:rsid w:val="00414B81"/>
    <w:rsid w:val="00414CFD"/>
    <w:rsid w:val="00415055"/>
    <w:rsid w:val="00415579"/>
    <w:rsid w:val="00415AA8"/>
    <w:rsid w:val="00415BED"/>
    <w:rsid w:val="00416157"/>
    <w:rsid w:val="0041625A"/>
    <w:rsid w:val="004164DC"/>
    <w:rsid w:val="00416AE6"/>
    <w:rsid w:val="00416D3A"/>
    <w:rsid w:val="00416F4D"/>
    <w:rsid w:val="004173FB"/>
    <w:rsid w:val="004175E2"/>
    <w:rsid w:val="00417951"/>
    <w:rsid w:val="00417CCD"/>
    <w:rsid w:val="00420284"/>
    <w:rsid w:val="00420452"/>
    <w:rsid w:val="00420D99"/>
    <w:rsid w:val="00421874"/>
    <w:rsid w:val="00421AB7"/>
    <w:rsid w:val="00421ABF"/>
    <w:rsid w:val="00421F05"/>
    <w:rsid w:val="0042272E"/>
    <w:rsid w:val="00422988"/>
    <w:rsid w:val="00422C65"/>
    <w:rsid w:val="00422D9D"/>
    <w:rsid w:val="004230A7"/>
    <w:rsid w:val="00423CB5"/>
    <w:rsid w:val="00423CCF"/>
    <w:rsid w:val="00423ED0"/>
    <w:rsid w:val="00423F29"/>
    <w:rsid w:val="00423F58"/>
    <w:rsid w:val="004247E5"/>
    <w:rsid w:val="00424851"/>
    <w:rsid w:val="00424B78"/>
    <w:rsid w:val="00424E0C"/>
    <w:rsid w:val="00424F82"/>
    <w:rsid w:val="0042561A"/>
    <w:rsid w:val="00425749"/>
    <w:rsid w:val="00425C65"/>
    <w:rsid w:val="00425D13"/>
    <w:rsid w:val="00425EAF"/>
    <w:rsid w:val="004263EC"/>
    <w:rsid w:val="00426497"/>
    <w:rsid w:val="00426982"/>
    <w:rsid w:val="00426BDF"/>
    <w:rsid w:val="00427140"/>
    <w:rsid w:val="0042727D"/>
    <w:rsid w:val="00427452"/>
    <w:rsid w:val="00427583"/>
    <w:rsid w:val="00427685"/>
    <w:rsid w:val="00427E2A"/>
    <w:rsid w:val="00427E5A"/>
    <w:rsid w:val="0043029B"/>
    <w:rsid w:val="004304FD"/>
    <w:rsid w:val="004308A8"/>
    <w:rsid w:val="00430A28"/>
    <w:rsid w:val="00430AFA"/>
    <w:rsid w:val="00431566"/>
    <w:rsid w:val="0043156A"/>
    <w:rsid w:val="00431796"/>
    <w:rsid w:val="00431A7B"/>
    <w:rsid w:val="00431D6E"/>
    <w:rsid w:val="00431FB6"/>
    <w:rsid w:val="00432041"/>
    <w:rsid w:val="00432B39"/>
    <w:rsid w:val="00432CDB"/>
    <w:rsid w:val="00432D2C"/>
    <w:rsid w:val="00432F03"/>
    <w:rsid w:val="004331D5"/>
    <w:rsid w:val="004335B6"/>
    <w:rsid w:val="004335E8"/>
    <w:rsid w:val="004337FE"/>
    <w:rsid w:val="00433AA5"/>
    <w:rsid w:val="00433C41"/>
    <w:rsid w:val="00433E61"/>
    <w:rsid w:val="00435054"/>
    <w:rsid w:val="00435079"/>
    <w:rsid w:val="0043546D"/>
    <w:rsid w:val="00435B65"/>
    <w:rsid w:val="00436198"/>
    <w:rsid w:val="00436A3E"/>
    <w:rsid w:val="004370E1"/>
    <w:rsid w:val="004377DF"/>
    <w:rsid w:val="00437CF2"/>
    <w:rsid w:val="00437D3C"/>
    <w:rsid w:val="00437F55"/>
    <w:rsid w:val="00440011"/>
    <w:rsid w:val="00440288"/>
    <w:rsid w:val="0044037F"/>
    <w:rsid w:val="00440573"/>
    <w:rsid w:val="004406CE"/>
    <w:rsid w:val="004408CA"/>
    <w:rsid w:val="00440ACD"/>
    <w:rsid w:val="00440ADC"/>
    <w:rsid w:val="00440D78"/>
    <w:rsid w:val="00441511"/>
    <w:rsid w:val="00441A2A"/>
    <w:rsid w:val="004420F6"/>
    <w:rsid w:val="004422F2"/>
    <w:rsid w:val="00442421"/>
    <w:rsid w:val="00442541"/>
    <w:rsid w:val="0044359A"/>
    <w:rsid w:val="0044378F"/>
    <w:rsid w:val="00444CD9"/>
    <w:rsid w:val="00444EE8"/>
    <w:rsid w:val="00444F65"/>
    <w:rsid w:val="0044580B"/>
    <w:rsid w:val="0044581C"/>
    <w:rsid w:val="00446720"/>
    <w:rsid w:val="00446902"/>
    <w:rsid w:val="00446A0A"/>
    <w:rsid w:val="0044736E"/>
    <w:rsid w:val="00447408"/>
    <w:rsid w:val="004476C6"/>
    <w:rsid w:val="004476E6"/>
    <w:rsid w:val="00447D54"/>
    <w:rsid w:val="00447DB6"/>
    <w:rsid w:val="00447EE2"/>
    <w:rsid w:val="00447F37"/>
    <w:rsid w:val="00450969"/>
    <w:rsid w:val="0045130C"/>
    <w:rsid w:val="004519CC"/>
    <w:rsid w:val="0045241C"/>
    <w:rsid w:val="004525E8"/>
    <w:rsid w:val="00452B84"/>
    <w:rsid w:val="00453308"/>
    <w:rsid w:val="00453578"/>
    <w:rsid w:val="00453C42"/>
    <w:rsid w:val="00454013"/>
    <w:rsid w:val="0045404B"/>
    <w:rsid w:val="0045404D"/>
    <w:rsid w:val="0045409C"/>
    <w:rsid w:val="00454A58"/>
    <w:rsid w:val="00455214"/>
    <w:rsid w:val="00455BBD"/>
    <w:rsid w:val="00455DA9"/>
    <w:rsid w:val="00456136"/>
    <w:rsid w:val="00456602"/>
    <w:rsid w:val="00456D5A"/>
    <w:rsid w:val="00456E5A"/>
    <w:rsid w:val="00456E86"/>
    <w:rsid w:val="00457088"/>
    <w:rsid w:val="00457388"/>
    <w:rsid w:val="004573E1"/>
    <w:rsid w:val="00457439"/>
    <w:rsid w:val="00457C73"/>
    <w:rsid w:val="00457DD9"/>
    <w:rsid w:val="00457FEB"/>
    <w:rsid w:val="00460222"/>
    <w:rsid w:val="00460301"/>
    <w:rsid w:val="0046051C"/>
    <w:rsid w:val="004605D4"/>
    <w:rsid w:val="004606A5"/>
    <w:rsid w:val="00460A4C"/>
    <w:rsid w:val="00460BCC"/>
    <w:rsid w:val="00460E9A"/>
    <w:rsid w:val="00460ECC"/>
    <w:rsid w:val="0046133D"/>
    <w:rsid w:val="00461580"/>
    <w:rsid w:val="004615A1"/>
    <w:rsid w:val="00461903"/>
    <w:rsid w:val="00461950"/>
    <w:rsid w:val="00461BCE"/>
    <w:rsid w:val="00462888"/>
    <w:rsid w:val="00462BF6"/>
    <w:rsid w:val="00463D5B"/>
    <w:rsid w:val="004640DD"/>
    <w:rsid w:val="00464120"/>
    <w:rsid w:val="00464328"/>
    <w:rsid w:val="004647E7"/>
    <w:rsid w:val="0046499E"/>
    <w:rsid w:val="00464B10"/>
    <w:rsid w:val="00464F09"/>
    <w:rsid w:val="0046566F"/>
    <w:rsid w:val="00465B44"/>
    <w:rsid w:val="00465B63"/>
    <w:rsid w:val="00465C8B"/>
    <w:rsid w:val="0046622F"/>
    <w:rsid w:val="00466316"/>
    <w:rsid w:val="004669D6"/>
    <w:rsid w:val="00466B61"/>
    <w:rsid w:val="00466BF7"/>
    <w:rsid w:val="004673BD"/>
    <w:rsid w:val="00467982"/>
    <w:rsid w:val="00470119"/>
    <w:rsid w:val="004702AD"/>
    <w:rsid w:val="00470307"/>
    <w:rsid w:val="00470462"/>
    <w:rsid w:val="00470576"/>
    <w:rsid w:val="004707CE"/>
    <w:rsid w:val="00470BA3"/>
    <w:rsid w:val="00471152"/>
    <w:rsid w:val="004712D9"/>
    <w:rsid w:val="004712FC"/>
    <w:rsid w:val="004715C1"/>
    <w:rsid w:val="00471825"/>
    <w:rsid w:val="00471ACA"/>
    <w:rsid w:val="00471B0E"/>
    <w:rsid w:val="00471DC2"/>
    <w:rsid w:val="00471E02"/>
    <w:rsid w:val="00471E91"/>
    <w:rsid w:val="00471EEC"/>
    <w:rsid w:val="00472102"/>
    <w:rsid w:val="004721A6"/>
    <w:rsid w:val="00472587"/>
    <w:rsid w:val="004727CA"/>
    <w:rsid w:val="00472AD7"/>
    <w:rsid w:val="00472C9B"/>
    <w:rsid w:val="00472EFF"/>
    <w:rsid w:val="00473090"/>
    <w:rsid w:val="00473378"/>
    <w:rsid w:val="00473724"/>
    <w:rsid w:val="00473A5E"/>
    <w:rsid w:val="00474221"/>
    <w:rsid w:val="00474397"/>
    <w:rsid w:val="0047482A"/>
    <w:rsid w:val="00474AFE"/>
    <w:rsid w:val="00475242"/>
    <w:rsid w:val="00475273"/>
    <w:rsid w:val="004758A9"/>
    <w:rsid w:val="00476273"/>
    <w:rsid w:val="00476515"/>
    <w:rsid w:val="004767D9"/>
    <w:rsid w:val="00477399"/>
    <w:rsid w:val="00480133"/>
    <w:rsid w:val="0048020B"/>
    <w:rsid w:val="00480594"/>
    <w:rsid w:val="00480619"/>
    <w:rsid w:val="004806E3"/>
    <w:rsid w:val="00480872"/>
    <w:rsid w:val="00480B94"/>
    <w:rsid w:val="0048135A"/>
    <w:rsid w:val="0048162A"/>
    <w:rsid w:val="004819DB"/>
    <w:rsid w:val="00481C9D"/>
    <w:rsid w:val="00481FB0"/>
    <w:rsid w:val="00482121"/>
    <w:rsid w:val="00482131"/>
    <w:rsid w:val="00482B73"/>
    <w:rsid w:val="00482FEE"/>
    <w:rsid w:val="0048432D"/>
    <w:rsid w:val="00484378"/>
    <w:rsid w:val="004848A1"/>
    <w:rsid w:val="00484CF4"/>
    <w:rsid w:val="00484E9E"/>
    <w:rsid w:val="00484F59"/>
    <w:rsid w:val="004851CE"/>
    <w:rsid w:val="004859F8"/>
    <w:rsid w:val="00485B95"/>
    <w:rsid w:val="00485C8E"/>
    <w:rsid w:val="00485E48"/>
    <w:rsid w:val="004862A4"/>
    <w:rsid w:val="00486439"/>
    <w:rsid w:val="004864DA"/>
    <w:rsid w:val="00486750"/>
    <w:rsid w:val="00486781"/>
    <w:rsid w:val="004870C1"/>
    <w:rsid w:val="004871DC"/>
    <w:rsid w:val="004872BC"/>
    <w:rsid w:val="004874A4"/>
    <w:rsid w:val="004874C8"/>
    <w:rsid w:val="00487537"/>
    <w:rsid w:val="004875D8"/>
    <w:rsid w:val="00487E94"/>
    <w:rsid w:val="00487FB0"/>
    <w:rsid w:val="0049004C"/>
    <w:rsid w:val="0049041C"/>
    <w:rsid w:val="0049102A"/>
    <w:rsid w:val="004912B0"/>
    <w:rsid w:val="00491A75"/>
    <w:rsid w:val="00491B7C"/>
    <w:rsid w:val="00491F1D"/>
    <w:rsid w:val="00492775"/>
    <w:rsid w:val="004929A6"/>
    <w:rsid w:val="004932DE"/>
    <w:rsid w:val="00493907"/>
    <w:rsid w:val="00493F55"/>
    <w:rsid w:val="00494355"/>
    <w:rsid w:val="004944B1"/>
    <w:rsid w:val="004948C0"/>
    <w:rsid w:val="00494945"/>
    <w:rsid w:val="00494C0D"/>
    <w:rsid w:val="0049511F"/>
    <w:rsid w:val="00495411"/>
    <w:rsid w:val="00495907"/>
    <w:rsid w:val="0049597C"/>
    <w:rsid w:val="00495E07"/>
    <w:rsid w:val="004966ED"/>
    <w:rsid w:val="00496B30"/>
    <w:rsid w:val="0049732A"/>
    <w:rsid w:val="00497598"/>
    <w:rsid w:val="004975D7"/>
    <w:rsid w:val="0049778B"/>
    <w:rsid w:val="00497F70"/>
    <w:rsid w:val="004A0349"/>
    <w:rsid w:val="004A03E5"/>
    <w:rsid w:val="004A06BD"/>
    <w:rsid w:val="004A1137"/>
    <w:rsid w:val="004A16E2"/>
    <w:rsid w:val="004A1959"/>
    <w:rsid w:val="004A1FAE"/>
    <w:rsid w:val="004A207E"/>
    <w:rsid w:val="004A215A"/>
    <w:rsid w:val="004A2544"/>
    <w:rsid w:val="004A2816"/>
    <w:rsid w:val="004A2CD8"/>
    <w:rsid w:val="004A3141"/>
    <w:rsid w:val="004A320C"/>
    <w:rsid w:val="004A3244"/>
    <w:rsid w:val="004A33DA"/>
    <w:rsid w:val="004A35D4"/>
    <w:rsid w:val="004A370D"/>
    <w:rsid w:val="004A37C0"/>
    <w:rsid w:val="004A3ACF"/>
    <w:rsid w:val="004A3C06"/>
    <w:rsid w:val="004A4408"/>
    <w:rsid w:val="004A4559"/>
    <w:rsid w:val="004A475A"/>
    <w:rsid w:val="004A48A2"/>
    <w:rsid w:val="004A4AB1"/>
    <w:rsid w:val="004A5037"/>
    <w:rsid w:val="004A503D"/>
    <w:rsid w:val="004A5736"/>
    <w:rsid w:val="004A58F6"/>
    <w:rsid w:val="004A5A24"/>
    <w:rsid w:val="004A5D42"/>
    <w:rsid w:val="004A629E"/>
    <w:rsid w:val="004A63B7"/>
    <w:rsid w:val="004A65C0"/>
    <w:rsid w:val="004A6AD7"/>
    <w:rsid w:val="004A7266"/>
    <w:rsid w:val="004A75D8"/>
    <w:rsid w:val="004B063F"/>
    <w:rsid w:val="004B0D22"/>
    <w:rsid w:val="004B0EC3"/>
    <w:rsid w:val="004B1235"/>
    <w:rsid w:val="004B141F"/>
    <w:rsid w:val="004B1503"/>
    <w:rsid w:val="004B15EF"/>
    <w:rsid w:val="004B2491"/>
    <w:rsid w:val="004B2552"/>
    <w:rsid w:val="004B2585"/>
    <w:rsid w:val="004B2A61"/>
    <w:rsid w:val="004B367D"/>
    <w:rsid w:val="004B3AC2"/>
    <w:rsid w:val="004B3BF5"/>
    <w:rsid w:val="004B3F7E"/>
    <w:rsid w:val="004B3FAC"/>
    <w:rsid w:val="004B42E6"/>
    <w:rsid w:val="004B4548"/>
    <w:rsid w:val="004B4763"/>
    <w:rsid w:val="004B483D"/>
    <w:rsid w:val="004B4884"/>
    <w:rsid w:val="004B4A8D"/>
    <w:rsid w:val="004B4BA0"/>
    <w:rsid w:val="004B5380"/>
    <w:rsid w:val="004B5BB3"/>
    <w:rsid w:val="004B5EE1"/>
    <w:rsid w:val="004B6315"/>
    <w:rsid w:val="004B6368"/>
    <w:rsid w:val="004B6506"/>
    <w:rsid w:val="004B65E3"/>
    <w:rsid w:val="004B6659"/>
    <w:rsid w:val="004B720D"/>
    <w:rsid w:val="004B7762"/>
    <w:rsid w:val="004B7B11"/>
    <w:rsid w:val="004B7BF3"/>
    <w:rsid w:val="004B7DFB"/>
    <w:rsid w:val="004B7F05"/>
    <w:rsid w:val="004C0110"/>
    <w:rsid w:val="004C0258"/>
    <w:rsid w:val="004C0662"/>
    <w:rsid w:val="004C0B54"/>
    <w:rsid w:val="004C0C50"/>
    <w:rsid w:val="004C0E28"/>
    <w:rsid w:val="004C0FBE"/>
    <w:rsid w:val="004C0FC5"/>
    <w:rsid w:val="004C15E8"/>
    <w:rsid w:val="004C190E"/>
    <w:rsid w:val="004C1D55"/>
    <w:rsid w:val="004C2266"/>
    <w:rsid w:val="004C27DC"/>
    <w:rsid w:val="004C2976"/>
    <w:rsid w:val="004C3DEC"/>
    <w:rsid w:val="004C456B"/>
    <w:rsid w:val="004C45B7"/>
    <w:rsid w:val="004C465E"/>
    <w:rsid w:val="004C4919"/>
    <w:rsid w:val="004C4A2A"/>
    <w:rsid w:val="004C4C2B"/>
    <w:rsid w:val="004C4D5F"/>
    <w:rsid w:val="004C51D7"/>
    <w:rsid w:val="004C58AE"/>
    <w:rsid w:val="004C5A20"/>
    <w:rsid w:val="004C5DAD"/>
    <w:rsid w:val="004C5E8A"/>
    <w:rsid w:val="004C5F60"/>
    <w:rsid w:val="004C6818"/>
    <w:rsid w:val="004C6AF9"/>
    <w:rsid w:val="004C7031"/>
    <w:rsid w:val="004C70AB"/>
    <w:rsid w:val="004C70DC"/>
    <w:rsid w:val="004C7404"/>
    <w:rsid w:val="004D04D3"/>
    <w:rsid w:val="004D071B"/>
    <w:rsid w:val="004D07FB"/>
    <w:rsid w:val="004D0DB7"/>
    <w:rsid w:val="004D0EC4"/>
    <w:rsid w:val="004D1DBD"/>
    <w:rsid w:val="004D2A50"/>
    <w:rsid w:val="004D2B0B"/>
    <w:rsid w:val="004D2B91"/>
    <w:rsid w:val="004D3509"/>
    <w:rsid w:val="004D35E8"/>
    <w:rsid w:val="004D3908"/>
    <w:rsid w:val="004D3AD6"/>
    <w:rsid w:val="004D3EF6"/>
    <w:rsid w:val="004D453C"/>
    <w:rsid w:val="004D4B22"/>
    <w:rsid w:val="004D4D6F"/>
    <w:rsid w:val="004D4E5A"/>
    <w:rsid w:val="004D4F0F"/>
    <w:rsid w:val="004D4FBF"/>
    <w:rsid w:val="004D52A6"/>
    <w:rsid w:val="004D5846"/>
    <w:rsid w:val="004D5E22"/>
    <w:rsid w:val="004D614C"/>
    <w:rsid w:val="004D6666"/>
    <w:rsid w:val="004D6883"/>
    <w:rsid w:val="004D6994"/>
    <w:rsid w:val="004D70B1"/>
    <w:rsid w:val="004D7406"/>
    <w:rsid w:val="004D754B"/>
    <w:rsid w:val="004D778A"/>
    <w:rsid w:val="004D7E2B"/>
    <w:rsid w:val="004E077F"/>
    <w:rsid w:val="004E099D"/>
    <w:rsid w:val="004E10C1"/>
    <w:rsid w:val="004E11A2"/>
    <w:rsid w:val="004E11B2"/>
    <w:rsid w:val="004E1876"/>
    <w:rsid w:val="004E1B97"/>
    <w:rsid w:val="004E1DAE"/>
    <w:rsid w:val="004E2215"/>
    <w:rsid w:val="004E2443"/>
    <w:rsid w:val="004E24C0"/>
    <w:rsid w:val="004E25A6"/>
    <w:rsid w:val="004E274A"/>
    <w:rsid w:val="004E28A3"/>
    <w:rsid w:val="004E2F1B"/>
    <w:rsid w:val="004E377A"/>
    <w:rsid w:val="004E381D"/>
    <w:rsid w:val="004E3E5D"/>
    <w:rsid w:val="004E4661"/>
    <w:rsid w:val="004E4D8F"/>
    <w:rsid w:val="004E50D6"/>
    <w:rsid w:val="004E5247"/>
    <w:rsid w:val="004E53E4"/>
    <w:rsid w:val="004E54E8"/>
    <w:rsid w:val="004E56FA"/>
    <w:rsid w:val="004E5AFE"/>
    <w:rsid w:val="004E5AFF"/>
    <w:rsid w:val="004E5F0E"/>
    <w:rsid w:val="004E6325"/>
    <w:rsid w:val="004E659B"/>
    <w:rsid w:val="004E65FC"/>
    <w:rsid w:val="004E6D68"/>
    <w:rsid w:val="004E7422"/>
    <w:rsid w:val="004E7703"/>
    <w:rsid w:val="004E7E0B"/>
    <w:rsid w:val="004F0106"/>
    <w:rsid w:val="004F0112"/>
    <w:rsid w:val="004F015F"/>
    <w:rsid w:val="004F01BC"/>
    <w:rsid w:val="004F030F"/>
    <w:rsid w:val="004F0584"/>
    <w:rsid w:val="004F05BD"/>
    <w:rsid w:val="004F0C73"/>
    <w:rsid w:val="004F13A1"/>
    <w:rsid w:val="004F1B02"/>
    <w:rsid w:val="004F1FE3"/>
    <w:rsid w:val="004F28B2"/>
    <w:rsid w:val="004F2E92"/>
    <w:rsid w:val="004F3007"/>
    <w:rsid w:val="004F3057"/>
    <w:rsid w:val="004F34DA"/>
    <w:rsid w:val="004F35B7"/>
    <w:rsid w:val="004F3604"/>
    <w:rsid w:val="004F3844"/>
    <w:rsid w:val="004F52EA"/>
    <w:rsid w:val="004F533A"/>
    <w:rsid w:val="004F5376"/>
    <w:rsid w:val="004F563A"/>
    <w:rsid w:val="004F56DD"/>
    <w:rsid w:val="004F56F1"/>
    <w:rsid w:val="004F5759"/>
    <w:rsid w:val="004F5830"/>
    <w:rsid w:val="004F5A9C"/>
    <w:rsid w:val="004F5C85"/>
    <w:rsid w:val="004F60D8"/>
    <w:rsid w:val="004F612E"/>
    <w:rsid w:val="004F6475"/>
    <w:rsid w:val="004F68AC"/>
    <w:rsid w:val="004F6D25"/>
    <w:rsid w:val="004F6E8C"/>
    <w:rsid w:val="004F7107"/>
    <w:rsid w:val="004F7405"/>
    <w:rsid w:val="004F74DE"/>
    <w:rsid w:val="004F769F"/>
    <w:rsid w:val="004F77AF"/>
    <w:rsid w:val="0050001C"/>
    <w:rsid w:val="005006F7"/>
    <w:rsid w:val="00500A1C"/>
    <w:rsid w:val="00500BE2"/>
    <w:rsid w:val="00500DAB"/>
    <w:rsid w:val="0050155A"/>
    <w:rsid w:val="005016B6"/>
    <w:rsid w:val="005017AC"/>
    <w:rsid w:val="00501A90"/>
    <w:rsid w:val="00501CE1"/>
    <w:rsid w:val="0050236E"/>
    <w:rsid w:val="00502398"/>
    <w:rsid w:val="00502C35"/>
    <w:rsid w:val="00502D0C"/>
    <w:rsid w:val="00502FFE"/>
    <w:rsid w:val="005033F6"/>
    <w:rsid w:val="0050360B"/>
    <w:rsid w:val="00503749"/>
    <w:rsid w:val="005037D2"/>
    <w:rsid w:val="00503CA1"/>
    <w:rsid w:val="00503DE5"/>
    <w:rsid w:val="005040BD"/>
    <w:rsid w:val="00504589"/>
    <w:rsid w:val="005047DF"/>
    <w:rsid w:val="00504A51"/>
    <w:rsid w:val="00504BAB"/>
    <w:rsid w:val="00504D81"/>
    <w:rsid w:val="00505409"/>
    <w:rsid w:val="00505450"/>
    <w:rsid w:val="005058CC"/>
    <w:rsid w:val="00505F5E"/>
    <w:rsid w:val="0050605B"/>
    <w:rsid w:val="0050612D"/>
    <w:rsid w:val="0050634F"/>
    <w:rsid w:val="0050671C"/>
    <w:rsid w:val="0050695C"/>
    <w:rsid w:val="00506C1B"/>
    <w:rsid w:val="00506E41"/>
    <w:rsid w:val="00507278"/>
    <w:rsid w:val="00507487"/>
    <w:rsid w:val="00510029"/>
    <w:rsid w:val="005100B2"/>
    <w:rsid w:val="005103D4"/>
    <w:rsid w:val="0051066D"/>
    <w:rsid w:val="0051078E"/>
    <w:rsid w:val="00510882"/>
    <w:rsid w:val="00510BEF"/>
    <w:rsid w:val="00510E72"/>
    <w:rsid w:val="005112A9"/>
    <w:rsid w:val="005112E2"/>
    <w:rsid w:val="00511674"/>
    <w:rsid w:val="005128CE"/>
    <w:rsid w:val="005133A7"/>
    <w:rsid w:val="00513679"/>
    <w:rsid w:val="005139D7"/>
    <w:rsid w:val="00513A08"/>
    <w:rsid w:val="00513E14"/>
    <w:rsid w:val="00513E75"/>
    <w:rsid w:val="00513E7F"/>
    <w:rsid w:val="00514032"/>
    <w:rsid w:val="005142F6"/>
    <w:rsid w:val="0051440F"/>
    <w:rsid w:val="0051476E"/>
    <w:rsid w:val="00514DB9"/>
    <w:rsid w:val="00514FDF"/>
    <w:rsid w:val="00515076"/>
    <w:rsid w:val="005154C1"/>
    <w:rsid w:val="0051559B"/>
    <w:rsid w:val="00516107"/>
    <w:rsid w:val="005161BB"/>
    <w:rsid w:val="005162AB"/>
    <w:rsid w:val="005162DF"/>
    <w:rsid w:val="00516353"/>
    <w:rsid w:val="005164F6"/>
    <w:rsid w:val="0051670A"/>
    <w:rsid w:val="0051684D"/>
    <w:rsid w:val="00516864"/>
    <w:rsid w:val="00517075"/>
    <w:rsid w:val="00517274"/>
    <w:rsid w:val="00521122"/>
    <w:rsid w:val="005213E1"/>
    <w:rsid w:val="005215C9"/>
    <w:rsid w:val="00521698"/>
    <w:rsid w:val="005216D0"/>
    <w:rsid w:val="005223AB"/>
    <w:rsid w:val="00522464"/>
    <w:rsid w:val="005224EF"/>
    <w:rsid w:val="0052271B"/>
    <w:rsid w:val="00522921"/>
    <w:rsid w:val="00522988"/>
    <w:rsid w:val="00522D31"/>
    <w:rsid w:val="00522DEA"/>
    <w:rsid w:val="0052303F"/>
    <w:rsid w:val="00523312"/>
    <w:rsid w:val="005233DD"/>
    <w:rsid w:val="0052351B"/>
    <w:rsid w:val="0052395C"/>
    <w:rsid w:val="00523A20"/>
    <w:rsid w:val="00523C7C"/>
    <w:rsid w:val="00524161"/>
    <w:rsid w:val="005242ED"/>
    <w:rsid w:val="00524390"/>
    <w:rsid w:val="005249CB"/>
    <w:rsid w:val="005249DA"/>
    <w:rsid w:val="0052563F"/>
    <w:rsid w:val="00525864"/>
    <w:rsid w:val="005258CE"/>
    <w:rsid w:val="00525AA2"/>
    <w:rsid w:val="00525D24"/>
    <w:rsid w:val="00525EBF"/>
    <w:rsid w:val="005267B4"/>
    <w:rsid w:val="00526905"/>
    <w:rsid w:val="00526D89"/>
    <w:rsid w:val="00526FF1"/>
    <w:rsid w:val="0052702E"/>
    <w:rsid w:val="00527CAA"/>
    <w:rsid w:val="00527FDD"/>
    <w:rsid w:val="00531AE6"/>
    <w:rsid w:val="00531F13"/>
    <w:rsid w:val="00532923"/>
    <w:rsid w:val="00532BED"/>
    <w:rsid w:val="00532ECB"/>
    <w:rsid w:val="00533175"/>
    <w:rsid w:val="005331E8"/>
    <w:rsid w:val="005336C9"/>
    <w:rsid w:val="00534437"/>
    <w:rsid w:val="00534B8C"/>
    <w:rsid w:val="0053554F"/>
    <w:rsid w:val="0053582A"/>
    <w:rsid w:val="00536133"/>
    <w:rsid w:val="005362CA"/>
    <w:rsid w:val="0053668D"/>
    <w:rsid w:val="005368A8"/>
    <w:rsid w:val="00536FEA"/>
    <w:rsid w:val="00537133"/>
    <w:rsid w:val="0053744A"/>
    <w:rsid w:val="00537769"/>
    <w:rsid w:val="00537C2E"/>
    <w:rsid w:val="00537E0C"/>
    <w:rsid w:val="00540252"/>
    <w:rsid w:val="005403C5"/>
    <w:rsid w:val="00540665"/>
    <w:rsid w:val="00540DFC"/>
    <w:rsid w:val="00541146"/>
    <w:rsid w:val="005411E4"/>
    <w:rsid w:val="00541379"/>
    <w:rsid w:val="00541471"/>
    <w:rsid w:val="00541614"/>
    <w:rsid w:val="00541C58"/>
    <w:rsid w:val="00541E56"/>
    <w:rsid w:val="00542545"/>
    <w:rsid w:val="00542572"/>
    <w:rsid w:val="00542612"/>
    <w:rsid w:val="00542814"/>
    <w:rsid w:val="00542A8F"/>
    <w:rsid w:val="005431CF"/>
    <w:rsid w:val="005435E0"/>
    <w:rsid w:val="00543B69"/>
    <w:rsid w:val="00544044"/>
    <w:rsid w:val="00544326"/>
    <w:rsid w:val="00544424"/>
    <w:rsid w:val="00544A69"/>
    <w:rsid w:val="00544BD9"/>
    <w:rsid w:val="005451D5"/>
    <w:rsid w:val="00545CC2"/>
    <w:rsid w:val="00545DF0"/>
    <w:rsid w:val="00545F61"/>
    <w:rsid w:val="00545F96"/>
    <w:rsid w:val="00546238"/>
    <w:rsid w:val="005463D7"/>
    <w:rsid w:val="005464E1"/>
    <w:rsid w:val="00546705"/>
    <w:rsid w:val="00547018"/>
    <w:rsid w:val="005470D2"/>
    <w:rsid w:val="005475A3"/>
    <w:rsid w:val="00547881"/>
    <w:rsid w:val="00547C92"/>
    <w:rsid w:val="00547D36"/>
    <w:rsid w:val="00547D3F"/>
    <w:rsid w:val="005501EE"/>
    <w:rsid w:val="005502F7"/>
    <w:rsid w:val="00550966"/>
    <w:rsid w:val="00550EEF"/>
    <w:rsid w:val="005510A4"/>
    <w:rsid w:val="005510ED"/>
    <w:rsid w:val="00551230"/>
    <w:rsid w:val="00551370"/>
    <w:rsid w:val="005517CE"/>
    <w:rsid w:val="0055199E"/>
    <w:rsid w:val="00552271"/>
    <w:rsid w:val="005524BB"/>
    <w:rsid w:val="00552A11"/>
    <w:rsid w:val="00552E41"/>
    <w:rsid w:val="00552E65"/>
    <w:rsid w:val="00552FB3"/>
    <w:rsid w:val="005530D0"/>
    <w:rsid w:val="00553330"/>
    <w:rsid w:val="0055397D"/>
    <w:rsid w:val="00553CAF"/>
    <w:rsid w:val="00553EAA"/>
    <w:rsid w:val="00553FCA"/>
    <w:rsid w:val="005544F1"/>
    <w:rsid w:val="005546E5"/>
    <w:rsid w:val="00554881"/>
    <w:rsid w:val="00554886"/>
    <w:rsid w:val="0055490F"/>
    <w:rsid w:val="00555244"/>
    <w:rsid w:val="0055554F"/>
    <w:rsid w:val="0055589C"/>
    <w:rsid w:val="00556596"/>
    <w:rsid w:val="00556D93"/>
    <w:rsid w:val="00557032"/>
    <w:rsid w:val="005577D9"/>
    <w:rsid w:val="00557A06"/>
    <w:rsid w:val="00560E17"/>
    <w:rsid w:val="00561DA8"/>
    <w:rsid w:val="00562071"/>
    <w:rsid w:val="005620BB"/>
    <w:rsid w:val="00562269"/>
    <w:rsid w:val="005625B8"/>
    <w:rsid w:val="00562BF4"/>
    <w:rsid w:val="00562C61"/>
    <w:rsid w:val="00562CB2"/>
    <w:rsid w:val="00563214"/>
    <w:rsid w:val="00563227"/>
    <w:rsid w:val="0056384C"/>
    <w:rsid w:val="005638EA"/>
    <w:rsid w:val="00563933"/>
    <w:rsid w:val="00563CA3"/>
    <w:rsid w:val="0056410D"/>
    <w:rsid w:val="005642F5"/>
    <w:rsid w:val="0056452D"/>
    <w:rsid w:val="005647B0"/>
    <w:rsid w:val="005647FA"/>
    <w:rsid w:val="00564A65"/>
    <w:rsid w:val="00564C00"/>
    <w:rsid w:val="00564ED1"/>
    <w:rsid w:val="00565065"/>
    <w:rsid w:val="00565C6E"/>
    <w:rsid w:val="00565DF7"/>
    <w:rsid w:val="005668F8"/>
    <w:rsid w:val="005669AC"/>
    <w:rsid w:val="00566CF4"/>
    <w:rsid w:val="00566E69"/>
    <w:rsid w:val="00567183"/>
    <w:rsid w:val="00567507"/>
    <w:rsid w:val="005679CA"/>
    <w:rsid w:val="00567BD9"/>
    <w:rsid w:val="00567E9B"/>
    <w:rsid w:val="005708DC"/>
    <w:rsid w:val="00570B21"/>
    <w:rsid w:val="00570FF8"/>
    <w:rsid w:val="0057159E"/>
    <w:rsid w:val="00571706"/>
    <w:rsid w:val="00571834"/>
    <w:rsid w:val="00571B82"/>
    <w:rsid w:val="00571D6D"/>
    <w:rsid w:val="0057203E"/>
    <w:rsid w:val="00572DE5"/>
    <w:rsid w:val="00572F46"/>
    <w:rsid w:val="00572FC4"/>
    <w:rsid w:val="0057302E"/>
    <w:rsid w:val="00573098"/>
    <w:rsid w:val="00573175"/>
    <w:rsid w:val="0057324D"/>
    <w:rsid w:val="00573796"/>
    <w:rsid w:val="00573E06"/>
    <w:rsid w:val="00573E63"/>
    <w:rsid w:val="005740C2"/>
    <w:rsid w:val="0057411F"/>
    <w:rsid w:val="005747E0"/>
    <w:rsid w:val="00574A02"/>
    <w:rsid w:val="00574C41"/>
    <w:rsid w:val="00574E52"/>
    <w:rsid w:val="00574EC8"/>
    <w:rsid w:val="00574F1A"/>
    <w:rsid w:val="00575785"/>
    <w:rsid w:val="0057596D"/>
    <w:rsid w:val="00575D8B"/>
    <w:rsid w:val="00575EB7"/>
    <w:rsid w:val="00576469"/>
    <w:rsid w:val="005766A4"/>
    <w:rsid w:val="0057697C"/>
    <w:rsid w:val="00576A54"/>
    <w:rsid w:val="00576F49"/>
    <w:rsid w:val="00577457"/>
    <w:rsid w:val="0057774C"/>
    <w:rsid w:val="005777B6"/>
    <w:rsid w:val="00577C69"/>
    <w:rsid w:val="00577DB5"/>
    <w:rsid w:val="00577DC6"/>
    <w:rsid w:val="00577EB4"/>
    <w:rsid w:val="005806F7"/>
    <w:rsid w:val="00580B9F"/>
    <w:rsid w:val="00580DD3"/>
    <w:rsid w:val="00580E02"/>
    <w:rsid w:val="00581470"/>
    <w:rsid w:val="005816F4"/>
    <w:rsid w:val="00581BDF"/>
    <w:rsid w:val="00582C2E"/>
    <w:rsid w:val="00583257"/>
    <w:rsid w:val="00583C9B"/>
    <w:rsid w:val="0058482D"/>
    <w:rsid w:val="0058489C"/>
    <w:rsid w:val="0058499C"/>
    <w:rsid w:val="005850FF"/>
    <w:rsid w:val="00585174"/>
    <w:rsid w:val="00585348"/>
    <w:rsid w:val="00585A8C"/>
    <w:rsid w:val="00585C73"/>
    <w:rsid w:val="00586069"/>
    <w:rsid w:val="005863A7"/>
    <w:rsid w:val="005866E6"/>
    <w:rsid w:val="005869F7"/>
    <w:rsid w:val="00586D71"/>
    <w:rsid w:val="00586FD9"/>
    <w:rsid w:val="0058719A"/>
    <w:rsid w:val="005874CB"/>
    <w:rsid w:val="005875A5"/>
    <w:rsid w:val="005877E2"/>
    <w:rsid w:val="00587B48"/>
    <w:rsid w:val="00587BD7"/>
    <w:rsid w:val="0059038C"/>
    <w:rsid w:val="0059061F"/>
    <w:rsid w:val="00590657"/>
    <w:rsid w:val="00590A42"/>
    <w:rsid w:val="00590E0A"/>
    <w:rsid w:val="005911B9"/>
    <w:rsid w:val="005911F3"/>
    <w:rsid w:val="005914FF"/>
    <w:rsid w:val="005916D2"/>
    <w:rsid w:val="00591874"/>
    <w:rsid w:val="00591F5D"/>
    <w:rsid w:val="005921E2"/>
    <w:rsid w:val="00592604"/>
    <w:rsid w:val="0059262E"/>
    <w:rsid w:val="00592663"/>
    <w:rsid w:val="005928A7"/>
    <w:rsid w:val="005932A4"/>
    <w:rsid w:val="00593E3E"/>
    <w:rsid w:val="005943CC"/>
    <w:rsid w:val="005946EA"/>
    <w:rsid w:val="00594E87"/>
    <w:rsid w:val="00594F57"/>
    <w:rsid w:val="005950E5"/>
    <w:rsid w:val="005959E3"/>
    <w:rsid w:val="00595C4D"/>
    <w:rsid w:val="00596143"/>
    <w:rsid w:val="00596160"/>
    <w:rsid w:val="0059616B"/>
    <w:rsid w:val="00596AD8"/>
    <w:rsid w:val="00596CDF"/>
    <w:rsid w:val="00596E41"/>
    <w:rsid w:val="00597309"/>
    <w:rsid w:val="0059765C"/>
    <w:rsid w:val="005976DE"/>
    <w:rsid w:val="0059783A"/>
    <w:rsid w:val="00597C4A"/>
    <w:rsid w:val="00597C57"/>
    <w:rsid w:val="005A06B6"/>
    <w:rsid w:val="005A10BE"/>
    <w:rsid w:val="005A1213"/>
    <w:rsid w:val="005A1772"/>
    <w:rsid w:val="005A1B21"/>
    <w:rsid w:val="005A1B79"/>
    <w:rsid w:val="005A22CD"/>
    <w:rsid w:val="005A251C"/>
    <w:rsid w:val="005A288D"/>
    <w:rsid w:val="005A2905"/>
    <w:rsid w:val="005A2C17"/>
    <w:rsid w:val="005A404F"/>
    <w:rsid w:val="005A4165"/>
    <w:rsid w:val="005A4326"/>
    <w:rsid w:val="005A4473"/>
    <w:rsid w:val="005A4577"/>
    <w:rsid w:val="005A4852"/>
    <w:rsid w:val="005A4A14"/>
    <w:rsid w:val="005A4CD3"/>
    <w:rsid w:val="005A51A1"/>
    <w:rsid w:val="005A521B"/>
    <w:rsid w:val="005A58A9"/>
    <w:rsid w:val="005A5A0B"/>
    <w:rsid w:val="005A5A7D"/>
    <w:rsid w:val="005A5ACC"/>
    <w:rsid w:val="005A5D8E"/>
    <w:rsid w:val="005A6220"/>
    <w:rsid w:val="005A63C6"/>
    <w:rsid w:val="005A6F7C"/>
    <w:rsid w:val="005A7BD2"/>
    <w:rsid w:val="005B02F0"/>
    <w:rsid w:val="005B03A4"/>
    <w:rsid w:val="005B0490"/>
    <w:rsid w:val="005B0AE5"/>
    <w:rsid w:val="005B1308"/>
    <w:rsid w:val="005B132F"/>
    <w:rsid w:val="005B15EB"/>
    <w:rsid w:val="005B18B2"/>
    <w:rsid w:val="005B1949"/>
    <w:rsid w:val="005B2380"/>
    <w:rsid w:val="005B2734"/>
    <w:rsid w:val="005B2AFE"/>
    <w:rsid w:val="005B2B20"/>
    <w:rsid w:val="005B2B76"/>
    <w:rsid w:val="005B2C74"/>
    <w:rsid w:val="005B2C81"/>
    <w:rsid w:val="005B2EA0"/>
    <w:rsid w:val="005B364A"/>
    <w:rsid w:val="005B38E7"/>
    <w:rsid w:val="005B3D57"/>
    <w:rsid w:val="005B3FEB"/>
    <w:rsid w:val="005B40A6"/>
    <w:rsid w:val="005B4259"/>
    <w:rsid w:val="005B439D"/>
    <w:rsid w:val="005B4CAB"/>
    <w:rsid w:val="005B53D0"/>
    <w:rsid w:val="005B5AA4"/>
    <w:rsid w:val="005B63AE"/>
    <w:rsid w:val="005B68CA"/>
    <w:rsid w:val="005B6BCC"/>
    <w:rsid w:val="005B6EEB"/>
    <w:rsid w:val="005B72A5"/>
    <w:rsid w:val="005B782A"/>
    <w:rsid w:val="005B7951"/>
    <w:rsid w:val="005C0180"/>
    <w:rsid w:val="005C01B7"/>
    <w:rsid w:val="005C0337"/>
    <w:rsid w:val="005C1B90"/>
    <w:rsid w:val="005C2062"/>
    <w:rsid w:val="005C20F8"/>
    <w:rsid w:val="005C26BB"/>
    <w:rsid w:val="005C2D68"/>
    <w:rsid w:val="005C3017"/>
    <w:rsid w:val="005C3107"/>
    <w:rsid w:val="005C3480"/>
    <w:rsid w:val="005C3A15"/>
    <w:rsid w:val="005C3ED6"/>
    <w:rsid w:val="005C3F35"/>
    <w:rsid w:val="005C3F4D"/>
    <w:rsid w:val="005C40CA"/>
    <w:rsid w:val="005C432B"/>
    <w:rsid w:val="005C46F0"/>
    <w:rsid w:val="005C48FF"/>
    <w:rsid w:val="005C4CB6"/>
    <w:rsid w:val="005C4D40"/>
    <w:rsid w:val="005C5629"/>
    <w:rsid w:val="005C580D"/>
    <w:rsid w:val="005C5B5C"/>
    <w:rsid w:val="005C5C8A"/>
    <w:rsid w:val="005C5D21"/>
    <w:rsid w:val="005C6187"/>
    <w:rsid w:val="005C66E6"/>
    <w:rsid w:val="005C672D"/>
    <w:rsid w:val="005C71AC"/>
    <w:rsid w:val="005C7DAC"/>
    <w:rsid w:val="005C7EAB"/>
    <w:rsid w:val="005D0411"/>
    <w:rsid w:val="005D0786"/>
    <w:rsid w:val="005D1564"/>
    <w:rsid w:val="005D1756"/>
    <w:rsid w:val="005D17F2"/>
    <w:rsid w:val="005D2019"/>
    <w:rsid w:val="005D2104"/>
    <w:rsid w:val="005D2A79"/>
    <w:rsid w:val="005D3004"/>
    <w:rsid w:val="005D3A50"/>
    <w:rsid w:val="005D3D39"/>
    <w:rsid w:val="005D43E2"/>
    <w:rsid w:val="005D4609"/>
    <w:rsid w:val="005D47A8"/>
    <w:rsid w:val="005D4F08"/>
    <w:rsid w:val="005D51E1"/>
    <w:rsid w:val="005D522A"/>
    <w:rsid w:val="005D5CE1"/>
    <w:rsid w:val="005D71E2"/>
    <w:rsid w:val="005D7771"/>
    <w:rsid w:val="005D787E"/>
    <w:rsid w:val="005D78BB"/>
    <w:rsid w:val="005D7959"/>
    <w:rsid w:val="005D7C39"/>
    <w:rsid w:val="005E0230"/>
    <w:rsid w:val="005E07A1"/>
    <w:rsid w:val="005E07F4"/>
    <w:rsid w:val="005E0A53"/>
    <w:rsid w:val="005E0CE3"/>
    <w:rsid w:val="005E0DC1"/>
    <w:rsid w:val="005E1234"/>
    <w:rsid w:val="005E13DF"/>
    <w:rsid w:val="005E1582"/>
    <w:rsid w:val="005E19EB"/>
    <w:rsid w:val="005E1A02"/>
    <w:rsid w:val="005E2083"/>
    <w:rsid w:val="005E21B6"/>
    <w:rsid w:val="005E26E6"/>
    <w:rsid w:val="005E2B85"/>
    <w:rsid w:val="005E2FC5"/>
    <w:rsid w:val="005E372F"/>
    <w:rsid w:val="005E384E"/>
    <w:rsid w:val="005E387D"/>
    <w:rsid w:val="005E398B"/>
    <w:rsid w:val="005E3B75"/>
    <w:rsid w:val="005E3D15"/>
    <w:rsid w:val="005E412D"/>
    <w:rsid w:val="005E41FF"/>
    <w:rsid w:val="005E45CB"/>
    <w:rsid w:val="005E48A3"/>
    <w:rsid w:val="005E48F9"/>
    <w:rsid w:val="005E498B"/>
    <w:rsid w:val="005E4AA9"/>
    <w:rsid w:val="005E4C65"/>
    <w:rsid w:val="005E4C6D"/>
    <w:rsid w:val="005E5087"/>
    <w:rsid w:val="005E525C"/>
    <w:rsid w:val="005E54F8"/>
    <w:rsid w:val="005E5C5B"/>
    <w:rsid w:val="005E5E34"/>
    <w:rsid w:val="005E5EC5"/>
    <w:rsid w:val="005E61C4"/>
    <w:rsid w:val="005E69CE"/>
    <w:rsid w:val="005E6C7F"/>
    <w:rsid w:val="005E6D5E"/>
    <w:rsid w:val="005E704A"/>
    <w:rsid w:val="005E709C"/>
    <w:rsid w:val="005E70D6"/>
    <w:rsid w:val="005E7262"/>
    <w:rsid w:val="005E778F"/>
    <w:rsid w:val="005E7CF1"/>
    <w:rsid w:val="005F03FF"/>
    <w:rsid w:val="005F05BD"/>
    <w:rsid w:val="005F06C0"/>
    <w:rsid w:val="005F187A"/>
    <w:rsid w:val="005F1C7C"/>
    <w:rsid w:val="005F2106"/>
    <w:rsid w:val="005F25C0"/>
    <w:rsid w:val="005F2946"/>
    <w:rsid w:val="005F2A8E"/>
    <w:rsid w:val="005F2E84"/>
    <w:rsid w:val="005F3028"/>
    <w:rsid w:val="005F33BF"/>
    <w:rsid w:val="005F34C6"/>
    <w:rsid w:val="005F3527"/>
    <w:rsid w:val="005F38A4"/>
    <w:rsid w:val="005F3D2D"/>
    <w:rsid w:val="005F3FC5"/>
    <w:rsid w:val="005F4318"/>
    <w:rsid w:val="005F4AC3"/>
    <w:rsid w:val="005F4CF3"/>
    <w:rsid w:val="005F4F8E"/>
    <w:rsid w:val="005F516B"/>
    <w:rsid w:val="005F51D0"/>
    <w:rsid w:val="005F54A4"/>
    <w:rsid w:val="005F54F6"/>
    <w:rsid w:val="005F55E2"/>
    <w:rsid w:val="005F58DA"/>
    <w:rsid w:val="005F5B21"/>
    <w:rsid w:val="005F605A"/>
    <w:rsid w:val="005F6344"/>
    <w:rsid w:val="005F680F"/>
    <w:rsid w:val="005F71D1"/>
    <w:rsid w:val="005F7888"/>
    <w:rsid w:val="005F78BC"/>
    <w:rsid w:val="006001DE"/>
    <w:rsid w:val="006002A4"/>
    <w:rsid w:val="0060035F"/>
    <w:rsid w:val="006003D7"/>
    <w:rsid w:val="00600AE6"/>
    <w:rsid w:val="00600BDF"/>
    <w:rsid w:val="0060108F"/>
    <w:rsid w:val="0060180E"/>
    <w:rsid w:val="00601BCB"/>
    <w:rsid w:val="00601C6D"/>
    <w:rsid w:val="00601D9D"/>
    <w:rsid w:val="00601EB8"/>
    <w:rsid w:val="00602378"/>
    <w:rsid w:val="006023A3"/>
    <w:rsid w:val="00602573"/>
    <w:rsid w:val="00602784"/>
    <w:rsid w:val="006028D7"/>
    <w:rsid w:val="00602B0B"/>
    <w:rsid w:val="00602C8C"/>
    <w:rsid w:val="00602EC9"/>
    <w:rsid w:val="006031C1"/>
    <w:rsid w:val="006035E3"/>
    <w:rsid w:val="00604B91"/>
    <w:rsid w:val="00604FAD"/>
    <w:rsid w:val="0060500D"/>
    <w:rsid w:val="0060526C"/>
    <w:rsid w:val="006054AA"/>
    <w:rsid w:val="00605850"/>
    <w:rsid w:val="00605AF9"/>
    <w:rsid w:val="00605EBF"/>
    <w:rsid w:val="006066EF"/>
    <w:rsid w:val="00606DFE"/>
    <w:rsid w:val="006070CE"/>
    <w:rsid w:val="00607205"/>
    <w:rsid w:val="006074E4"/>
    <w:rsid w:val="00607547"/>
    <w:rsid w:val="00607858"/>
    <w:rsid w:val="00610EA6"/>
    <w:rsid w:val="006110AE"/>
    <w:rsid w:val="006110BA"/>
    <w:rsid w:val="006112D1"/>
    <w:rsid w:val="006112FA"/>
    <w:rsid w:val="0061143A"/>
    <w:rsid w:val="00611E34"/>
    <w:rsid w:val="00611FF0"/>
    <w:rsid w:val="006121D4"/>
    <w:rsid w:val="0061231A"/>
    <w:rsid w:val="00612335"/>
    <w:rsid w:val="0061301B"/>
    <w:rsid w:val="0061305E"/>
    <w:rsid w:val="00613421"/>
    <w:rsid w:val="00613743"/>
    <w:rsid w:val="006138A2"/>
    <w:rsid w:val="00613DCF"/>
    <w:rsid w:val="00613E46"/>
    <w:rsid w:val="006140CD"/>
    <w:rsid w:val="00614223"/>
    <w:rsid w:val="00614555"/>
    <w:rsid w:val="00614FC9"/>
    <w:rsid w:val="00615157"/>
    <w:rsid w:val="00615543"/>
    <w:rsid w:val="00615A70"/>
    <w:rsid w:val="00615DB3"/>
    <w:rsid w:val="006169FA"/>
    <w:rsid w:val="006170D2"/>
    <w:rsid w:val="0061735A"/>
    <w:rsid w:val="006174EE"/>
    <w:rsid w:val="0061760E"/>
    <w:rsid w:val="0061769A"/>
    <w:rsid w:val="0061775D"/>
    <w:rsid w:val="006177F8"/>
    <w:rsid w:val="006177FE"/>
    <w:rsid w:val="00620205"/>
    <w:rsid w:val="00620A7B"/>
    <w:rsid w:val="00620B2A"/>
    <w:rsid w:val="00620CF7"/>
    <w:rsid w:val="00620D89"/>
    <w:rsid w:val="00621D67"/>
    <w:rsid w:val="00622164"/>
    <w:rsid w:val="006222BF"/>
    <w:rsid w:val="00622390"/>
    <w:rsid w:val="006223E8"/>
    <w:rsid w:val="00622453"/>
    <w:rsid w:val="0062265D"/>
    <w:rsid w:val="006226A3"/>
    <w:rsid w:val="006226A6"/>
    <w:rsid w:val="006229D7"/>
    <w:rsid w:val="00622A15"/>
    <w:rsid w:val="00622A9D"/>
    <w:rsid w:val="00622D42"/>
    <w:rsid w:val="00622F63"/>
    <w:rsid w:val="006230FB"/>
    <w:rsid w:val="00623402"/>
    <w:rsid w:val="00623A7C"/>
    <w:rsid w:val="00623BC1"/>
    <w:rsid w:val="00623C09"/>
    <w:rsid w:val="00624AB0"/>
    <w:rsid w:val="00624B34"/>
    <w:rsid w:val="00624D01"/>
    <w:rsid w:val="00624E65"/>
    <w:rsid w:val="00624EFC"/>
    <w:rsid w:val="006252E4"/>
    <w:rsid w:val="0062545F"/>
    <w:rsid w:val="00625A99"/>
    <w:rsid w:val="00625B79"/>
    <w:rsid w:val="00625B93"/>
    <w:rsid w:val="00626263"/>
    <w:rsid w:val="0062634B"/>
    <w:rsid w:val="006265AB"/>
    <w:rsid w:val="00626737"/>
    <w:rsid w:val="00626AD6"/>
    <w:rsid w:val="00626B2F"/>
    <w:rsid w:val="00626D48"/>
    <w:rsid w:val="0062744A"/>
    <w:rsid w:val="00627AC2"/>
    <w:rsid w:val="00627D49"/>
    <w:rsid w:val="00627F6A"/>
    <w:rsid w:val="00630080"/>
    <w:rsid w:val="0063020A"/>
    <w:rsid w:val="006308E9"/>
    <w:rsid w:val="00630942"/>
    <w:rsid w:val="00630948"/>
    <w:rsid w:val="00631534"/>
    <w:rsid w:val="00631654"/>
    <w:rsid w:val="006316A7"/>
    <w:rsid w:val="00632E35"/>
    <w:rsid w:val="00632E82"/>
    <w:rsid w:val="00633563"/>
    <w:rsid w:val="00633AA2"/>
    <w:rsid w:val="00633D95"/>
    <w:rsid w:val="00633EB3"/>
    <w:rsid w:val="006345E8"/>
    <w:rsid w:val="00634F18"/>
    <w:rsid w:val="006358B2"/>
    <w:rsid w:val="0063591B"/>
    <w:rsid w:val="00635D99"/>
    <w:rsid w:val="00635FE9"/>
    <w:rsid w:val="0063610C"/>
    <w:rsid w:val="0063622C"/>
    <w:rsid w:val="00636271"/>
    <w:rsid w:val="00636733"/>
    <w:rsid w:val="006367F3"/>
    <w:rsid w:val="0064006D"/>
    <w:rsid w:val="006400E2"/>
    <w:rsid w:val="00640398"/>
    <w:rsid w:val="00640407"/>
    <w:rsid w:val="006404A0"/>
    <w:rsid w:val="0064051B"/>
    <w:rsid w:val="00640B0A"/>
    <w:rsid w:val="00640B83"/>
    <w:rsid w:val="00640DC1"/>
    <w:rsid w:val="006414C3"/>
    <w:rsid w:val="006414CE"/>
    <w:rsid w:val="006416C7"/>
    <w:rsid w:val="00641906"/>
    <w:rsid w:val="0064204C"/>
    <w:rsid w:val="00642893"/>
    <w:rsid w:val="006428E6"/>
    <w:rsid w:val="00642969"/>
    <w:rsid w:val="00642D60"/>
    <w:rsid w:val="00643C5A"/>
    <w:rsid w:val="00644168"/>
    <w:rsid w:val="006443AE"/>
    <w:rsid w:val="006444EF"/>
    <w:rsid w:val="006452F0"/>
    <w:rsid w:val="006468BC"/>
    <w:rsid w:val="00646971"/>
    <w:rsid w:val="00646BFF"/>
    <w:rsid w:val="00646C26"/>
    <w:rsid w:val="00646D36"/>
    <w:rsid w:val="00646DEA"/>
    <w:rsid w:val="0064710E"/>
    <w:rsid w:val="00647227"/>
    <w:rsid w:val="0064730C"/>
    <w:rsid w:val="00647678"/>
    <w:rsid w:val="00647F4F"/>
    <w:rsid w:val="006502FA"/>
    <w:rsid w:val="006506DB"/>
    <w:rsid w:val="00650C97"/>
    <w:rsid w:val="00650D4F"/>
    <w:rsid w:val="00651026"/>
    <w:rsid w:val="00651100"/>
    <w:rsid w:val="006511F9"/>
    <w:rsid w:val="00651357"/>
    <w:rsid w:val="006517A7"/>
    <w:rsid w:val="00651AA2"/>
    <w:rsid w:val="00651CA6"/>
    <w:rsid w:val="00651D2C"/>
    <w:rsid w:val="0065213B"/>
    <w:rsid w:val="006523F2"/>
    <w:rsid w:val="006527E5"/>
    <w:rsid w:val="00652900"/>
    <w:rsid w:val="0065293B"/>
    <w:rsid w:val="00652968"/>
    <w:rsid w:val="00652D5A"/>
    <w:rsid w:val="00653575"/>
    <w:rsid w:val="006537CB"/>
    <w:rsid w:val="00653D8D"/>
    <w:rsid w:val="00653DA8"/>
    <w:rsid w:val="00654BE1"/>
    <w:rsid w:val="00654CBA"/>
    <w:rsid w:val="006555E5"/>
    <w:rsid w:val="00655643"/>
    <w:rsid w:val="00655A79"/>
    <w:rsid w:val="00655C1C"/>
    <w:rsid w:val="00656041"/>
    <w:rsid w:val="006560FF"/>
    <w:rsid w:val="00656114"/>
    <w:rsid w:val="00656AD3"/>
    <w:rsid w:val="00656D64"/>
    <w:rsid w:val="00656D97"/>
    <w:rsid w:val="006572A4"/>
    <w:rsid w:val="006574D3"/>
    <w:rsid w:val="00660560"/>
    <w:rsid w:val="00660EC7"/>
    <w:rsid w:val="00660F8B"/>
    <w:rsid w:val="00661074"/>
    <w:rsid w:val="00661490"/>
    <w:rsid w:val="006614E2"/>
    <w:rsid w:val="006618A4"/>
    <w:rsid w:val="00661DE6"/>
    <w:rsid w:val="006624F9"/>
    <w:rsid w:val="006625DF"/>
    <w:rsid w:val="00662BC9"/>
    <w:rsid w:val="00662D8F"/>
    <w:rsid w:val="0066312D"/>
    <w:rsid w:val="00663133"/>
    <w:rsid w:val="00663473"/>
    <w:rsid w:val="0066375F"/>
    <w:rsid w:val="00663DE9"/>
    <w:rsid w:val="0066498C"/>
    <w:rsid w:val="0066505B"/>
    <w:rsid w:val="0066518B"/>
    <w:rsid w:val="006651A4"/>
    <w:rsid w:val="00665327"/>
    <w:rsid w:val="0066599F"/>
    <w:rsid w:val="00665C2A"/>
    <w:rsid w:val="00665C79"/>
    <w:rsid w:val="006665B1"/>
    <w:rsid w:val="006665EC"/>
    <w:rsid w:val="00666794"/>
    <w:rsid w:val="00666FFB"/>
    <w:rsid w:val="00667279"/>
    <w:rsid w:val="006677EF"/>
    <w:rsid w:val="00667B22"/>
    <w:rsid w:val="00667F27"/>
    <w:rsid w:val="0067018C"/>
    <w:rsid w:val="0067034F"/>
    <w:rsid w:val="0067078B"/>
    <w:rsid w:val="00670B9B"/>
    <w:rsid w:val="006710C1"/>
    <w:rsid w:val="00671125"/>
    <w:rsid w:val="0067115B"/>
    <w:rsid w:val="00671186"/>
    <w:rsid w:val="00671A27"/>
    <w:rsid w:val="00671B23"/>
    <w:rsid w:val="00671E66"/>
    <w:rsid w:val="006721A9"/>
    <w:rsid w:val="00672BAC"/>
    <w:rsid w:val="00672EE6"/>
    <w:rsid w:val="0067304E"/>
    <w:rsid w:val="006737B3"/>
    <w:rsid w:val="00673F93"/>
    <w:rsid w:val="006745E5"/>
    <w:rsid w:val="00674605"/>
    <w:rsid w:val="0067480D"/>
    <w:rsid w:val="00674979"/>
    <w:rsid w:val="00674A76"/>
    <w:rsid w:val="00674CBA"/>
    <w:rsid w:val="00674DB6"/>
    <w:rsid w:val="00674FED"/>
    <w:rsid w:val="006759C2"/>
    <w:rsid w:val="00675CA7"/>
    <w:rsid w:val="00676616"/>
    <w:rsid w:val="0067692F"/>
    <w:rsid w:val="00676C1E"/>
    <w:rsid w:val="00677717"/>
    <w:rsid w:val="00677A0E"/>
    <w:rsid w:val="00680063"/>
    <w:rsid w:val="006800EE"/>
    <w:rsid w:val="0068026D"/>
    <w:rsid w:val="00680CD9"/>
    <w:rsid w:val="00681181"/>
    <w:rsid w:val="0068134D"/>
    <w:rsid w:val="006815C4"/>
    <w:rsid w:val="006818F5"/>
    <w:rsid w:val="00681D11"/>
    <w:rsid w:val="00682099"/>
    <w:rsid w:val="00682159"/>
    <w:rsid w:val="006825C2"/>
    <w:rsid w:val="00682C73"/>
    <w:rsid w:val="0068321F"/>
    <w:rsid w:val="0068335A"/>
    <w:rsid w:val="00683706"/>
    <w:rsid w:val="00683D85"/>
    <w:rsid w:val="00684462"/>
    <w:rsid w:val="006849ED"/>
    <w:rsid w:val="00684E20"/>
    <w:rsid w:val="0068531C"/>
    <w:rsid w:val="00685A22"/>
    <w:rsid w:val="00685BCF"/>
    <w:rsid w:val="00685DA7"/>
    <w:rsid w:val="0068601B"/>
    <w:rsid w:val="0068618E"/>
    <w:rsid w:val="00686648"/>
    <w:rsid w:val="00686FA7"/>
    <w:rsid w:val="00687339"/>
    <w:rsid w:val="006875F1"/>
    <w:rsid w:val="0068760B"/>
    <w:rsid w:val="0068779D"/>
    <w:rsid w:val="00687845"/>
    <w:rsid w:val="006902DC"/>
    <w:rsid w:val="00690827"/>
    <w:rsid w:val="00690D73"/>
    <w:rsid w:val="00690E1E"/>
    <w:rsid w:val="006913FB"/>
    <w:rsid w:val="006914D0"/>
    <w:rsid w:val="00691BC5"/>
    <w:rsid w:val="00691EF3"/>
    <w:rsid w:val="006925CA"/>
    <w:rsid w:val="00692BB9"/>
    <w:rsid w:val="0069301A"/>
    <w:rsid w:val="006935FF"/>
    <w:rsid w:val="0069376A"/>
    <w:rsid w:val="00693ED5"/>
    <w:rsid w:val="00694B6A"/>
    <w:rsid w:val="00694F3D"/>
    <w:rsid w:val="00695080"/>
    <w:rsid w:val="00695157"/>
    <w:rsid w:val="006953CB"/>
    <w:rsid w:val="006954DD"/>
    <w:rsid w:val="00695897"/>
    <w:rsid w:val="00695B65"/>
    <w:rsid w:val="00695C04"/>
    <w:rsid w:val="006961CD"/>
    <w:rsid w:val="0069661F"/>
    <w:rsid w:val="0069741C"/>
    <w:rsid w:val="00697842"/>
    <w:rsid w:val="006979B1"/>
    <w:rsid w:val="00697FEE"/>
    <w:rsid w:val="006A0318"/>
    <w:rsid w:val="006A0419"/>
    <w:rsid w:val="006A04C9"/>
    <w:rsid w:val="006A0D08"/>
    <w:rsid w:val="006A15A8"/>
    <w:rsid w:val="006A16CD"/>
    <w:rsid w:val="006A18B6"/>
    <w:rsid w:val="006A1BAB"/>
    <w:rsid w:val="006A1E41"/>
    <w:rsid w:val="006A1EDC"/>
    <w:rsid w:val="006A230B"/>
    <w:rsid w:val="006A235D"/>
    <w:rsid w:val="006A23E0"/>
    <w:rsid w:val="006A24EB"/>
    <w:rsid w:val="006A26DE"/>
    <w:rsid w:val="006A26EC"/>
    <w:rsid w:val="006A2AC8"/>
    <w:rsid w:val="006A2E8C"/>
    <w:rsid w:val="006A3598"/>
    <w:rsid w:val="006A359B"/>
    <w:rsid w:val="006A3644"/>
    <w:rsid w:val="006A37C8"/>
    <w:rsid w:val="006A39CD"/>
    <w:rsid w:val="006A3BF7"/>
    <w:rsid w:val="006A3C9B"/>
    <w:rsid w:val="006A4342"/>
    <w:rsid w:val="006A4577"/>
    <w:rsid w:val="006A45E4"/>
    <w:rsid w:val="006A46C7"/>
    <w:rsid w:val="006A4888"/>
    <w:rsid w:val="006A512E"/>
    <w:rsid w:val="006A51EF"/>
    <w:rsid w:val="006A5B0F"/>
    <w:rsid w:val="006A5E2D"/>
    <w:rsid w:val="006A5ED6"/>
    <w:rsid w:val="006A5FF3"/>
    <w:rsid w:val="006A6AD0"/>
    <w:rsid w:val="006A6B2D"/>
    <w:rsid w:val="006A72A3"/>
    <w:rsid w:val="006A78EF"/>
    <w:rsid w:val="006A7B2E"/>
    <w:rsid w:val="006A7CFC"/>
    <w:rsid w:val="006B0615"/>
    <w:rsid w:val="006B0754"/>
    <w:rsid w:val="006B07FE"/>
    <w:rsid w:val="006B0E25"/>
    <w:rsid w:val="006B1B91"/>
    <w:rsid w:val="006B1D4C"/>
    <w:rsid w:val="006B20EE"/>
    <w:rsid w:val="006B23DE"/>
    <w:rsid w:val="006B28B1"/>
    <w:rsid w:val="006B2917"/>
    <w:rsid w:val="006B2B46"/>
    <w:rsid w:val="006B2F2A"/>
    <w:rsid w:val="006B356D"/>
    <w:rsid w:val="006B3A03"/>
    <w:rsid w:val="006B3D28"/>
    <w:rsid w:val="006B3EB7"/>
    <w:rsid w:val="006B4661"/>
    <w:rsid w:val="006B4826"/>
    <w:rsid w:val="006B4C85"/>
    <w:rsid w:val="006B5122"/>
    <w:rsid w:val="006B536A"/>
    <w:rsid w:val="006B5B6A"/>
    <w:rsid w:val="006B5B8D"/>
    <w:rsid w:val="006B5EDA"/>
    <w:rsid w:val="006B64AB"/>
    <w:rsid w:val="006B69BD"/>
    <w:rsid w:val="006B69E0"/>
    <w:rsid w:val="006B6AEB"/>
    <w:rsid w:val="006B6B8E"/>
    <w:rsid w:val="006B6BF6"/>
    <w:rsid w:val="006B7035"/>
    <w:rsid w:val="006B733A"/>
    <w:rsid w:val="006B79DB"/>
    <w:rsid w:val="006B7C01"/>
    <w:rsid w:val="006C1420"/>
    <w:rsid w:val="006C1614"/>
    <w:rsid w:val="006C1D8C"/>
    <w:rsid w:val="006C250C"/>
    <w:rsid w:val="006C28E7"/>
    <w:rsid w:val="006C2C73"/>
    <w:rsid w:val="006C2E27"/>
    <w:rsid w:val="006C3288"/>
    <w:rsid w:val="006C3414"/>
    <w:rsid w:val="006C3533"/>
    <w:rsid w:val="006C3B8F"/>
    <w:rsid w:val="006C3BCF"/>
    <w:rsid w:val="006C3D28"/>
    <w:rsid w:val="006C3D8A"/>
    <w:rsid w:val="006C401A"/>
    <w:rsid w:val="006C4432"/>
    <w:rsid w:val="006C44E4"/>
    <w:rsid w:val="006C452E"/>
    <w:rsid w:val="006C51D5"/>
    <w:rsid w:val="006C520F"/>
    <w:rsid w:val="006C5559"/>
    <w:rsid w:val="006C5787"/>
    <w:rsid w:val="006C61D7"/>
    <w:rsid w:val="006C63C9"/>
    <w:rsid w:val="006C6A61"/>
    <w:rsid w:val="006C6FC2"/>
    <w:rsid w:val="006C7258"/>
    <w:rsid w:val="006C7376"/>
    <w:rsid w:val="006C7485"/>
    <w:rsid w:val="006C7B84"/>
    <w:rsid w:val="006C7C9F"/>
    <w:rsid w:val="006D038C"/>
    <w:rsid w:val="006D0A3A"/>
    <w:rsid w:val="006D0A3E"/>
    <w:rsid w:val="006D0AC0"/>
    <w:rsid w:val="006D0B8A"/>
    <w:rsid w:val="006D0C36"/>
    <w:rsid w:val="006D112A"/>
    <w:rsid w:val="006D1614"/>
    <w:rsid w:val="006D169D"/>
    <w:rsid w:val="006D1B66"/>
    <w:rsid w:val="006D1D3A"/>
    <w:rsid w:val="006D1E49"/>
    <w:rsid w:val="006D1E7E"/>
    <w:rsid w:val="006D2042"/>
    <w:rsid w:val="006D2553"/>
    <w:rsid w:val="006D2D00"/>
    <w:rsid w:val="006D3226"/>
    <w:rsid w:val="006D339B"/>
    <w:rsid w:val="006D38D1"/>
    <w:rsid w:val="006D3AEA"/>
    <w:rsid w:val="006D3BE8"/>
    <w:rsid w:val="006D3D8C"/>
    <w:rsid w:val="006D3FD9"/>
    <w:rsid w:val="006D432E"/>
    <w:rsid w:val="006D457C"/>
    <w:rsid w:val="006D460B"/>
    <w:rsid w:val="006D4657"/>
    <w:rsid w:val="006D4E72"/>
    <w:rsid w:val="006D4FCB"/>
    <w:rsid w:val="006D555A"/>
    <w:rsid w:val="006D58E2"/>
    <w:rsid w:val="006D5B0E"/>
    <w:rsid w:val="006D6001"/>
    <w:rsid w:val="006D6451"/>
    <w:rsid w:val="006D66E0"/>
    <w:rsid w:val="006D6A4B"/>
    <w:rsid w:val="006D6D63"/>
    <w:rsid w:val="006D6F93"/>
    <w:rsid w:val="006D756F"/>
    <w:rsid w:val="006D78C9"/>
    <w:rsid w:val="006E04D1"/>
    <w:rsid w:val="006E0897"/>
    <w:rsid w:val="006E0A92"/>
    <w:rsid w:val="006E1176"/>
    <w:rsid w:val="006E139C"/>
    <w:rsid w:val="006E1AB5"/>
    <w:rsid w:val="006E1CF4"/>
    <w:rsid w:val="006E216E"/>
    <w:rsid w:val="006E22EC"/>
    <w:rsid w:val="006E25AC"/>
    <w:rsid w:val="006E25D0"/>
    <w:rsid w:val="006E28BF"/>
    <w:rsid w:val="006E32C7"/>
    <w:rsid w:val="006E3563"/>
    <w:rsid w:val="006E3A70"/>
    <w:rsid w:val="006E3AC0"/>
    <w:rsid w:val="006E3B75"/>
    <w:rsid w:val="006E3D1F"/>
    <w:rsid w:val="006E4894"/>
    <w:rsid w:val="006E48C8"/>
    <w:rsid w:val="006E4E1A"/>
    <w:rsid w:val="006E4FF7"/>
    <w:rsid w:val="006E5A97"/>
    <w:rsid w:val="006E5EA0"/>
    <w:rsid w:val="006E5EC4"/>
    <w:rsid w:val="006E6044"/>
    <w:rsid w:val="006E6402"/>
    <w:rsid w:val="006E68A2"/>
    <w:rsid w:val="006E6BF8"/>
    <w:rsid w:val="006E73A3"/>
    <w:rsid w:val="006E758C"/>
    <w:rsid w:val="006E7909"/>
    <w:rsid w:val="006E7AB2"/>
    <w:rsid w:val="006E7DA4"/>
    <w:rsid w:val="006E7DCD"/>
    <w:rsid w:val="006E7F9F"/>
    <w:rsid w:val="006F020D"/>
    <w:rsid w:val="006F07E9"/>
    <w:rsid w:val="006F0AFA"/>
    <w:rsid w:val="006F0DA0"/>
    <w:rsid w:val="006F1126"/>
    <w:rsid w:val="006F19BE"/>
    <w:rsid w:val="006F1B52"/>
    <w:rsid w:val="006F2101"/>
    <w:rsid w:val="006F27A6"/>
    <w:rsid w:val="006F2AD6"/>
    <w:rsid w:val="006F319B"/>
    <w:rsid w:val="006F32ED"/>
    <w:rsid w:val="006F39A4"/>
    <w:rsid w:val="006F3CAD"/>
    <w:rsid w:val="006F4139"/>
    <w:rsid w:val="006F42DE"/>
    <w:rsid w:val="006F555A"/>
    <w:rsid w:val="006F5C46"/>
    <w:rsid w:val="006F6897"/>
    <w:rsid w:val="006F6941"/>
    <w:rsid w:val="006F6C17"/>
    <w:rsid w:val="006F73F7"/>
    <w:rsid w:val="006F79E5"/>
    <w:rsid w:val="006F79F4"/>
    <w:rsid w:val="006F7B37"/>
    <w:rsid w:val="006F7C0D"/>
    <w:rsid w:val="006F7D2B"/>
    <w:rsid w:val="006F7F6A"/>
    <w:rsid w:val="00700406"/>
    <w:rsid w:val="0070042D"/>
    <w:rsid w:val="0070059D"/>
    <w:rsid w:val="007007F4"/>
    <w:rsid w:val="00700E25"/>
    <w:rsid w:val="007017E0"/>
    <w:rsid w:val="007018CE"/>
    <w:rsid w:val="00702017"/>
    <w:rsid w:val="0070227B"/>
    <w:rsid w:val="00702319"/>
    <w:rsid w:val="00702AE2"/>
    <w:rsid w:val="00703966"/>
    <w:rsid w:val="00703EF7"/>
    <w:rsid w:val="00704396"/>
    <w:rsid w:val="00704BE6"/>
    <w:rsid w:val="00704D0C"/>
    <w:rsid w:val="00705311"/>
    <w:rsid w:val="007058AC"/>
    <w:rsid w:val="00705B33"/>
    <w:rsid w:val="00705BC7"/>
    <w:rsid w:val="0070615E"/>
    <w:rsid w:val="007065CD"/>
    <w:rsid w:val="00706C4B"/>
    <w:rsid w:val="0070712F"/>
    <w:rsid w:val="00707839"/>
    <w:rsid w:val="00710098"/>
    <w:rsid w:val="00710962"/>
    <w:rsid w:val="00710A58"/>
    <w:rsid w:val="00711014"/>
    <w:rsid w:val="007111CC"/>
    <w:rsid w:val="007112AE"/>
    <w:rsid w:val="007115D3"/>
    <w:rsid w:val="007116AC"/>
    <w:rsid w:val="00711825"/>
    <w:rsid w:val="007118DF"/>
    <w:rsid w:val="00711D15"/>
    <w:rsid w:val="00711E46"/>
    <w:rsid w:val="00711FEF"/>
    <w:rsid w:val="0071204C"/>
    <w:rsid w:val="007121C5"/>
    <w:rsid w:val="00712226"/>
    <w:rsid w:val="007124A2"/>
    <w:rsid w:val="007127CB"/>
    <w:rsid w:val="007128A5"/>
    <w:rsid w:val="007129B0"/>
    <w:rsid w:val="007129B4"/>
    <w:rsid w:val="00712A69"/>
    <w:rsid w:val="00712AE9"/>
    <w:rsid w:val="00712DD9"/>
    <w:rsid w:val="00712F06"/>
    <w:rsid w:val="007133ED"/>
    <w:rsid w:val="007134C2"/>
    <w:rsid w:val="00713698"/>
    <w:rsid w:val="007138AF"/>
    <w:rsid w:val="00713FDB"/>
    <w:rsid w:val="00714286"/>
    <w:rsid w:val="00714452"/>
    <w:rsid w:val="00714986"/>
    <w:rsid w:val="00714AD8"/>
    <w:rsid w:val="007150D4"/>
    <w:rsid w:val="00716FB8"/>
    <w:rsid w:val="00717B03"/>
    <w:rsid w:val="00717F44"/>
    <w:rsid w:val="00720043"/>
    <w:rsid w:val="00720097"/>
    <w:rsid w:val="007207DA"/>
    <w:rsid w:val="007209B8"/>
    <w:rsid w:val="00720A9E"/>
    <w:rsid w:val="00720EEB"/>
    <w:rsid w:val="00720F8C"/>
    <w:rsid w:val="0072150D"/>
    <w:rsid w:val="007216BB"/>
    <w:rsid w:val="00721A20"/>
    <w:rsid w:val="00721F33"/>
    <w:rsid w:val="00722176"/>
    <w:rsid w:val="00722642"/>
    <w:rsid w:val="007230D6"/>
    <w:rsid w:val="00723551"/>
    <w:rsid w:val="00723B65"/>
    <w:rsid w:val="00723BDE"/>
    <w:rsid w:val="00723E4B"/>
    <w:rsid w:val="00723F87"/>
    <w:rsid w:val="0072411F"/>
    <w:rsid w:val="0072424E"/>
    <w:rsid w:val="00724553"/>
    <w:rsid w:val="0072456A"/>
    <w:rsid w:val="0072563F"/>
    <w:rsid w:val="007256E6"/>
    <w:rsid w:val="00725A65"/>
    <w:rsid w:val="00725A6B"/>
    <w:rsid w:val="00725AF7"/>
    <w:rsid w:val="00726893"/>
    <w:rsid w:val="00726ACF"/>
    <w:rsid w:val="00726D04"/>
    <w:rsid w:val="00727390"/>
    <w:rsid w:val="0072798C"/>
    <w:rsid w:val="00727C2F"/>
    <w:rsid w:val="007301CD"/>
    <w:rsid w:val="00730574"/>
    <w:rsid w:val="0073062D"/>
    <w:rsid w:val="00730674"/>
    <w:rsid w:val="00730965"/>
    <w:rsid w:val="007310C1"/>
    <w:rsid w:val="00731494"/>
    <w:rsid w:val="0073168A"/>
    <w:rsid w:val="00731E46"/>
    <w:rsid w:val="00731E92"/>
    <w:rsid w:val="007320F0"/>
    <w:rsid w:val="007321AA"/>
    <w:rsid w:val="007327C5"/>
    <w:rsid w:val="00732A8A"/>
    <w:rsid w:val="00732CFA"/>
    <w:rsid w:val="00732E2C"/>
    <w:rsid w:val="00732F64"/>
    <w:rsid w:val="00733258"/>
    <w:rsid w:val="00733398"/>
    <w:rsid w:val="00733628"/>
    <w:rsid w:val="00733BA5"/>
    <w:rsid w:val="00733EA6"/>
    <w:rsid w:val="00733FEB"/>
    <w:rsid w:val="00734225"/>
    <w:rsid w:val="007342C9"/>
    <w:rsid w:val="00734468"/>
    <w:rsid w:val="007347C9"/>
    <w:rsid w:val="00734957"/>
    <w:rsid w:val="00734BF9"/>
    <w:rsid w:val="00734FA9"/>
    <w:rsid w:val="007350C8"/>
    <w:rsid w:val="00735754"/>
    <w:rsid w:val="00735CAD"/>
    <w:rsid w:val="00735ECF"/>
    <w:rsid w:val="00735FB0"/>
    <w:rsid w:val="00736343"/>
    <w:rsid w:val="007366A7"/>
    <w:rsid w:val="007368A2"/>
    <w:rsid w:val="00736959"/>
    <w:rsid w:val="00736DE9"/>
    <w:rsid w:val="00736EFE"/>
    <w:rsid w:val="007373B8"/>
    <w:rsid w:val="00737BC1"/>
    <w:rsid w:val="00737C5E"/>
    <w:rsid w:val="00737F02"/>
    <w:rsid w:val="00740050"/>
    <w:rsid w:val="0074061B"/>
    <w:rsid w:val="0074067C"/>
    <w:rsid w:val="00740B46"/>
    <w:rsid w:val="00740F1D"/>
    <w:rsid w:val="007413F9"/>
    <w:rsid w:val="00741427"/>
    <w:rsid w:val="00741BFA"/>
    <w:rsid w:val="00741E1A"/>
    <w:rsid w:val="00742439"/>
    <w:rsid w:val="00742502"/>
    <w:rsid w:val="00742A85"/>
    <w:rsid w:val="0074316A"/>
    <w:rsid w:val="007433E2"/>
    <w:rsid w:val="00743594"/>
    <w:rsid w:val="00743A10"/>
    <w:rsid w:val="00743A9A"/>
    <w:rsid w:val="00743B54"/>
    <w:rsid w:val="00743BCE"/>
    <w:rsid w:val="00743DE2"/>
    <w:rsid w:val="00743E5C"/>
    <w:rsid w:val="00744187"/>
    <w:rsid w:val="00744228"/>
    <w:rsid w:val="00744275"/>
    <w:rsid w:val="00744B48"/>
    <w:rsid w:val="00744BA7"/>
    <w:rsid w:val="00744DF6"/>
    <w:rsid w:val="00745067"/>
    <w:rsid w:val="007454D2"/>
    <w:rsid w:val="00745516"/>
    <w:rsid w:val="00745862"/>
    <w:rsid w:val="00745DD4"/>
    <w:rsid w:val="00746060"/>
    <w:rsid w:val="0074639F"/>
    <w:rsid w:val="007465A9"/>
    <w:rsid w:val="0074698F"/>
    <w:rsid w:val="00746A86"/>
    <w:rsid w:val="00746B31"/>
    <w:rsid w:val="00747429"/>
    <w:rsid w:val="0074788F"/>
    <w:rsid w:val="00747AC5"/>
    <w:rsid w:val="00747C26"/>
    <w:rsid w:val="00747E2E"/>
    <w:rsid w:val="007509FC"/>
    <w:rsid w:val="00750B00"/>
    <w:rsid w:val="00750CF8"/>
    <w:rsid w:val="00750FFB"/>
    <w:rsid w:val="0075173E"/>
    <w:rsid w:val="0075247F"/>
    <w:rsid w:val="007527A4"/>
    <w:rsid w:val="0075297B"/>
    <w:rsid w:val="00753349"/>
    <w:rsid w:val="0075389F"/>
    <w:rsid w:val="007538CD"/>
    <w:rsid w:val="00753D96"/>
    <w:rsid w:val="00754A0D"/>
    <w:rsid w:val="00755128"/>
    <w:rsid w:val="007551D8"/>
    <w:rsid w:val="00755223"/>
    <w:rsid w:val="007552C1"/>
    <w:rsid w:val="00755646"/>
    <w:rsid w:val="00755DE5"/>
    <w:rsid w:val="007560E2"/>
    <w:rsid w:val="00756247"/>
    <w:rsid w:val="007562E2"/>
    <w:rsid w:val="0075631D"/>
    <w:rsid w:val="00756339"/>
    <w:rsid w:val="00756E1A"/>
    <w:rsid w:val="0075754D"/>
    <w:rsid w:val="00757669"/>
    <w:rsid w:val="007577C2"/>
    <w:rsid w:val="00757ABF"/>
    <w:rsid w:val="00760160"/>
    <w:rsid w:val="00760179"/>
    <w:rsid w:val="007601F7"/>
    <w:rsid w:val="007604FB"/>
    <w:rsid w:val="007609F7"/>
    <w:rsid w:val="00760BF4"/>
    <w:rsid w:val="00760C28"/>
    <w:rsid w:val="00761A88"/>
    <w:rsid w:val="00761A8A"/>
    <w:rsid w:val="00761CA2"/>
    <w:rsid w:val="007625AA"/>
    <w:rsid w:val="007625D1"/>
    <w:rsid w:val="007627BA"/>
    <w:rsid w:val="007628B1"/>
    <w:rsid w:val="00762F2B"/>
    <w:rsid w:val="0076328E"/>
    <w:rsid w:val="00763570"/>
    <w:rsid w:val="00763575"/>
    <w:rsid w:val="0076357B"/>
    <w:rsid w:val="00763983"/>
    <w:rsid w:val="00763C59"/>
    <w:rsid w:val="00763DFB"/>
    <w:rsid w:val="00764270"/>
    <w:rsid w:val="00764498"/>
    <w:rsid w:val="0076469F"/>
    <w:rsid w:val="00764719"/>
    <w:rsid w:val="007647E4"/>
    <w:rsid w:val="00765218"/>
    <w:rsid w:val="0076561E"/>
    <w:rsid w:val="00765B5B"/>
    <w:rsid w:val="00765BC2"/>
    <w:rsid w:val="007661B0"/>
    <w:rsid w:val="007662C2"/>
    <w:rsid w:val="00766420"/>
    <w:rsid w:val="0076689B"/>
    <w:rsid w:val="007669C3"/>
    <w:rsid w:val="00766E2F"/>
    <w:rsid w:val="00766F66"/>
    <w:rsid w:val="0076762E"/>
    <w:rsid w:val="007678FC"/>
    <w:rsid w:val="00767A79"/>
    <w:rsid w:val="00767B39"/>
    <w:rsid w:val="007700F0"/>
    <w:rsid w:val="00770165"/>
    <w:rsid w:val="00770373"/>
    <w:rsid w:val="007708BA"/>
    <w:rsid w:val="00770913"/>
    <w:rsid w:val="00770E8A"/>
    <w:rsid w:val="00770F0E"/>
    <w:rsid w:val="00770F15"/>
    <w:rsid w:val="00770FC5"/>
    <w:rsid w:val="00771087"/>
    <w:rsid w:val="00772816"/>
    <w:rsid w:val="00772C6A"/>
    <w:rsid w:val="00773353"/>
    <w:rsid w:val="007737C5"/>
    <w:rsid w:val="00773ACB"/>
    <w:rsid w:val="00773B4F"/>
    <w:rsid w:val="00773C31"/>
    <w:rsid w:val="00773D40"/>
    <w:rsid w:val="00773F0D"/>
    <w:rsid w:val="0077402F"/>
    <w:rsid w:val="00774333"/>
    <w:rsid w:val="00774F39"/>
    <w:rsid w:val="007754E1"/>
    <w:rsid w:val="00775513"/>
    <w:rsid w:val="00775973"/>
    <w:rsid w:val="00775A2C"/>
    <w:rsid w:val="00775B9A"/>
    <w:rsid w:val="00775EEA"/>
    <w:rsid w:val="007760D6"/>
    <w:rsid w:val="007762E4"/>
    <w:rsid w:val="007767E1"/>
    <w:rsid w:val="00776A97"/>
    <w:rsid w:val="00776EEB"/>
    <w:rsid w:val="00776FD8"/>
    <w:rsid w:val="007779C9"/>
    <w:rsid w:val="00777BC4"/>
    <w:rsid w:val="00777FC3"/>
    <w:rsid w:val="007802A9"/>
    <w:rsid w:val="007803D8"/>
    <w:rsid w:val="00780775"/>
    <w:rsid w:val="007808A7"/>
    <w:rsid w:val="00780A45"/>
    <w:rsid w:val="00780A5E"/>
    <w:rsid w:val="00780B01"/>
    <w:rsid w:val="0078117F"/>
    <w:rsid w:val="00781421"/>
    <w:rsid w:val="00781677"/>
    <w:rsid w:val="00781973"/>
    <w:rsid w:val="00781EC3"/>
    <w:rsid w:val="00781FC0"/>
    <w:rsid w:val="00782214"/>
    <w:rsid w:val="007823E5"/>
    <w:rsid w:val="00782AEF"/>
    <w:rsid w:val="00783142"/>
    <w:rsid w:val="007831AC"/>
    <w:rsid w:val="00783272"/>
    <w:rsid w:val="00783564"/>
    <w:rsid w:val="00783732"/>
    <w:rsid w:val="0078380A"/>
    <w:rsid w:val="00783842"/>
    <w:rsid w:val="007841FC"/>
    <w:rsid w:val="0078468D"/>
    <w:rsid w:val="007847F2"/>
    <w:rsid w:val="00784986"/>
    <w:rsid w:val="00784BFD"/>
    <w:rsid w:val="00784FDC"/>
    <w:rsid w:val="0078531B"/>
    <w:rsid w:val="0078554D"/>
    <w:rsid w:val="00785904"/>
    <w:rsid w:val="00785A0F"/>
    <w:rsid w:val="00785A9B"/>
    <w:rsid w:val="00785B9A"/>
    <w:rsid w:val="00785B9E"/>
    <w:rsid w:val="007862BE"/>
    <w:rsid w:val="007862F3"/>
    <w:rsid w:val="00786399"/>
    <w:rsid w:val="00786C6E"/>
    <w:rsid w:val="00786DFD"/>
    <w:rsid w:val="00787282"/>
    <w:rsid w:val="00787334"/>
    <w:rsid w:val="007876E3"/>
    <w:rsid w:val="00787753"/>
    <w:rsid w:val="0078783E"/>
    <w:rsid w:val="007879BB"/>
    <w:rsid w:val="00790EF9"/>
    <w:rsid w:val="0079107E"/>
    <w:rsid w:val="0079109C"/>
    <w:rsid w:val="00791466"/>
    <w:rsid w:val="00791990"/>
    <w:rsid w:val="00791A21"/>
    <w:rsid w:val="00791C7C"/>
    <w:rsid w:val="00791D33"/>
    <w:rsid w:val="0079219F"/>
    <w:rsid w:val="007924AA"/>
    <w:rsid w:val="007924BB"/>
    <w:rsid w:val="00792536"/>
    <w:rsid w:val="00792714"/>
    <w:rsid w:val="007928AD"/>
    <w:rsid w:val="00792981"/>
    <w:rsid w:val="00792B72"/>
    <w:rsid w:val="0079339A"/>
    <w:rsid w:val="00793B8A"/>
    <w:rsid w:val="00793FD2"/>
    <w:rsid w:val="0079428E"/>
    <w:rsid w:val="0079460C"/>
    <w:rsid w:val="00794618"/>
    <w:rsid w:val="00794724"/>
    <w:rsid w:val="007948D6"/>
    <w:rsid w:val="00795060"/>
    <w:rsid w:val="00795114"/>
    <w:rsid w:val="007951ED"/>
    <w:rsid w:val="007952B1"/>
    <w:rsid w:val="0079544E"/>
    <w:rsid w:val="00795AD3"/>
    <w:rsid w:val="00795DB2"/>
    <w:rsid w:val="0079687E"/>
    <w:rsid w:val="00796A12"/>
    <w:rsid w:val="00796C4B"/>
    <w:rsid w:val="0079752A"/>
    <w:rsid w:val="0079786F"/>
    <w:rsid w:val="007979E1"/>
    <w:rsid w:val="007A0174"/>
    <w:rsid w:val="007A0B9C"/>
    <w:rsid w:val="007A0BA1"/>
    <w:rsid w:val="007A0BB2"/>
    <w:rsid w:val="007A0D5F"/>
    <w:rsid w:val="007A103A"/>
    <w:rsid w:val="007A1374"/>
    <w:rsid w:val="007A1458"/>
    <w:rsid w:val="007A2072"/>
    <w:rsid w:val="007A212E"/>
    <w:rsid w:val="007A238C"/>
    <w:rsid w:val="007A2BC1"/>
    <w:rsid w:val="007A2FD9"/>
    <w:rsid w:val="007A300F"/>
    <w:rsid w:val="007A3352"/>
    <w:rsid w:val="007A36BB"/>
    <w:rsid w:val="007A379D"/>
    <w:rsid w:val="007A3D3C"/>
    <w:rsid w:val="007A4005"/>
    <w:rsid w:val="007A43E3"/>
    <w:rsid w:val="007A490B"/>
    <w:rsid w:val="007A4EFF"/>
    <w:rsid w:val="007A5131"/>
    <w:rsid w:val="007A5271"/>
    <w:rsid w:val="007A53F2"/>
    <w:rsid w:val="007A5465"/>
    <w:rsid w:val="007A5604"/>
    <w:rsid w:val="007A5952"/>
    <w:rsid w:val="007A5E20"/>
    <w:rsid w:val="007A5E52"/>
    <w:rsid w:val="007A6754"/>
    <w:rsid w:val="007A6B60"/>
    <w:rsid w:val="007A6C8F"/>
    <w:rsid w:val="007A6D0B"/>
    <w:rsid w:val="007A7382"/>
    <w:rsid w:val="007B0035"/>
    <w:rsid w:val="007B0B6D"/>
    <w:rsid w:val="007B0E6E"/>
    <w:rsid w:val="007B0FB3"/>
    <w:rsid w:val="007B1647"/>
    <w:rsid w:val="007B16D2"/>
    <w:rsid w:val="007B17EA"/>
    <w:rsid w:val="007B1BC3"/>
    <w:rsid w:val="007B1E3A"/>
    <w:rsid w:val="007B26EE"/>
    <w:rsid w:val="007B2848"/>
    <w:rsid w:val="007B2CEE"/>
    <w:rsid w:val="007B2EE6"/>
    <w:rsid w:val="007B31EA"/>
    <w:rsid w:val="007B3BA9"/>
    <w:rsid w:val="007B3BBE"/>
    <w:rsid w:val="007B4019"/>
    <w:rsid w:val="007B433B"/>
    <w:rsid w:val="007B4A39"/>
    <w:rsid w:val="007B5198"/>
    <w:rsid w:val="007B56E9"/>
    <w:rsid w:val="007B5C4A"/>
    <w:rsid w:val="007B5F3F"/>
    <w:rsid w:val="007B6305"/>
    <w:rsid w:val="007B63FF"/>
    <w:rsid w:val="007B66A0"/>
    <w:rsid w:val="007B6A76"/>
    <w:rsid w:val="007B6E4E"/>
    <w:rsid w:val="007B7196"/>
    <w:rsid w:val="007B71E9"/>
    <w:rsid w:val="007B78D6"/>
    <w:rsid w:val="007C0B63"/>
    <w:rsid w:val="007C102F"/>
    <w:rsid w:val="007C11CB"/>
    <w:rsid w:val="007C1562"/>
    <w:rsid w:val="007C1702"/>
    <w:rsid w:val="007C1D41"/>
    <w:rsid w:val="007C21F2"/>
    <w:rsid w:val="007C272D"/>
    <w:rsid w:val="007C2D98"/>
    <w:rsid w:val="007C3194"/>
    <w:rsid w:val="007C38B9"/>
    <w:rsid w:val="007C3C03"/>
    <w:rsid w:val="007C3D81"/>
    <w:rsid w:val="007C41D1"/>
    <w:rsid w:val="007C42BE"/>
    <w:rsid w:val="007C440E"/>
    <w:rsid w:val="007C48C7"/>
    <w:rsid w:val="007C4BEA"/>
    <w:rsid w:val="007C4E0E"/>
    <w:rsid w:val="007C50FB"/>
    <w:rsid w:val="007C5691"/>
    <w:rsid w:val="007C5E24"/>
    <w:rsid w:val="007C654D"/>
    <w:rsid w:val="007C667F"/>
    <w:rsid w:val="007C69D6"/>
    <w:rsid w:val="007C6A8D"/>
    <w:rsid w:val="007C6C4A"/>
    <w:rsid w:val="007C6CE3"/>
    <w:rsid w:val="007C6E91"/>
    <w:rsid w:val="007C75CE"/>
    <w:rsid w:val="007C7711"/>
    <w:rsid w:val="007C7EA0"/>
    <w:rsid w:val="007D227E"/>
    <w:rsid w:val="007D250D"/>
    <w:rsid w:val="007D2579"/>
    <w:rsid w:val="007D2CEB"/>
    <w:rsid w:val="007D2F62"/>
    <w:rsid w:val="007D3591"/>
    <w:rsid w:val="007D3933"/>
    <w:rsid w:val="007D3E62"/>
    <w:rsid w:val="007D3F0E"/>
    <w:rsid w:val="007D41B1"/>
    <w:rsid w:val="007D4700"/>
    <w:rsid w:val="007D4B24"/>
    <w:rsid w:val="007D4B2E"/>
    <w:rsid w:val="007D4B8D"/>
    <w:rsid w:val="007D4BFD"/>
    <w:rsid w:val="007D4EC3"/>
    <w:rsid w:val="007D5136"/>
    <w:rsid w:val="007D561E"/>
    <w:rsid w:val="007D58EC"/>
    <w:rsid w:val="007D5AD4"/>
    <w:rsid w:val="007D5BB2"/>
    <w:rsid w:val="007D6683"/>
    <w:rsid w:val="007D6829"/>
    <w:rsid w:val="007D7115"/>
    <w:rsid w:val="007D78CD"/>
    <w:rsid w:val="007D7A4B"/>
    <w:rsid w:val="007E07A4"/>
    <w:rsid w:val="007E09DD"/>
    <w:rsid w:val="007E0F33"/>
    <w:rsid w:val="007E1012"/>
    <w:rsid w:val="007E11FD"/>
    <w:rsid w:val="007E1F49"/>
    <w:rsid w:val="007E213F"/>
    <w:rsid w:val="007E268F"/>
    <w:rsid w:val="007E290D"/>
    <w:rsid w:val="007E2F40"/>
    <w:rsid w:val="007E31D9"/>
    <w:rsid w:val="007E38CC"/>
    <w:rsid w:val="007E3CFF"/>
    <w:rsid w:val="007E4223"/>
    <w:rsid w:val="007E4EF6"/>
    <w:rsid w:val="007E5281"/>
    <w:rsid w:val="007E53DD"/>
    <w:rsid w:val="007E58C2"/>
    <w:rsid w:val="007E5FA2"/>
    <w:rsid w:val="007E6076"/>
    <w:rsid w:val="007E6167"/>
    <w:rsid w:val="007E61C7"/>
    <w:rsid w:val="007E61F9"/>
    <w:rsid w:val="007E626F"/>
    <w:rsid w:val="007E66A4"/>
    <w:rsid w:val="007E6790"/>
    <w:rsid w:val="007E70FF"/>
    <w:rsid w:val="007E745D"/>
    <w:rsid w:val="007E74C5"/>
    <w:rsid w:val="007E75AC"/>
    <w:rsid w:val="007E7BFB"/>
    <w:rsid w:val="007F063C"/>
    <w:rsid w:val="007F0AD2"/>
    <w:rsid w:val="007F0AEC"/>
    <w:rsid w:val="007F0B0B"/>
    <w:rsid w:val="007F0E34"/>
    <w:rsid w:val="007F12B6"/>
    <w:rsid w:val="007F1717"/>
    <w:rsid w:val="007F1E1E"/>
    <w:rsid w:val="007F2059"/>
    <w:rsid w:val="007F21A3"/>
    <w:rsid w:val="007F2BFD"/>
    <w:rsid w:val="007F2F11"/>
    <w:rsid w:val="007F32C6"/>
    <w:rsid w:val="007F32D4"/>
    <w:rsid w:val="007F3370"/>
    <w:rsid w:val="007F3541"/>
    <w:rsid w:val="007F3598"/>
    <w:rsid w:val="007F3690"/>
    <w:rsid w:val="007F38C6"/>
    <w:rsid w:val="007F3ED5"/>
    <w:rsid w:val="007F3F59"/>
    <w:rsid w:val="007F451B"/>
    <w:rsid w:val="007F46CE"/>
    <w:rsid w:val="007F48A0"/>
    <w:rsid w:val="007F49E8"/>
    <w:rsid w:val="007F4A75"/>
    <w:rsid w:val="007F575B"/>
    <w:rsid w:val="007F5D51"/>
    <w:rsid w:val="007F5F8C"/>
    <w:rsid w:val="007F6368"/>
    <w:rsid w:val="007F639B"/>
    <w:rsid w:val="007F6D2D"/>
    <w:rsid w:val="007F78F7"/>
    <w:rsid w:val="007F7B35"/>
    <w:rsid w:val="007F7B7F"/>
    <w:rsid w:val="007F7CA5"/>
    <w:rsid w:val="007F7D6F"/>
    <w:rsid w:val="007F7DEE"/>
    <w:rsid w:val="00800ED1"/>
    <w:rsid w:val="008010B1"/>
    <w:rsid w:val="00801430"/>
    <w:rsid w:val="008018A2"/>
    <w:rsid w:val="00801C1E"/>
    <w:rsid w:val="00801D7C"/>
    <w:rsid w:val="00801DFE"/>
    <w:rsid w:val="008028CD"/>
    <w:rsid w:val="00802DB5"/>
    <w:rsid w:val="00802F42"/>
    <w:rsid w:val="00803A86"/>
    <w:rsid w:val="00803C16"/>
    <w:rsid w:val="00804337"/>
    <w:rsid w:val="008043DE"/>
    <w:rsid w:val="00804441"/>
    <w:rsid w:val="00804576"/>
    <w:rsid w:val="00804962"/>
    <w:rsid w:val="0080498D"/>
    <w:rsid w:val="008054C6"/>
    <w:rsid w:val="00805CB8"/>
    <w:rsid w:val="0080606A"/>
    <w:rsid w:val="008062D2"/>
    <w:rsid w:val="00806544"/>
    <w:rsid w:val="008065F0"/>
    <w:rsid w:val="00806FDB"/>
    <w:rsid w:val="008071A9"/>
    <w:rsid w:val="00807B75"/>
    <w:rsid w:val="00807BD7"/>
    <w:rsid w:val="00807C2F"/>
    <w:rsid w:val="00810802"/>
    <w:rsid w:val="0081091E"/>
    <w:rsid w:val="00810B67"/>
    <w:rsid w:val="00810D6C"/>
    <w:rsid w:val="00810E6A"/>
    <w:rsid w:val="0081137F"/>
    <w:rsid w:val="008113E9"/>
    <w:rsid w:val="00811DCB"/>
    <w:rsid w:val="008123C1"/>
    <w:rsid w:val="008129C6"/>
    <w:rsid w:val="00812B91"/>
    <w:rsid w:val="00812C61"/>
    <w:rsid w:val="00812E0A"/>
    <w:rsid w:val="008131CC"/>
    <w:rsid w:val="0081352B"/>
    <w:rsid w:val="008140C1"/>
    <w:rsid w:val="008143D7"/>
    <w:rsid w:val="008144DC"/>
    <w:rsid w:val="00814514"/>
    <w:rsid w:val="0081453D"/>
    <w:rsid w:val="008145C6"/>
    <w:rsid w:val="008148CF"/>
    <w:rsid w:val="0081493A"/>
    <w:rsid w:val="00814BB2"/>
    <w:rsid w:val="00815023"/>
    <w:rsid w:val="008152E8"/>
    <w:rsid w:val="00815304"/>
    <w:rsid w:val="0081543B"/>
    <w:rsid w:val="008154F3"/>
    <w:rsid w:val="00815586"/>
    <w:rsid w:val="00815CAC"/>
    <w:rsid w:val="00815DB5"/>
    <w:rsid w:val="00815F2B"/>
    <w:rsid w:val="00816062"/>
    <w:rsid w:val="008168DF"/>
    <w:rsid w:val="008171CA"/>
    <w:rsid w:val="00817389"/>
    <w:rsid w:val="00817538"/>
    <w:rsid w:val="008176AF"/>
    <w:rsid w:val="00817983"/>
    <w:rsid w:val="0082034D"/>
    <w:rsid w:val="00820463"/>
    <w:rsid w:val="008207E7"/>
    <w:rsid w:val="00820A23"/>
    <w:rsid w:val="00820D9C"/>
    <w:rsid w:val="00820DD8"/>
    <w:rsid w:val="008213C6"/>
    <w:rsid w:val="008216BF"/>
    <w:rsid w:val="0082189A"/>
    <w:rsid w:val="00821AC4"/>
    <w:rsid w:val="00821C01"/>
    <w:rsid w:val="00821E63"/>
    <w:rsid w:val="00822514"/>
    <w:rsid w:val="008225AE"/>
    <w:rsid w:val="008230BA"/>
    <w:rsid w:val="008230C3"/>
    <w:rsid w:val="008237E2"/>
    <w:rsid w:val="00823832"/>
    <w:rsid w:val="0082388D"/>
    <w:rsid w:val="00823E76"/>
    <w:rsid w:val="00824352"/>
    <w:rsid w:val="008244DF"/>
    <w:rsid w:val="008247DB"/>
    <w:rsid w:val="008248B8"/>
    <w:rsid w:val="00824A87"/>
    <w:rsid w:val="00824D49"/>
    <w:rsid w:val="0082543C"/>
    <w:rsid w:val="008255E4"/>
    <w:rsid w:val="00825E6B"/>
    <w:rsid w:val="008264CB"/>
    <w:rsid w:val="0082696E"/>
    <w:rsid w:val="00827998"/>
    <w:rsid w:val="00827B1A"/>
    <w:rsid w:val="00827BAD"/>
    <w:rsid w:val="00827DF6"/>
    <w:rsid w:val="00827E17"/>
    <w:rsid w:val="00830073"/>
    <w:rsid w:val="00830085"/>
    <w:rsid w:val="008302BD"/>
    <w:rsid w:val="00830639"/>
    <w:rsid w:val="00830666"/>
    <w:rsid w:val="00830822"/>
    <w:rsid w:val="008309C9"/>
    <w:rsid w:val="00830BC7"/>
    <w:rsid w:val="00830DD3"/>
    <w:rsid w:val="00830FE5"/>
    <w:rsid w:val="00831B16"/>
    <w:rsid w:val="00831FB6"/>
    <w:rsid w:val="00832363"/>
    <w:rsid w:val="0083270B"/>
    <w:rsid w:val="00832763"/>
    <w:rsid w:val="008330F2"/>
    <w:rsid w:val="008331AC"/>
    <w:rsid w:val="00833408"/>
    <w:rsid w:val="008335E3"/>
    <w:rsid w:val="00833A9F"/>
    <w:rsid w:val="00833D5C"/>
    <w:rsid w:val="00834148"/>
    <w:rsid w:val="0083437B"/>
    <w:rsid w:val="008344D8"/>
    <w:rsid w:val="008345C8"/>
    <w:rsid w:val="00834A63"/>
    <w:rsid w:val="00834C85"/>
    <w:rsid w:val="00834DCB"/>
    <w:rsid w:val="00834FD8"/>
    <w:rsid w:val="008354D4"/>
    <w:rsid w:val="00835958"/>
    <w:rsid w:val="00835CFB"/>
    <w:rsid w:val="00835E4E"/>
    <w:rsid w:val="00835F24"/>
    <w:rsid w:val="00835F4D"/>
    <w:rsid w:val="00836673"/>
    <w:rsid w:val="00836AE8"/>
    <w:rsid w:val="00836BEF"/>
    <w:rsid w:val="00836E45"/>
    <w:rsid w:val="00836F12"/>
    <w:rsid w:val="00837484"/>
    <w:rsid w:val="00837710"/>
    <w:rsid w:val="00837795"/>
    <w:rsid w:val="00837949"/>
    <w:rsid w:val="00837BE1"/>
    <w:rsid w:val="00837C97"/>
    <w:rsid w:val="00837F2A"/>
    <w:rsid w:val="00837FB5"/>
    <w:rsid w:val="008400C0"/>
    <w:rsid w:val="00840340"/>
    <w:rsid w:val="0084047C"/>
    <w:rsid w:val="0084095D"/>
    <w:rsid w:val="00840C01"/>
    <w:rsid w:val="00840C42"/>
    <w:rsid w:val="00840DC9"/>
    <w:rsid w:val="00840E73"/>
    <w:rsid w:val="0084167C"/>
    <w:rsid w:val="008417AF"/>
    <w:rsid w:val="00841940"/>
    <w:rsid w:val="00841AEE"/>
    <w:rsid w:val="00841B3C"/>
    <w:rsid w:val="00842037"/>
    <w:rsid w:val="0084260F"/>
    <w:rsid w:val="0084329A"/>
    <w:rsid w:val="0084354A"/>
    <w:rsid w:val="00843665"/>
    <w:rsid w:val="00844071"/>
    <w:rsid w:val="0084432F"/>
    <w:rsid w:val="0084491A"/>
    <w:rsid w:val="00844ACE"/>
    <w:rsid w:val="00844F10"/>
    <w:rsid w:val="00845186"/>
    <w:rsid w:val="0084539F"/>
    <w:rsid w:val="0084542F"/>
    <w:rsid w:val="008456DE"/>
    <w:rsid w:val="00845BBC"/>
    <w:rsid w:val="00845D0F"/>
    <w:rsid w:val="0084622E"/>
    <w:rsid w:val="00846534"/>
    <w:rsid w:val="0084667F"/>
    <w:rsid w:val="00846898"/>
    <w:rsid w:val="00846A54"/>
    <w:rsid w:val="00847564"/>
    <w:rsid w:val="0084784E"/>
    <w:rsid w:val="00847CCF"/>
    <w:rsid w:val="00847DDF"/>
    <w:rsid w:val="00847DFF"/>
    <w:rsid w:val="00847F2B"/>
    <w:rsid w:val="00850048"/>
    <w:rsid w:val="0085038B"/>
    <w:rsid w:val="00850A45"/>
    <w:rsid w:val="00850B28"/>
    <w:rsid w:val="008513D0"/>
    <w:rsid w:val="008513D8"/>
    <w:rsid w:val="00851462"/>
    <w:rsid w:val="00852277"/>
    <w:rsid w:val="008527CD"/>
    <w:rsid w:val="00852C25"/>
    <w:rsid w:val="00853139"/>
    <w:rsid w:val="008537C2"/>
    <w:rsid w:val="00853860"/>
    <w:rsid w:val="008538C1"/>
    <w:rsid w:val="00853AB0"/>
    <w:rsid w:val="00853DF7"/>
    <w:rsid w:val="00854533"/>
    <w:rsid w:val="00855404"/>
    <w:rsid w:val="0085549C"/>
    <w:rsid w:val="00855800"/>
    <w:rsid w:val="00855976"/>
    <w:rsid w:val="00855A99"/>
    <w:rsid w:val="00855D43"/>
    <w:rsid w:val="008561D7"/>
    <w:rsid w:val="00856367"/>
    <w:rsid w:val="0085649C"/>
    <w:rsid w:val="00856D29"/>
    <w:rsid w:val="00857127"/>
    <w:rsid w:val="00857AC4"/>
    <w:rsid w:val="00857D95"/>
    <w:rsid w:val="00857F01"/>
    <w:rsid w:val="00857F6C"/>
    <w:rsid w:val="00857FBC"/>
    <w:rsid w:val="008607B4"/>
    <w:rsid w:val="00860B22"/>
    <w:rsid w:val="00861074"/>
    <w:rsid w:val="008613F0"/>
    <w:rsid w:val="00862099"/>
    <w:rsid w:val="008627DF"/>
    <w:rsid w:val="0086289D"/>
    <w:rsid w:val="00862E3D"/>
    <w:rsid w:val="008636FC"/>
    <w:rsid w:val="00863749"/>
    <w:rsid w:val="008639A1"/>
    <w:rsid w:val="00863A06"/>
    <w:rsid w:val="00863B38"/>
    <w:rsid w:val="00863DB6"/>
    <w:rsid w:val="00863F24"/>
    <w:rsid w:val="008641EC"/>
    <w:rsid w:val="00864278"/>
    <w:rsid w:val="0086447C"/>
    <w:rsid w:val="0086488B"/>
    <w:rsid w:val="008649BA"/>
    <w:rsid w:val="0086538E"/>
    <w:rsid w:val="00865B86"/>
    <w:rsid w:val="00865D9C"/>
    <w:rsid w:val="00866F84"/>
    <w:rsid w:val="008679D2"/>
    <w:rsid w:val="00867F5C"/>
    <w:rsid w:val="00870132"/>
    <w:rsid w:val="0087023C"/>
    <w:rsid w:val="008702EE"/>
    <w:rsid w:val="00870368"/>
    <w:rsid w:val="008707E4"/>
    <w:rsid w:val="00870DB1"/>
    <w:rsid w:val="008710C8"/>
    <w:rsid w:val="00871164"/>
    <w:rsid w:val="00871BB1"/>
    <w:rsid w:val="00871D69"/>
    <w:rsid w:val="00871F6C"/>
    <w:rsid w:val="008724BF"/>
    <w:rsid w:val="0087264C"/>
    <w:rsid w:val="00872849"/>
    <w:rsid w:val="00872860"/>
    <w:rsid w:val="00873966"/>
    <w:rsid w:val="00873BC6"/>
    <w:rsid w:val="00873D7D"/>
    <w:rsid w:val="0087414D"/>
    <w:rsid w:val="008743B8"/>
    <w:rsid w:val="00874DC9"/>
    <w:rsid w:val="00874FB1"/>
    <w:rsid w:val="00875446"/>
    <w:rsid w:val="00875DA7"/>
    <w:rsid w:val="008762C1"/>
    <w:rsid w:val="00876321"/>
    <w:rsid w:val="00876728"/>
    <w:rsid w:val="008771F4"/>
    <w:rsid w:val="008772C4"/>
    <w:rsid w:val="00877704"/>
    <w:rsid w:val="0087771D"/>
    <w:rsid w:val="00877CFC"/>
    <w:rsid w:val="00877DA2"/>
    <w:rsid w:val="00880902"/>
    <w:rsid w:val="00880BCB"/>
    <w:rsid w:val="00880D91"/>
    <w:rsid w:val="00880E7A"/>
    <w:rsid w:val="0088116D"/>
    <w:rsid w:val="00881E3C"/>
    <w:rsid w:val="008823B9"/>
    <w:rsid w:val="008828B4"/>
    <w:rsid w:val="00882C7B"/>
    <w:rsid w:val="008830C1"/>
    <w:rsid w:val="008830D5"/>
    <w:rsid w:val="00883404"/>
    <w:rsid w:val="008835EA"/>
    <w:rsid w:val="00883FE2"/>
    <w:rsid w:val="00884160"/>
    <w:rsid w:val="00884779"/>
    <w:rsid w:val="00884B4C"/>
    <w:rsid w:val="00884FE0"/>
    <w:rsid w:val="008857B3"/>
    <w:rsid w:val="00886487"/>
    <w:rsid w:val="00886649"/>
    <w:rsid w:val="00886A40"/>
    <w:rsid w:val="0088740E"/>
    <w:rsid w:val="00887AD0"/>
    <w:rsid w:val="00887C3E"/>
    <w:rsid w:val="00887E01"/>
    <w:rsid w:val="0089024E"/>
    <w:rsid w:val="0089034C"/>
    <w:rsid w:val="008904EA"/>
    <w:rsid w:val="008906EB"/>
    <w:rsid w:val="008907C4"/>
    <w:rsid w:val="00890965"/>
    <w:rsid w:val="00890B1E"/>
    <w:rsid w:val="00891364"/>
    <w:rsid w:val="00891387"/>
    <w:rsid w:val="0089175F"/>
    <w:rsid w:val="0089194F"/>
    <w:rsid w:val="008919D8"/>
    <w:rsid w:val="00891BA9"/>
    <w:rsid w:val="00891FF9"/>
    <w:rsid w:val="00892A4E"/>
    <w:rsid w:val="00892BB9"/>
    <w:rsid w:val="00892DFD"/>
    <w:rsid w:val="00893470"/>
    <w:rsid w:val="00893B6A"/>
    <w:rsid w:val="00893CF4"/>
    <w:rsid w:val="00893F8B"/>
    <w:rsid w:val="0089430E"/>
    <w:rsid w:val="00894336"/>
    <w:rsid w:val="00894990"/>
    <w:rsid w:val="00894A27"/>
    <w:rsid w:val="00894C74"/>
    <w:rsid w:val="00894F7C"/>
    <w:rsid w:val="00895051"/>
    <w:rsid w:val="00895229"/>
    <w:rsid w:val="0089526E"/>
    <w:rsid w:val="00895B94"/>
    <w:rsid w:val="0089608B"/>
    <w:rsid w:val="008961FD"/>
    <w:rsid w:val="00896A4C"/>
    <w:rsid w:val="00896CAE"/>
    <w:rsid w:val="00896EBA"/>
    <w:rsid w:val="008971FC"/>
    <w:rsid w:val="0089749F"/>
    <w:rsid w:val="0089797F"/>
    <w:rsid w:val="00897CB5"/>
    <w:rsid w:val="00897E2A"/>
    <w:rsid w:val="008A04C1"/>
    <w:rsid w:val="008A04E8"/>
    <w:rsid w:val="008A051E"/>
    <w:rsid w:val="008A0645"/>
    <w:rsid w:val="008A0A4B"/>
    <w:rsid w:val="008A0B42"/>
    <w:rsid w:val="008A0D31"/>
    <w:rsid w:val="008A1183"/>
    <w:rsid w:val="008A14C2"/>
    <w:rsid w:val="008A1ACA"/>
    <w:rsid w:val="008A1BC4"/>
    <w:rsid w:val="008A2304"/>
    <w:rsid w:val="008A23C9"/>
    <w:rsid w:val="008A299A"/>
    <w:rsid w:val="008A2AAF"/>
    <w:rsid w:val="008A2AF3"/>
    <w:rsid w:val="008A2B7C"/>
    <w:rsid w:val="008A2EAB"/>
    <w:rsid w:val="008A2FD0"/>
    <w:rsid w:val="008A3275"/>
    <w:rsid w:val="008A348B"/>
    <w:rsid w:val="008A393A"/>
    <w:rsid w:val="008A39F8"/>
    <w:rsid w:val="008A3B33"/>
    <w:rsid w:val="008A3DC8"/>
    <w:rsid w:val="008A3EA8"/>
    <w:rsid w:val="008A42B6"/>
    <w:rsid w:val="008A4381"/>
    <w:rsid w:val="008A439C"/>
    <w:rsid w:val="008A4660"/>
    <w:rsid w:val="008A4742"/>
    <w:rsid w:val="008A47EA"/>
    <w:rsid w:val="008A4869"/>
    <w:rsid w:val="008A4891"/>
    <w:rsid w:val="008A4E75"/>
    <w:rsid w:val="008A5012"/>
    <w:rsid w:val="008A5A98"/>
    <w:rsid w:val="008A5C0D"/>
    <w:rsid w:val="008A5DE2"/>
    <w:rsid w:val="008A5F5E"/>
    <w:rsid w:val="008A5FE2"/>
    <w:rsid w:val="008A62FC"/>
    <w:rsid w:val="008A6824"/>
    <w:rsid w:val="008A6833"/>
    <w:rsid w:val="008A6C07"/>
    <w:rsid w:val="008A6F89"/>
    <w:rsid w:val="008A795A"/>
    <w:rsid w:val="008A7A61"/>
    <w:rsid w:val="008A7BE1"/>
    <w:rsid w:val="008A7F26"/>
    <w:rsid w:val="008B0345"/>
    <w:rsid w:val="008B0368"/>
    <w:rsid w:val="008B0788"/>
    <w:rsid w:val="008B08BB"/>
    <w:rsid w:val="008B0AFA"/>
    <w:rsid w:val="008B0B3A"/>
    <w:rsid w:val="008B0CBB"/>
    <w:rsid w:val="008B13DC"/>
    <w:rsid w:val="008B18FD"/>
    <w:rsid w:val="008B2420"/>
    <w:rsid w:val="008B280F"/>
    <w:rsid w:val="008B2FDF"/>
    <w:rsid w:val="008B314B"/>
    <w:rsid w:val="008B31A2"/>
    <w:rsid w:val="008B32A9"/>
    <w:rsid w:val="008B3F41"/>
    <w:rsid w:val="008B465A"/>
    <w:rsid w:val="008B496F"/>
    <w:rsid w:val="008B4D48"/>
    <w:rsid w:val="008B4E5C"/>
    <w:rsid w:val="008B4FBC"/>
    <w:rsid w:val="008B5034"/>
    <w:rsid w:val="008B5124"/>
    <w:rsid w:val="008B555A"/>
    <w:rsid w:val="008B56FA"/>
    <w:rsid w:val="008B5CCA"/>
    <w:rsid w:val="008B5D3A"/>
    <w:rsid w:val="008B5D89"/>
    <w:rsid w:val="008B5ED0"/>
    <w:rsid w:val="008B61E7"/>
    <w:rsid w:val="008B6732"/>
    <w:rsid w:val="008B6964"/>
    <w:rsid w:val="008B69D5"/>
    <w:rsid w:val="008B6AA2"/>
    <w:rsid w:val="008B6B85"/>
    <w:rsid w:val="008B6BAB"/>
    <w:rsid w:val="008B7597"/>
    <w:rsid w:val="008B78C0"/>
    <w:rsid w:val="008B7A97"/>
    <w:rsid w:val="008C0083"/>
    <w:rsid w:val="008C02AD"/>
    <w:rsid w:val="008C02EE"/>
    <w:rsid w:val="008C0657"/>
    <w:rsid w:val="008C06C1"/>
    <w:rsid w:val="008C06ED"/>
    <w:rsid w:val="008C071E"/>
    <w:rsid w:val="008C1398"/>
    <w:rsid w:val="008C18D4"/>
    <w:rsid w:val="008C18DD"/>
    <w:rsid w:val="008C1A13"/>
    <w:rsid w:val="008C1BFF"/>
    <w:rsid w:val="008C2AA9"/>
    <w:rsid w:val="008C2EB3"/>
    <w:rsid w:val="008C2EDB"/>
    <w:rsid w:val="008C30E0"/>
    <w:rsid w:val="008C3332"/>
    <w:rsid w:val="008C335E"/>
    <w:rsid w:val="008C42FF"/>
    <w:rsid w:val="008C4647"/>
    <w:rsid w:val="008C48D2"/>
    <w:rsid w:val="008C4AC3"/>
    <w:rsid w:val="008C5285"/>
    <w:rsid w:val="008C5488"/>
    <w:rsid w:val="008C5772"/>
    <w:rsid w:val="008C57B9"/>
    <w:rsid w:val="008C5EB0"/>
    <w:rsid w:val="008C655C"/>
    <w:rsid w:val="008C6C9A"/>
    <w:rsid w:val="008C700A"/>
    <w:rsid w:val="008C701E"/>
    <w:rsid w:val="008C7664"/>
    <w:rsid w:val="008C776A"/>
    <w:rsid w:val="008C7B1E"/>
    <w:rsid w:val="008C7EB1"/>
    <w:rsid w:val="008D0606"/>
    <w:rsid w:val="008D0B0C"/>
    <w:rsid w:val="008D0E03"/>
    <w:rsid w:val="008D12DC"/>
    <w:rsid w:val="008D189A"/>
    <w:rsid w:val="008D1B64"/>
    <w:rsid w:val="008D1C7D"/>
    <w:rsid w:val="008D2049"/>
    <w:rsid w:val="008D28E9"/>
    <w:rsid w:val="008D2ABC"/>
    <w:rsid w:val="008D2CB8"/>
    <w:rsid w:val="008D3A2E"/>
    <w:rsid w:val="008D3C50"/>
    <w:rsid w:val="008D4162"/>
    <w:rsid w:val="008D4304"/>
    <w:rsid w:val="008D4A16"/>
    <w:rsid w:val="008D4CAA"/>
    <w:rsid w:val="008D4E54"/>
    <w:rsid w:val="008D4E7E"/>
    <w:rsid w:val="008D56F9"/>
    <w:rsid w:val="008D5851"/>
    <w:rsid w:val="008D5B2C"/>
    <w:rsid w:val="008D5D98"/>
    <w:rsid w:val="008D5F00"/>
    <w:rsid w:val="008D61B0"/>
    <w:rsid w:val="008D6333"/>
    <w:rsid w:val="008D77A6"/>
    <w:rsid w:val="008E0977"/>
    <w:rsid w:val="008E0DA0"/>
    <w:rsid w:val="008E1082"/>
    <w:rsid w:val="008E139C"/>
    <w:rsid w:val="008E183A"/>
    <w:rsid w:val="008E1840"/>
    <w:rsid w:val="008E1F00"/>
    <w:rsid w:val="008E2095"/>
    <w:rsid w:val="008E26BB"/>
    <w:rsid w:val="008E2E2F"/>
    <w:rsid w:val="008E2F04"/>
    <w:rsid w:val="008E2F64"/>
    <w:rsid w:val="008E30E6"/>
    <w:rsid w:val="008E374A"/>
    <w:rsid w:val="008E3A27"/>
    <w:rsid w:val="008E3CCD"/>
    <w:rsid w:val="008E429D"/>
    <w:rsid w:val="008E4802"/>
    <w:rsid w:val="008E4AE9"/>
    <w:rsid w:val="008E4C30"/>
    <w:rsid w:val="008E4C89"/>
    <w:rsid w:val="008E4CA0"/>
    <w:rsid w:val="008E51AF"/>
    <w:rsid w:val="008E547C"/>
    <w:rsid w:val="008E548A"/>
    <w:rsid w:val="008E5E8A"/>
    <w:rsid w:val="008E5F39"/>
    <w:rsid w:val="008E6243"/>
    <w:rsid w:val="008E6330"/>
    <w:rsid w:val="008E64E1"/>
    <w:rsid w:val="008E6828"/>
    <w:rsid w:val="008E6B65"/>
    <w:rsid w:val="008E6CC4"/>
    <w:rsid w:val="008E6F90"/>
    <w:rsid w:val="008E70EE"/>
    <w:rsid w:val="008E74A2"/>
    <w:rsid w:val="008E7505"/>
    <w:rsid w:val="008E755E"/>
    <w:rsid w:val="008E76D3"/>
    <w:rsid w:val="008E7A56"/>
    <w:rsid w:val="008E7F83"/>
    <w:rsid w:val="008F0382"/>
    <w:rsid w:val="008F0BC7"/>
    <w:rsid w:val="008F1B57"/>
    <w:rsid w:val="008F1C5D"/>
    <w:rsid w:val="008F232F"/>
    <w:rsid w:val="008F25C5"/>
    <w:rsid w:val="008F291C"/>
    <w:rsid w:val="008F2A9E"/>
    <w:rsid w:val="008F2B3A"/>
    <w:rsid w:val="008F2C6F"/>
    <w:rsid w:val="008F2CA6"/>
    <w:rsid w:val="008F2F12"/>
    <w:rsid w:val="008F313C"/>
    <w:rsid w:val="008F32F1"/>
    <w:rsid w:val="008F3371"/>
    <w:rsid w:val="008F3858"/>
    <w:rsid w:val="008F3F1E"/>
    <w:rsid w:val="008F452E"/>
    <w:rsid w:val="008F4715"/>
    <w:rsid w:val="008F4B82"/>
    <w:rsid w:val="008F4FA9"/>
    <w:rsid w:val="008F5A4D"/>
    <w:rsid w:val="008F5AF0"/>
    <w:rsid w:val="008F60A8"/>
    <w:rsid w:val="008F61B4"/>
    <w:rsid w:val="008F61D2"/>
    <w:rsid w:val="008F6631"/>
    <w:rsid w:val="008F6B21"/>
    <w:rsid w:val="008F6DE4"/>
    <w:rsid w:val="008F71C7"/>
    <w:rsid w:val="008F744B"/>
    <w:rsid w:val="008F784C"/>
    <w:rsid w:val="008F7A3A"/>
    <w:rsid w:val="008F7A56"/>
    <w:rsid w:val="008F7AB5"/>
    <w:rsid w:val="008F7C0A"/>
    <w:rsid w:val="008F7C16"/>
    <w:rsid w:val="008F7CA9"/>
    <w:rsid w:val="009006A6"/>
    <w:rsid w:val="009009BC"/>
    <w:rsid w:val="00900B67"/>
    <w:rsid w:val="00900D32"/>
    <w:rsid w:val="00900DD4"/>
    <w:rsid w:val="009016BA"/>
    <w:rsid w:val="009016D7"/>
    <w:rsid w:val="009018E1"/>
    <w:rsid w:val="00901A4F"/>
    <w:rsid w:val="00901C0C"/>
    <w:rsid w:val="00901C31"/>
    <w:rsid w:val="00901FAF"/>
    <w:rsid w:val="0090241B"/>
    <w:rsid w:val="009024A7"/>
    <w:rsid w:val="00903AC3"/>
    <w:rsid w:val="00903B3F"/>
    <w:rsid w:val="00903FB8"/>
    <w:rsid w:val="0090412E"/>
    <w:rsid w:val="009044E0"/>
    <w:rsid w:val="00904536"/>
    <w:rsid w:val="0090478A"/>
    <w:rsid w:val="00904961"/>
    <w:rsid w:val="00904A03"/>
    <w:rsid w:val="009055F4"/>
    <w:rsid w:val="00905B90"/>
    <w:rsid w:val="00905E8D"/>
    <w:rsid w:val="00905F9A"/>
    <w:rsid w:val="009063EB"/>
    <w:rsid w:val="0090653B"/>
    <w:rsid w:val="00906BFF"/>
    <w:rsid w:val="00907747"/>
    <w:rsid w:val="009078D9"/>
    <w:rsid w:val="00907E90"/>
    <w:rsid w:val="0091025A"/>
    <w:rsid w:val="009102A7"/>
    <w:rsid w:val="00911880"/>
    <w:rsid w:val="00911D86"/>
    <w:rsid w:val="00911EF1"/>
    <w:rsid w:val="0091234C"/>
    <w:rsid w:val="009124A1"/>
    <w:rsid w:val="009126B9"/>
    <w:rsid w:val="00912944"/>
    <w:rsid w:val="00912F5F"/>
    <w:rsid w:val="00912F8C"/>
    <w:rsid w:val="00913028"/>
    <w:rsid w:val="009130FB"/>
    <w:rsid w:val="00913117"/>
    <w:rsid w:val="0091336A"/>
    <w:rsid w:val="00913479"/>
    <w:rsid w:val="00913989"/>
    <w:rsid w:val="00913AE0"/>
    <w:rsid w:val="00913BB8"/>
    <w:rsid w:val="009140EC"/>
    <w:rsid w:val="00914418"/>
    <w:rsid w:val="009144B5"/>
    <w:rsid w:val="00914584"/>
    <w:rsid w:val="009146F6"/>
    <w:rsid w:val="0091499E"/>
    <w:rsid w:val="00914DE6"/>
    <w:rsid w:val="00914F60"/>
    <w:rsid w:val="00915507"/>
    <w:rsid w:val="00915863"/>
    <w:rsid w:val="00915D93"/>
    <w:rsid w:val="00915DBA"/>
    <w:rsid w:val="0091609A"/>
    <w:rsid w:val="00916317"/>
    <w:rsid w:val="009164EC"/>
    <w:rsid w:val="009166FA"/>
    <w:rsid w:val="00916ED7"/>
    <w:rsid w:val="009175AB"/>
    <w:rsid w:val="00917DE1"/>
    <w:rsid w:val="00917DEE"/>
    <w:rsid w:val="009201AB"/>
    <w:rsid w:val="00920439"/>
    <w:rsid w:val="00920B8E"/>
    <w:rsid w:val="00921107"/>
    <w:rsid w:val="00921355"/>
    <w:rsid w:val="009213A2"/>
    <w:rsid w:val="00921525"/>
    <w:rsid w:val="009215E8"/>
    <w:rsid w:val="00921CCA"/>
    <w:rsid w:val="00922C1B"/>
    <w:rsid w:val="00922E70"/>
    <w:rsid w:val="00922ECC"/>
    <w:rsid w:val="0092300E"/>
    <w:rsid w:val="009241A3"/>
    <w:rsid w:val="00924323"/>
    <w:rsid w:val="00924433"/>
    <w:rsid w:val="00925044"/>
    <w:rsid w:val="0092516F"/>
    <w:rsid w:val="009251D9"/>
    <w:rsid w:val="00925515"/>
    <w:rsid w:val="00926150"/>
    <w:rsid w:val="009269AC"/>
    <w:rsid w:val="00926A89"/>
    <w:rsid w:val="00926E69"/>
    <w:rsid w:val="00927166"/>
    <w:rsid w:val="009272CD"/>
    <w:rsid w:val="00927610"/>
    <w:rsid w:val="00927978"/>
    <w:rsid w:val="00927A65"/>
    <w:rsid w:val="00927D25"/>
    <w:rsid w:val="00927E26"/>
    <w:rsid w:val="00927E95"/>
    <w:rsid w:val="00930813"/>
    <w:rsid w:val="00930D72"/>
    <w:rsid w:val="00930EF7"/>
    <w:rsid w:val="0093125C"/>
    <w:rsid w:val="009317B8"/>
    <w:rsid w:val="009319D5"/>
    <w:rsid w:val="00931F45"/>
    <w:rsid w:val="00932093"/>
    <w:rsid w:val="00932378"/>
    <w:rsid w:val="009323C5"/>
    <w:rsid w:val="0093240C"/>
    <w:rsid w:val="009325D3"/>
    <w:rsid w:val="009325D6"/>
    <w:rsid w:val="009327D1"/>
    <w:rsid w:val="00932962"/>
    <w:rsid w:val="00932B30"/>
    <w:rsid w:val="00933095"/>
    <w:rsid w:val="009330C6"/>
    <w:rsid w:val="00933664"/>
    <w:rsid w:val="0093390C"/>
    <w:rsid w:val="00933B2C"/>
    <w:rsid w:val="00933DE6"/>
    <w:rsid w:val="00933E33"/>
    <w:rsid w:val="00933FBE"/>
    <w:rsid w:val="0093426D"/>
    <w:rsid w:val="009347F1"/>
    <w:rsid w:val="009348FD"/>
    <w:rsid w:val="00934B87"/>
    <w:rsid w:val="00934BF8"/>
    <w:rsid w:val="00934D18"/>
    <w:rsid w:val="00935433"/>
    <w:rsid w:val="009356C1"/>
    <w:rsid w:val="009360D6"/>
    <w:rsid w:val="00936282"/>
    <w:rsid w:val="00936285"/>
    <w:rsid w:val="00936510"/>
    <w:rsid w:val="0093686F"/>
    <w:rsid w:val="00936892"/>
    <w:rsid w:val="00936E97"/>
    <w:rsid w:val="00936EC2"/>
    <w:rsid w:val="00937F42"/>
    <w:rsid w:val="00937FCE"/>
    <w:rsid w:val="0094037C"/>
    <w:rsid w:val="00940680"/>
    <w:rsid w:val="009406A5"/>
    <w:rsid w:val="0094110D"/>
    <w:rsid w:val="00941336"/>
    <w:rsid w:val="00941537"/>
    <w:rsid w:val="009417D7"/>
    <w:rsid w:val="00941C21"/>
    <w:rsid w:val="009421D3"/>
    <w:rsid w:val="00942896"/>
    <w:rsid w:val="00942A54"/>
    <w:rsid w:val="00942ADD"/>
    <w:rsid w:val="00942CC6"/>
    <w:rsid w:val="00943838"/>
    <w:rsid w:val="00943D24"/>
    <w:rsid w:val="00943EBD"/>
    <w:rsid w:val="009444C9"/>
    <w:rsid w:val="009446D7"/>
    <w:rsid w:val="00944747"/>
    <w:rsid w:val="00944A07"/>
    <w:rsid w:val="00944DC4"/>
    <w:rsid w:val="00944F8A"/>
    <w:rsid w:val="009451D4"/>
    <w:rsid w:val="00945497"/>
    <w:rsid w:val="009456C9"/>
    <w:rsid w:val="009458D3"/>
    <w:rsid w:val="00945E92"/>
    <w:rsid w:val="00946121"/>
    <w:rsid w:val="009465EE"/>
    <w:rsid w:val="009466EE"/>
    <w:rsid w:val="0094698E"/>
    <w:rsid w:val="00947076"/>
    <w:rsid w:val="009479C2"/>
    <w:rsid w:val="00950CDB"/>
    <w:rsid w:val="0095125D"/>
    <w:rsid w:val="0095178A"/>
    <w:rsid w:val="00951850"/>
    <w:rsid w:val="0095187E"/>
    <w:rsid w:val="00951AD7"/>
    <w:rsid w:val="00951C6E"/>
    <w:rsid w:val="00951E80"/>
    <w:rsid w:val="00952214"/>
    <w:rsid w:val="00952246"/>
    <w:rsid w:val="0095300C"/>
    <w:rsid w:val="00953479"/>
    <w:rsid w:val="009534D7"/>
    <w:rsid w:val="00953774"/>
    <w:rsid w:val="00953DCF"/>
    <w:rsid w:val="009543B0"/>
    <w:rsid w:val="00954EFC"/>
    <w:rsid w:val="00955510"/>
    <w:rsid w:val="009555FF"/>
    <w:rsid w:val="00955E6E"/>
    <w:rsid w:val="00956100"/>
    <w:rsid w:val="0095640A"/>
    <w:rsid w:val="00956668"/>
    <w:rsid w:val="009567FF"/>
    <w:rsid w:val="00956EB0"/>
    <w:rsid w:val="009570A9"/>
    <w:rsid w:val="009575E1"/>
    <w:rsid w:val="009578F1"/>
    <w:rsid w:val="00957AA6"/>
    <w:rsid w:val="00957C0E"/>
    <w:rsid w:val="00957C54"/>
    <w:rsid w:val="00957F2A"/>
    <w:rsid w:val="009605E0"/>
    <w:rsid w:val="00960B10"/>
    <w:rsid w:val="00960BC7"/>
    <w:rsid w:val="00960BD8"/>
    <w:rsid w:val="00960C7D"/>
    <w:rsid w:val="009615FF"/>
    <w:rsid w:val="009617C0"/>
    <w:rsid w:val="00961C79"/>
    <w:rsid w:val="00962129"/>
    <w:rsid w:val="00962E18"/>
    <w:rsid w:val="00963184"/>
    <w:rsid w:val="0096321E"/>
    <w:rsid w:val="009632C9"/>
    <w:rsid w:val="009633C5"/>
    <w:rsid w:val="00963633"/>
    <w:rsid w:val="0096397B"/>
    <w:rsid w:val="0096402F"/>
    <w:rsid w:val="009642EC"/>
    <w:rsid w:val="0096433D"/>
    <w:rsid w:val="00964375"/>
    <w:rsid w:val="00964625"/>
    <w:rsid w:val="0096481E"/>
    <w:rsid w:val="00964CDA"/>
    <w:rsid w:val="00964CF7"/>
    <w:rsid w:val="009650C0"/>
    <w:rsid w:val="00965348"/>
    <w:rsid w:val="00965395"/>
    <w:rsid w:val="0096558D"/>
    <w:rsid w:val="009659B8"/>
    <w:rsid w:val="00965C26"/>
    <w:rsid w:val="00965EA8"/>
    <w:rsid w:val="00965FC7"/>
    <w:rsid w:val="009667EE"/>
    <w:rsid w:val="009672B5"/>
    <w:rsid w:val="00967B17"/>
    <w:rsid w:val="00967F4E"/>
    <w:rsid w:val="009703E2"/>
    <w:rsid w:val="009704FB"/>
    <w:rsid w:val="00970965"/>
    <w:rsid w:val="00970B72"/>
    <w:rsid w:val="00970BCC"/>
    <w:rsid w:val="00970DB4"/>
    <w:rsid w:val="00970ECF"/>
    <w:rsid w:val="00971206"/>
    <w:rsid w:val="00971777"/>
    <w:rsid w:val="009717A6"/>
    <w:rsid w:val="00971A41"/>
    <w:rsid w:val="00971B16"/>
    <w:rsid w:val="00971C03"/>
    <w:rsid w:val="009720B6"/>
    <w:rsid w:val="0097241C"/>
    <w:rsid w:val="0097257D"/>
    <w:rsid w:val="00972E8D"/>
    <w:rsid w:val="0097316B"/>
    <w:rsid w:val="0097354A"/>
    <w:rsid w:val="0097371D"/>
    <w:rsid w:val="0097482A"/>
    <w:rsid w:val="00974896"/>
    <w:rsid w:val="009749C8"/>
    <w:rsid w:val="00974AAF"/>
    <w:rsid w:val="00974F0C"/>
    <w:rsid w:val="00974FAA"/>
    <w:rsid w:val="0097525B"/>
    <w:rsid w:val="009752F3"/>
    <w:rsid w:val="00975B0A"/>
    <w:rsid w:val="00975D10"/>
    <w:rsid w:val="00976B28"/>
    <w:rsid w:val="009770CB"/>
    <w:rsid w:val="00977184"/>
    <w:rsid w:val="0097718F"/>
    <w:rsid w:val="00977525"/>
    <w:rsid w:val="009776C0"/>
    <w:rsid w:val="00977FA6"/>
    <w:rsid w:val="009800E1"/>
    <w:rsid w:val="00980201"/>
    <w:rsid w:val="009802C9"/>
    <w:rsid w:val="0098043F"/>
    <w:rsid w:val="009804D2"/>
    <w:rsid w:val="0098075F"/>
    <w:rsid w:val="00980DE6"/>
    <w:rsid w:val="0098104F"/>
    <w:rsid w:val="009810C1"/>
    <w:rsid w:val="009815CE"/>
    <w:rsid w:val="009819B2"/>
    <w:rsid w:val="00981B01"/>
    <w:rsid w:val="00981BEE"/>
    <w:rsid w:val="0098270A"/>
    <w:rsid w:val="00982F13"/>
    <w:rsid w:val="00983172"/>
    <w:rsid w:val="00983510"/>
    <w:rsid w:val="0098377C"/>
    <w:rsid w:val="0098397D"/>
    <w:rsid w:val="00983BDF"/>
    <w:rsid w:val="009841D0"/>
    <w:rsid w:val="00984411"/>
    <w:rsid w:val="0098561C"/>
    <w:rsid w:val="00985ABF"/>
    <w:rsid w:val="00985C69"/>
    <w:rsid w:val="00985F84"/>
    <w:rsid w:val="00986284"/>
    <w:rsid w:val="009869AB"/>
    <w:rsid w:val="00986C8C"/>
    <w:rsid w:val="00987482"/>
    <w:rsid w:val="00987495"/>
    <w:rsid w:val="0098756B"/>
    <w:rsid w:val="009876FD"/>
    <w:rsid w:val="00987FF1"/>
    <w:rsid w:val="00990118"/>
    <w:rsid w:val="009904AB"/>
    <w:rsid w:val="009906FA"/>
    <w:rsid w:val="00990717"/>
    <w:rsid w:val="009908F3"/>
    <w:rsid w:val="00990B56"/>
    <w:rsid w:val="00990FAE"/>
    <w:rsid w:val="00991282"/>
    <w:rsid w:val="00991499"/>
    <w:rsid w:val="009915A7"/>
    <w:rsid w:val="00991685"/>
    <w:rsid w:val="00991943"/>
    <w:rsid w:val="00992214"/>
    <w:rsid w:val="009922A9"/>
    <w:rsid w:val="00992471"/>
    <w:rsid w:val="009925CA"/>
    <w:rsid w:val="009926C2"/>
    <w:rsid w:val="009927FA"/>
    <w:rsid w:val="00992889"/>
    <w:rsid w:val="00992D2F"/>
    <w:rsid w:val="009931AF"/>
    <w:rsid w:val="00993228"/>
    <w:rsid w:val="0099333E"/>
    <w:rsid w:val="00993AA4"/>
    <w:rsid w:val="00993DB4"/>
    <w:rsid w:val="00993F5F"/>
    <w:rsid w:val="009940DF"/>
    <w:rsid w:val="009944FF"/>
    <w:rsid w:val="00994F2D"/>
    <w:rsid w:val="00994FA2"/>
    <w:rsid w:val="00995FD7"/>
    <w:rsid w:val="00995FDC"/>
    <w:rsid w:val="009960FF"/>
    <w:rsid w:val="00996286"/>
    <w:rsid w:val="009966D1"/>
    <w:rsid w:val="00996790"/>
    <w:rsid w:val="009967F2"/>
    <w:rsid w:val="009969BE"/>
    <w:rsid w:val="00996F9F"/>
    <w:rsid w:val="00997790"/>
    <w:rsid w:val="0099782D"/>
    <w:rsid w:val="009A0410"/>
    <w:rsid w:val="009A0CF3"/>
    <w:rsid w:val="009A0EA2"/>
    <w:rsid w:val="009A1714"/>
    <w:rsid w:val="009A174A"/>
    <w:rsid w:val="009A18D4"/>
    <w:rsid w:val="009A19AA"/>
    <w:rsid w:val="009A1BD5"/>
    <w:rsid w:val="009A206D"/>
    <w:rsid w:val="009A2169"/>
    <w:rsid w:val="009A2226"/>
    <w:rsid w:val="009A230F"/>
    <w:rsid w:val="009A283B"/>
    <w:rsid w:val="009A2B6C"/>
    <w:rsid w:val="009A2E38"/>
    <w:rsid w:val="009A30EF"/>
    <w:rsid w:val="009A33C7"/>
    <w:rsid w:val="009A37CF"/>
    <w:rsid w:val="009A38FA"/>
    <w:rsid w:val="009A3C9A"/>
    <w:rsid w:val="009A42F7"/>
    <w:rsid w:val="009A65F9"/>
    <w:rsid w:val="009A66D0"/>
    <w:rsid w:val="009A670C"/>
    <w:rsid w:val="009A6965"/>
    <w:rsid w:val="009A7161"/>
    <w:rsid w:val="009A74EA"/>
    <w:rsid w:val="009A78C4"/>
    <w:rsid w:val="009B01FC"/>
    <w:rsid w:val="009B04E8"/>
    <w:rsid w:val="009B0A0B"/>
    <w:rsid w:val="009B0AD2"/>
    <w:rsid w:val="009B105A"/>
    <w:rsid w:val="009B14FD"/>
    <w:rsid w:val="009B1664"/>
    <w:rsid w:val="009B1BFE"/>
    <w:rsid w:val="009B22A2"/>
    <w:rsid w:val="009B2496"/>
    <w:rsid w:val="009B2773"/>
    <w:rsid w:val="009B2775"/>
    <w:rsid w:val="009B2BDD"/>
    <w:rsid w:val="009B2E89"/>
    <w:rsid w:val="009B2F30"/>
    <w:rsid w:val="009B345E"/>
    <w:rsid w:val="009B380C"/>
    <w:rsid w:val="009B3D47"/>
    <w:rsid w:val="009B3EBF"/>
    <w:rsid w:val="009B420C"/>
    <w:rsid w:val="009B42B7"/>
    <w:rsid w:val="009B43E4"/>
    <w:rsid w:val="009B463A"/>
    <w:rsid w:val="009B4701"/>
    <w:rsid w:val="009B567E"/>
    <w:rsid w:val="009B5B04"/>
    <w:rsid w:val="009B5EE1"/>
    <w:rsid w:val="009B5F7C"/>
    <w:rsid w:val="009B6228"/>
    <w:rsid w:val="009B661B"/>
    <w:rsid w:val="009B6860"/>
    <w:rsid w:val="009B688F"/>
    <w:rsid w:val="009B6A8B"/>
    <w:rsid w:val="009B6B78"/>
    <w:rsid w:val="009B6F76"/>
    <w:rsid w:val="009B7367"/>
    <w:rsid w:val="009B7485"/>
    <w:rsid w:val="009B79F5"/>
    <w:rsid w:val="009B7A14"/>
    <w:rsid w:val="009B7D85"/>
    <w:rsid w:val="009C0241"/>
    <w:rsid w:val="009C09F1"/>
    <w:rsid w:val="009C0C5B"/>
    <w:rsid w:val="009C107C"/>
    <w:rsid w:val="009C1671"/>
    <w:rsid w:val="009C176D"/>
    <w:rsid w:val="009C18D6"/>
    <w:rsid w:val="009C1908"/>
    <w:rsid w:val="009C1EA7"/>
    <w:rsid w:val="009C1EAE"/>
    <w:rsid w:val="009C23C6"/>
    <w:rsid w:val="009C29C8"/>
    <w:rsid w:val="009C2BFD"/>
    <w:rsid w:val="009C2C6C"/>
    <w:rsid w:val="009C2E04"/>
    <w:rsid w:val="009C2E6A"/>
    <w:rsid w:val="009C37F9"/>
    <w:rsid w:val="009C3B66"/>
    <w:rsid w:val="009C3E84"/>
    <w:rsid w:val="009C40FA"/>
    <w:rsid w:val="009C4DC6"/>
    <w:rsid w:val="009C5258"/>
    <w:rsid w:val="009C5293"/>
    <w:rsid w:val="009C52E2"/>
    <w:rsid w:val="009C5537"/>
    <w:rsid w:val="009C5A6A"/>
    <w:rsid w:val="009C5D6A"/>
    <w:rsid w:val="009C65F1"/>
    <w:rsid w:val="009C6945"/>
    <w:rsid w:val="009C6A5F"/>
    <w:rsid w:val="009C6BD3"/>
    <w:rsid w:val="009C7100"/>
    <w:rsid w:val="009C72FE"/>
    <w:rsid w:val="009C73B5"/>
    <w:rsid w:val="009C791E"/>
    <w:rsid w:val="009C797D"/>
    <w:rsid w:val="009C7B61"/>
    <w:rsid w:val="009C7C6A"/>
    <w:rsid w:val="009C7CF0"/>
    <w:rsid w:val="009D0383"/>
    <w:rsid w:val="009D0952"/>
    <w:rsid w:val="009D0C59"/>
    <w:rsid w:val="009D0EB6"/>
    <w:rsid w:val="009D10F2"/>
    <w:rsid w:val="009D12B2"/>
    <w:rsid w:val="009D173D"/>
    <w:rsid w:val="009D17BE"/>
    <w:rsid w:val="009D1822"/>
    <w:rsid w:val="009D18BE"/>
    <w:rsid w:val="009D1B43"/>
    <w:rsid w:val="009D1B60"/>
    <w:rsid w:val="009D1D85"/>
    <w:rsid w:val="009D2990"/>
    <w:rsid w:val="009D2A7C"/>
    <w:rsid w:val="009D2E6B"/>
    <w:rsid w:val="009D3628"/>
    <w:rsid w:val="009D3F76"/>
    <w:rsid w:val="009D3FCF"/>
    <w:rsid w:val="009D463B"/>
    <w:rsid w:val="009D4BA4"/>
    <w:rsid w:val="009D5220"/>
    <w:rsid w:val="009D5305"/>
    <w:rsid w:val="009D5577"/>
    <w:rsid w:val="009D5B77"/>
    <w:rsid w:val="009D6B5D"/>
    <w:rsid w:val="009D6DD7"/>
    <w:rsid w:val="009D6F6B"/>
    <w:rsid w:val="009D714D"/>
    <w:rsid w:val="009D7157"/>
    <w:rsid w:val="009D717A"/>
    <w:rsid w:val="009D7E7B"/>
    <w:rsid w:val="009E01DA"/>
    <w:rsid w:val="009E057C"/>
    <w:rsid w:val="009E060F"/>
    <w:rsid w:val="009E0924"/>
    <w:rsid w:val="009E0EA2"/>
    <w:rsid w:val="009E0F7D"/>
    <w:rsid w:val="009E1389"/>
    <w:rsid w:val="009E1639"/>
    <w:rsid w:val="009E1B2F"/>
    <w:rsid w:val="009E1B53"/>
    <w:rsid w:val="009E1DF2"/>
    <w:rsid w:val="009E214D"/>
    <w:rsid w:val="009E239E"/>
    <w:rsid w:val="009E27D7"/>
    <w:rsid w:val="009E28EC"/>
    <w:rsid w:val="009E315A"/>
    <w:rsid w:val="009E3658"/>
    <w:rsid w:val="009E37BD"/>
    <w:rsid w:val="009E37F2"/>
    <w:rsid w:val="009E3A98"/>
    <w:rsid w:val="009E3F15"/>
    <w:rsid w:val="009E42F8"/>
    <w:rsid w:val="009E4841"/>
    <w:rsid w:val="009E517A"/>
    <w:rsid w:val="009E52E5"/>
    <w:rsid w:val="009E56C4"/>
    <w:rsid w:val="009E5A24"/>
    <w:rsid w:val="009E5E67"/>
    <w:rsid w:val="009E5F01"/>
    <w:rsid w:val="009E610E"/>
    <w:rsid w:val="009E6977"/>
    <w:rsid w:val="009E6AE3"/>
    <w:rsid w:val="009E6C4A"/>
    <w:rsid w:val="009E725E"/>
    <w:rsid w:val="009E746A"/>
    <w:rsid w:val="009E7669"/>
    <w:rsid w:val="009E78E7"/>
    <w:rsid w:val="009E7962"/>
    <w:rsid w:val="009E7983"/>
    <w:rsid w:val="009E7A89"/>
    <w:rsid w:val="009F01DD"/>
    <w:rsid w:val="009F0CD2"/>
    <w:rsid w:val="009F1128"/>
    <w:rsid w:val="009F1AF1"/>
    <w:rsid w:val="009F1CD5"/>
    <w:rsid w:val="009F1EEA"/>
    <w:rsid w:val="009F1FA9"/>
    <w:rsid w:val="009F2921"/>
    <w:rsid w:val="009F2C12"/>
    <w:rsid w:val="009F2E31"/>
    <w:rsid w:val="009F3029"/>
    <w:rsid w:val="009F3362"/>
    <w:rsid w:val="009F34A2"/>
    <w:rsid w:val="009F3923"/>
    <w:rsid w:val="009F3C2A"/>
    <w:rsid w:val="009F3CA2"/>
    <w:rsid w:val="009F3F1F"/>
    <w:rsid w:val="009F43C2"/>
    <w:rsid w:val="009F441A"/>
    <w:rsid w:val="009F4847"/>
    <w:rsid w:val="009F4FB3"/>
    <w:rsid w:val="009F51EF"/>
    <w:rsid w:val="009F590D"/>
    <w:rsid w:val="009F5D38"/>
    <w:rsid w:val="009F6567"/>
    <w:rsid w:val="009F6BB9"/>
    <w:rsid w:val="009F71D1"/>
    <w:rsid w:val="009F74B5"/>
    <w:rsid w:val="00A000EE"/>
    <w:rsid w:val="00A00394"/>
    <w:rsid w:val="00A006EB"/>
    <w:rsid w:val="00A00DD6"/>
    <w:rsid w:val="00A0118B"/>
    <w:rsid w:val="00A01659"/>
    <w:rsid w:val="00A01771"/>
    <w:rsid w:val="00A017BA"/>
    <w:rsid w:val="00A01BE1"/>
    <w:rsid w:val="00A01C84"/>
    <w:rsid w:val="00A01C8A"/>
    <w:rsid w:val="00A01E11"/>
    <w:rsid w:val="00A01EFD"/>
    <w:rsid w:val="00A0219B"/>
    <w:rsid w:val="00A023B9"/>
    <w:rsid w:val="00A026DF"/>
    <w:rsid w:val="00A028AB"/>
    <w:rsid w:val="00A02A70"/>
    <w:rsid w:val="00A031B5"/>
    <w:rsid w:val="00A0322B"/>
    <w:rsid w:val="00A03236"/>
    <w:rsid w:val="00A03757"/>
    <w:rsid w:val="00A03A5F"/>
    <w:rsid w:val="00A03C83"/>
    <w:rsid w:val="00A03DB1"/>
    <w:rsid w:val="00A03EB2"/>
    <w:rsid w:val="00A04100"/>
    <w:rsid w:val="00A0464C"/>
    <w:rsid w:val="00A046DD"/>
    <w:rsid w:val="00A04E5B"/>
    <w:rsid w:val="00A04EC7"/>
    <w:rsid w:val="00A04F0B"/>
    <w:rsid w:val="00A0549C"/>
    <w:rsid w:val="00A05755"/>
    <w:rsid w:val="00A0595C"/>
    <w:rsid w:val="00A05BE5"/>
    <w:rsid w:val="00A05DA0"/>
    <w:rsid w:val="00A06178"/>
    <w:rsid w:val="00A0659D"/>
    <w:rsid w:val="00A06641"/>
    <w:rsid w:val="00A066DE"/>
    <w:rsid w:val="00A06BB7"/>
    <w:rsid w:val="00A06F4B"/>
    <w:rsid w:val="00A07314"/>
    <w:rsid w:val="00A075C8"/>
    <w:rsid w:val="00A077E3"/>
    <w:rsid w:val="00A07D0D"/>
    <w:rsid w:val="00A100A6"/>
    <w:rsid w:val="00A10636"/>
    <w:rsid w:val="00A10793"/>
    <w:rsid w:val="00A1083C"/>
    <w:rsid w:val="00A10840"/>
    <w:rsid w:val="00A10B65"/>
    <w:rsid w:val="00A10C4F"/>
    <w:rsid w:val="00A10C66"/>
    <w:rsid w:val="00A1108F"/>
    <w:rsid w:val="00A1163C"/>
    <w:rsid w:val="00A11A09"/>
    <w:rsid w:val="00A11CDE"/>
    <w:rsid w:val="00A11E27"/>
    <w:rsid w:val="00A12292"/>
    <w:rsid w:val="00A12856"/>
    <w:rsid w:val="00A12B9F"/>
    <w:rsid w:val="00A12C66"/>
    <w:rsid w:val="00A13381"/>
    <w:rsid w:val="00A13F28"/>
    <w:rsid w:val="00A141AC"/>
    <w:rsid w:val="00A141E5"/>
    <w:rsid w:val="00A14647"/>
    <w:rsid w:val="00A14677"/>
    <w:rsid w:val="00A14A3B"/>
    <w:rsid w:val="00A15581"/>
    <w:rsid w:val="00A15721"/>
    <w:rsid w:val="00A1593F"/>
    <w:rsid w:val="00A15B57"/>
    <w:rsid w:val="00A15FB4"/>
    <w:rsid w:val="00A16085"/>
    <w:rsid w:val="00A1735B"/>
    <w:rsid w:val="00A177D8"/>
    <w:rsid w:val="00A17888"/>
    <w:rsid w:val="00A1798B"/>
    <w:rsid w:val="00A20334"/>
    <w:rsid w:val="00A2041E"/>
    <w:rsid w:val="00A20AC5"/>
    <w:rsid w:val="00A20BCB"/>
    <w:rsid w:val="00A20D6A"/>
    <w:rsid w:val="00A20E2A"/>
    <w:rsid w:val="00A2116E"/>
    <w:rsid w:val="00A21382"/>
    <w:rsid w:val="00A2144E"/>
    <w:rsid w:val="00A21CAE"/>
    <w:rsid w:val="00A21F10"/>
    <w:rsid w:val="00A21F92"/>
    <w:rsid w:val="00A22065"/>
    <w:rsid w:val="00A2274E"/>
    <w:rsid w:val="00A22ADA"/>
    <w:rsid w:val="00A22F72"/>
    <w:rsid w:val="00A230EB"/>
    <w:rsid w:val="00A23E90"/>
    <w:rsid w:val="00A23F26"/>
    <w:rsid w:val="00A242A8"/>
    <w:rsid w:val="00A24413"/>
    <w:rsid w:val="00A2483B"/>
    <w:rsid w:val="00A24AE8"/>
    <w:rsid w:val="00A24B3D"/>
    <w:rsid w:val="00A25009"/>
    <w:rsid w:val="00A2513B"/>
    <w:rsid w:val="00A2519A"/>
    <w:rsid w:val="00A2535C"/>
    <w:rsid w:val="00A2536F"/>
    <w:rsid w:val="00A25466"/>
    <w:rsid w:val="00A257F5"/>
    <w:rsid w:val="00A25899"/>
    <w:rsid w:val="00A25C0E"/>
    <w:rsid w:val="00A25E2B"/>
    <w:rsid w:val="00A2609F"/>
    <w:rsid w:val="00A26194"/>
    <w:rsid w:val="00A263F4"/>
    <w:rsid w:val="00A26917"/>
    <w:rsid w:val="00A269A2"/>
    <w:rsid w:val="00A26AF6"/>
    <w:rsid w:val="00A26D1B"/>
    <w:rsid w:val="00A26ECF"/>
    <w:rsid w:val="00A270B1"/>
    <w:rsid w:val="00A2738F"/>
    <w:rsid w:val="00A2752D"/>
    <w:rsid w:val="00A27A3E"/>
    <w:rsid w:val="00A27D3E"/>
    <w:rsid w:val="00A27D88"/>
    <w:rsid w:val="00A3070A"/>
    <w:rsid w:val="00A307A9"/>
    <w:rsid w:val="00A30AA7"/>
    <w:rsid w:val="00A30AF9"/>
    <w:rsid w:val="00A30DB3"/>
    <w:rsid w:val="00A3106F"/>
    <w:rsid w:val="00A31A43"/>
    <w:rsid w:val="00A31AB6"/>
    <w:rsid w:val="00A31C8C"/>
    <w:rsid w:val="00A31E01"/>
    <w:rsid w:val="00A31F46"/>
    <w:rsid w:val="00A3228D"/>
    <w:rsid w:val="00A32C4D"/>
    <w:rsid w:val="00A32EA4"/>
    <w:rsid w:val="00A3341E"/>
    <w:rsid w:val="00A335CE"/>
    <w:rsid w:val="00A336D7"/>
    <w:rsid w:val="00A33D85"/>
    <w:rsid w:val="00A34042"/>
    <w:rsid w:val="00A34319"/>
    <w:rsid w:val="00A344A6"/>
    <w:rsid w:val="00A34AE2"/>
    <w:rsid w:val="00A34CFC"/>
    <w:rsid w:val="00A34EC0"/>
    <w:rsid w:val="00A34EC2"/>
    <w:rsid w:val="00A34F73"/>
    <w:rsid w:val="00A35F60"/>
    <w:rsid w:val="00A36125"/>
    <w:rsid w:val="00A361F1"/>
    <w:rsid w:val="00A3673D"/>
    <w:rsid w:val="00A367DB"/>
    <w:rsid w:val="00A36838"/>
    <w:rsid w:val="00A3689E"/>
    <w:rsid w:val="00A36FA5"/>
    <w:rsid w:val="00A37405"/>
    <w:rsid w:val="00A37A57"/>
    <w:rsid w:val="00A37B3F"/>
    <w:rsid w:val="00A37EC3"/>
    <w:rsid w:val="00A403E9"/>
    <w:rsid w:val="00A405AD"/>
    <w:rsid w:val="00A405C1"/>
    <w:rsid w:val="00A405E1"/>
    <w:rsid w:val="00A406DC"/>
    <w:rsid w:val="00A40D46"/>
    <w:rsid w:val="00A41119"/>
    <w:rsid w:val="00A4113B"/>
    <w:rsid w:val="00A4123A"/>
    <w:rsid w:val="00A41361"/>
    <w:rsid w:val="00A418B0"/>
    <w:rsid w:val="00A42424"/>
    <w:rsid w:val="00A42F5E"/>
    <w:rsid w:val="00A43314"/>
    <w:rsid w:val="00A4347E"/>
    <w:rsid w:val="00A43805"/>
    <w:rsid w:val="00A4381E"/>
    <w:rsid w:val="00A43ED5"/>
    <w:rsid w:val="00A443D9"/>
    <w:rsid w:val="00A44725"/>
    <w:rsid w:val="00A44964"/>
    <w:rsid w:val="00A44DCF"/>
    <w:rsid w:val="00A4513E"/>
    <w:rsid w:val="00A45F93"/>
    <w:rsid w:val="00A45FD2"/>
    <w:rsid w:val="00A46021"/>
    <w:rsid w:val="00A461EE"/>
    <w:rsid w:val="00A4630E"/>
    <w:rsid w:val="00A4642D"/>
    <w:rsid w:val="00A46549"/>
    <w:rsid w:val="00A465E4"/>
    <w:rsid w:val="00A469FA"/>
    <w:rsid w:val="00A46CE9"/>
    <w:rsid w:val="00A470A1"/>
    <w:rsid w:val="00A4736E"/>
    <w:rsid w:val="00A4758A"/>
    <w:rsid w:val="00A477EC"/>
    <w:rsid w:val="00A47C0B"/>
    <w:rsid w:val="00A47DE3"/>
    <w:rsid w:val="00A504AE"/>
    <w:rsid w:val="00A50744"/>
    <w:rsid w:val="00A50880"/>
    <w:rsid w:val="00A50963"/>
    <w:rsid w:val="00A50B13"/>
    <w:rsid w:val="00A51568"/>
    <w:rsid w:val="00A5157E"/>
    <w:rsid w:val="00A51780"/>
    <w:rsid w:val="00A51A91"/>
    <w:rsid w:val="00A51E27"/>
    <w:rsid w:val="00A5227A"/>
    <w:rsid w:val="00A5231D"/>
    <w:rsid w:val="00A526B7"/>
    <w:rsid w:val="00A5271A"/>
    <w:rsid w:val="00A52807"/>
    <w:rsid w:val="00A5297C"/>
    <w:rsid w:val="00A52C70"/>
    <w:rsid w:val="00A52F93"/>
    <w:rsid w:val="00A52FC6"/>
    <w:rsid w:val="00A533E9"/>
    <w:rsid w:val="00A53D79"/>
    <w:rsid w:val="00A53E51"/>
    <w:rsid w:val="00A54531"/>
    <w:rsid w:val="00A54DE9"/>
    <w:rsid w:val="00A55329"/>
    <w:rsid w:val="00A55A52"/>
    <w:rsid w:val="00A55DE0"/>
    <w:rsid w:val="00A56115"/>
    <w:rsid w:val="00A5616F"/>
    <w:rsid w:val="00A562DF"/>
    <w:rsid w:val="00A563EF"/>
    <w:rsid w:val="00A564A6"/>
    <w:rsid w:val="00A56510"/>
    <w:rsid w:val="00A56CFC"/>
    <w:rsid w:val="00A56DED"/>
    <w:rsid w:val="00A577C8"/>
    <w:rsid w:val="00A57D42"/>
    <w:rsid w:val="00A6011A"/>
    <w:rsid w:val="00A60647"/>
    <w:rsid w:val="00A60BBB"/>
    <w:rsid w:val="00A60C83"/>
    <w:rsid w:val="00A60CB3"/>
    <w:rsid w:val="00A60DAC"/>
    <w:rsid w:val="00A6123A"/>
    <w:rsid w:val="00A61841"/>
    <w:rsid w:val="00A6285E"/>
    <w:rsid w:val="00A62C51"/>
    <w:rsid w:val="00A636AA"/>
    <w:rsid w:val="00A63954"/>
    <w:rsid w:val="00A63A99"/>
    <w:rsid w:val="00A63DE3"/>
    <w:rsid w:val="00A63ED0"/>
    <w:rsid w:val="00A6466B"/>
    <w:rsid w:val="00A64CF2"/>
    <w:rsid w:val="00A64D75"/>
    <w:rsid w:val="00A6520E"/>
    <w:rsid w:val="00A654A6"/>
    <w:rsid w:val="00A656B4"/>
    <w:rsid w:val="00A6584D"/>
    <w:rsid w:val="00A65E6F"/>
    <w:rsid w:val="00A65F1E"/>
    <w:rsid w:val="00A66534"/>
    <w:rsid w:val="00A66938"/>
    <w:rsid w:val="00A66DA3"/>
    <w:rsid w:val="00A66FDA"/>
    <w:rsid w:val="00A67A8D"/>
    <w:rsid w:val="00A67F00"/>
    <w:rsid w:val="00A71794"/>
    <w:rsid w:val="00A71CBB"/>
    <w:rsid w:val="00A71CE5"/>
    <w:rsid w:val="00A723D9"/>
    <w:rsid w:val="00A72499"/>
    <w:rsid w:val="00A725A6"/>
    <w:rsid w:val="00A72F94"/>
    <w:rsid w:val="00A73073"/>
    <w:rsid w:val="00A730FB"/>
    <w:rsid w:val="00A73682"/>
    <w:rsid w:val="00A7394A"/>
    <w:rsid w:val="00A739AD"/>
    <w:rsid w:val="00A73AC2"/>
    <w:rsid w:val="00A746F1"/>
    <w:rsid w:val="00A74A67"/>
    <w:rsid w:val="00A74FF2"/>
    <w:rsid w:val="00A751FE"/>
    <w:rsid w:val="00A75856"/>
    <w:rsid w:val="00A7591C"/>
    <w:rsid w:val="00A75E24"/>
    <w:rsid w:val="00A75EB6"/>
    <w:rsid w:val="00A76192"/>
    <w:rsid w:val="00A7644A"/>
    <w:rsid w:val="00A76986"/>
    <w:rsid w:val="00A769D0"/>
    <w:rsid w:val="00A770EE"/>
    <w:rsid w:val="00A7710A"/>
    <w:rsid w:val="00A77232"/>
    <w:rsid w:val="00A775BB"/>
    <w:rsid w:val="00A7762B"/>
    <w:rsid w:val="00A7791B"/>
    <w:rsid w:val="00A77986"/>
    <w:rsid w:val="00A77B52"/>
    <w:rsid w:val="00A77B5C"/>
    <w:rsid w:val="00A77BB5"/>
    <w:rsid w:val="00A77EB1"/>
    <w:rsid w:val="00A803AE"/>
    <w:rsid w:val="00A803CB"/>
    <w:rsid w:val="00A8076F"/>
    <w:rsid w:val="00A80964"/>
    <w:rsid w:val="00A80AA9"/>
    <w:rsid w:val="00A8169A"/>
    <w:rsid w:val="00A81935"/>
    <w:rsid w:val="00A81A64"/>
    <w:rsid w:val="00A81E93"/>
    <w:rsid w:val="00A81F1B"/>
    <w:rsid w:val="00A8227E"/>
    <w:rsid w:val="00A822C5"/>
    <w:rsid w:val="00A82577"/>
    <w:rsid w:val="00A82B22"/>
    <w:rsid w:val="00A82BAB"/>
    <w:rsid w:val="00A82CFD"/>
    <w:rsid w:val="00A83111"/>
    <w:rsid w:val="00A83260"/>
    <w:rsid w:val="00A833C1"/>
    <w:rsid w:val="00A8354A"/>
    <w:rsid w:val="00A8361C"/>
    <w:rsid w:val="00A83D9E"/>
    <w:rsid w:val="00A83E09"/>
    <w:rsid w:val="00A83EB4"/>
    <w:rsid w:val="00A84047"/>
    <w:rsid w:val="00A841C5"/>
    <w:rsid w:val="00A845BA"/>
    <w:rsid w:val="00A845F5"/>
    <w:rsid w:val="00A84D18"/>
    <w:rsid w:val="00A85149"/>
    <w:rsid w:val="00A855AA"/>
    <w:rsid w:val="00A85982"/>
    <w:rsid w:val="00A85BAA"/>
    <w:rsid w:val="00A85C17"/>
    <w:rsid w:val="00A862E2"/>
    <w:rsid w:val="00A86315"/>
    <w:rsid w:val="00A864C3"/>
    <w:rsid w:val="00A86A5B"/>
    <w:rsid w:val="00A86B0E"/>
    <w:rsid w:val="00A8740D"/>
    <w:rsid w:val="00A878CF"/>
    <w:rsid w:val="00A87F77"/>
    <w:rsid w:val="00A90123"/>
    <w:rsid w:val="00A90369"/>
    <w:rsid w:val="00A9047E"/>
    <w:rsid w:val="00A9062B"/>
    <w:rsid w:val="00A909D3"/>
    <w:rsid w:val="00A90E0C"/>
    <w:rsid w:val="00A90E6E"/>
    <w:rsid w:val="00A90EAE"/>
    <w:rsid w:val="00A91064"/>
    <w:rsid w:val="00A9141B"/>
    <w:rsid w:val="00A91510"/>
    <w:rsid w:val="00A91688"/>
    <w:rsid w:val="00A916ED"/>
    <w:rsid w:val="00A91938"/>
    <w:rsid w:val="00A91ACE"/>
    <w:rsid w:val="00A91CF7"/>
    <w:rsid w:val="00A91D92"/>
    <w:rsid w:val="00A92001"/>
    <w:rsid w:val="00A9290F"/>
    <w:rsid w:val="00A92B88"/>
    <w:rsid w:val="00A934C1"/>
    <w:rsid w:val="00A9355B"/>
    <w:rsid w:val="00A93A21"/>
    <w:rsid w:val="00A93EFF"/>
    <w:rsid w:val="00A9456B"/>
    <w:rsid w:val="00A947B9"/>
    <w:rsid w:val="00A9493B"/>
    <w:rsid w:val="00A95170"/>
    <w:rsid w:val="00A951DB"/>
    <w:rsid w:val="00A9526E"/>
    <w:rsid w:val="00A95C77"/>
    <w:rsid w:val="00A95D2F"/>
    <w:rsid w:val="00A96134"/>
    <w:rsid w:val="00A96AEF"/>
    <w:rsid w:val="00A96CB3"/>
    <w:rsid w:val="00A96E4F"/>
    <w:rsid w:val="00A972DA"/>
    <w:rsid w:val="00A972FF"/>
    <w:rsid w:val="00A9736E"/>
    <w:rsid w:val="00A9767B"/>
    <w:rsid w:val="00A97AAA"/>
    <w:rsid w:val="00A97ACA"/>
    <w:rsid w:val="00A97B03"/>
    <w:rsid w:val="00A97B53"/>
    <w:rsid w:val="00A97DF8"/>
    <w:rsid w:val="00AA01D4"/>
    <w:rsid w:val="00AA02F8"/>
    <w:rsid w:val="00AA0A1B"/>
    <w:rsid w:val="00AA111C"/>
    <w:rsid w:val="00AA1452"/>
    <w:rsid w:val="00AA16EF"/>
    <w:rsid w:val="00AA173F"/>
    <w:rsid w:val="00AA1FC5"/>
    <w:rsid w:val="00AA217C"/>
    <w:rsid w:val="00AA22FC"/>
    <w:rsid w:val="00AA271E"/>
    <w:rsid w:val="00AA292A"/>
    <w:rsid w:val="00AA2984"/>
    <w:rsid w:val="00AA2C1D"/>
    <w:rsid w:val="00AA3557"/>
    <w:rsid w:val="00AA367F"/>
    <w:rsid w:val="00AA4085"/>
    <w:rsid w:val="00AA46CB"/>
    <w:rsid w:val="00AA4B35"/>
    <w:rsid w:val="00AA4FBC"/>
    <w:rsid w:val="00AA59C4"/>
    <w:rsid w:val="00AA5A80"/>
    <w:rsid w:val="00AA5C6A"/>
    <w:rsid w:val="00AA643F"/>
    <w:rsid w:val="00AA6483"/>
    <w:rsid w:val="00AA6725"/>
    <w:rsid w:val="00AA6C1C"/>
    <w:rsid w:val="00AA7057"/>
    <w:rsid w:val="00AA73EC"/>
    <w:rsid w:val="00AA7563"/>
    <w:rsid w:val="00AA7582"/>
    <w:rsid w:val="00AA7C12"/>
    <w:rsid w:val="00AA7DBD"/>
    <w:rsid w:val="00AA7EBA"/>
    <w:rsid w:val="00AB00E4"/>
    <w:rsid w:val="00AB0683"/>
    <w:rsid w:val="00AB0BC8"/>
    <w:rsid w:val="00AB0C75"/>
    <w:rsid w:val="00AB166F"/>
    <w:rsid w:val="00AB179B"/>
    <w:rsid w:val="00AB197C"/>
    <w:rsid w:val="00AB199E"/>
    <w:rsid w:val="00AB2575"/>
    <w:rsid w:val="00AB2671"/>
    <w:rsid w:val="00AB27F5"/>
    <w:rsid w:val="00AB2850"/>
    <w:rsid w:val="00AB2DA9"/>
    <w:rsid w:val="00AB4247"/>
    <w:rsid w:val="00AB46FB"/>
    <w:rsid w:val="00AB4883"/>
    <w:rsid w:val="00AB49D3"/>
    <w:rsid w:val="00AB4A04"/>
    <w:rsid w:val="00AB4AD7"/>
    <w:rsid w:val="00AB5052"/>
    <w:rsid w:val="00AB5560"/>
    <w:rsid w:val="00AB559A"/>
    <w:rsid w:val="00AB5AF3"/>
    <w:rsid w:val="00AB5E75"/>
    <w:rsid w:val="00AB610A"/>
    <w:rsid w:val="00AB6364"/>
    <w:rsid w:val="00AB6460"/>
    <w:rsid w:val="00AB66B1"/>
    <w:rsid w:val="00AB6A4E"/>
    <w:rsid w:val="00AB6AEB"/>
    <w:rsid w:val="00AB7007"/>
    <w:rsid w:val="00AB72A1"/>
    <w:rsid w:val="00AC0233"/>
    <w:rsid w:val="00AC02F6"/>
    <w:rsid w:val="00AC0350"/>
    <w:rsid w:val="00AC047B"/>
    <w:rsid w:val="00AC0726"/>
    <w:rsid w:val="00AC07A3"/>
    <w:rsid w:val="00AC0AA8"/>
    <w:rsid w:val="00AC0ED9"/>
    <w:rsid w:val="00AC148D"/>
    <w:rsid w:val="00AC1687"/>
    <w:rsid w:val="00AC1AD5"/>
    <w:rsid w:val="00AC1F10"/>
    <w:rsid w:val="00AC21B1"/>
    <w:rsid w:val="00AC2380"/>
    <w:rsid w:val="00AC23D8"/>
    <w:rsid w:val="00AC2F1A"/>
    <w:rsid w:val="00AC30B0"/>
    <w:rsid w:val="00AC320E"/>
    <w:rsid w:val="00AC32F5"/>
    <w:rsid w:val="00AC33BF"/>
    <w:rsid w:val="00AC3557"/>
    <w:rsid w:val="00AC3A5D"/>
    <w:rsid w:val="00AC3AA5"/>
    <w:rsid w:val="00AC3B00"/>
    <w:rsid w:val="00AC3C9A"/>
    <w:rsid w:val="00AC3F05"/>
    <w:rsid w:val="00AC4388"/>
    <w:rsid w:val="00AC45CF"/>
    <w:rsid w:val="00AC466C"/>
    <w:rsid w:val="00AC4DCE"/>
    <w:rsid w:val="00AC5777"/>
    <w:rsid w:val="00AC58FC"/>
    <w:rsid w:val="00AC5BFB"/>
    <w:rsid w:val="00AC5D10"/>
    <w:rsid w:val="00AC6874"/>
    <w:rsid w:val="00AC761A"/>
    <w:rsid w:val="00AC7819"/>
    <w:rsid w:val="00AC7B94"/>
    <w:rsid w:val="00AC7C1C"/>
    <w:rsid w:val="00AC7D76"/>
    <w:rsid w:val="00AD0027"/>
    <w:rsid w:val="00AD035D"/>
    <w:rsid w:val="00AD0C81"/>
    <w:rsid w:val="00AD0E1E"/>
    <w:rsid w:val="00AD0FCE"/>
    <w:rsid w:val="00AD148F"/>
    <w:rsid w:val="00AD1645"/>
    <w:rsid w:val="00AD1A34"/>
    <w:rsid w:val="00AD1D41"/>
    <w:rsid w:val="00AD234A"/>
    <w:rsid w:val="00AD267C"/>
    <w:rsid w:val="00AD2C8B"/>
    <w:rsid w:val="00AD3174"/>
    <w:rsid w:val="00AD3B6B"/>
    <w:rsid w:val="00AD41F3"/>
    <w:rsid w:val="00AD42E8"/>
    <w:rsid w:val="00AD48BE"/>
    <w:rsid w:val="00AD49FE"/>
    <w:rsid w:val="00AD4A79"/>
    <w:rsid w:val="00AD4BAD"/>
    <w:rsid w:val="00AD4C9B"/>
    <w:rsid w:val="00AD4EB0"/>
    <w:rsid w:val="00AD5047"/>
    <w:rsid w:val="00AD5C05"/>
    <w:rsid w:val="00AD5E69"/>
    <w:rsid w:val="00AD6859"/>
    <w:rsid w:val="00AD6907"/>
    <w:rsid w:val="00AD6D6D"/>
    <w:rsid w:val="00AD6E09"/>
    <w:rsid w:val="00AD6F88"/>
    <w:rsid w:val="00AD7043"/>
    <w:rsid w:val="00AD7148"/>
    <w:rsid w:val="00AD7260"/>
    <w:rsid w:val="00AD76EA"/>
    <w:rsid w:val="00AD7834"/>
    <w:rsid w:val="00AD7AA1"/>
    <w:rsid w:val="00AD7BAB"/>
    <w:rsid w:val="00AE01C1"/>
    <w:rsid w:val="00AE02A2"/>
    <w:rsid w:val="00AE1000"/>
    <w:rsid w:val="00AE1622"/>
    <w:rsid w:val="00AE16EC"/>
    <w:rsid w:val="00AE1AA6"/>
    <w:rsid w:val="00AE1D53"/>
    <w:rsid w:val="00AE1ECD"/>
    <w:rsid w:val="00AE2340"/>
    <w:rsid w:val="00AE2474"/>
    <w:rsid w:val="00AE2D0C"/>
    <w:rsid w:val="00AE2E9B"/>
    <w:rsid w:val="00AE2F1A"/>
    <w:rsid w:val="00AE3254"/>
    <w:rsid w:val="00AE4190"/>
    <w:rsid w:val="00AE47AB"/>
    <w:rsid w:val="00AE47F7"/>
    <w:rsid w:val="00AE4B36"/>
    <w:rsid w:val="00AE4C34"/>
    <w:rsid w:val="00AE50ED"/>
    <w:rsid w:val="00AE518C"/>
    <w:rsid w:val="00AE543F"/>
    <w:rsid w:val="00AE61D9"/>
    <w:rsid w:val="00AE6744"/>
    <w:rsid w:val="00AE68B1"/>
    <w:rsid w:val="00AE6A1C"/>
    <w:rsid w:val="00AE730B"/>
    <w:rsid w:val="00AE7AF8"/>
    <w:rsid w:val="00AE7B86"/>
    <w:rsid w:val="00AE7C8F"/>
    <w:rsid w:val="00AE7D25"/>
    <w:rsid w:val="00AE7D8F"/>
    <w:rsid w:val="00AF006F"/>
    <w:rsid w:val="00AF046A"/>
    <w:rsid w:val="00AF09DB"/>
    <w:rsid w:val="00AF09F6"/>
    <w:rsid w:val="00AF0EE1"/>
    <w:rsid w:val="00AF110A"/>
    <w:rsid w:val="00AF1261"/>
    <w:rsid w:val="00AF18F3"/>
    <w:rsid w:val="00AF1951"/>
    <w:rsid w:val="00AF2305"/>
    <w:rsid w:val="00AF2656"/>
    <w:rsid w:val="00AF271D"/>
    <w:rsid w:val="00AF2A26"/>
    <w:rsid w:val="00AF2A93"/>
    <w:rsid w:val="00AF2C13"/>
    <w:rsid w:val="00AF3275"/>
    <w:rsid w:val="00AF34D1"/>
    <w:rsid w:val="00AF3660"/>
    <w:rsid w:val="00AF3833"/>
    <w:rsid w:val="00AF3BE0"/>
    <w:rsid w:val="00AF3DDF"/>
    <w:rsid w:val="00AF43E6"/>
    <w:rsid w:val="00AF46AA"/>
    <w:rsid w:val="00AF4F9D"/>
    <w:rsid w:val="00AF5277"/>
    <w:rsid w:val="00AF59F3"/>
    <w:rsid w:val="00AF5D98"/>
    <w:rsid w:val="00AF6104"/>
    <w:rsid w:val="00AF61FD"/>
    <w:rsid w:val="00AF62AD"/>
    <w:rsid w:val="00AF69A9"/>
    <w:rsid w:val="00AF6C4E"/>
    <w:rsid w:val="00AF6CE3"/>
    <w:rsid w:val="00AF7273"/>
    <w:rsid w:val="00AF7294"/>
    <w:rsid w:val="00AF7307"/>
    <w:rsid w:val="00AF7482"/>
    <w:rsid w:val="00AF7BEC"/>
    <w:rsid w:val="00AF7F5A"/>
    <w:rsid w:val="00B003BC"/>
    <w:rsid w:val="00B00488"/>
    <w:rsid w:val="00B0079A"/>
    <w:rsid w:val="00B01B3E"/>
    <w:rsid w:val="00B01D68"/>
    <w:rsid w:val="00B021B2"/>
    <w:rsid w:val="00B0221A"/>
    <w:rsid w:val="00B02243"/>
    <w:rsid w:val="00B0296E"/>
    <w:rsid w:val="00B02D83"/>
    <w:rsid w:val="00B02E20"/>
    <w:rsid w:val="00B03009"/>
    <w:rsid w:val="00B0302D"/>
    <w:rsid w:val="00B0331A"/>
    <w:rsid w:val="00B0360D"/>
    <w:rsid w:val="00B03889"/>
    <w:rsid w:val="00B03A57"/>
    <w:rsid w:val="00B03C20"/>
    <w:rsid w:val="00B04203"/>
    <w:rsid w:val="00B044C6"/>
    <w:rsid w:val="00B04AAA"/>
    <w:rsid w:val="00B04C63"/>
    <w:rsid w:val="00B04D89"/>
    <w:rsid w:val="00B0503F"/>
    <w:rsid w:val="00B05137"/>
    <w:rsid w:val="00B05898"/>
    <w:rsid w:val="00B05C79"/>
    <w:rsid w:val="00B05F97"/>
    <w:rsid w:val="00B0670F"/>
    <w:rsid w:val="00B067ED"/>
    <w:rsid w:val="00B06900"/>
    <w:rsid w:val="00B069AE"/>
    <w:rsid w:val="00B072C9"/>
    <w:rsid w:val="00B075FE"/>
    <w:rsid w:val="00B07CDE"/>
    <w:rsid w:val="00B07EF0"/>
    <w:rsid w:val="00B10020"/>
    <w:rsid w:val="00B10114"/>
    <w:rsid w:val="00B106A4"/>
    <w:rsid w:val="00B11476"/>
    <w:rsid w:val="00B11A39"/>
    <w:rsid w:val="00B11FF2"/>
    <w:rsid w:val="00B1225F"/>
    <w:rsid w:val="00B12A0E"/>
    <w:rsid w:val="00B12E8E"/>
    <w:rsid w:val="00B13B04"/>
    <w:rsid w:val="00B13BA8"/>
    <w:rsid w:val="00B13D5C"/>
    <w:rsid w:val="00B14278"/>
    <w:rsid w:val="00B145D3"/>
    <w:rsid w:val="00B15627"/>
    <w:rsid w:val="00B15B63"/>
    <w:rsid w:val="00B16035"/>
    <w:rsid w:val="00B160EC"/>
    <w:rsid w:val="00B16249"/>
    <w:rsid w:val="00B16541"/>
    <w:rsid w:val="00B16A22"/>
    <w:rsid w:val="00B1713F"/>
    <w:rsid w:val="00B17981"/>
    <w:rsid w:val="00B17BBD"/>
    <w:rsid w:val="00B17D92"/>
    <w:rsid w:val="00B20060"/>
    <w:rsid w:val="00B20165"/>
    <w:rsid w:val="00B201F6"/>
    <w:rsid w:val="00B208CD"/>
    <w:rsid w:val="00B215FA"/>
    <w:rsid w:val="00B21B58"/>
    <w:rsid w:val="00B21CA7"/>
    <w:rsid w:val="00B22094"/>
    <w:rsid w:val="00B2222C"/>
    <w:rsid w:val="00B22AA6"/>
    <w:rsid w:val="00B22B9A"/>
    <w:rsid w:val="00B22EED"/>
    <w:rsid w:val="00B2346B"/>
    <w:rsid w:val="00B23874"/>
    <w:rsid w:val="00B23958"/>
    <w:rsid w:val="00B239B1"/>
    <w:rsid w:val="00B23BAB"/>
    <w:rsid w:val="00B23E76"/>
    <w:rsid w:val="00B241A2"/>
    <w:rsid w:val="00B247F2"/>
    <w:rsid w:val="00B24C11"/>
    <w:rsid w:val="00B252B7"/>
    <w:rsid w:val="00B252C2"/>
    <w:rsid w:val="00B260F6"/>
    <w:rsid w:val="00B26221"/>
    <w:rsid w:val="00B2640E"/>
    <w:rsid w:val="00B26780"/>
    <w:rsid w:val="00B26C28"/>
    <w:rsid w:val="00B26D3B"/>
    <w:rsid w:val="00B26F0D"/>
    <w:rsid w:val="00B26FAA"/>
    <w:rsid w:val="00B26FE0"/>
    <w:rsid w:val="00B273B8"/>
    <w:rsid w:val="00B273F6"/>
    <w:rsid w:val="00B277D5"/>
    <w:rsid w:val="00B27A34"/>
    <w:rsid w:val="00B27AB6"/>
    <w:rsid w:val="00B27F06"/>
    <w:rsid w:val="00B3045A"/>
    <w:rsid w:val="00B3086C"/>
    <w:rsid w:val="00B30ABB"/>
    <w:rsid w:val="00B31587"/>
    <w:rsid w:val="00B316F0"/>
    <w:rsid w:val="00B31B34"/>
    <w:rsid w:val="00B31BC5"/>
    <w:rsid w:val="00B3242B"/>
    <w:rsid w:val="00B32828"/>
    <w:rsid w:val="00B32AA5"/>
    <w:rsid w:val="00B32AD2"/>
    <w:rsid w:val="00B32BBC"/>
    <w:rsid w:val="00B32CA1"/>
    <w:rsid w:val="00B33057"/>
    <w:rsid w:val="00B331E1"/>
    <w:rsid w:val="00B33357"/>
    <w:rsid w:val="00B334AA"/>
    <w:rsid w:val="00B337A8"/>
    <w:rsid w:val="00B3402F"/>
    <w:rsid w:val="00B34143"/>
    <w:rsid w:val="00B3420D"/>
    <w:rsid w:val="00B3480A"/>
    <w:rsid w:val="00B34CDD"/>
    <w:rsid w:val="00B34F63"/>
    <w:rsid w:val="00B3516E"/>
    <w:rsid w:val="00B3552C"/>
    <w:rsid w:val="00B35670"/>
    <w:rsid w:val="00B35A04"/>
    <w:rsid w:val="00B35D61"/>
    <w:rsid w:val="00B35F9F"/>
    <w:rsid w:val="00B362EB"/>
    <w:rsid w:val="00B36305"/>
    <w:rsid w:val="00B3669A"/>
    <w:rsid w:val="00B36D52"/>
    <w:rsid w:val="00B374FC"/>
    <w:rsid w:val="00B37A1B"/>
    <w:rsid w:val="00B4012B"/>
    <w:rsid w:val="00B404EA"/>
    <w:rsid w:val="00B40751"/>
    <w:rsid w:val="00B40931"/>
    <w:rsid w:val="00B40DC6"/>
    <w:rsid w:val="00B40EDB"/>
    <w:rsid w:val="00B40EEC"/>
    <w:rsid w:val="00B411E4"/>
    <w:rsid w:val="00B41B8E"/>
    <w:rsid w:val="00B41BF2"/>
    <w:rsid w:val="00B41C6D"/>
    <w:rsid w:val="00B41C97"/>
    <w:rsid w:val="00B41D4E"/>
    <w:rsid w:val="00B42782"/>
    <w:rsid w:val="00B42B03"/>
    <w:rsid w:val="00B42CC1"/>
    <w:rsid w:val="00B42CE3"/>
    <w:rsid w:val="00B42CF7"/>
    <w:rsid w:val="00B43126"/>
    <w:rsid w:val="00B433D9"/>
    <w:rsid w:val="00B4340C"/>
    <w:rsid w:val="00B438B1"/>
    <w:rsid w:val="00B43CF3"/>
    <w:rsid w:val="00B440A5"/>
    <w:rsid w:val="00B443A5"/>
    <w:rsid w:val="00B447CB"/>
    <w:rsid w:val="00B44926"/>
    <w:rsid w:val="00B45D74"/>
    <w:rsid w:val="00B460A1"/>
    <w:rsid w:val="00B4676F"/>
    <w:rsid w:val="00B47176"/>
    <w:rsid w:val="00B4727A"/>
    <w:rsid w:val="00B47B1E"/>
    <w:rsid w:val="00B47F42"/>
    <w:rsid w:val="00B508B0"/>
    <w:rsid w:val="00B50A7C"/>
    <w:rsid w:val="00B51271"/>
    <w:rsid w:val="00B51299"/>
    <w:rsid w:val="00B51305"/>
    <w:rsid w:val="00B5247D"/>
    <w:rsid w:val="00B524B4"/>
    <w:rsid w:val="00B5275C"/>
    <w:rsid w:val="00B527D8"/>
    <w:rsid w:val="00B52D8A"/>
    <w:rsid w:val="00B52E44"/>
    <w:rsid w:val="00B531C3"/>
    <w:rsid w:val="00B53324"/>
    <w:rsid w:val="00B53A21"/>
    <w:rsid w:val="00B53B49"/>
    <w:rsid w:val="00B5466D"/>
    <w:rsid w:val="00B547E2"/>
    <w:rsid w:val="00B548FA"/>
    <w:rsid w:val="00B54A0A"/>
    <w:rsid w:val="00B54C1D"/>
    <w:rsid w:val="00B54C55"/>
    <w:rsid w:val="00B54F2A"/>
    <w:rsid w:val="00B54F62"/>
    <w:rsid w:val="00B5527C"/>
    <w:rsid w:val="00B5575C"/>
    <w:rsid w:val="00B55985"/>
    <w:rsid w:val="00B55B44"/>
    <w:rsid w:val="00B55BCA"/>
    <w:rsid w:val="00B5604C"/>
    <w:rsid w:val="00B561E8"/>
    <w:rsid w:val="00B561F0"/>
    <w:rsid w:val="00B56FA7"/>
    <w:rsid w:val="00B56FF3"/>
    <w:rsid w:val="00B5714E"/>
    <w:rsid w:val="00B57520"/>
    <w:rsid w:val="00B5754E"/>
    <w:rsid w:val="00B57660"/>
    <w:rsid w:val="00B576D8"/>
    <w:rsid w:val="00B57AFD"/>
    <w:rsid w:val="00B57BA8"/>
    <w:rsid w:val="00B57EA9"/>
    <w:rsid w:val="00B603DF"/>
    <w:rsid w:val="00B60BE0"/>
    <w:rsid w:val="00B613C3"/>
    <w:rsid w:val="00B619B1"/>
    <w:rsid w:val="00B62303"/>
    <w:rsid w:val="00B62366"/>
    <w:rsid w:val="00B62647"/>
    <w:rsid w:val="00B6315C"/>
    <w:rsid w:val="00B64012"/>
    <w:rsid w:val="00B641F8"/>
    <w:rsid w:val="00B64399"/>
    <w:rsid w:val="00B6487A"/>
    <w:rsid w:val="00B650C8"/>
    <w:rsid w:val="00B6536D"/>
    <w:rsid w:val="00B657B5"/>
    <w:rsid w:val="00B65802"/>
    <w:rsid w:val="00B65D46"/>
    <w:rsid w:val="00B65D48"/>
    <w:rsid w:val="00B660D6"/>
    <w:rsid w:val="00B66671"/>
    <w:rsid w:val="00B66988"/>
    <w:rsid w:val="00B66BAE"/>
    <w:rsid w:val="00B67495"/>
    <w:rsid w:val="00B67DFF"/>
    <w:rsid w:val="00B70433"/>
    <w:rsid w:val="00B706FC"/>
    <w:rsid w:val="00B70714"/>
    <w:rsid w:val="00B709BB"/>
    <w:rsid w:val="00B70DA6"/>
    <w:rsid w:val="00B711BA"/>
    <w:rsid w:val="00B71264"/>
    <w:rsid w:val="00B72091"/>
    <w:rsid w:val="00B72193"/>
    <w:rsid w:val="00B7228A"/>
    <w:rsid w:val="00B724DA"/>
    <w:rsid w:val="00B72819"/>
    <w:rsid w:val="00B72AB7"/>
    <w:rsid w:val="00B72E5D"/>
    <w:rsid w:val="00B73575"/>
    <w:rsid w:val="00B7377E"/>
    <w:rsid w:val="00B739E1"/>
    <w:rsid w:val="00B73ECB"/>
    <w:rsid w:val="00B73F19"/>
    <w:rsid w:val="00B74252"/>
    <w:rsid w:val="00B74610"/>
    <w:rsid w:val="00B74973"/>
    <w:rsid w:val="00B749A2"/>
    <w:rsid w:val="00B74BBC"/>
    <w:rsid w:val="00B7559E"/>
    <w:rsid w:val="00B756E1"/>
    <w:rsid w:val="00B75A0D"/>
    <w:rsid w:val="00B75B91"/>
    <w:rsid w:val="00B75CDF"/>
    <w:rsid w:val="00B7662E"/>
    <w:rsid w:val="00B76977"/>
    <w:rsid w:val="00B76EE6"/>
    <w:rsid w:val="00B77049"/>
    <w:rsid w:val="00B7753B"/>
    <w:rsid w:val="00B7787F"/>
    <w:rsid w:val="00B77BAF"/>
    <w:rsid w:val="00B802BE"/>
    <w:rsid w:val="00B802EE"/>
    <w:rsid w:val="00B806FF"/>
    <w:rsid w:val="00B8077A"/>
    <w:rsid w:val="00B80AC9"/>
    <w:rsid w:val="00B80BCE"/>
    <w:rsid w:val="00B8121F"/>
    <w:rsid w:val="00B81C02"/>
    <w:rsid w:val="00B81C2F"/>
    <w:rsid w:val="00B81EC4"/>
    <w:rsid w:val="00B81F69"/>
    <w:rsid w:val="00B82086"/>
    <w:rsid w:val="00B820EE"/>
    <w:rsid w:val="00B82335"/>
    <w:rsid w:val="00B828B6"/>
    <w:rsid w:val="00B82A30"/>
    <w:rsid w:val="00B82A6F"/>
    <w:rsid w:val="00B82BDB"/>
    <w:rsid w:val="00B82CDB"/>
    <w:rsid w:val="00B83282"/>
    <w:rsid w:val="00B83316"/>
    <w:rsid w:val="00B838CD"/>
    <w:rsid w:val="00B83D47"/>
    <w:rsid w:val="00B8441D"/>
    <w:rsid w:val="00B84C09"/>
    <w:rsid w:val="00B85E72"/>
    <w:rsid w:val="00B85EDF"/>
    <w:rsid w:val="00B85FFC"/>
    <w:rsid w:val="00B864AB"/>
    <w:rsid w:val="00B866A7"/>
    <w:rsid w:val="00B8698B"/>
    <w:rsid w:val="00B869A3"/>
    <w:rsid w:val="00B87110"/>
    <w:rsid w:val="00B87343"/>
    <w:rsid w:val="00B8744B"/>
    <w:rsid w:val="00B87639"/>
    <w:rsid w:val="00B8796E"/>
    <w:rsid w:val="00B87D4B"/>
    <w:rsid w:val="00B87D7C"/>
    <w:rsid w:val="00B87D99"/>
    <w:rsid w:val="00B901B9"/>
    <w:rsid w:val="00B90DF5"/>
    <w:rsid w:val="00B90EDC"/>
    <w:rsid w:val="00B90EF1"/>
    <w:rsid w:val="00B90FB7"/>
    <w:rsid w:val="00B9117F"/>
    <w:rsid w:val="00B91263"/>
    <w:rsid w:val="00B9159E"/>
    <w:rsid w:val="00B91A04"/>
    <w:rsid w:val="00B91BAC"/>
    <w:rsid w:val="00B9220E"/>
    <w:rsid w:val="00B92484"/>
    <w:rsid w:val="00B9275A"/>
    <w:rsid w:val="00B927E5"/>
    <w:rsid w:val="00B92ACF"/>
    <w:rsid w:val="00B92E28"/>
    <w:rsid w:val="00B92ECC"/>
    <w:rsid w:val="00B93989"/>
    <w:rsid w:val="00B94107"/>
    <w:rsid w:val="00B947D6"/>
    <w:rsid w:val="00B95304"/>
    <w:rsid w:val="00B9576E"/>
    <w:rsid w:val="00B95A91"/>
    <w:rsid w:val="00B95AB0"/>
    <w:rsid w:val="00B95ABA"/>
    <w:rsid w:val="00B95F77"/>
    <w:rsid w:val="00B967B2"/>
    <w:rsid w:val="00B96BA1"/>
    <w:rsid w:val="00B971D9"/>
    <w:rsid w:val="00B9740C"/>
    <w:rsid w:val="00B975F3"/>
    <w:rsid w:val="00B97CEE"/>
    <w:rsid w:val="00B97D0C"/>
    <w:rsid w:val="00BA0258"/>
    <w:rsid w:val="00BA030B"/>
    <w:rsid w:val="00BA0CDC"/>
    <w:rsid w:val="00BA0D5A"/>
    <w:rsid w:val="00BA1121"/>
    <w:rsid w:val="00BA1237"/>
    <w:rsid w:val="00BA1E11"/>
    <w:rsid w:val="00BA20E1"/>
    <w:rsid w:val="00BA24E8"/>
    <w:rsid w:val="00BA29E6"/>
    <w:rsid w:val="00BA2A82"/>
    <w:rsid w:val="00BA2C52"/>
    <w:rsid w:val="00BA2CE4"/>
    <w:rsid w:val="00BA3229"/>
    <w:rsid w:val="00BA3745"/>
    <w:rsid w:val="00BA3CA0"/>
    <w:rsid w:val="00BA45F4"/>
    <w:rsid w:val="00BA45FA"/>
    <w:rsid w:val="00BA4756"/>
    <w:rsid w:val="00BA4861"/>
    <w:rsid w:val="00BA4A77"/>
    <w:rsid w:val="00BA4A95"/>
    <w:rsid w:val="00BA4B6B"/>
    <w:rsid w:val="00BA4DEB"/>
    <w:rsid w:val="00BA5112"/>
    <w:rsid w:val="00BA5301"/>
    <w:rsid w:val="00BA535E"/>
    <w:rsid w:val="00BA544E"/>
    <w:rsid w:val="00BA621B"/>
    <w:rsid w:val="00BA6648"/>
    <w:rsid w:val="00BA6B85"/>
    <w:rsid w:val="00BA7212"/>
    <w:rsid w:val="00BA787E"/>
    <w:rsid w:val="00BA7A95"/>
    <w:rsid w:val="00BA7BCB"/>
    <w:rsid w:val="00BA7CDA"/>
    <w:rsid w:val="00BB0EAD"/>
    <w:rsid w:val="00BB1246"/>
    <w:rsid w:val="00BB1A05"/>
    <w:rsid w:val="00BB1B2C"/>
    <w:rsid w:val="00BB1B6B"/>
    <w:rsid w:val="00BB200A"/>
    <w:rsid w:val="00BB276C"/>
    <w:rsid w:val="00BB27E2"/>
    <w:rsid w:val="00BB2E97"/>
    <w:rsid w:val="00BB2FE5"/>
    <w:rsid w:val="00BB32D5"/>
    <w:rsid w:val="00BB3B42"/>
    <w:rsid w:val="00BB4035"/>
    <w:rsid w:val="00BB40D1"/>
    <w:rsid w:val="00BB42A7"/>
    <w:rsid w:val="00BB4324"/>
    <w:rsid w:val="00BB4486"/>
    <w:rsid w:val="00BB486D"/>
    <w:rsid w:val="00BB4969"/>
    <w:rsid w:val="00BB4BC2"/>
    <w:rsid w:val="00BB5061"/>
    <w:rsid w:val="00BB55DB"/>
    <w:rsid w:val="00BB5615"/>
    <w:rsid w:val="00BB5856"/>
    <w:rsid w:val="00BB5A12"/>
    <w:rsid w:val="00BB5A4C"/>
    <w:rsid w:val="00BB5C35"/>
    <w:rsid w:val="00BB5D5C"/>
    <w:rsid w:val="00BB5F40"/>
    <w:rsid w:val="00BB69A5"/>
    <w:rsid w:val="00BB6B3D"/>
    <w:rsid w:val="00BB6B93"/>
    <w:rsid w:val="00BB73B8"/>
    <w:rsid w:val="00BB7445"/>
    <w:rsid w:val="00BB7656"/>
    <w:rsid w:val="00BB7A9A"/>
    <w:rsid w:val="00BC0026"/>
    <w:rsid w:val="00BC02F9"/>
    <w:rsid w:val="00BC0499"/>
    <w:rsid w:val="00BC0716"/>
    <w:rsid w:val="00BC0EFB"/>
    <w:rsid w:val="00BC0F5A"/>
    <w:rsid w:val="00BC1712"/>
    <w:rsid w:val="00BC1AD4"/>
    <w:rsid w:val="00BC2009"/>
    <w:rsid w:val="00BC211A"/>
    <w:rsid w:val="00BC21EE"/>
    <w:rsid w:val="00BC2419"/>
    <w:rsid w:val="00BC2B8A"/>
    <w:rsid w:val="00BC2D0F"/>
    <w:rsid w:val="00BC36EB"/>
    <w:rsid w:val="00BC39BD"/>
    <w:rsid w:val="00BC3A61"/>
    <w:rsid w:val="00BC3BA5"/>
    <w:rsid w:val="00BC3C91"/>
    <w:rsid w:val="00BC3EE0"/>
    <w:rsid w:val="00BC4579"/>
    <w:rsid w:val="00BC47BF"/>
    <w:rsid w:val="00BC4889"/>
    <w:rsid w:val="00BC4C70"/>
    <w:rsid w:val="00BC4CE9"/>
    <w:rsid w:val="00BC589E"/>
    <w:rsid w:val="00BC5C5A"/>
    <w:rsid w:val="00BC5E3E"/>
    <w:rsid w:val="00BC61B3"/>
    <w:rsid w:val="00BC6269"/>
    <w:rsid w:val="00BC6295"/>
    <w:rsid w:val="00BC6372"/>
    <w:rsid w:val="00BC65D8"/>
    <w:rsid w:val="00BC6ADF"/>
    <w:rsid w:val="00BC6CEF"/>
    <w:rsid w:val="00BC6E41"/>
    <w:rsid w:val="00BC70A6"/>
    <w:rsid w:val="00BC7A56"/>
    <w:rsid w:val="00BC7C59"/>
    <w:rsid w:val="00BC7EB0"/>
    <w:rsid w:val="00BD0523"/>
    <w:rsid w:val="00BD0813"/>
    <w:rsid w:val="00BD114B"/>
    <w:rsid w:val="00BD11E3"/>
    <w:rsid w:val="00BD1415"/>
    <w:rsid w:val="00BD16B8"/>
    <w:rsid w:val="00BD170C"/>
    <w:rsid w:val="00BD1725"/>
    <w:rsid w:val="00BD18E6"/>
    <w:rsid w:val="00BD1A17"/>
    <w:rsid w:val="00BD23EA"/>
    <w:rsid w:val="00BD29A0"/>
    <w:rsid w:val="00BD2E03"/>
    <w:rsid w:val="00BD316B"/>
    <w:rsid w:val="00BD3C93"/>
    <w:rsid w:val="00BD428B"/>
    <w:rsid w:val="00BD43D0"/>
    <w:rsid w:val="00BD4653"/>
    <w:rsid w:val="00BD4804"/>
    <w:rsid w:val="00BD5223"/>
    <w:rsid w:val="00BD560B"/>
    <w:rsid w:val="00BD5743"/>
    <w:rsid w:val="00BD5A1A"/>
    <w:rsid w:val="00BD5A6E"/>
    <w:rsid w:val="00BD6326"/>
    <w:rsid w:val="00BD6475"/>
    <w:rsid w:val="00BD6CC2"/>
    <w:rsid w:val="00BD7019"/>
    <w:rsid w:val="00BD70C1"/>
    <w:rsid w:val="00BD7353"/>
    <w:rsid w:val="00BD76E6"/>
    <w:rsid w:val="00BD7704"/>
    <w:rsid w:val="00BD7AC9"/>
    <w:rsid w:val="00BE021D"/>
    <w:rsid w:val="00BE0AF4"/>
    <w:rsid w:val="00BE0FC4"/>
    <w:rsid w:val="00BE112E"/>
    <w:rsid w:val="00BE141E"/>
    <w:rsid w:val="00BE1A74"/>
    <w:rsid w:val="00BE245A"/>
    <w:rsid w:val="00BE2499"/>
    <w:rsid w:val="00BE26C4"/>
    <w:rsid w:val="00BE2B41"/>
    <w:rsid w:val="00BE2B5C"/>
    <w:rsid w:val="00BE30BD"/>
    <w:rsid w:val="00BE316F"/>
    <w:rsid w:val="00BE39BE"/>
    <w:rsid w:val="00BE4C70"/>
    <w:rsid w:val="00BE4F19"/>
    <w:rsid w:val="00BE5892"/>
    <w:rsid w:val="00BE59C0"/>
    <w:rsid w:val="00BE5C95"/>
    <w:rsid w:val="00BE6159"/>
    <w:rsid w:val="00BE61FD"/>
    <w:rsid w:val="00BE6279"/>
    <w:rsid w:val="00BE6721"/>
    <w:rsid w:val="00BE68B6"/>
    <w:rsid w:val="00BE69C5"/>
    <w:rsid w:val="00BE6E0B"/>
    <w:rsid w:val="00BE7D58"/>
    <w:rsid w:val="00BE7F2F"/>
    <w:rsid w:val="00BE7F63"/>
    <w:rsid w:val="00BF020A"/>
    <w:rsid w:val="00BF0271"/>
    <w:rsid w:val="00BF06DD"/>
    <w:rsid w:val="00BF0885"/>
    <w:rsid w:val="00BF0EBF"/>
    <w:rsid w:val="00BF12BE"/>
    <w:rsid w:val="00BF12C4"/>
    <w:rsid w:val="00BF1451"/>
    <w:rsid w:val="00BF14B4"/>
    <w:rsid w:val="00BF157D"/>
    <w:rsid w:val="00BF15DA"/>
    <w:rsid w:val="00BF177A"/>
    <w:rsid w:val="00BF208A"/>
    <w:rsid w:val="00BF21F6"/>
    <w:rsid w:val="00BF233A"/>
    <w:rsid w:val="00BF2740"/>
    <w:rsid w:val="00BF284F"/>
    <w:rsid w:val="00BF297A"/>
    <w:rsid w:val="00BF2C0E"/>
    <w:rsid w:val="00BF2C9C"/>
    <w:rsid w:val="00BF2DC2"/>
    <w:rsid w:val="00BF3145"/>
    <w:rsid w:val="00BF360E"/>
    <w:rsid w:val="00BF39F5"/>
    <w:rsid w:val="00BF3A12"/>
    <w:rsid w:val="00BF3ED7"/>
    <w:rsid w:val="00BF4371"/>
    <w:rsid w:val="00BF5500"/>
    <w:rsid w:val="00BF5616"/>
    <w:rsid w:val="00BF5A0B"/>
    <w:rsid w:val="00BF5BD6"/>
    <w:rsid w:val="00BF5C27"/>
    <w:rsid w:val="00BF5DB5"/>
    <w:rsid w:val="00BF5E81"/>
    <w:rsid w:val="00BF5E91"/>
    <w:rsid w:val="00BF6446"/>
    <w:rsid w:val="00BF6465"/>
    <w:rsid w:val="00BF65CA"/>
    <w:rsid w:val="00BF67A2"/>
    <w:rsid w:val="00BF6972"/>
    <w:rsid w:val="00BF6A23"/>
    <w:rsid w:val="00BF6AA1"/>
    <w:rsid w:val="00BF6DE7"/>
    <w:rsid w:val="00BF6ED3"/>
    <w:rsid w:val="00BF72CE"/>
    <w:rsid w:val="00C00560"/>
    <w:rsid w:val="00C00783"/>
    <w:rsid w:val="00C0086F"/>
    <w:rsid w:val="00C00A12"/>
    <w:rsid w:val="00C00D4B"/>
    <w:rsid w:val="00C01123"/>
    <w:rsid w:val="00C016FE"/>
    <w:rsid w:val="00C0176C"/>
    <w:rsid w:val="00C01EBD"/>
    <w:rsid w:val="00C02215"/>
    <w:rsid w:val="00C026F9"/>
    <w:rsid w:val="00C02B57"/>
    <w:rsid w:val="00C02CAD"/>
    <w:rsid w:val="00C030B6"/>
    <w:rsid w:val="00C03234"/>
    <w:rsid w:val="00C03605"/>
    <w:rsid w:val="00C03A44"/>
    <w:rsid w:val="00C03B7F"/>
    <w:rsid w:val="00C04368"/>
    <w:rsid w:val="00C04467"/>
    <w:rsid w:val="00C044ED"/>
    <w:rsid w:val="00C0464B"/>
    <w:rsid w:val="00C0470E"/>
    <w:rsid w:val="00C0476F"/>
    <w:rsid w:val="00C04A05"/>
    <w:rsid w:val="00C04CDA"/>
    <w:rsid w:val="00C04EEF"/>
    <w:rsid w:val="00C0522A"/>
    <w:rsid w:val="00C052A5"/>
    <w:rsid w:val="00C05301"/>
    <w:rsid w:val="00C055BB"/>
    <w:rsid w:val="00C055FA"/>
    <w:rsid w:val="00C05679"/>
    <w:rsid w:val="00C056AC"/>
    <w:rsid w:val="00C05F33"/>
    <w:rsid w:val="00C06151"/>
    <w:rsid w:val="00C06180"/>
    <w:rsid w:val="00C0661D"/>
    <w:rsid w:val="00C067CE"/>
    <w:rsid w:val="00C0685B"/>
    <w:rsid w:val="00C06948"/>
    <w:rsid w:val="00C06B12"/>
    <w:rsid w:val="00C06B3C"/>
    <w:rsid w:val="00C07419"/>
    <w:rsid w:val="00C0748C"/>
    <w:rsid w:val="00C0762C"/>
    <w:rsid w:val="00C07BD5"/>
    <w:rsid w:val="00C07F59"/>
    <w:rsid w:val="00C1015C"/>
    <w:rsid w:val="00C109D5"/>
    <w:rsid w:val="00C10A68"/>
    <w:rsid w:val="00C10C2C"/>
    <w:rsid w:val="00C10CD5"/>
    <w:rsid w:val="00C10E15"/>
    <w:rsid w:val="00C1110D"/>
    <w:rsid w:val="00C113B4"/>
    <w:rsid w:val="00C11A50"/>
    <w:rsid w:val="00C1222F"/>
    <w:rsid w:val="00C127B1"/>
    <w:rsid w:val="00C134B7"/>
    <w:rsid w:val="00C13F26"/>
    <w:rsid w:val="00C14233"/>
    <w:rsid w:val="00C148AE"/>
    <w:rsid w:val="00C14902"/>
    <w:rsid w:val="00C14A6E"/>
    <w:rsid w:val="00C156C1"/>
    <w:rsid w:val="00C15A19"/>
    <w:rsid w:val="00C15DF6"/>
    <w:rsid w:val="00C15E87"/>
    <w:rsid w:val="00C1653E"/>
    <w:rsid w:val="00C16868"/>
    <w:rsid w:val="00C16893"/>
    <w:rsid w:val="00C1701D"/>
    <w:rsid w:val="00C172BB"/>
    <w:rsid w:val="00C173B3"/>
    <w:rsid w:val="00C1757E"/>
    <w:rsid w:val="00C175BC"/>
    <w:rsid w:val="00C175D0"/>
    <w:rsid w:val="00C1777C"/>
    <w:rsid w:val="00C17DB8"/>
    <w:rsid w:val="00C20387"/>
    <w:rsid w:val="00C205AE"/>
    <w:rsid w:val="00C206D6"/>
    <w:rsid w:val="00C2075F"/>
    <w:rsid w:val="00C2096B"/>
    <w:rsid w:val="00C20A1F"/>
    <w:rsid w:val="00C20E63"/>
    <w:rsid w:val="00C213C3"/>
    <w:rsid w:val="00C217E0"/>
    <w:rsid w:val="00C21A8D"/>
    <w:rsid w:val="00C21E16"/>
    <w:rsid w:val="00C21E2C"/>
    <w:rsid w:val="00C21EB7"/>
    <w:rsid w:val="00C2238D"/>
    <w:rsid w:val="00C22D8B"/>
    <w:rsid w:val="00C231AA"/>
    <w:rsid w:val="00C23622"/>
    <w:rsid w:val="00C236E0"/>
    <w:rsid w:val="00C23B32"/>
    <w:rsid w:val="00C23CE7"/>
    <w:rsid w:val="00C240E9"/>
    <w:rsid w:val="00C248CA"/>
    <w:rsid w:val="00C2499F"/>
    <w:rsid w:val="00C249ED"/>
    <w:rsid w:val="00C24DB0"/>
    <w:rsid w:val="00C24E7C"/>
    <w:rsid w:val="00C25660"/>
    <w:rsid w:val="00C25795"/>
    <w:rsid w:val="00C25D77"/>
    <w:rsid w:val="00C25E4B"/>
    <w:rsid w:val="00C25EE1"/>
    <w:rsid w:val="00C26052"/>
    <w:rsid w:val="00C26321"/>
    <w:rsid w:val="00C266E4"/>
    <w:rsid w:val="00C26AC6"/>
    <w:rsid w:val="00C26B1C"/>
    <w:rsid w:val="00C27028"/>
    <w:rsid w:val="00C274AA"/>
    <w:rsid w:val="00C2767E"/>
    <w:rsid w:val="00C27D52"/>
    <w:rsid w:val="00C30641"/>
    <w:rsid w:val="00C308AF"/>
    <w:rsid w:val="00C30CB9"/>
    <w:rsid w:val="00C30F9A"/>
    <w:rsid w:val="00C31200"/>
    <w:rsid w:val="00C312DB"/>
    <w:rsid w:val="00C31562"/>
    <w:rsid w:val="00C31C4A"/>
    <w:rsid w:val="00C32622"/>
    <w:rsid w:val="00C32965"/>
    <w:rsid w:val="00C32FC4"/>
    <w:rsid w:val="00C3325A"/>
    <w:rsid w:val="00C33464"/>
    <w:rsid w:val="00C339B3"/>
    <w:rsid w:val="00C33D37"/>
    <w:rsid w:val="00C33EB9"/>
    <w:rsid w:val="00C340D4"/>
    <w:rsid w:val="00C3426D"/>
    <w:rsid w:val="00C34746"/>
    <w:rsid w:val="00C34A5C"/>
    <w:rsid w:val="00C3546D"/>
    <w:rsid w:val="00C35682"/>
    <w:rsid w:val="00C35A9D"/>
    <w:rsid w:val="00C370DD"/>
    <w:rsid w:val="00C3771D"/>
    <w:rsid w:val="00C37925"/>
    <w:rsid w:val="00C37F35"/>
    <w:rsid w:val="00C402EA"/>
    <w:rsid w:val="00C4091D"/>
    <w:rsid w:val="00C40FDE"/>
    <w:rsid w:val="00C413B7"/>
    <w:rsid w:val="00C41617"/>
    <w:rsid w:val="00C41D7F"/>
    <w:rsid w:val="00C41F8A"/>
    <w:rsid w:val="00C42979"/>
    <w:rsid w:val="00C42CDB"/>
    <w:rsid w:val="00C42FA1"/>
    <w:rsid w:val="00C42FED"/>
    <w:rsid w:val="00C43449"/>
    <w:rsid w:val="00C43452"/>
    <w:rsid w:val="00C43554"/>
    <w:rsid w:val="00C43943"/>
    <w:rsid w:val="00C43AD7"/>
    <w:rsid w:val="00C43CB1"/>
    <w:rsid w:val="00C43CD3"/>
    <w:rsid w:val="00C445A2"/>
    <w:rsid w:val="00C44ADA"/>
    <w:rsid w:val="00C44B3E"/>
    <w:rsid w:val="00C4506E"/>
    <w:rsid w:val="00C4521F"/>
    <w:rsid w:val="00C45598"/>
    <w:rsid w:val="00C455A9"/>
    <w:rsid w:val="00C45B13"/>
    <w:rsid w:val="00C45F40"/>
    <w:rsid w:val="00C45F4A"/>
    <w:rsid w:val="00C46060"/>
    <w:rsid w:val="00C46492"/>
    <w:rsid w:val="00C468F8"/>
    <w:rsid w:val="00C46996"/>
    <w:rsid w:val="00C47B08"/>
    <w:rsid w:val="00C50067"/>
    <w:rsid w:val="00C501D2"/>
    <w:rsid w:val="00C50711"/>
    <w:rsid w:val="00C509D7"/>
    <w:rsid w:val="00C50EAB"/>
    <w:rsid w:val="00C50EC2"/>
    <w:rsid w:val="00C51102"/>
    <w:rsid w:val="00C5141C"/>
    <w:rsid w:val="00C51DB2"/>
    <w:rsid w:val="00C51E11"/>
    <w:rsid w:val="00C51F31"/>
    <w:rsid w:val="00C52095"/>
    <w:rsid w:val="00C52324"/>
    <w:rsid w:val="00C523C6"/>
    <w:rsid w:val="00C525BA"/>
    <w:rsid w:val="00C5260F"/>
    <w:rsid w:val="00C5267C"/>
    <w:rsid w:val="00C52784"/>
    <w:rsid w:val="00C527B1"/>
    <w:rsid w:val="00C528EF"/>
    <w:rsid w:val="00C52D58"/>
    <w:rsid w:val="00C53065"/>
    <w:rsid w:val="00C530F1"/>
    <w:rsid w:val="00C531C1"/>
    <w:rsid w:val="00C53209"/>
    <w:rsid w:val="00C5327E"/>
    <w:rsid w:val="00C53545"/>
    <w:rsid w:val="00C540D9"/>
    <w:rsid w:val="00C541B9"/>
    <w:rsid w:val="00C54204"/>
    <w:rsid w:val="00C5425A"/>
    <w:rsid w:val="00C544CA"/>
    <w:rsid w:val="00C546EC"/>
    <w:rsid w:val="00C54DE2"/>
    <w:rsid w:val="00C54F7B"/>
    <w:rsid w:val="00C54FF9"/>
    <w:rsid w:val="00C5557A"/>
    <w:rsid w:val="00C555F7"/>
    <w:rsid w:val="00C5563A"/>
    <w:rsid w:val="00C55A2C"/>
    <w:rsid w:val="00C55AFA"/>
    <w:rsid w:val="00C55EF8"/>
    <w:rsid w:val="00C560FA"/>
    <w:rsid w:val="00C56446"/>
    <w:rsid w:val="00C5689F"/>
    <w:rsid w:val="00C56DB3"/>
    <w:rsid w:val="00C56EE1"/>
    <w:rsid w:val="00C56F1C"/>
    <w:rsid w:val="00C5714B"/>
    <w:rsid w:val="00C5752E"/>
    <w:rsid w:val="00C57D6F"/>
    <w:rsid w:val="00C57EB5"/>
    <w:rsid w:val="00C60563"/>
    <w:rsid w:val="00C605EA"/>
    <w:rsid w:val="00C607E8"/>
    <w:rsid w:val="00C60863"/>
    <w:rsid w:val="00C608FD"/>
    <w:rsid w:val="00C6092B"/>
    <w:rsid w:val="00C618BE"/>
    <w:rsid w:val="00C61E7C"/>
    <w:rsid w:val="00C6262D"/>
    <w:rsid w:val="00C626E0"/>
    <w:rsid w:val="00C6285D"/>
    <w:rsid w:val="00C62BFD"/>
    <w:rsid w:val="00C63574"/>
    <w:rsid w:val="00C639E3"/>
    <w:rsid w:val="00C63E03"/>
    <w:rsid w:val="00C640E3"/>
    <w:rsid w:val="00C644AC"/>
    <w:rsid w:val="00C64510"/>
    <w:rsid w:val="00C64844"/>
    <w:rsid w:val="00C6497C"/>
    <w:rsid w:val="00C64F6F"/>
    <w:rsid w:val="00C655A0"/>
    <w:rsid w:val="00C657B7"/>
    <w:rsid w:val="00C65BD6"/>
    <w:rsid w:val="00C65C29"/>
    <w:rsid w:val="00C65E16"/>
    <w:rsid w:val="00C662C3"/>
    <w:rsid w:val="00C667FA"/>
    <w:rsid w:val="00C66820"/>
    <w:rsid w:val="00C6760A"/>
    <w:rsid w:val="00C677B5"/>
    <w:rsid w:val="00C67966"/>
    <w:rsid w:val="00C67E03"/>
    <w:rsid w:val="00C70404"/>
    <w:rsid w:val="00C70563"/>
    <w:rsid w:val="00C70D08"/>
    <w:rsid w:val="00C70FBA"/>
    <w:rsid w:val="00C70FD1"/>
    <w:rsid w:val="00C71292"/>
    <w:rsid w:val="00C71484"/>
    <w:rsid w:val="00C716CA"/>
    <w:rsid w:val="00C72305"/>
    <w:rsid w:val="00C72F58"/>
    <w:rsid w:val="00C72FAD"/>
    <w:rsid w:val="00C735A7"/>
    <w:rsid w:val="00C736C7"/>
    <w:rsid w:val="00C73897"/>
    <w:rsid w:val="00C74559"/>
    <w:rsid w:val="00C747A0"/>
    <w:rsid w:val="00C7499B"/>
    <w:rsid w:val="00C74AC5"/>
    <w:rsid w:val="00C74CC4"/>
    <w:rsid w:val="00C75601"/>
    <w:rsid w:val="00C75C45"/>
    <w:rsid w:val="00C75DFF"/>
    <w:rsid w:val="00C75FEC"/>
    <w:rsid w:val="00C76C8D"/>
    <w:rsid w:val="00C76F25"/>
    <w:rsid w:val="00C76FAC"/>
    <w:rsid w:val="00C76FB8"/>
    <w:rsid w:val="00C77174"/>
    <w:rsid w:val="00C7719C"/>
    <w:rsid w:val="00C772B4"/>
    <w:rsid w:val="00C77D72"/>
    <w:rsid w:val="00C80ACF"/>
    <w:rsid w:val="00C80CA4"/>
    <w:rsid w:val="00C80CE1"/>
    <w:rsid w:val="00C80EA6"/>
    <w:rsid w:val="00C80FEB"/>
    <w:rsid w:val="00C81348"/>
    <w:rsid w:val="00C81471"/>
    <w:rsid w:val="00C81C50"/>
    <w:rsid w:val="00C81F2A"/>
    <w:rsid w:val="00C820DB"/>
    <w:rsid w:val="00C823EF"/>
    <w:rsid w:val="00C82424"/>
    <w:rsid w:val="00C8291C"/>
    <w:rsid w:val="00C84211"/>
    <w:rsid w:val="00C84C47"/>
    <w:rsid w:val="00C84D57"/>
    <w:rsid w:val="00C84DC5"/>
    <w:rsid w:val="00C84FD3"/>
    <w:rsid w:val="00C85431"/>
    <w:rsid w:val="00C855F5"/>
    <w:rsid w:val="00C8566F"/>
    <w:rsid w:val="00C856C0"/>
    <w:rsid w:val="00C859AE"/>
    <w:rsid w:val="00C85C5C"/>
    <w:rsid w:val="00C86456"/>
    <w:rsid w:val="00C8696E"/>
    <w:rsid w:val="00C87303"/>
    <w:rsid w:val="00C87C43"/>
    <w:rsid w:val="00C90493"/>
    <w:rsid w:val="00C90ADE"/>
    <w:rsid w:val="00C91134"/>
    <w:rsid w:val="00C91386"/>
    <w:rsid w:val="00C9144C"/>
    <w:rsid w:val="00C917D6"/>
    <w:rsid w:val="00C91B0A"/>
    <w:rsid w:val="00C91BA9"/>
    <w:rsid w:val="00C91F97"/>
    <w:rsid w:val="00C92289"/>
    <w:rsid w:val="00C9243D"/>
    <w:rsid w:val="00C92F39"/>
    <w:rsid w:val="00C931F0"/>
    <w:rsid w:val="00C93337"/>
    <w:rsid w:val="00C936CD"/>
    <w:rsid w:val="00C93B0E"/>
    <w:rsid w:val="00C93E17"/>
    <w:rsid w:val="00C93E87"/>
    <w:rsid w:val="00C94DE1"/>
    <w:rsid w:val="00C95737"/>
    <w:rsid w:val="00C957A6"/>
    <w:rsid w:val="00C9595C"/>
    <w:rsid w:val="00C959CE"/>
    <w:rsid w:val="00C95A3D"/>
    <w:rsid w:val="00C9627E"/>
    <w:rsid w:val="00C9697E"/>
    <w:rsid w:val="00C97620"/>
    <w:rsid w:val="00C978DF"/>
    <w:rsid w:val="00C979D0"/>
    <w:rsid w:val="00C97B7E"/>
    <w:rsid w:val="00C97CF0"/>
    <w:rsid w:val="00C97F4E"/>
    <w:rsid w:val="00CA0D30"/>
    <w:rsid w:val="00CA1368"/>
    <w:rsid w:val="00CA1E62"/>
    <w:rsid w:val="00CA1ECD"/>
    <w:rsid w:val="00CA21C1"/>
    <w:rsid w:val="00CA2551"/>
    <w:rsid w:val="00CA2576"/>
    <w:rsid w:val="00CA29AE"/>
    <w:rsid w:val="00CA2C3B"/>
    <w:rsid w:val="00CA2E40"/>
    <w:rsid w:val="00CA334C"/>
    <w:rsid w:val="00CA3830"/>
    <w:rsid w:val="00CA3BE7"/>
    <w:rsid w:val="00CA410E"/>
    <w:rsid w:val="00CA447E"/>
    <w:rsid w:val="00CA529D"/>
    <w:rsid w:val="00CA5348"/>
    <w:rsid w:val="00CA5892"/>
    <w:rsid w:val="00CA5DF1"/>
    <w:rsid w:val="00CA5F8A"/>
    <w:rsid w:val="00CA5FAE"/>
    <w:rsid w:val="00CA650F"/>
    <w:rsid w:val="00CA68C2"/>
    <w:rsid w:val="00CA700A"/>
    <w:rsid w:val="00CA709F"/>
    <w:rsid w:val="00CA7119"/>
    <w:rsid w:val="00CA7713"/>
    <w:rsid w:val="00CA7F94"/>
    <w:rsid w:val="00CB00B7"/>
    <w:rsid w:val="00CB0431"/>
    <w:rsid w:val="00CB08CD"/>
    <w:rsid w:val="00CB0A54"/>
    <w:rsid w:val="00CB0A92"/>
    <w:rsid w:val="00CB0B9C"/>
    <w:rsid w:val="00CB0CDF"/>
    <w:rsid w:val="00CB0E34"/>
    <w:rsid w:val="00CB0FE7"/>
    <w:rsid w:val="00CB1052"/>
    <w:rsid w:val="00CB14C4"/>
    <w:rsid w:val="00CB14EA"/>
    <w:rsid w:val="00CB17B9"/>
    <w:rsid w:val="00CB17F2"/>
    <w:rsid w:val="00CB1C06"/>
    <w:rsid w:val="00CB1C5D"/>
    <w:rsid w:val="00CB1DDE"/>
    <w:rsid w:val="00CB22A3"/>
    <w:rsid w:val="00CB2337"/>
    <w:rsid w:val="00CB2749"/>
    <w:rsid w:val="00CB27D9"/>
    <w:rsid w:val="00CB27FD"/>
    <w:rsid w:val="00CB2C64"/>
    <w:rsid w:val="00CB309E"/>
    <w:rsid w:val="00CB33C9"/>
    <w:rsid w:val="00CB3E9C"/>
    <w:rsid w:val="00CB43D6"/>
    <w:rsid w:val="00CB4967"/>
    <w:rsid w:val="00CB528D"/>
    <w:rsid w:val="00CB532A"/>
    <w:rsid w:val="00CB5981"/>
    <w:rsid w:val="00CB5BF1"/>
    <w:rsid w:val="00CB5CE4"/>
    <w:rsid w:val="00CB5E2F"/>
    <w:rsid w:val="00CB5FD4"/>
    <w:rsid w:val="00CB635C"/>
    <w:rsid w:val="00CB6B0F"/>
    <w:rsid w:val="00CB6D65"/>
    <w:rsid w:val="00CB714C"/>
    <w:rsid w:val="00CB7321"/>
    <w:rsid w:val="00CB750C"/>
    <w:rsid w:val="00CB79E5"/>
    <w:rsid w:val="00CB7A65"/>
    <w:rsid w:val="00CB7C07"/>
    <w:rsid w:val="00CB7E0A"/>
    <w:rsid w:val="00CC0506"/>
    <w:rsid w:val="00CC096D"/>
    <w:rsid w:val="00CC1060"/>
    <w:rsid w:val="00CC1147"/>
    <w:rsid w:val="00CC1513"/>
    <w:rsid w:val="00CC1C79"/>
    <w:rsid w:val="00CC20B1"/>
    <w:rsid w:val="00CC2F9F"/>
    <w:rsid w:val="00CC3027"/>
    <w:rsid w:val="00CC3E83"/>
    <w:rsid w:val="00CC3F7B"/>
    <w:rsid w:val="00CC421B"/>
    <w:rsid w:val="00CC452D"/>
    <w:rsid w:val="00CC4537"/>
    <w:rsid w:val="00CC4794"/>
    <w:rsid w:val="00CC490E"/>
    <w:rsid w:val="00CC4B26"/>
    <w:rsid w:val="00CC4D7F"/>
    <w:rsid w:val="00CC4E03"/>
    <w:rsid w:val="00CC4E33"/>
    <w:rsid w:val="00CC4F86"/>
    <w:rsid w:val="00CC595D"/>
    <w:rsid w:val="00CC5B4E"/>
    <w:rsid w:val="00CC6059"/>
    <w:rsid w:val="00CC75B8"/>
    <w:rsid w:val="00CC7EA3"/>
    <w:rsid w:val="00CD0339"/>
    <w:rsid w:val="00CD0547"/>
    <w:rsid w:val="00CD0B38"/>
    <w:rsid w:val="00CD0C6B"/>
    <w:rsid w:val="00CD0CB4"/>
    <w:rsid w:val="00CD0D16"/>
    <w:rsid w:val="00CD1BC6"/>
    <w:rsid w:val="00CD1DD3"/>
    <w:rsid w:val="00CD1F72"/>
    <w:rsid w:val="00CD229B"/>
    <w:rsid w:val="00CD27A3"/>
    <w:rsid w:val="00CD27C3"/>
    <w:rsid w:val="00CD27EE"/>
    <w:rsid w:val="00CD281A"/>
    <w:rsid w:val="00CD2BD7"/>
    <w:rsid w:val="00CD2C0B"/>
    <w:rsid w:val="00CD4715"/>
    <w:rsid w:val="00CD48B5"/>
    <w:rsid w:val="00CD4BDF"/>
    <w:rsid w:val="00CD4D27"/>
    <w:rsid w:val="00CD5564"/>
    <w:rsid w:val="00CD5759"/>
    <w:rsid w:val="00CD5C13"/>
    <w:rsid w:val="00CD5EB7"/>
    <w:rsid w:val="00CD66C4"/>
    <w:rsid w:val="00CD6D25"/>
    <w:rsid w:val="00CD79B8"/>
    <w:rsid w:val="00CD7E33"/>
    <w:rsid w:val="00CE0224"/>
    <w:rsid w:val="00CE050F"/>
    <w:rsid w:val="00CE0BF7"/>
    <w:rsid w:val="00CE10BD"/>
    <w:rsid w:val="00CE13FB"/>
    <w:rsid w:val="00CE16E5"/>
    <w:rsid w:val="00CE1F17"/>
    <w:rsid w:val="00CE1F37"/>
    <w:rsid w:val="00CE24FF"/>
    <w:rsid w:val="00CE2F75"/>
    <w:rsid w:val="00CE33E4"/>
    <w:rsid w:val="00CE3C51"/>
    <w:rsid w:val="00CE4336"/>
    <w:rsid w:val="00CE4704"/>
    <w:rsid w:val="00CE485A"/>
    <w:rsid w:val="00CE4C95"/>
    <w:rsid w:val="00CE4E1A"/>
    <w:rsid w:val="00CE507C"/>
    <w:rsid w:val="00CE51F6"/>
    <w:rsid w:val="00CE5C50"/>
    <w:rsid w:val="00CE6323"/>
    <w:rsid w:val="00CE6454"/>
    <w:rsid w:val="00CE6B6D"/>
    <w:rsid w:val="00CE6C01"/>
    <w:rsid w:val="00CE6C6C"/>
    <w:rsid w:val="00CE6F63"/>
    <w:rsid w:val="00CE71FE"/>
    <w:rsid w:val="00CE7350"/>
    <w:rsid w:val="00CE73E3"/>
    <w:rsid w:val="00CE75DD"/>
    <w:rsid w:val="00CE7B1E"/>
    <w:rsid w:val="00CE7F13"/>
    <w:rsid w:val="00CE7F74"/>
    <w:rsid w:val="00CF02B6"/>
    <w:rsid w:val="00CF0413"/>
    <w:rsid w:val="00CF07B6"/>
    <w:rsid w:val="00CF19F1"/>
    <w:rsid w:val="00CF1D2F"/>
    <w:rsid w:val="00CF1D4F"/>
    <w:rsid w:val="00CF2013"/>
    <w:rsid w:val="00CF2051"/>
    <w:rsid w:val="00CF23E1"/>
    <w:rsid w:val="00CF26BF"/>
    <w:rsid w:val="00CF2DBF"/>
    <w:rsid w:val="00CF3151"/>
    <w:rsid w:val="00CF3981"/>
    <w:rsid w:val="00CF39D2"/>
    <w:rsid w:val="00CF3FB2"/>
    <w:rsid w:val="00CF4251"/>
    <w:rsid w:val="00CF42D4"/>
    <w:rsid w:val="00CF4555"/>
    <w:rsid w:val="00CF4876"/>
    <w:rsid w:val="00CF52F1"/>
    <w:rsid w:val="00CF54FF"/>
    <w:rsid w:val="00CF5887"/>
    <w:rsid w:val="00CF5989"/>
    <w:rsid w:val="00CF66A7"/>
    <w:rsid w:val="00CF67AC"/>
    <w:rsid w:val="00CF6FE3"/>
    <w:rsid w:val="00CF70F7"/>
    <w:rsid w:val="00CF71F3"/>
    <w:rsid w:val="00CF7BA8"/>
    <w:rsid w:val="00D00167"/>
    <w:rsid w:val="00D001D6"/>
    <w:rsid w:val="00D00221"/>
    <w:rsid w:val="00D003E5"/>
    <w:rsid w:val="00D004BE"/>
    <w:rsid w:val="00D006CD"/>
    <w:rsid w:val="00D0070A"/>
    <w:rsid w:val="00D00D1E"/>
    <w:rsid w:val="00D00D95"/>
    <w:rsid w:val="00D00DBC"/>
    <w:rsid w:val="00D016BB"/>
    <w:rsid w:val="00D01919"/>
    <w:rsid w:val="00D01B77"/>
    <w:rsid w:val="00D02CDD"/>
    <w:rsid w:val="00D03586"/>
    <w:rsid w:val="00D03B28"/>
    <w:rsid w:val="00D03B39"/>
    <w:rsid w:val="00D04179"/>
    <w:rsid w:val="00D04409"/>
    <w:rsid w:val="00D045A5"/>
    <w:rsid w:val="00D045BC"/>
    <w:rsid w:val="00D04827"/>
    <w:rsid w:val="00D048FB"/>
    <w:rsid w:val="00D04D9E"/>
    <w:rsid w:val="00D04F4D"/>
    <w:rsid w:val="00D04F5B"/>
    <w:rsid w:val="00D05726"/>
    <w:rsid w:val="00D06421"/>
    <w:rsid w:val="00D064BE"/>
    <w:rsid w:val="00D0690A"/>
    <w:rsid w:val="00D06FBD"/>
    <w:rsid w:val="00D07138"/>
    <w:rsid w:val="00D0736A"/>
    <w:rsid w:val="00D075C6"/>
    <w:rsid w:val="00D07649"/>
    <w:rsid w:val="00D07732"/>
    <w:rsid w:val="00D07733"/>
    <w:rsid w:val="00D0774E"/>
    <w:rsid w:val="00D077CC"/>
    <w:rsid w:val="00D077DF"/>
    <w:rsid w:val="00D07B49"/>
    <w:rsid w:val="00D07BE5"/>
    <w:rsid w:val="00D10498"/>
    <w:rsid w:val="00D10769"/>
    <w:rsid w:val="00D109AC"/>
    <w:rsid w:val="00D10BB8"/>
    <w:rsid w:val="00D116B7"/>
    <w:rsid w:val="00D118E0"/>
    <w:rsid w:val="00D11A7E"/>
    <w:rsid w:val="00D11B50"/>
    <w:rsid w:val="00D1239E"/>
    <w:rsid w:val="00D12755"/>
    <w:rsid w:val="00D12AA6"/>
    <w:rsid w:val="00D13667"/>
    <w:rsid w:val="00D13763"/>
    <w:rsid w:val="00D13C24"/>
    <w:rsid w:val="00D13C2A"/>
    <w:rsid w:val="00D1405B"/>
    <w:rsid w:val="00D146B1"/>
    <w:rsid w:val="00D1472B"/>
    <w:rsid w:val="00D14C47"/>
    <w:rsid w:val="00D14FB9"/>
    <w:rsid w:val="00D150D2"/>
    <w:rsid w:val="00D159A2"/>
    <w:rsid w:val="00D15E7E"/>
    <w:rsid w:val="00D15E9B"/>
    <w:rsid w:val="00D15FDD"/>
    <w:rsid w:val="00D16230"/>
    <w:rsid w:val="00D1639F"/>
    <w:rsid w:val="00D16471"/>
    <w:rsid w:val="00D16817"/>
    <w:rsid w:val="00D16DE8"/>
    <w:rsid w:val="00D16FBC"/>
    <w:rsid w:val="00D17193"/>
    <w:rsid w:val="00D17272"/>
    <w:rsid w:val="00D175F5"/>
    <w:rsid w:val="00D176BB"/>
    <w:rsid w:val="00D17713"/>
    <w:rsid w:val="00D17952"/>
    <w:rsid w:val="00D17D6C"/>
    <w:rsid w:val="00D17E52"/>
    <w:rsid w:val="00D17FC1"/>
    <w:rsid w:val="00D202D5"/>
    <w:rsid w:val="00D203A3"/>
    <w:rsid w:val="00D20ACD"/>
    <w:rsid w:val="00D20D52"/>
    <w:rsid w:val="00D21307"/>
    <w:rsid w:val="00D21369"/>
    <w:rsid w:val="00D213E9"/>
    <w:rsid w:val="00D215E4"/>
    <w:rsid w:val="00D217BE"/>
    <w:rsid w:val="00D221E0"/>
    <w:rsid w:val="00D22848"/>
    <w:rsid w:val="00D22EF5"/>
    <w:rsid w:val="00D23012"/>
    <w:rsid w:val="00D23051"/>
    <w:rsid w:val="00D2314E"/>
    <w:rsid w:val="00D233FA"/>
    <w:rsid w:val="00D23871"/>
    <w:rsid w:val="00D23BB2"/>
    <w:rsid w:val="00D2418F"/>
    <w:rsid w:val="00D24438"/>
    <w:rsid w:val="00D2467F"/>
    <w:rsid w:val="00D246B0"/>
    <w:rsid w:val="00D2498C"/>
    <w:rsid w:val="00D24D32"/>
    <w:rsid w:val="00D256BB"/>
    <w:rsid w:val="00D25DBE"/>
    <w:rsid w:val="00D262B6"/>
    <w:rsid w:val="00D263A7"/>
    <w:rsid w:val="00D2682F"/>
    <w:rsid w:val="00D26854"/>
    <w:rsid w:val="00D26E96"/>
    <w:rsid w:val="00D270A2"/>
    <w:rsid w:val="00D27D51"/>
    <w:rsid w:val="00D27E86"/>
    <w:rsid w:val="00D27EB8"/>
    <w:rsid w:val="00D3011F"/>
    <w:rsid w:val="00D30405"/>
    <w:rsid w:val="00D30522"/>
    <w:rsid w:val="00D306D8"/>
    <w:rsid w:val="00D3071C"/>
    <w:rsid w:val="00D30926"/>
    <w:rsid w:val="00D30E72"/>
    <w:rsid w:val="00D3101D"/>
    <w:rsid w:val="00D31201"/>
    <w:rsid w:val="00D31220"/>
    <w:rsid w:val="00D3137D"/>
    <w:rsid w:val="00D314EB"/>
    <w:rsid w:val="00D31721"/>
    <w:rsid w:val="00D31B92"/>
    <w:rsid w:val="00D32039"/>
    <w:rsid w:val="00D321DE"/>
    <w:rsid w:val="00D32300"/>
    <w:rsid w:val="00D32758"/>
    <w:rsid w:val="00D32AD5"/>
    <w:rsid w:val="00D3382A"/>
    <w:rsid w:val="00D33913"/>
    <w:rsid w:val="00D33B6C"/>
    <w:rsid w:val="00D3427B"/>
    <w:rsid w:val="00D3443B"/>
    <w:rsid w:val="00D3454C"/>
    <w:rsid w:val="00D35545"/>
    <w:rsid w:val="00D35D7A"/>
    <w:rsid w:val="00D35E40"/>
    <w:rsid w:val="00D363BF"/>
    <w:rsid w:val="00D36465"/>
    <w:rsid w:val="00D368CF"/>
    <w:rsid w:val="00D37282"/>
    <w:rsid w:val="00D3739F"/>
    <w:rsid w:val="00D37B74"/>
    <w:rsid w:val="00D37F45"/>
    <w:rsid w:val="00D40293"/>
    <w:rsid w:val="00D40531"/>
    <w:rsid w:val="00D40F15"/>
    <w:rsid w:val="00D4105E"/>
    <w:rsid w:val="00D41608"/>
    <w:rsid w:val="00D41815"/>
    <w:rsid w:val="00D41B61"/>
    <w:rsid w:val="00D41E01"/>
    <w:rsid w:val="00D41F2A"/>
    <w:rsid w:val="00D423FB"/>
    <w:rsid w:val="00D42529"/>
    <w:rsid w:val="00D425C7"/>
    <w:rsid w:val="00D42684"/>
    <w:rsid w:val="00D42807"/>
    <w:rsid w:val="00D42902"/>
    <w:rsid w:val="00D42E24"/>
    <w:rsid w:val="00D43243"/>
    <w:rsid w:val="00D43244"/>
    <w:rsid w:val="00D43284"/>
    <w:rsid w:val="00D43369"/>
    <w:rsid w:val="00D43698"/>
    <w:rsid w:val="00D436D9"/>
    <w:rsid w:val="00D4411B"/>
    <w:rsid w:val="00D446DC"/>
    <w:rsid w:val="00D44798"/>
    <w:rsid w:val="00D449C4"/>
    <w:rsid w:val="00D44ADB"/>
    <w:rsid w:val="00D451F5"/>
    <w:rsid w:val="00D452A3"/>
    <w:rsid w:val="00D45580"/>
    <w:rsid w:val="00D4569E"/>
    <w:rsid w:val="00D45829"/>
    <w:rsid w:val="00D45FDF"/>
    <w:rsid w:val="00D46107"/>
    <w:rsid w:val="00D461DB"/>
    <w:rsid w:val="00D469FB"/>
    <w:rsid w:val="00D46A04"/>
    <w:rsid w:val="00D4770B"/>
    <w:rsid w:val="00D47A22"/>
    <w:rsid w:val="00D47E88"/>
    <w:rsid w:val="00D50467"/>
    <w:rsid w:val="00D50782"/>
    <w:rsid w:val="00D5081A"/>
    <w:rsid w:val="00D50854"/>
    <w:rsid w:val="00D50899"/>
    <w:rsid w:val="00D513A3"/>
    <w:rsid w:val="00D5168C"/>
    <w:rsid w:val="00D5173C"/>
    <w:rsid w:val="00D51795"/>
    <w:rsid w:val="00D518F7"/>
    <w:rsid w:val="00D51A88"/>
    <w:rsid w:val="00D51CAA"/>
    <w:rsid w:val="00D51D00"/>
    <w:rsid w:val="00D5234E"/>
    <w:rsid w:val="00D52A8E"/>
    <w:rsid w:val="00D52BA3"/>
    <w:rsid w:val="00D52EEE"/>
    <w:rsid w:val="00D52FDE"/>
    <w:rsid w:val="00D53010"/>
    <w:rsid w:val="00D5329A"/>
    <w:rsid w:val="00D5341B"/>
    <w:rsid w:val="00D5368D"/>
    <w:rsid w:val="00D53722"/>
    <w:rsid w:val="00D5374F"/>
    <w:rsid w:val="00D53C28"/>
    <w:rsid w:val="00D53DA8"/>
    <w:rsid w:val="00D54158"/>
    <w:rsid w:val="00D54DE0"/>
    <w:rsid w:val="00D54F16"/>
    <w:rsid w:val="00D55D6C"/>
    <w:rsid w:val="00D55D9F"/>
    <w:rsid w:val="00D563DB"/>
    <w:rsid w:val="00D563FC"/>
    <w:rsid w:val="00D5688B"/>
    <w:rsid w:val="00D56B5A"/>
    <w:rsid w:val="00D56DFA"/>
    <w:rsid w:val="00D570E0"/>
    <w:rsid w:val="00D57367"/>
    <w:rsid w:val="00D57A96"/>
    <w:rsid w:val="00D57B02"/>
    <w:rsid w:val="00D57CA3"/>
    <w:rsid w:val="00D601E2"/>
    <w:rsid w:val="00D60365"/>
    <w:rsid w:val="00D60548"/>
    <w:rsid w:val="00D6069D"/>
    <w:rsid w:val="00D607B5"/>
    <w:rsid w:val="00D609D5"/>
    <w:rsid w:val="00D60C91"/>
    <w:rsid w:val="00D60CC0"/>
    <w:rsid w:val="00D60DAA"/>
    <w:rsid w:val="00D60E96"/>
    <w:rsid w:val="00D61127"/>
    <w:rsid w:val="00D61297"/>
    <w:rsid w:val="00D614E6"/>
    <w:rsid w:val="00D623C1"/>
    <w:rsid w:val="00D6286F"/>
    <w:rsid w:val="00D62AD1"/>
    <w:rsid w:val="00D62D37"/>
    <w:rsid w:val="00D6322F"/>
    <w:rsid w:val="00D6387B"/>
    <w:rsid w:val="00D63B6A"/>
    <w:rsid w:val="00D63D53"/>
    <w:rsid w:val="00D63FFD"/>
    <w:rsid w:val="00D64108"/>
    <w:rsid w:val="00D6422A"/>
    <w:rsid w:val="00D643EB"/>
    <w:rsid w:val="00D64B94"/>
    <w:rsid w:val="00D64CD1"/>
    <w:rsid w:val="00D65085"/>
    <w:rsid w:val="00D651F8"/>
    <w:rsid w:val="00D65661"/>
    <w:rsid w:val="00D65CA7"/>
    <w:rsid w:val="00D65F24"/>
    <w:rsid w:val="00D66205"/>
    <w:rsid w:val="00D66613"/>
    <w:rsid w:val="00D6744F"/>
    <w:rsid w:val="00D677DC"/>
    <w:rsid w:val="00D678F7"/>
    <w:rsid w:val="00D67C21"/>
    <w:rsid w:val="00D67F9A"/>
    <w:rsid w:val="00D70931"/>
    <w:rsid w:val="00D70B77"/>
    <w:rsid w:val="00D70D72"/>
    <w:rsid w:val="00D70F24"/>
    <w:rsid w:val="00D7197C"/>
    <w:rsid w:val="00D71BB2"/>
    <w:rsid w:val="00D71C28"/>
    <w:rsid w:val="00D72181"/>
    <w:rsid w:val="00D722D6"/>
    <w:rsid w:val="00D72677"/>
    <w:rsid w:val="00D730AE"/>
    <w:rsid w:val="00D732CF"/>
    <w:rsid w:val="00D7374B"/>
    <w:rsid w:val="00D737C8"/>
    <w:rsid w:val="00D7396F"/>
    <w:rsid w:val="00D74D40"/>
    <w:rsid w:val="00D751C3"/>
    <w:rsid w:val="00D7523E"/>
    <w:rsid w:val="00D75339"/>
    <w:rsid w:val="00D753C8"/>
    <w:rsid w:val="00D759D7"/>
    <w:rsid w:val="00D761F5"/>
    <w:rsid w:val="00D762F2"/>
    <w:rsid w:val="00D762F3"/>
    <w:rsid w:val="00D764A3"/>
    <w:rsid w:val="00D76A33"/>
    <w:rsid w:val="00D76C2F"/>
    <w:rsid w:val="00D77351"/>
    <w:rsid w:val="00D774F7"/>
    <w:rsid w:val="00D77D1E"/>
    <w:rsid w:val="00D800D7"/>
    <w:rsid w:val="00D8033F"/>
    <w:rsid w:val="00D80726"/>
    <w:rsid w:val="00D80CED"/>
    <w:rsid w:val="00D81501"/>
    <w:rsid w:val="00D817D6"/>
    <w:rsid w:val="00D81AF1"/>
    <w:rsid w:val="00D81C03"/>
    <w:rsid w:val="00D81C58"/>
    <w:rsid w:val="00D81D87"/>
    <w:rsid w:val="00D822B2"/>
    <w:rsid w:val="00D82393"/>
    <w:rsid w:val="00D824DB"/>
    <w:rsid w:val="00D8258B"/>
    <w:rsid w:val="00D827B5"/>
    <w:rsid w:val="00D82A49"/>
    <w:rsid w:val="00D82F35"/>
    <w:rsid w:val="00D82FD3"/>
    <w:rsid w:val="00D8404F"/>
    <w:rsid w:val="00D843D7"/>
    <w:rsid w:val="00D843DD"/>
    <w:rsid w:val="00D846C9"/>
    <w:rsid w:val="00D84ABF"/>
    <w:rsid w:val="00D84C44"/>
    <w:rsid w:val="00D84E4B"/>
    <w:rsid w:val="00D86488"/>
    <w:rsid w:val="00D866A6"/>
    <w:rsid w:val="00D8692F"/>
    <w:rsid w:val="00D86F2F"/>
    <w:rsid w:val="00D87103"/>
    <w:rsid w:val="00D879E8"/>
    <w:rsid w:val="00D87C02"/>
    <w:rsid w:val="00D87D19"/>
    <w:rsid w:val="00D87ECC"/>
    <w:rsid w:val="00D90345"/>
    <w:rsid w:val="00D903C2"/>
    <w:rsid w:val="00D906AD"/>
    <w:rsid w:val="00D90A67"/>
    <w:rsid w:val="00D91017"/>
    <w:rsid w:val="00D9108F"/>
    <w:rsid w:val="00D9121D"/>
    <w:rsid w:val="00D912DB"/>
    <w:rsid w:val="00D91AAA"/>
    <w:rsid w:val="00D92A4E"/>
    <w:rsid w:val="00D92D3D"/>
    <w:rsid w:val="00D92FA3"/>
    <w:rsid w:val="00D93243"/>
    <w:rsid w:val="00D93733"/>
    <w:rsid w:val="00D93A62"/>
    <w:rsid w:val="00D941C1"/>
    <w:rsid w:val="00D9446A"/>
    <w:rsid w:val="00D94B69"/>
    <w:rsid w:val="00D94BD2"/>
    <w:rsid w:val="00D94F22"/>
    <w:rsid w:val="00D9516B"/>
    <w:rsid w:val="00D9538D"/>
    <w:rsid w:val="00D956C3"/>
    <w:rsid w:val="00D95720"/>
    <w:rsid w:val="00D95BB2"/>
    <w:rsid w:val="00D96270"/>
    <w:rsid w:val="00D9682E"/>
    <w:rsid w:val="00D96899"/>
    <w:rsid w:val="00D96E6D"/>
    <w:rsid w:val="00D96EBE"/>
    <w:rsid w:val="00D96F1A"/>
    <w:rsid w:val="00D973A6"/>
    <w:rsid w:val="00D9767C"/>
    <w:rsid w:val="00D97AF4"/>
    <w:rsid w:val="00D97D5E"/>
    <w:rsid w:val="00DA082E"/>
    <w:rsid w:val="00DA0EA0"/>
    <w:rsid w:val="00DA100C"/>
    <w:rsid w:val="00DA1630"/>
    <w:rsid w:val="00DA1974"/>
    <w:rsid w:val="00DA1A4E"/>
    <w:rsid w:val="00DA1A89"/>
    <w:rsid w:val="00DA1CA1"/>
    <w:rsid w:val="00DA1EEA"/>
    <w:rsid w:val="00DA2C1F"/>
    <w:rsid w:val="00DA2DE4"/>
    <w:rsid w:val="00DA34B4"/>
    <w:rsid w:val="00DA36FE"/>
    <w:rsid w:val="00DA3991"/>
    <w:rsid w:val="00DA4017"/>
    <w:rsid w:val="00DA4980"/>
    <w:rsid w:val="00DA5A06"/>
    <w:rsid w:val="00DA5A1E"/>
    <w:rsid w:val="00DA5B94"/>
    <w:rsid w:val="00DA5BC8"/>
    <w:rsid w:val="00DA5F71"/>
    <w:rsid w:val="00DA6CF9"/>
    <w:rsid w:val="00DA6EAC"/>
    <w:rsid w:val="00DA72DC"/>
    <w:rsid w:val="00DA7782"/>
    <w:rsid w:val="00DA7B29"/>
    <w:rsid w:val="00DA7DA2"/>
    <w:rsid w:val="00DB0269"/>
    <w:rsid w:val="00DB12CD"/>
    <w:rsid w:val="00DB1313"/>
    <w:rsid w:val="00DB14D2"/>
    <w:rsid w:val="00DB14F3"/>
    <w:rsid w:val="00DB14FB"/>
    <w:rsid w:val="00DB16ED"/>
    <w:rsid w:val="00DB2377"/>
    <w:rsid w:val="00DB2487"/>
    <w:rsid w:val="00DB2718"/>
    <w:rsid w:val="00DB2931"/>
    <w:rsid w:val="00DB2DAD"/>
    <w:rsid w:val="00DB2F86"/>
    <w:rsid w:val="00DB363E"/>
    <w:rsid w:val="00DB41B9"/>
    <w:rsid w:val="00DB446E"/>
    <w:rsid w:val="00DB4864"/>
    <w:rsid w:val="00DB4882"/>
    <w:rsid w:val="00DB4C03"/>
    <w:rsid w:val="00DB4D43"/>
    <w:rsid w:val="00DB512E"/>
    <w:rsid w:val="00DB5954"/>
    <w:rsid w:val="00DB5C76"/>
    <w:rsid w:val="00DB5D24"/>
    <w:rsid w:val="00DB5E0A"/>
    <w:rsid w:val="00DB6055"/>
    <w:rsid w:val="00DB62BD"/>
    <w:rsid w:val="00DB63E0"/>
    <w:rsid w:val="00DB6983"/>
    <w:rsid w:val="00DB6FE9"/>
    <w:rsid w:val="00DB7167"/>
    <w:rsid w:val="00DB7655"/>
    <w:rsid w:val="00DC0159"/>
    <w:rsid w:val="00DC0500"/>
    <w:rsid w:val="00DC0570"/>
    <w:rsid w:val="00DC0707"/>
    <w:rsid w:val="00DC0777"/>
    <w:rsid w:val="00DC0DFC"/>
    <w:rsid w:val="00DC0E24"/>
    <w:rsid w:val="00DC151C"/>
    <w:rsid w:val="00DC189A"/>
    <w:rsid w:val="00DC1A79"/>
    <w:rsid w:val="00DC1BA2"/>
    <w:rsid w:val="00DC20E9"/>
    <w:rsid w:val="00DC27AE"/>
    <w:rsid w:val="00DC2F46"/>
    <w:rsid w:val="00DC31C7"/>
    <w:rsid w:val="00DC3858"/>
    <w:rsid w:val="00DC38B6"/>
    <w:rsid w:val="00DC39FA"/>
    <w:rsid w:val="00DC4226"/>
    <w:rsid w:val="00DC4394"/>
    <w:rsid w:val="00DC43E9"/>
    <w:rsid w:val="00DC5090"/>
    <w:rsid w:val="00DC5192"/>
    <w:rsid w:val="00DC53A0"/>
    <w:rsid w:val="00DC638A"/>
    <w:rsid w:val="00DC75E5"/>
    <w:rsid w:val="00DC77FD"/>
    <w:rsid w:val="00DC781D"/>
    <w:rsid w:val="00DC79CA"/>
    <w:rsid w:val="00DC79FE"/>
    <w:rsid w:val="00DC7B21"/>
    <w:rsid w:val="00DC7CBF"/>
    <w:rsid w:val="00DC7EEB"/>
    <w:rsid w:val="00DD0A64"/>
    <w:rsid w:val="00DD0BCF"/>
    <w:rsid w:val="00DD0C59"/>
    <w:rsid w:val="00DD0F02"/>
    <w:rsid w:val="00DD1464"/>
    <w:rsid w:val="00DD1675"/>
    <w:rsid w:val="00DD170E"/>
    <w:rsid w:val="00DD1854"/>
    <w:rsid w:val="00DD185F"/>
    <w:rsid w:val="00DD1B08"/>
    <w:rsid w:val="00DD1C36"/>
    <w:rsid w:val="00DD1FA8"/>
    <w:rsid w:val="00DD232B"/>
    <w:rsid w:val="00DD24B0"/>
    <w:rsid w:val="00DD24EA"/>
    <w:rsid w:val="00DD2523"/>
    <w:rsid w:val="00DD25A2"/>
    <w:rsid w:val="00DD2B27"/>
    <w:rsid w:val="00DD2F32"/>
    <w:rsid w:val="00DD339A"/>
    <w:rsid w:val="00DD3495"/>
    <w:rsid w:val="00DD3AA9"/>
    <w:rsid w:val="00DD3CB5"/>
    <w:rsid w:val="00DD4033"/>
    <w:rsid w:val="00DD43AC"/>
    <w:rsid w:val="00DD46EB"/>
    <w:rsid w:val="00DD5C3C"/>
    <w:rsid w:val="00DD5C89"/>
    <w:rsid w:val="00DD6073"/>
    <w:rsid w:val="00DD63BB"/>
    <w:rsid w:val="00DD69DD"/>
    <w:rsid w:val="00DD6AE0"/>
    <w:rsid w:val="00DD6CD5"/>
    <w:rsid w:val="00DD6D90"/>
    <w:rsid w:val="00DD7177"/>
    <w:rsid w:val="00DD736F"/>
    <w:rsid w:val="00DD776A"/>
    <w:rsid w:val="00DD7ADD"/>
    <w:rsid w:val="00DD7B07"/>
    <w:rsid w:val="00DE01E4"/>
    <w:rsid w:val="00DE069B"/>
    <w:rsid w:val="00DE0AB0"/>
    <w:rsid w:val="00DE0C45"/>
    <w:rsid w:val="00DE0FBC"/>
    <w:rsid w:val="00DE1DD8"/>
    <w:rsid w:val="00DE1EFA"/>
    <w:rsid w:val="00DE2044"/>
    <w:rsid w:val="00DE22A1"/>
    <w:rsid w:val="00DE25A0"/>
    <w:rsid w:val="00DE25A6"/>
    <w:rsid w:val="00DE261E"/>
    <w:rsid w:val="00DE2C15"/>
    <w:rsid w:val="00DE2DC5"/>
    <w:rsid w:val="00DE2F41"/>
    <w:rsid w:val="00DE3200"/>
    <w:rsid w:val="00DE35DB"/>
    <w:rsid w:val="00DE3626"/>
    <w:rsid w:val="00DE47EF"/>
    <w:rsid w:val="00DE4B56"/>
    <w:rsid w:val="00DE4B96"/>
    <w:rsid w:val="00DE4D2F"/>
    <w:rsid w:val="00DE507D"/>
    <w:rsid w:val="00DE5833"/>
    <w:rsid w:val="00DE5C72"/>
    <w:rsid w:val="00DE6041"/>
    <w:rsid w:val="00DE6F75"/>
    <w:rsid w:val="00DE7144"/>
    <w:rsid w:val="00DE7366"/>
    <w:rsid w:val="00DE757C"/>
    <w:rsid w:val="00DE7EC1"/>
    <w:rsid w:val="00DF081F"/>
    <w:rsid w:val="00DF0A58"/>
    <w:rsid w:val="00DF0D50"/>
    <w:rsid w:val="00DF1EBF"/>
    <w:rsid w:val="00DF3173"/>
    <w:rsid w:val="00DF3569"/>
    <w:rsid w:val="00DF364B"/>
    <w:rsid w:val="00DF3B44"/>
    <w:rsid w:val="00DF3BDD"/>
    <w:rsid w:val="00DF3E0C"/>
    <w:rsid w:val="00DF42DD"/>
    <w:rsid w:val="00DF482D"/>
    <w:rsid w:val="00DF4879"/>
    <w:rsid w:val="00DF4892"/>
    <w:rsid w:val="00DF4DE4"/>
    <w:rsid w:val="00DF5467"/>
    <w:rsid w:val="00DF587E"/>
    <w:rsid w:val="00DF59A9"/>
    <w:rsid w:val="00DF694A"/>
    <w:rsid w:val="00DF6E32"/>
    <w:rsid w:val="00DF6EC3"/>
    <w:rsid w:val="00DF7013"/>
    <w:rsid w:val="00DF7368"/>
    <w:rsid w:val="00DF758A"/>
    <w:rsid w:val="00DF76CD"/>
    <w:rsid w:val="00DF7D4D"/>
    <w:rsid w:val="00DF7D5F"/>
    <w:rsid w:val="00DF7D9E"/>
    <w:rsid w:val="00DF7EB9"/>
    <w:rsid w:val="00E000B5"/>
    <w:rsid w:val="00E00B94"/>
    <w:rsid w:val="00E0110C"/>
    <w:rsid w:val="00E01157"/>
    <w:rsid w:val="00E01534"/>
    <w:rsid w:val="00E01632"/>
    <w:rsid w:val="00E01B66"/>
    <w:rsid w:val="00E01DF8"/>
    <w:rsid w:val="00E0262E"/>
    <w:rsid w:val="00E028EA"/>
    <w:rsid w:val="00E029D3"/>
    <w:rsid w:val="00E029FC"/>
    <w:rsid w:val="00E02B9E"/>
    <w:rsid w:val="00E03672"/>
    <w:rsid w:val="00E03A27"/>
    <w:rsid w:val="00E03B04"/>
    <w:rsid w:val="00E03DCB"/>
    <w:rsid w:val="00E0437E"/>
    <w:rsid w:val="00E0469D"/>
    <w:rsid w:val="00E0482D"/>
    <w:rsid w:val="00E05596"/>
    <w:rsid w:val="00E05B3F"/>
    <w:rsid w:val="00E05CFD"/>
    <w:rsid w:val="00E06665"/>
    <w:rsid w:val="00E069F3"/>
    <w:rsid w:val="00E06B62"/>
    <w:rsid w:val="00E06BD9"/>
    <w:rsid w:val="00E06CBD"/>
    <w:rsid w:val="00E074CB"/>
    <w:rsid w:val="00E07F34"/>
    <w:rsid w:val="00E105AB"/>
    <w:rsid w:val="00E128AA"/>
    <w:rsid w:val="00E12CAB"/>
    <w:rsid w:val="00E12E15"/>
    <w:rsid w:val="00E1380D"/>
    <w:rsid w:val="00E140A4"/>
    <w:rsid w:val="00E140E4"/>
    <w:rsid w:val="00E141BB"/>
    <w:rsid w:val="00E1433A"/>
    <w:rsid w:val="00E1436C"/>
    <w:rsid w:val="00E14A47"/>
    <w:rsid w:val="00E1505D"/>
    <w:rsid w:val="00E15521"/>
    <w:rsid w:val="00E1557C"/>
    <w:rsid w:val="00E15D44"/>
    <w:rsid w:val="00E15D9B"/>
    <w:rsid w:val="00E160A7"/>
    <w:rsid w:val="00E162B3"/>
    <w:rsid w:val="00E16494"/>
    <w:rsid w:val="00E1655A"/>
    <w:rsid w:val="00E16875"/>
    <w:rsid w:val="00E17343"/>
    <w:rsid w:val="00E17549"/>
    <w:rsid w:val="00E176F0"/>
    <w:rsid w:val="00E17874"/>
    <w:rsid w:val="00E178A6"/>
    <w:rsid w:val="00E17960"/>
    <w:rsid w:val="00E17AC7"/>
    <w:rsid w:val="00E17C22"/>
    <w:rsid w:val="00E17CBC"/>
    <w:rsid w:val="00E20144"/>
    <w:rsid w:val="00E201EA"/>
    <w:rsid w:val="00E20EFC"/>
    <w:rsid w:val="00E216A6"/>
    <w:rsid w:val="00E216F1"/>
    <w:rsid w:val="00E21E33"/>
    <w:rsid w:val="00E2294F"/>
    <w:rsid w:val="00E22BB5"/>
    <w:rsid w:val="00E22CB6"/>
    <w:rsid w:val="00E2305E"/>
    <w:rsid w:val="00E23EBF"/>
    <w:rsid w:val="00E23F63"/>
    <w:rsid w:val="00E246F3"/>
    <w:rsid w:val="00E24EB9"/>
    <w:rsid w:val="00E25057"/>
    <w:rsid w:val="00E25156"/>
    <w:rsid w:val="00E257E1"/>
    <w:rsid w:val="00E25BDD"/>
    <w:rsid w:val="00E25E6B"/>
    <w:rsid w:val="00E25F47"/>
    <w:rsid w:val="00E270D8"/>
    <w:rsid w:val="00E2749E"/>
    <w:rsid w:val="00E275A2"/>
    <w:rsid w:val="00E2777C"/>
    <w:rsid w:val="00E277D6"/>
    <w:rsid w:val="00E27A32"/>
    <w:rsid w:val="00E27EBE"/>
    <w:rsid w:val="00E30257"/>
    <w:rsid w:val="00E3058C"/>
    <w:rsid w:val="00E30985"/>
    <w:rsid w:val="00E30A34"/>
    <w:rsid w:val="00E3161D"/>
    <w:rsid w:val="00E31747"/>
    <w:rsid w:val="00E31A80"/>
    <w:rsid w:val="00E31B4A"/>
    <w:rsid w:val="00E32217"/>
    <w:rsid w:val="00E3255E"/>
    <w:rsid w:val="00E327C4"/>
    <w:rsid w:val="00E32FD3"/>
    <w:rsid w:val="00E33184"/>
    <w:rsid w:val="00E332F7"/>
    <w:rsid w:val="00E3358F"/>
    <w:rsid w:val="00E33A4A"/>
    <w:rsid w:val="00E3405D"/>
    <w:rsid w:val="00E340FB"/>
    <w:rsid w:val="00E342AF"/>
    <w:rsid w:val="00E346C8"/>
    <w:rsid w:val="00E34BCA"/>
    <w:rsid w:val="00E34FB4"/>
    <w:rsid w:val="00E3582B"/>
    <w:rsid w:val="00E35B18"/>
    <w:rsid w:val="00E35BA3"/>
    <w:rsid w:val="00E35C13"/>
    <w:rsid w:val="00E35DE6"/>
    <w:rsid w:val="00E36904"/>
    <w:rsid w:val="00E36E1D"/>
    <w:rsid w:val="00E36F79"/>
    <w:rsid w:val="00E37033"/>
    <w:rsid w:val="00E374E0"/>
    <w:rsid w:val="00E3758C"/>
    <w:rsid w:val="00E3789B"/>
    <w:rsid w:val="00E3794B"/>
    <w:rsid w:val="00E379DB"/>
    <w:rsid w:val="00E37A65"/>
    <w:rsid w:val="00E37CCB"/>
    <w:rsid w:val="00E37D73"/>
    <w:rsid w:val="00E37EDF"/>
    <w:rsid w:val="00E37F3F"/>
    <w:rsid w:val="00E405D2"/>
    <w:rsid w:val="00E40850"/>
    <w:rsid w:val="00E40F3B"/>
    <w:rsid w:val="00E40F9B"/>
    <w:rsid w:val="00E411C8"/>
    <w:rsid w:val="00E41D70"/>
    <w:rsid w:val="00E42006"/>
    <w:rsid w:val="00E42349"/>
    <w:rsid w:val="00E426A8"/>
    <w:rsid w:val="00E4278C"/>
    <w:rsid w:val="00E42BE0"/>
    <w:rsid w:val="00E42C92"/>
    <w:rsid w:val="00E42FD9"/>
    <w:rsid w:val="00E43075"/>
    <w:rsid w:val="00E431C9"/>
    <w:rsid w:val="00E43295"/>
    <w:rsid w:val="00E4374F"/>
    <w:rsid w:val="00E43D61"/>
    <w:rsid w:val="00E43F11"/>
    <w:rsid w:val="00E444AE"/>
    <w:rsid w:val="00E44AFE"/>
    <w:rsid w:val="00E44CF4"/>
    <w:rsid w:val="00E44F65"/>
    <w:rsid w:val="00E45B8B"/>
    <w:rsid w:val="00E4643A"/>
    <w:rsid w:val="00E46D6C"/>
    <w:rsid w:val="00E46F54"/>
    <w:rsid w:val="00E47430"/>
    <w:rsid w:val="00E4775F"/>
    <w:rsid w:val="00E47954"/>
    <w:rsid w:val="00E47B6A"/>
    <w:rsid w:val="00E47E93"/>
    <w:rsid w:val="00E47F2D"/>
    <w:rsid w:val="00E50484"/>
    <w:rsid w:val="00E50591"/>
    <w:rsid w:val="00E50598"/>
    <w:rsid w:val="00E50DF9"/>
    <w:rsid w:val="00E51254"/>
    <w:rsid w:val="00E517FE"/>
    <w:rsid w:val="00E5193B"/>
    <w:rsid w:val="00E519C1"/>
    <w:rsid w:val="00E51FAC"/>
    <w:rsid w:val="00E52073"/>
    <w:rsid w:val="00E521E6"/>
    <w:rsid w:val="00E523F8"/>
    <w:rsid w:val="00E5284F"/>
    <w:rsid w:val="00E52CE2"/>
    <w:rsid w:val="00E52D65"/>
    <w:rsid w:val="00E52F38"/>
    <w:rsid w:val="00E53155"/>
    <w:rsid w:val="00E53349"/>
    <w:rsid w:val="00E537EE"/>
    <w:rsid w:val="00E539F2"/>
    <w:rsid w:val="00E53D84"/>
    <w:rsid w:val="00E53DAD"/>
    <w:rsid w:val="00E53DF2"/>
    <w:rsid w:val="00E542F2"/>
    <w:rsid w:val="00E54600"/>
    <w:rsid w:val="00E54782"/>
    <w:rsid w:val="00E554DF"/>
    <w:rsid w:val="00E5569C"/>
    <w:rsid w:val="00E55715"/>
    <w:rsid w:val="00E55951"/>
    <w:rsid w:val="00E55BC5"/>
    <w:rsid w:val="00E55C1F"/>
    <w:rsid w:val="00E55F0B"/>
    <w:rsid w:val="00E55F5C"/>
    <w:rsid w:val="00E56043"/>
    <w:rsid w:val="00E56B68"/>
    <w:rsid w:val="00E56C14"/>
    <w:rsid w:val="00E57053"/>
    <w:rsid w:val="00E5717D"/>
    <w:rsid w:val="00E574E7"/>
    <w:rsid w:val="00E6008F"/>
    <w:rsid w:val="00E605EC"/>
    <w:rsid w:val="00E60620"/>
    <w:rsid w:val="00E60C4F"/>
    <w:rsid w:val="00E60C94"/>
    <w:rsid w:val="00E617ED"/>
    <w:rsid w:val="00E6233B"/>
    <w:rsid w:val="00E623D7"/>
    <w:rsid w:val="00E6283C"/>
    <w:rsid w:val="00E62E8F"/>
    <w:rsid w:val="00E63037"/>
    <w:rsid w:val="00E63056"/>
    <w:rsid w:val="00E64526"/>
    <w:rsid w:val="00E6486C"/>
    <w:rsid w:val="00E650FD"/>
    <w:rsid w:val="00E6516D"/>
    <w:rsid w:val="00E6517C"/>
    <w:rsid w:val="00E6568C"/>
    <w:rsid w:val="00E65C55"/>
    <w:rsid w:val="00E65EFA"/>
    <w:rsid w:val="00E661C3"/>
    <w:rsid w:val="00E66295"/>
    <w:rsid w:val="00E664AA"/>
    <w:rsid w:val="00E6670B"/>
    <w:rsid w:val="00E66A3D"/>
    <w:rsid w:val="00E66B1F"/>
    <w:rsid w:val="00E66B75"/>
    <w:rsid w:val="00E66BDB"/>
    <w:rsid w:val="00E66C24"/>
    <w:rsid w:val="00E67931"/>
    <w:rsid w:val="00E67F58"/>
    <w:rsid w:val="00E70445"/>
    <w:rsid w:val="00E70BA4"/>
    <w:rsid w:val="00E70BE6"/>
    <w:rsid w:val="00E715AD"/>
    <w:rsid w:val="00E715F7"/>
    <w:rsid w:val="00E717AD"/>
    <w:rsid w:val="00E71C14"/>
    <w:rsid w:val="00E71E64"/>
    <w:rsid w:val="00E72CD9"/>
    <w:rsid w:val="00E734A3"/>
    <w:rsid w:val="00E73950"/>
    <w:rsid w:val="00E73BD7"/>
    <w:rsid w:val="00E743E1"/>
    <w:rsid w:val="00E748C7"/>
    <w:rsid w:val="00E752C1"/>
    <w:rsid w:val="00E75F52"/>
    <w:rsid w:val="00E76445"/>
    <w:rsid w:val="00E769AA"/>
    <w:rsid w:val="00E76F28"/>
    <w:rsid w:val="00E77729"/>
    <w:rsid w:val="00E77CCB"/>
    <w:rsid w:val="00E804BA"/>
    <w:rsid w:val="00E80625"/>
    <w:rsid w:val="00E806AE"/>
    <w:rsid w:val="00E80839"/>
    <w:rsid w:val="00E80901"/>
    <w:rsid w:val="00E80C41"/>
    <w:rsid w:val="00E814AC"/>
    <w:rsid w:val="00E81815"/>
    <w:rsid w:val="00E81C52"/>
    <w:rsid w:val="00E81F72"/>
    <w:rsid w:val="00E821E5"/>
    <w:rsid w:val="00E8265F"/>
    <w:rsid w:val="00E82859"/>
    <w:rsid w:val="00E828BC"/>
    <w:rsid w:val="00E829D0"/>
    <w:rsid w:val="00E82A0E"/>
    <w:rsid w:val="00E82A7A"/>
    <w:rsid w:val="00E834E0"/>
    <w:rsid w:val="00E8391C"/>
    <w:rsid w:val="00E83D0F"/>
    <w:rsid w:val="00E83D4A"/>
    <w:rsid w:val="00E83ED5"/>
    <w:rsid w:val="00E841FD"/>
    <w:rsid w:val="00E84210"/>
    <w:rsid w:val="00E8432E"/>
    <w:rsid w:val="00E846A8"/>
    <w:rsid w:val="00E84722"/>
    <w:rsid w:val="00E8481B"/>
    <w:rsid w:val="00E8538C"/>
    <w:rsid w:val="00E85480"/>
    <w:rsid w:val="00E85BEB"/>
    <w:rsid w:val="00E85C9E"/>
    <w:rsid w:val="00E85CF6"/>
    <w:rsid w:val="00E85F64"/>
    <w:rsid w:val="00E85FC6"/>
    <w:rsid w:val="00E86032"/>
    <w:rsid w:val="00E86052"/>
    <w:rsid w:val="00E86283"/>
    <w:rsid w:val="00E864F5"/>
    <w:rsid w:val="00E866E8"/>
    <w:rsid w:val="00E867B4"/>
    <w:rsid w:val="00E86C5F"/>
    <w:rsid w:val="00E8710E"/>
    <w:rsid w:val="00E876EE"/>
    <w:rsid w:val="00E87BA3"/>
    <w:rsid w:val="00E87F29"/>
    <w:rsid w:val="00E87FFB"/>
    <w:rsid w:val="00E900AD"/>
    <w:rsid w:val="00E90108"/>
    <w:rsid w:val="00E903EE"/>
    <w:rsid w:val="00E90694"/>
    <w:rsid w:val="00E909CA"/>
    <w:rsid w:val="00E90A85"/>
    <w:rsid w:val="00E90D7E"/>
    <w:rsid w:val="00E90EBF"/>
    <w:rsid w:val="00E917E1"/>
    <w:rsid w:val="00E91F1F"/>
    <w:rsid w:val="00E92226"/>
    <w:rsid w:val="00E9253B"/>
    <w:rsid w:val="00E92C22"/>
    <w:rsid w:val="00E92C54"/>
    <w:rsid w:val="00E92EFB"/>
    <w:rsid w:val="00E92F00"/>
    <w:rsid w:val="00E92FA3"/>
    <w:rsid w:val="00E9322C"/>
    <w:rsid w:val="00E93556"/>
    <w:rsid w:val="00E93820"/>
    <w:rsid w:val="00E93998"/>
    <w:rsid w:val="00E93DDB"/>
    <w:rsid w:val="00E93F10"/>
    <w:rsid w:val="00E94037"/>
    <w:rsid w:val="00E94403"/>
    <w:rsid w:val="00E94DEF"/>
    <w:rsid w:val="00E94F58"/>
    <w:rsid w:val="00E950E7"/>
    <w:rsid w:val="00E951F9"/>
    <w:rsid w:val="00E95502"/>
    <w:rsid w:val="00E95775"/>
    <w:rsid w:val="00E95E02"/>
    <w:rsid w:val="00E96AF7"/>
    <w:rsid w:val="00E96CC1"/>
    <w:rsid w:val="00E9758C"/>
    <w:rsid w:val="00E97592"/>
    <w:rsid w:val="00E9792E"/>
    <w:rsid w:val="00E97F4A"/>
    <w:rsid w:val="00EA0A8F"/>
    <w:rsid w:val="00EA0E26"/>
    <w:rsid w:val="00EA1216"/>
    <w:rsid w:val="00EA1350"/>
    <w:rsid w:val="00EA140C"/>
    <w:rsid w:val="00EA14DF"/>
    <w:rsid w:val="00EA1B1D"/>
    <w:rsid w:val="00EA1B42"/>
    <w:rsid w:val="00EA207F"/>
    <w:rsid w:val="00EA24A1"/>
    <w:rsid w:val="00EA2A81"/>
    <w:rsid w:val="00EA2D88"/>
    <w:rsid w:val="00EA35D6"/>
    <w:rsid w:val="00EA389A"/>
    <w:rsid w:val="00EA3913"/>
    <w:rsid w:val="00EA3A05"/>
    <w:rsid w:val="00EA3BDA"/>
    <w:rsid w:val="00EA3F78"/>
    <w:rsid w:val="00EA3FD9"/>
    <w:rsid w:val="00EA4123"/>
    <w:rsid w:val="00EA4439"/>
    <w:rsid w:val="00EA4583"/>
    <w:rsid w:val="00EA45E3"/>
    <w:rsid w:val="00EA54FB"/>
    <w:rsid w:val="00EA5595"/>
    <w:rsid w:val="00EA5BEF"/>
    <w:rsid w:val="00EA624A"/>
    <w:rsid w:val="00EA7477"/>
    <w:rsid w:val="00EA7554"/>
    <w:rsid w:val="00EA76D9"/>
    <w:rsid w:val="00EA77F3"/>
    <w:rsid w:val="00EA7AE9"/>
    <w:rsid w:val="00EA7DC1"/>
    <w:rsid w:val="00EB00BF"/>
    <w:rsid w:val="00EB0493"/>
    <w:rsid w:val="00EB09A5"/>
    <w:rsid w:val="00EB0F65"/>
    <w:rsid w:val="00EB11DC"/>
    <w:rsid w:val="00EB1451"/>
    <w:rsid w:val="00EB1BFF"/>
    <w:rsid w:val="00EB1F9F"/>
    <w:rsid w:val="00EB2137"/>
    <w:rsid w:val="00EB2544"/>
    <w:rsid w:val="00EB2FE7"/>
    <w:rsid w:val="00EB41C5"/>
    <w:rsid w:val="00EB4BEB"/>
    <w:rsid w:val="00EB4DD4"/>
    <w:rsid w:val="00EB54DF"/>
    <w:rsid w:val="00EB55E8"/>
    <w:rsid w:val="00EB5A9D"/>
    <w:rsid w:val="00EB5D6A"/>
    <w:rsid w:val="00EB6090"/>
    <w:rsid w:val="00EB657F"/>
    <w:rsid w:val="00EB6705"/>
    <w:rsid w:val="00EB70ED"/>
    <w:rsid w:val="00EB73A1"/>
    <w:rsid w:val="00EC00DB"/>
    <w:rsid w:val="00EC0376"/>
    <w:rsid w:val="00EC0568"/>
    <w:rsid w:val="00EC0910"/>
    <w:rsid w:val="00EC0CEE"/>
    <w:rsid w:val="00EC159F"/>
    <w:rsid w:val="00EC1BD5"/>
    <w:rsid w:val="00EC2257"/>
    <w:rsid w:val="00EC27EC"/>
    <w:rsid w:val="00EC2E5A"/>
    <w:rsid w:val="00EC2F17"/>
    <w:rsid w:val="00EC3946"/>
    <w:rsid w:val="00EC3F55"/>
    <w:rsid w:val="00EC3F9A"/>
    <w:rsid w:val="00EC401B"/>
    <w:rsid w:val="00EC412A"/>
    <w:rsid w:val="00EC489A"/>
    <w:rsid w:val="00EC5107"/>
    <w:rsid w:val="00EC584D"/>
    <w:rsid w:val="00EC5857"/>
    <w:rsid w:val="00EC5D8C"/>
    <w:rsid w:val="00EC5F7A"/>
    <w:rsid w:val="00EC662A"/>
    <w:rsid w:val="00EC6667"/>
    <w:rsid w:val="00EC6870"/>
    <w:rsid w:val="00EC6BCF"/>
    <w:rsid w:val="00EC7081"/>
    <w:rsid w:val="00EC725F"/>
    <w:rsid w:val="00EC72F2"/>
    <w:rsid w:val="00EC740D"/>
    <w:rsid w:val="00EC7686"/>
    <w:rsid w:val="00EC782E"/>
    <w:rsid w:val="00EC7FDB"/>
    <w:rsid w:val="00ED0125"/>
    <w:rsid w:val="00ED053B"/>
    <w:rsid w:val="00ED05B8"/>
    <w:rsid w:val="00ED0808"/>
    <w:rsid w:val="00ED0B9D"/>
    <w:rsid w:val="00ED1019"/>
    <w:rsid w:val="00ED1335"/>
    <w:rsid w:val="00ED1B45"/>
    <w:rsid w:val="00ED1C5E"/>
    <w:rsid w:val="00ED2591"/>
    <w:rsid w:val="00ED2678"/>
    <w:rsid w:val="00ED2A47"/>
    <w:rsid w:val="00ED2FDE"/>
    <w:rsid w:val="00ED30CF"/>
    <w:rsid w:val="00ED37C8"/>
    <w:rsid w:val="00ED3998"/>
    <w:rsid w:val="00ED3B07"/>
    <w:rsid w:val="00ED488F"/>
    <w:rsid w:val="00ED4DB0"/>
    <w:rsid w:val="00ED521A"/>
    <w:rsid w:val="00ED567A"/>
    <w:rsid w:val="00ED6104"/>
    <w:rsid w:val="00ED620C"/>
    <w:rsid w:val="00ED65AC"/>
    <w:rsid w:val="00ED66B3"/>
    <w:rsid w:val="00ED6C1E"/>
    <w:rsid w:val="00ED6EE8"/>
    <w:rsid w:val="00ED766A"/>
    <w:rsid w:val="00ED7E69"/>
    <w:rsid w:val="00ED7EAE"/>
    <w:rsid w:val="00EE0037"/>
    <w:rsid w:val="00EE0090"/>
    <w:rsid w:val="00EE00AB"/>
    <w:rsid w:val="00EE03A1"/>
    <w:rsid w:val="00EE061C"/>
    <w:rsid w:val="00EE0707"/>
    <w:rsid w:val="00EE0C98"/>
    <w:rsid w:val="00EE0CA0"/>
    <w:rsid w:val="00EE0D7C"/>
    <w:rsid w:val="00EE1A65"/>
    <w:rsid w:val="00EE1EC0"/>
    <w:rsid w:val="00EE1FBF"/>
    <w:rsid w:val="00EE20C6"/>
    <w:rsid w:val="00EE22D4"/>
    <w:rsid w:val="00EE2710"/>
    <w:rsid w:val="00EE2B84"/>
    <w:rsid w:val="00EE3044"/>
    <w:rsid w:val="00EE31B3"/>
    <w:rsid w:val="00EE32DA"/>
    <w:rsid w:val="00EE3335"/>
    <w:rsid w:val="00EE3B39"/>
    <w:rsid w:val="00EE4125"/>
    <w:rsid w:val="00EE41C3"/>
    <w:rsid w:val="00EE44AD"/>
    <w:rsid w:val="00EE4645"/>
    <w:rsid w:val="00EE4AC1"/>
    <w:rsid w:val="00EE52D0"/>
    <w:rsid w:val="00EE5E1D"/>
    <w:rsid w:val="00EE5EEA"/>
    <w:rsid w:val="00EE5FE1"/>
    <w:rsid w:val="00EE670D"/>
    <w:rsid w:val="00EE6DBD"/>
    <w:rsid w:val="00EE6E61"/>
    <w:rsid w:val="00EE73C3"/>
    <w:rsid w:val="00EE78DC"/>
    <w:rsid w:val="00EE79C9"/>
    <w:rsid w:val="00EE7FE6"/>
    <w:rsid w:val="00EF03F6"/>
    <w:rsid w:val="00EF057D"/>
    <w:rsid w:val="00EF0703"/>
    <w:rsid w:val="00EF0DBF"/>
    <w:rsid w:val="00EF0FD4"/>
    <w:rsid w:val="00EF1534"/>
    <w:rsid w:val="00EF1887"/>
    <w:rsid w:val="00EF1D3B"/>
    <w:rsid w:val="00EF23FD"/>
    <w:rsid w:val="00EF331E"/>
    <w:rsid w:val="00EF3448"/>
    <w:rsid w:val="00EF38FB"/>
    <w:rsid w:val="00EF3C84"/>
    <w:rsid w:val="00EF3F7B"/>
    <w:rsid w:val="00EF4049"/>
    <w:rsid w:val="00EF44A5"/>
    <w:rsid w:val="00EF45FA"/>
    <w:rsid w:val="00EF47CA"/>
    <w:rsid w:val="00EF4931"/>
    <w:rsid w:val="00EF4D9E"/>
    <w:rsid w:val="00EF4E41"/>
    <w:rsid w:val="00EF5154"/>
    <w:rsid w:val="00EF67BA"/>
    <w:rsid w:val="00EF6D97"/>
    <w:rsid w:val="00EF6E86"/>
    <w:rsid w:val="00EF7002"/>
    <w:rsid w:val="00EF7685"/>
    <w:rsid w:val="00EF7CE8"/>
    <w:rsid w:val="00EF7FA3"/>
    <w:rsid w:val="00F0000F"/>
    <w:rsid w:val="00F00637"/>
    <w:rsid w:val="00F00901"/>
    <w:rsid w:val="00F00AF7"/>
    <w:rsid w:val="00F00D88"/>
    <w:rsid w:val="00F01066"/>
    <w:rsid w:val="00F011A3"/>
    <w:rsid w:val="00F01776"/>
    <w:rsid w:val="00F01C52"/>
    <w:rsid w:val="00F0277F"/>
    <w:rsid w:val="00F02ED6"/>
    <w:rsid w:val="00F03073"/>
    <w:rsid w:val="00F033E6"/>
    <w:rsid w:val="00F03649"/>
    <w:rsid w:val="00F03C98"/>
    <w:rsid w:val="00F0411F"/>
    <w:rsid w:val="00F04657"/>
    <w:rsid w:val="00F04FD5"/>
    <w:rsid w:val="00F04FF4"/>
    <w:rsid w:val="00F05133"/>
    <w:rsid w:val="00F058A2"/>
    <w:rsid w:val="00F05B21"/>
    <w:rsid w:val="00F05C06"/>
    <w:rsid w:val="00F05C73"/>
    <w:rsid w:val="00F05DE7"/>
    <w:rsid w:val="00F05F9A"/>
    <w:rsid w:val="00F063D5"/>
    <w:rsid w:val="00F06601"/>
    <w:rsid w:val="00F066AA"/>
    <w:rsid w:val="00F0677C"/>
    <w:rsid w:val="00F06D64"/>
    <w:rsid w:val="00F074C9"/>
    <w:rsid w:val="00F07694"/>
    <w:rsid w:val="00F076E2"/>
    <w:rsid w:val="00F07BDD"/>
    <w:rsid w:val="00F07EE2"/>
    <w:rsid w:val="00F10069"/>
    <w:rsid w:val="00F1018B"/>
    <w:rsid w:val="00F106A6"/>
    <w:rsid w:val="00F106E0"/>
    <w:rsid w:val="00F10752"/>
    <w:rsid w:val="00F10DA7"/>
    <w:rsid w:val="00F10F89"/>
    <w:rsid w:val="00F111EC"/>
    <w:rsid w:val="00F11368"/>
    <w:rsid w:val="00F1156E"/>
    <w:rsid w:val="00F115CE"/>
    <w:rsid w:val="00F1169C"/>
    <w:rsid w:val="00F11B81"/>
    <w:rsid w:val="00F122F2"/>
    <w:rsid w:val="00F124E2"/>
    <w:rsid w:val="00F12560"/>
    <w:rsid w:val="00F12D19"/>
    <w:rsid w:val="00F12D8B"/>
    <w:rsid w:val="00F12E8F"/>
    <w:rsid w:val="00F134B7"/>
    <w:rsid w:val="00F13CD6"/>
    <w:rsid w:val="00F1412A"/>
    <w:rsid w:val="00F1420A"/>
    <w:rsid w:val="00F14883"/>
    <w:rsid w:val="00F14EAB"/>
    <w:rsid w:val="00F1588F"/>
    <w:rsid w:val="00F15C36"/>
    <w:rsid w:val="00F16068"/>
    <w:rsid w:val="00F16162"/>
    <w:rsid w:val="00F161B4"/>
    <w:rsid w:val="00F1689E"/>
    <w:rsid w:val="00F17089"/>
    <w:rsid w:val="00F170F5"/>
    <w:rsid w:val="00F171EE"/>
    <w:rsid w:val="00F17462"/>
    <w:rsid w:val="00F176C4"/>
    <w:rsid w:val="00F17861"/>
    <w:rsid w:val="00F1795A"/>
    <w:rsid w:val="00F17F37"/>
    <w:rsid w:val="00F17FFD"/>
    <w:rsid w:val="00F2086F"/>
    <w:rsid w:val="00F20B10"/>
    <w:rsid w:val="00F20D73"/>
    <w:rsid w:val="00F20E9E"/>
    <w:rsid w:val="00F215E5"/>
    <w:rsid w:val="00F2181F"/>
    <w:rsid w:val="00F21B31"/>
    <w:rsid w:val="00F21B4F"/>
    <w:rsid w:val="00F220FC"/>
    <w:rsid w:val="00F2211A"/>
    <w:rsid w:val="00F221FA"/>
    <w:rsid w:val="00F222E8"/>
    <w:rsid w:val="00F22636"/>
    <w:rsid w:val="00F2381F"/>
    <w:rsid w:val="00F23C7A"/>
    <w:rsid w:val="00F24052"/>
    <w:rsid w:val="00F240BA"/>
    <w:rsid w:val="00F2437D"/>
    <w:rsid w:val="00F2454C"/>
    <w:rsid w:val="00F245D5"/>
    <w:rsid w:val="00F24827"/>
    <w:rsid w:val="00F25409"/>
    <w:rsid w:val="00F25A95"/>
    <w:rsid w:val="00F25E92"/>
    <w:rsid w:val="00F263D4"/>
    <w:rsid w:val="00F271C8"/>
    <w:rsid w:val="00F275CE"/>
    <w:rsid w:val="00F27659"/>
    <w:rsid w:val="00F279DB"/>
    <w:rsid w:val="00F27F38"/>
    <w:rsid w:val="00F3001F"/>
    <w:rsid w:val="00F30717"/>
    <w:rsid w:val="00F308F1"/>
    <w:rsid w:val="00F30A94"/>
    <w:rsid w:val="00F31050"/>
    <w:rsid w:val="00F3172A"/>
    <w:rsid w:val="00F31FC5"/>
    <w:rsid w:val="00F32077"/>
    <w:rsid w:val="00F32210"/>
    <w:rsid w:val="00F32B55"/>
    <w:rsid w:val="00F33431"/>
    <w:rsid w:val="00F3385A"/>
    <w:rsid w:val="00F33E2D"/>
    <w:rsid w:val="00F3406D"/>
    <w:rsid w:val="00F34101"/>
    <w:rsid w:val="00F34104"/>
    <w:rsid w:val="00F3429E"/>
    <w:rsid w:val="00F34800"/>
    <w:rsid w:val="00F34E5C"/>
    <w:rsid w:val="00F35393"/>
    <w:rsid w:val="00F35698"/>
    <w:rsid w:val="00F35740"/>
    <w:rsid w:val="00F35DBE"/>
    <w:rsid w:val="00F36839"/>
    <w:rsid w:val="00F36D41"/>
    <w:rsid w:val="00F36E4A"/>
    <w:rsid w:val="00F36E60"/>
    <w:rsid w:val="00F36F99"/>
    <w:rsid w:val="00F37097"/>
    <w:rsid w:val="00F37344"/>
    <w:rsid w:val="00F37403"/>
    <w:rsid w:val="00F37A57"/>
    <w:rsid w:val="00F37D44"/>
    <w:rsid w:val="00F40073"/>
    <w:rsid w:val="00F40202"/>
    <w:rsid w:val="00F4037C"/>
    <w:rsid w:val="00F405DB"/>
    <w:rsid w:val="00F40B09"/>
    <w:rsid w:val="00F4160B"/>
    <w:rsid w:val="00F417F0"/>
    <w:rsid w:val="00F41846"/>
    <w:rsid w:val="00F41B42"/>
    <w:rsid w:val="00F42328"/>
    <w:rsid w:val="00F423FF"/>
    <w:rsid w:val="00F42671"/>
    <w:rsid w:val="00F427B6"/>
    <w:rsid w:val="00F427E3"/>
    <w:rsid w:val="00F42898"/>
    <w:rsid w:val="00F42AD4"/>
    <w:rsid w:val="00F43854"/>
    <w:rsid w:val="00F43E42"/>
    <w:rsid w:val="00F440C0"/>
    <w:rsid w:val="00F44621"/>
    <w:rsid w:val="00F448AA"/>
    <w:rsid w:val="00F451F3"/>
    <w:rsid w:val="00F455F7"/>
    <w:rsid w:val="00F456D8"/>
    <w:rsid w:val="00F458CA"/>
    <w:rsid w:val="00F458E2"/>
    <w:rsid w:val="00F4593E"/>
    <w:rsid w:val="00F45C98"/>
    <w:rsid w:val="00F4600D"/>
    <w:rsid w:val="00F4604D"/>
    <w:rsid w:val="00F46153"/>
    <w:rsid w:val="00F46598"/>
    <w:rsid w:val="00F46AD3"/>
    <w:rsid w:val="00F46DF9"/>
    <w:rsid w:val="00F4735A"/>
    <w:rsid w:val="00F476F0"/>
    <w:rsid w:val="00F47B2C"/>
    <w:rsid w:val="00F47CFB"/>
    <w:rsid w:val="00F50399"/>
    <w:rsid w:val="00F50A52"/>
    <w:rsid w:val="00F50CB0"/>
    <w:rsid w:val="00F50DA3"/>
    <w:rsid w:val="00F50FA9"/>
    <w:rsid w:val="00F513E1"/>
    <w:rsid w:val="00F51677"/>
    <w:rsid w:val="00F518DE"/>
    <w:rsid w:val="00F51DAA"/>
    <w:rsid w:val="00F5266C"/>
    <w:rsid w:val="00F52871"/>
    <w:rsid w:val="00F52916"/>
    <w:rsid w:val="00F52BC4"/>
    <w:rsid w:val="00F53038"/>
    <w:rsid w:val="00F53717"/>
    <w:rsid w:val="00F5388F"/>
    <w:rsid w:val="00F53D5A"/>
    <w:rsid w:val="00F5424E"/>
    <w:rsid w:val="00F54657"/>
    <w:rsid w:val="00F54A36"/>
    <w:rsid w:val="00F54C24"/>
    <w:rsid w:val="00F559BC"/>
    <w:rsid w:val="00F565B3"/>
    <w:rsid w:val="00F56BC9"/>
    <w:rsid w:val="00F56DC0"/>
    <w:rsid w:val="00F57035"/>
    <w:rsid w:val="00F57636"/>
    <w:rsid w:val="00F57B31"/>
    <w:rsid w:val="00F57EB4"/>
    <w:rsid w:val="00F6016D"/>
    <w:rsid w:val="00F60452"/>
    <w:rsid w:val="00F60B79"/>
    <w:rsid w:val="00F60D05"/>
    <w:rsid w:val="00F612C8"/>
    <w:rsid w:val="00F6138F"/>
    <w:rsid w:val="00F617BF"/>
    <w:rsid w:val="00F61DB6"/>
    <w:rsid w:val="00F61DE6"/>
    <w:rsid w:val="00F61ED5"/>
    <w:rsid w:val="00F6208A"/>
    <w:rsid w:val="00F626C0"/>
    <w:rsid w:val="00F62AE1"/>
    <w:rsid w:val="00F62B0F"/>
    <w:rsid w:val="00F62ECF"/>
    <w:rsid w:val="00F638A5"/>
    <w:rsid w:val="00F63AF0"/>
    <w:rsid w:val="00F63D2F"/>
    <w:rsid w:val="00F64322"/>
    <w:rsid w:val="00F64740"/>
    <w:rsid w:val="00F64773"/>
    <w:rsid w:val="00F64A43"/>
    <w:rsid w:val="00F64FCC"/>
    <w:rsid w:val="00F650ED"/>
    <w:rsid w:val="00F654A1"/>
    <w:rsid w:val="00F659FC"/>
    <w:rsid w:val="00F65A90"/>
    <w:rsid w:val="00F65AB2"/>
    <w:rsid w:val="00F65EF1"/>
    <w:rsid w:val="00F6667D"/>
    <w:rsid w:val="00F66C52"/>
    <w:rsid w:val="00F66D09"/>
    <w:rsid w:val="00F66D89"/>
    <w:rsid w:val="00F66FE7"/>
    <w:rsid w:val="00F6707A"/>
    <w:rsid w:val="00F6714D"/>
    <w:rsid w:val="00F678F0"/>
    <w:rsid w:val="00F67A32"/>
    <w:rsid w:val="00F67E06"/>
    <w:rsid w:val="00F7000C"/>
    <w:rsid w:val="00F70D7A"/>
    <w:rsid w:val="00F70E75"/>
    <w:rsid w:val="00F70E82"/>
    <w:rsid w:val="00F71008"/>
    <w:rsid w:val="00F7158B"/>
    <w:rsid w:val="00F71A3C"/>
    <w:rsid w:val="00F71B6A"/>
    <w:rsid w:val="00F71E4F"/>
    <w:rsid w:val="00F7231A"/>
    <w:rsid w:val="00F72889"/>
    <w:rsid w:val="00F728F5"/>
    <w:rsid w:val="00F72C18"/>
    <w:rsid w:val="00F72D80"/>
    <w:rsid w:val="00F733AC"/>
    <w:rsid w:val="00F734C1"/>
    <w:rsid w:val="00F73AFE"/>
    <w:rsid w:val="00F73C70"/>
    <w:rsid w:val="00F743A5"/>
    <w:rsid w:val="00F74E9C"/>
    <w:rsid w:val="00F751C4"/>
    <w:rsid w:val="00F75823"/>
    <w:rsid w:val="00F75FA7"/>
    <w:rsid w:val="00F7683F"/>
    <w:rsid w:val="00F76A06"/>
    <w:rsid w:val="00F76D55"/>
    <w:rsid w:val="00F76E25"/>
    <w:rsid w:val="00F77DC4"/>
    <w:rsid w:val="00F77E92"/>
    <w:rsid w:val="00F77FDB"/>
    <w:rsid w:val="00F80127"/>
    <w:rsid w:val="00F8042C"/>
    <w:rsid w:val="00F81071"/>
    <w:rsid w:val="00F811C3"/>
    <w:rsid w:val="00F8168D"/>
    <w:rsid w:val="00F81978"/>
    <w:rsid w:val="00F81979"/>
    <w:rsid w:val="00F81BDC"/>
    <w:rsid w:val="00F81F24"/>
    <w:rsid w:val="00F821EC"/>
    <w:rsid w:val="00F824F5"/>
    <w:rsid w:val="00F82FB0"/>
    <w:rsid w:val="00F83115"/>
    <w:rsid w:val="00F83245"/>
    <w:rsid w:val="00F838A7"/>
    <w:rsid w:val="00F83F20"/>
    <w:rsid w:val="00F845BB"/>
    <w:rsid w:val="00F84774"/>
    <w:rsid w:val="00F84A29"/>
    <w:rsid w:val="00F854E2"/>
    <w:rsid w:val="00F85C21"/>
    <w:rsid w:val="00F85E46"/>
    <w:rsid w:val="00F86A68"/>
    <w:rsid w:val="00F87390"/>
    <w:rsid w:val="00F8783B"/>
    <w:rsid w:val="00F87C68"/>
    <w:rsid w:val="00F902AD"/>
    <w:rsid w:val="00F90991"/>
    <w:rsid w:val="00F9099C"/>
    <w:rsid w:val="00F913C1"/>
    <w:rsid w:val="00F91475"/>
    <w:rsid w:val="00F91B10"/>
    <w:rsid w:val="00F91B93"/>
    <w:rsid w:val="00F91FE1"/>
    <w:rsid w:val="00F92515"/>
    <w:rsid w:val="00F92684"/>
    <w:rsid w:val="00F92884"/>
    <w:rsid w:val="00F929F1"/>
    <w:rsid w:val="00F92D76"/>
    <w:rsid w:val="00F92EF9"/>
    <w:rsid w:val="00F93980"/>
    <w:rsid w:val="00F93D40"/>
    <w:rsid w:val="00F94236"/>
    <w:rsid w:val="00F94711"/>
    <w:rsid w:val="00F948B9"/>
    <w:rsid w:val="00F94B29"/>
    <w:rsid w:val="00F94C1B"/>
    <w:rsid w:val="00F94DF5"/>
    <w:rsid w:val="00F94EDC"/>
    <w:rsid w:val="00F94F36"/>
    <w:rsid w:val="00F9513A"/>
    <w:rsid w:val="00F9580F"/>
    <w:rsid w:val="00F95B53"/>
    <w:rsid w:val="00F95D56"/>
    <w:rsid w:val="00F95D57"/>
    <w:rsid w:val="00F962CB"/>
    <w:rsid w:val="00F9673E"/>
    <w:rsid w:val="00F96851"/>
    <w:rsid w:val="00F9693D"/>
    <w:rsid w:val="00F969C8"/>
    <w:rsid w:val="00F96D20"/>
    <w:rsid w:val="00F96FB8"/>
    <w:rsid w:val="00F97303"/>
    <w:rsid w:val="00F973BF"/>
    <w:rsid w:val="00F97447"/>
    <w:rsid w:val="00F976E8"/>
    <w:rsid w:val="00F9774C"/>
    <w:rsid w:val="00F9793E"/>
    <w:rsid w:val="00F97CBC"/>
    <w:rsid w:val="00FA009F"/>
    <w:rsid w:val="00FA00C0"/>
    <w:rsid w:val="00FA031E"/>
    <w:rsid w:val="00FA0810"/>
    <w:rsid w:val="00FA09CF"/>
    <w:rsid w:val="00FA0CD6"/>
    <w:rsid w:val="00FA11F9"/>
    <w:rsid w:val="00FA140F"/>
    <w:rsid w:val="00FA1542"/>
    <w:rsid w:val="00FA1CA3"/>
    <w:rsid w:val="00FA1FE2"/>
    <w:rsid w:val="00FA299E"/>
    <w:rsid w:val="00FA31C7"/>
    <w:rsid w:val="00FA332D"/>
    <w:rsid w:val="00FA346F"/>
    <w:rsid w:val="00FA3964"/>
    <w:rsid w:val="00FA3B19"/>
    <w:rsid w:val="00FA3B50"/>
    <w:rsid w:val="00FA3D0E"/>
    <w:rsid w:val="00FA3E09"/>
    <w:rsid w:val="00FA427E"/>
    <w:rsid w:val="00FA44E5"/>
    <w:rsid w:val="00FA46C0"/>
    <w:rsid w:val="00FA4BDA"/>
    <w:rsid w:val="00FA5090"/>
    <w:rsid w:val="00FA520B"/>
    <w:rsid w:val="00FA58B1"/>
    <w:rsid w:val="00FA5A84"/>
    <w:rsid w:val="00FA61EB"/>
    <w:rsid w:val="00FA647E"/>
    <w:rsid w:val="00FA64C7"/>
    <w:rsid w:val="00FA6CA7"/>
    <w:rsid w:val="00FA6DB5"/>
    <w:rsid w:val="00FA6F56"/>
    <w:rsid w:val="00FA72A2"/>
    <w:rsid w:val="00FA798D"/>
    <w:rsid w:val="00FB002E"/>
    <w:rsid w:val="00FB0326"/>
    <w:rsid w:val="00FB0B5C"/>
    <w:rsid w:val="00FB0E93"/>
    <w:rsid w:val="00FB1086"/>
    <w:rsid w:val="00FB1101"/>
    <w:rsid w:val="00FB1112"/>
    <w:rsid w:val="00FB15E7"/>
    <w:rsid w:val="00FB18C3"/>
    <w:rsid w:val="00FB1915"/>
    <w:rsid w:val="00FB19B3"/>
    <w:rsid w:val="00FB23AA"/>
    <w:rsid w:val="00FB2AA6"/>
    <w:rsid w:val="00FB33C6"/>
    <w:rsid w:val="00FB34D5"/>
    <w:rsid w:val="00FB35CF"/>
    <w:rsid w:val="00FB38EC"/>
    <w:rsid w:val="00FB3EFC"/>
    <w:rsid w:val="00FB413E"/>
    <w:rsid w:val="00FB41AF"/>
    <w:rsid w:val="00FB48D4"/>
    <w:rsid w:val="00FB5084"/>
    <w:rsid w:val="00FB514E"/>
    <w:rsid w:val="00FB5626"/>
    <w:rsid w:val="00FB56A8"/>
    <w:rsid w:val="00FB594D"/>
    <w:rsid w:val="00FB5E3C"/>
    <w:rsid w:val="00FB65C5"/>
    <w:rsid w:val="00FB65C9"/>
    <w:rsid w:val="00FB693A"/>
    <w:rsid w:val="00FB6A98"/>
    <w:rsid w:val="00FB756A"/>
    <w:rsid w:val="00FB7C20"/>
    <w:rsid w:val="00FB7DC7"/>
    <w:rsid w:val="00FC0020"/>
    <w:rsid w:val="00FC0363"/>
    <w:rsid w:val="00FC0871"/>
    <w:rsid w:val="00FC0EAE"/>
    <w:rsid w:val="00FC0FD8"/>
    <w:rsid w:val="00FC13CF"/>
    <w:rsid w:val="00FC1653"/>
    <w:rsid w:val="00FC1874"/>
    <w:rsid w:val="00FC1CCB"/>
    <w:rsid w:val="00FC1F42"/>
    <w:rsid w:val="00FC2012"/>
    <w:rsid w:val="00FC20E9"/>
    <w:rsid w:val="00FC230E"/>
    <w:rsid w:val="00FC24D1"/>
    <w:rsid w:val="00FC27B2"/>
    <w:rsid w:val="00FC2825"/>
    <w:rsid w:val="00FC2921"/>
    <w:rsid w:val="00FC3005"/>
    <w:rsid w:val="00FC3028"/>
    <w:rsid w:val="00FC351C"/>
    <w:rsid w:val="00FC36CB"/>
    <w:rsid w:val="00FC3A14"/>
    <w:rsid w:val="00FC3D2B"/>
    <w:rsid w:val="00FC3E92"/>
    <w:rsid w:val="00FC40EC"/>
    <w:rsid w:val="00FC4137"/>
    <w:rsid w:val="00FC43DF"/>
    <w:rsid w:val="00FC4411"/>
    <w:rsid w:val="00FC4E66"/>
    <w:rsid w:val="00FC5320"/>
    <w:rsid w:val="00FC5373"/>
    <w:rsid w:val="00FC54D7"/>
    <w:rsid w:val="00FC657A"/>
    <w:rsid w:val="00FC6767"/>
    <w:rsid w:val="00FC6822"/>
    <w:rsid w:val="00FC6E05"/>
    <w:rsid w:val="00FC7533"/>
    <w:rsid w:val="00FC7EB6"/>
    <w:rsid w:val="00FC7F58"/>
    <w:rsid w:val="00FD058A"/>
    <w:rsid w:val="00FD0F8A"/>
    <w:rsid w:val="00FD1765"/>
    <w:rsid w:val="00FD1943"/>
    <w:rsid w:val="00FD1B26"/>
    <w:rsid w:val="00FD1F10"/>
    <w:rsid w:val="00FD243F"/>
    <w:rsid w:val="00FD2995"/>
    <w:rsid w:val="00FD2CDC"/>
    <w:rsid w:val="00FD337A"/>
    <w:rsid w:val="00FD3689"/>
    <w:rsid w:val="00FD3954"/>
    <w:rsid w:val="00FD3D3B"/>
    <w:rsid w:val="00FD4046"/>
    <w:rsid w:val="00FD40C8"/>
    <w:rsid w:val="00FD44A2"/>
    <w:rsid w:val="00FD5CA1"/>
    <w:rsid w:val="00FD5D61"/>
    <w:rsid w:val="00FD5F56"/>
    <w:rsid w:val="00FD6060"/>
    <w:rsid w:val="00FD6828"/>
    <w:rsid w:val="00FD6AA5"/>
    <w:rsid w:val="00FD6D6E"/>
    <w:rsid w:val="00FD71E8"/>
    <w:rsid w:val="00FD78D4"/>
    <w:rsid w:val="00FD7A54"/>
    <w:rsid w:val="00FD7B50"/>
    <w:rsid w:val="00FE0004"/>
    <w:rsid w:val="00FE0093"/>
    <w:rsid w:val="00FE01BE"/>
    <w:rsid w:val="00FE04C3"/>
    <w:rsid w:val="00FE04D4"/>
    <w:rsid w:val="00FE0634"/>
    <w:rsid w:val="00FE0691"/>
    <w:rsid w:val="00FE088E"/>
    <w:rsid w:val="00FE1157"/>
    <w:rsid w:val="00FE1444"/>
    <w:rsid w:val="00FE15B0"/>
    <w:rsid w:val="00FE16D3"/>
    <w:rsid w:val="00FE1931"/>
    <w:rsid w:val="00FE1AE9"/>
    <w:rsid w:val="00FE1DB0"/>
    <w:rsid w:val="00FE1DBB"/>
    <w:rsid w:val="00FE20CE"/>
    <w:rsid w:val="00FE21A8"/>
    <w:rsid w:val="00FE24C1"/>
    <w:rsid w:val="00FE28C4"/>
    <w:rsid w:val="00FE28E6"/>
    <w:rsid w:val="00FE3BDE"/>
    <w:rsid w:val="00FE3E75"/>
    <w:rsid w:val="00FE42AA"/>
    <w:rsid w:val="00FE519C"/>
    <w:rsid w:val="00FE52DD"/>
    <w:rsid w:val="00FE57C2"/>
    <w:rsid w:val="00FE585A"/>
    <w:rsid w:val="00FE5968"/>
    <w:rsid w:val="00FE5B38"/>
    <w:rsid w:val="00FE60AF"/>
    <w:rsid w:val="00FE646E"/>
    <w:rsid w:val="00FE68C5"/>
    <w:rsid w:val="00FE6D85"/>
    <w:rsid w:val="00FE726A"/>
    <w:rsid w:val="00FE7425"/>
    <w:rsid w:val="00FE774B"/>
    <w:rsid w:val="00FE787E"/>
    <w:rsid w:val="00FF00BE"/>
    <w:rsid w:val="00FF020B"/>
    <w:rsid w:val="00FF0374"/>
    <w:rsid w:val="00FF07AA"/>
    <w:rsid w:val="00FF0833"/>
    <w:rsid w:val="00FF0D03"/>
    <w:rsid w:val="00FF0D6F"/>
    <w:rsid w:val="00FF0EB8"/>
    <w:rsid w:val="00FF16E2"/>
    <w:rsid w:val="00FF2B61"/>
    <w:rsid w:val="00FF2E03"/>
    <w:rsid w:val="00FF3039"/>
    <w:rsid w:val="00FF32A1"/>
    <w:rsid w:val="00FF34A2"/>
    <w:rsid w:val="00FF37E7"/>
    <w:rsid w:val="00FF3DEF"/>
    <w:rsid w:val="00FF41BA"/>
    <w:rsid w:val="00FF4CB0"/>
    <w:rsid w:val="00FF4DA2"/>
    <w:rsid w:val="00FF4E89"/>
    <w:rsid w:val="00FF5443"/>
    <w:rsid w:val="00FF5E05"/>
    <w:rsid w:val="00FF5E51"/>
    <w:rsid w:val="00FF60E9"/>
    <w:rsid w:val="00FF63B2"/>
    <w:rsid w:val="00FF6465"/>
    <w:rsid w:val="00FF6D41"/>
    <w:rsid w:val="00FF6EBE"/>
    <w:rsid w:val="00FF7481"/>
    <w:rsid w:val="00FF778F"/>
    <w:rsid w:val="00FF7F4D"/>
    <w:rsid w:val="040B9AD7"/>
    <w:rsid w:val="0CE87082"/>
    <w:rsid w:val="3CE6CEEA"/>
    <w:rsid w:val="47908054"/>
    <w:rsid w:val="521B3985"/>
    <w:rsid w:val="544527AC"/>
    <w:rsid w:val="61346037"/>
    <w:rsid w:val="7678B02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822514"/>
    <w:rPr>
      <w:rFonts w:ascii="Times New Roman" w:hAnsi="Times New Roman" w:cs="Times New Roman"/>
      <w:sz w:val="26"/>
      <w:szCs w:val="20"/>
    </w:rPr>
  </w:style>
  <w:style w:type="paragraph" w:styleId="Revision">
    <w:name w:val="Revision"/>
    <w:hidden/>
    <w:uiPriority w:val="99"/>
    <w:semiHidden/>
    <w:rsid w:val="009E1B2F"/>
    <w:pPr>
      <w:spacing w:after="0" w:line="240" w:lineRule="auto"/>
    </w:pPr>
    <w:rPr>
      <w:rFonts w:ascii="Times New Roman" w:hAnsi="Times New Roman" w:cs="Times New Roman"/>
      <w:sz w:val="26"/>
      <w:szCs w:val="22"/>
    </w:rPr>
  </w:style>
  <w:style w:type="paragraph" w:customStyle="1" w:styleId="BlockIndent">
    <w:name w:val="Block Indent"/>
    <w:basedOn w:val="Normal"/>
    <w:next w:val="FERCparanumber"/>
    <w:link w:val="BlockIndentChar"/>
    <w:rsid w:val="00B66988"/>
    <w:pPr>
      <w:widowControl/>
      <w:numPr>
        <w:numId w:val="29"/>
      </w:numPr>
      <w:spacing w:after="240"/>
      <w:ind w:right="1440"/>
    </w:pPr>
  </w:style>
  <w:style w:type="character" w:customStyle="1" w:styleId="BlockIndentChar">
    <w:name w:val="Block Indent Char"/>
    <w:basedOn w:val="FERCparanumberChar"/>
    <w:link w:val="BlockIndent"/>
    <w:rsid w:val="00B66988"/>
    <w:rPr>
      <w:rFonts w:ascii="Times New Roman" w:hAnsi="Times New Roman" w:cs="Times New Roman"/>
      <w:sz w:val="26"/>
    </w:rPr>
  </w:style>
  <w:style w:type="character" w:styleId="Mention">
    <w:name w:val="Mention"/>
    <w:basedOn w:val="DefaultParagraphFont"/>
    <w:uiPriority w:val="99"/>
    <w:unhideWhenUsed/>
    <w:rsid w:val="00956EB0"/>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7E54C1CC-68C6-4C30-BEDA-94CDD1FE6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8D839-F858-4FBF-9C18-3CC58302BB8A}">
  <ds:schemaRefs>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D86412E3-26D5-4C26-A2A9-74BF8FF7C375}">
  <ds:schemaRefs>
    <ds:schemaRef ds:uri="http://schemas.microsoft.com/sharepoint/v3/contenttype/forms"/>
  </ds:schemaRefs>
</ds:datastoreItem>
</file>

<file path=customXml/itemProps5.xml><?xml version="1.0" encoding="utf-8"?>
<ds:datastoreItem xmlns:ds="http://schemas.openxmlformats.org/officeDocument/2006/customXml" ds:itemID="{52E67E23-F9DA-4BDF-A526-1DF6048439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otalTime>0</TotalTime>
  <Pages>19</Pages>
  <Words>5536</Words>
  <Characters>30398</Characters>
  <Application>Microsoft Office Word</Application>
  <DocSecurity>0</DocSecurity>
  <Lines>552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2025-03-28T14:00:10Z</cp:lastPrinted>
  <dcterms:created xsi:type="dcterms:W3CDTF">2025-03-27T13:43:00Z</dcterms:created>
  <dcterms:modified xsi:type="dcterms:W3CDTF">2025-03-27T20:57:00Z</dcterms:modified>
</cp:coreProperties>
</file>