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24C83">
      <w:pPr>
        <w:jc w:val="center"/>
      </w:pPr>
      <w:r>
        <w:t>190 FERC ¶ 61,150</w:t>
      </w:r>
    </w:p>
    <w:p w:rsidR="004F3FED" w:rsidRPr="00CD0B38" w:rsidP="0086137B">
      <w:pPr>
        <w:jc w:val="center"/>
      </w:pPr>
      <w:r w:rsidRPr="00CD0B38">
        <w:t>UNITED STATES OF AMERICA</w:t>
      </w:r>
    </w:p>
    <w:p w:rsidR="004F3FED" w:rsidRPr="00CD0B38" w:rsidP="0086137B">
      <w:pPr>
        <w:jc w:val="center"/>
      </w:pPr>
      <w:r w:rsidRPr="00CD0B38">
        <w:t>FEDERAL ENERGY REGULATORY COMMISSION</w:t>
      </w:r>
    </w:p>
    <w:p w:rsidR="004F3FED" w:rsidRPr="00CD0B38" w:rsidP="0086137B"/>
    <w:p w:rsidR="004F3FED" w:rsidRPr="007457F4" w:rsidP="007457F4">
      <w:pPr>
        <w:widowControl/>
      </w:pPr>
      <w:r w:rsidRPr="007457F4">
        <w:t>Before Commissioners:  Mark C. Christie, Chairman;</w:t>
      </w:r>
    </w:p>
    <w:p w:rsidR="007457F4" w:rsidRPr="007457F4" w:rsidP="007457F4">
      <w:pPr>
        <w:widowControl/>
      </w:pPr>
      <w:r w:rsidRPr="007457F4">
        <w:t xml:space="preserve">                                        Willie L. Phillips, David Rosner,</w:t>
      </w:r>
    </w:p>
    <w:p w:rsidR="007457F4" w:rsidRPr="00CD0B38" w:rsidP="007457F4">
      <w:pPr>
        <w:widowControl/>
      </w:pPr>
      <w:r w:rsidRPr="007457F4">
        <w:t xml:space="preserve">                                        Lindsay S. See, and Judy W. Chang.</w:t>
      </w:r>
    </w:p>
    <w:p w:rsidR="004F3FED" w:rsidRPr="00CD0B38" w:rsidP="0086137B"/>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60"/>
        <w:gridCol w:w="1780"/>
        <w:gridCol w:w="1620"/>
      </w:tblGrid>
      <w:tr w:rsidTr="007457F4">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5960" w:type="dxa"/>
            <w:shd w:val="clear" w:color="auto" w:fill="auto"/>
          </w:tcPr>
          <w:p w:rsidR="005672D2" w:rsidP="005672D2">
            <w:pPr>
              <w:widowControl/>
              <w:autoSpaceDE w:val="0"/>
              <w:autoSpaceDN w:val="0"/>
              <w:adjustRightInd w:val="0"/>
              <w:spacing w:after="0" w:line="240" w:lineRule="auto"/>
              <w:rPr>
                <w:rFonts w:ascii="Times New Roman" w:eastAsia="Times New Roman" w:hAnsi="Times New Roman" w:cs="Times New Roman"/>
                <w:sz w:val="26"/>
                <w:szCs w:val="22"/>
                <w:lang w:val="en-US" w:eastAsia="en-US" w:bidi="ar-SA"/>
              </w:rPr>
            </w:pPr>
            <w:r>
              <w:rPr>
                <w:rFonts w:ascii="Times New Roman" w:eastAsia="Times New Roman" w:hAnsi="Times New Roman" w:cs="Times New Roman"/>
                <w:sz w:val="26"/>
                <w:szCs w:val="22"/>
                <w:lang w:val="en-US" w:eastAsia="en-US" w:bidi="ar-SA"/>
              </w:rPr>
              <w:t>New York Transco LLC</w:t>
            </w:r>
          </w:p>
        </w:tc>
        <w:tc>
          <w:tcPr>
            <w:tcW w:w="1780" w:type="dxa"/>
            <w:shd w:val="clear" w:color="auto" w:fill="auto"/>
          </w:tcPr>
          <w:p w:rsidR="005672D2" w:rsidP="005672D2">
            <w:pPr>
              <w:widowControl/>
              <w:autoSpaceDE w:val="0"/>
              <w:autoSpaceDN w:val="0"/>
              <w:adjustRightInd w:val="0"/>
              <w:spacing w:after="0" w:line="240" w:lineRule="auto"/>
              <w:jc w:val="right"/>
              <w:rPr>
                <w:rFonts w:ascii="Times New Roman" w:eastAsia="Times New Roman"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Docket No.</w:t>
            </w:r>
          </w:p>
        </w:tc>
        <w:tc>
          <w:tcPr>
            <w:tcW w:w="1620" w:type="dxa"/>
            <w:shd w:val="clear" w:color="auto" w:fill="auto"/>
            <w:tcMar>
              <w:left w:w="144" w:type="dxa"/>
            </w:tcMar>
          </w:tcPr>
          <w:p w:rsidR="005672D2" w:rsidP="007457F4">
            <w:pPr>
              <w:widowControl/>
              <w:autoSpaceDE w:val="0"/>
              <w:autoSpaceDN w:val="0"/>
              <w:adjustRightInd w:val="0"/>
              <w:spacing w:after="0" w:line="240" w:lineRule="auto"/>
              <w:ind w:hanging="150"/>
              <w:rPr>
                <w:rFonts w:ascii="Times New Roman" w:eastAsia="Times New Roman"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 xml:space="preserve"> </w:t>
            </w:r>
            <w:r>
              <w:rPr>
                <w:rFonts w:ascii="Times New Roman" w:eastAsia="Calibri" w:hAnsi="Times New Roman" w:cs="Times New Roman"/>
                <w:sz w:val="26"/>
                <w:szCs w:val="22"/>
                <w:lang w:val="en-US" w:eastAsia="en-US" w:bidi="ar-SA"/>
              </w:rPr>
              <w:t>ER25-885-000</w:t>
            </w:r>
          </w:p>
        </w:tc>
      </w:tr>
      <w:tr w:rsidTr="007457F4">
        <w:tblPrEx>
          <w:tblW w:w="0" w:type="auto"/>
          <w:tblInd w:w="0" w:type="dxa"/>
          <w:tblCellMar>
            <w:top w:w="0" w:type="dxa"/>
            <w:left w:w="0" w:type="dxa"/>
            <w:bottom w:w="0" w:type="dxa"/>
            <w:right w:w="0" w:type="dxa"/>
          </w:tblCellMar>
          <w:tblLook w:val="01E0"/>
        </w:tblPrEx>
        <w:tc>
          <w:tcPr>
            <w:tcW w:w="5960" w:type="dxa"/>
            <w:shd w:val="clear" w:color="auto" w:fill="auto"/>
          </w:tcPr>
          <w:p w:rsidR="005672D2" w:rsidRPr="00CD0B38" w:rsidP="005672D2">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New York Independent System Operator, Inc.</w:t>
            </w:r>
          </w:p>
        </w:tc>
        <w:tc>
          <w:tcPr>
            <w:tcW w:w="1780" w:type="dxa"/>
            <w:shd w:val="clear" w:color="auto" w:fill="auto"/>
          </w:tcPr>
          <w:p w:rsidR="005672D2" w:rsidRPr="00CD0B38" w:rsidP="005672D2">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p>
        </w:tc>
        <w:tc>
          <w:tcPr>
            <w:tcW w:w="1620" w:type="dxa"/>
            <w:shd w:val="clear" w:color="auto" w:fill="auto"/>
            <w:tcMar>
              <w:left w:w="144" w:type="dxa"/>
            </w:tcMar>
          </w:tcPr>
          <w:p w:rsidR="005672D2" w:rsidRPr="00CD0B38" w:rsidP="005672D2">
            <w:pPr>
              <w:widowControl/>
              <w:autoSpaceDE/>
              <w:autoSpaceDN/>
              <w:adjustRightInd/>
              <w:spacing w:after="0" w:line="240" w:lineRule="auto"/>
              <w:rPr>
                <w:rFonts w:ascii="Times New Roman" w:eastAsia="Calibri" w:hAnsi="Times New Roman" w:cs="Times New Roman"/>
                <w:sz w:val="26"/>
                <w:szCs w:val="22"/>
                <w:lang w:val="en-US" w:eastAsia="en-US" w:bidi="ar-SA"/>
              </w:rPr>
            </w:pPr>
          </w:p>
        </w:tc>
      </w:tr>
    </w:tbl>
    <w:p w:rsidR="004F3FED" w:rsidRPr="00CD0B38" w:rsidP="0086137B">
      <w:pPr>
        <w:jc w:val="center"/>
      </w:pPr>
    </w:p>
    <w:p w:rsidR="004F3FED" w:rsidRPr="00CD0B38" w:rsidP="00461E6D">
      <w:pPr>
        <w:jc w:val="center"/>
      </w:pPr>
      <w:r w:rsidRPr="00461E6D">
        <w:t>ORDER ACCEPTING AND SUSPENDING TARIFF REVISIONS, SUBJECT TO REFUND, AND ESTABLISHING HEARING AND SETTLEMENT JUDGE PROCEDURES</w:t>
      </w:r>
    </w:p>
    <w:p w:rsidR="004F3FED" w:rsidRPr="00CD0B38" w:rsidP="0086137B">
      <w:pPr>
        <w:jc w:val="center"/>
      </w:pPr>
    </w:p>
    <w:p w:rsidR="004F3FED" w:rsidP="007457F4">
      <w:pPr>
        <w:widowControl/>
        <w:jc w:val="center"/>
      </w:pPr>
      <w:r w:rsidRPr="007457F4">
        <w:t>(Issued March 11, 2025)</w:t>
      </w:r>
    </w:p>
    <w:p w:rsidR="004F3FED" w:rsidRPr="00C26B1C" w:rsidP="0086137B">
      <w:pPr>
        <w:rPr>
          <w:bCs/>
        </w:rPr>
      </w:pPr>
    </w:p>
    <w:p w:rsidR="00DF6777" w:rsidP="00DF6777">
      <w:pPr>
        <w:pStyle w:val="FERCparanumber"/>
      </w:pPr>
      <w:r>
        <w:t>On January 10, 2025, pursuant to section 205 of the Federal Power Act (FPA)</w:t>
      </w:r>
      <w:r>
        <w:rPr>
          <w:rStyle w:val="FootnoteReference"/>
        </w:rPr>
        <w:footnoteReference w:id="3"/>
      </w:r>
      <w:r>
        <w:t xml:space="preserve"> and section 35.13 of the Commission’s regulations,</w:t>
      </w:r>
      <w:r>
        <w:rPr>
          <w:rStyle w:val="FootnoteReference"/>
        </w:rPr>
        <w:footnoteReference w:id="4"/>
      </w:r>
      <w:r>
        <w:t xml:space="preserve"> New York Independent System Operator, Inc. (NYISO), on behalf of New York Transco LLC (</w:t>
      </w:r>
      <w:r w:rsidR="00983436">
        <w:t xml:space="preserve">New York </w:t>
      </w:r>
      <w:r>
        <w:t xml:space="preserve">Transco), submitted proposed revisions to </w:t>
      </w:r>
      <w:r w:rsidR="0036562D">
        <w:t xml:space="preserve">New York </w:t>
      </w:r>
      <w:r>
        <w:t>Transco’s formula rate</w:t>
      </w:r>
      <w:r w:rsidR="00BE169D">
        <w:t xml:space="preserve"> (Formula Rate) </w:t>
      </w:r>
      <w:r>
        <w:t xml:space="preserve">included in Attachment DD, </w:t>
      </w:r>
      <w:r w:rsidR="005202B1">
        <w:t xml:space="preserve">section </w:t>
      </w:r>
      <w:r>
        <w:t>36 of the NYISO Open Access Transmission Tariff (</w:t>
      </w:r>
      <w:r w:rsidR="00435780">
        <w:t>OATT</w:t>
      </w:r>
      <w:r>
        <w:t>)</w:t>
      </w:r>
      <w:r>
        <w:rPr>
          <w:rStyle w:val="FootnoteReference"/>
        </w:rPr>
        <w:footnoteReference w:id="5"/>
      </w:r>
      <w:r>
        <w:t xml:space="preserve"> to:  (1) include certain additional operation and maintenance expense accounts from the Commission’s Uniform System of Accounts (USofA) to allow for the recovery of prudently incurred transmission-related expenses; (2) establish a company-wide base return on equity (ROE) of 10.9%; and (3) utilize the depreciation rates in Attachment 9 to the Formula Rate.</w:t>
      </w:r>
      <w:r w:rsidR="009C5E4B">
        <w:t xml:space="preserve">  </w:t>
      </w:r>
    </w:p>
    <w:p w:rsidR="004F3FED" w:rsidP="00C70C48">
      <w:pPr>
        <w:pStyle w:val="FERCparanumber"/>
      </w:pPr>
      <w:r>
        <w:t>As discussed below</w:t>
      </w:r>
      <w:r w:rsidR="00DF6777">
        <w:t xml:space="preserve">, we accept </w:t>
      </w:r>
      <w:r w:rsidR="0036562D">
        <w:t xml:space="preserve">New York </w:t>
      </w:r>
      <w:r w:rsidR="00DF6777">
        <w:t>Transco’s proposed revisions to include Account</w:t>
      </w:r>
      <w:r w:rsidR="00766799">
        <w:t>s</w:t>
      </w:r>
      <w:r w:rsidR="00DF6777">
        <w:t xml:space="preserve"> 561.1 through 561.8</w:t>
      </w:r>
      <w:r>
        <w:rPr>
          <w:rStyle w:val="FootnoteReference"/>
        </w:rPr>
        <w:footnoteReference w:id="6"/>
      </w:r>
      <w:r w:rsidR="00833A35">
        <w:t xml:space="preserve"> </w:t>
      </w:r>
      <w:r w:rsidR="00DF6777">
        <w:t>of the USofA in its Formula Rate</w:t>
      </w:r>
      <w:r w:rsidR="006F5A6B">
        <w:t xml:space="preserve"> and</w:t>
      </w:r>
      <w:r w:rsidR="00AF395C">
        <w:t xml:space="preserve"> </w:t>
      </w:r>
      <w:r w:rsidR="00E0222E">
        <w:t xml:space="preserve">its proposal to </w:t>
      </w:r>
      <w:r w:rsidR="00AF395C">
        <w:t xml:space="preserve">utilize its existing </w:t>
      </w:r>
      <w:r w:rsidR="005814AF">
        <w:t xml:space="preserve">depreciation rates in Attachment 9 </w:t>
      </w:r>
      <w:r w:rsidR="00BF123F">
        <w:t>of</w:t>
      </w:r>
      <w:r w:rsidR="005814AF">
        <w:t xml:space="preserve"> its Formula Rate, effective March</w:t>
      </w:r>
      <w:r w:rsidR="00522397">
        <w:t> </w:t>
      </w:r>
      <w:r w:rsidR="005814AF">
        <w:t>12, 2025</w:t>
      </w:r>
      <w:r w:rsidR="00BF123F">
        <w:t xml:space="preserve">.  We </w:t>
      </w:r>
      <w:r w:rsidR="00DF6777">
        <w:t>accept the proposed base ROE</w:t>
      </w:r>
      <w:r w:rsidR="0096229A">
        <w:t xml:space="preserve"> for filing</w:t>
      </w:r>
      <w:r w:rsidR="00DF6777">
        <w:t>, suspend</w:t>
      </w:r>
      <w:r w:rsidR="00950D22">
        <w:t xml:space="preserve"> it</w:t>
      </w:r>
      <w:r w:rsidR="00DF6777">
        <w:t xml:space="preserve"> for </w:t>
      </w:r>
      <w:r w:rsidR="00950D22">
        <w:t xml:space="preserve">a </w:t>
      </w:r>
      <w:r w:rsidR="00DF6777">
        <w:t xml:space="preserve">nominal </w:t>
      </w:r>
      <w:r w:rsidRPr="009F1196" w:rsidR="00F040A0">
        <w:t>period</w:t>
      </w:r>
      <w:r w:rsidR="00DF6777">
        <w:t xml:space="preserve">, effective </w:t>
      </w:r>
      <w:r>
        <w:t>March 1</w:t>
      </w:r>
      <w:r w:rsidR="002A4201">
        <w:t>2</w:t>
      </w:r>
      <w:r>
        <w:t>, 2025</w:t>
      </w:r>
      <w:r w:rsidR="00DF6777">
        <w:t>, subject to refund and to the outcome of hearing and settlement judge procedures</w:t>
      </w:r>
      <w:r w:rsidR="00F040A0">
        <w:t>.</w:t>
      </w:r>
      <w:r w:rsidR="00DF6777">
        <w:t xml:space="preserve"> </w:t>
      </w:r>
      <w:r w:rsidR="00F040A0">
        <w:t xml:space="preserve"> </w:t>
      </w:r>
      <w:r w:rsidR="00FA113C">
        <w:t>In addition, w</w:t>
      </w:r>
      <w:r w:rsidR="001C69EB">
        <w:t xml:space="preserve">e grant New York Transco’s </w:t>
      </w:r>
      <w:r w:rsidR="0089348A">
        <w:t>request for waiver of the Commission’s filing requirements</w:t>
      </w:r>
      <w:r w:rsidR="00FA113C">
        <w:t xml:space="preserve"> </w:t>
      </w:r>
      <w:r w:rsidR="00F97D84">
        <w:t>regarding</w:t>
      </w:r>
      <w:r w:rsidR="00FA113C">
        <w:t xml:space="preserve"> the need to submit additional cost-of-service statements</w:t>
      </w:r>
      <w:r w:rsidR="0089348A">
        <w:t xml:space="preserve">. </w:t>
      </w:r>
    </w:p>
    <w:p w:rsidR="00451626" w:rsidP="00D451A7">
      <w:pPr>
        <w:pStyle w:val="Heading1"/>
      </w:pPr>
      <w:r>
        <w:t>Background</w:t>
      </w:r>
    </w:p>
    <w:p w:rsidR="00451626" w:rsidP="003B6660">
      <w:pPr>
        <w:pStyle w:val="Heading2"/>
      </w:pPr>
      <w:r>
        <w:t xml:space="preserve">New York </w:t>
      </w:r>
      <w:r>
        <w:t>Transco</w:t>
      </w:r>
    </w:p>
    <w:p w:rsidR="00451626" w:rsidP="00162F8B">
      <w:pPr>
        <w:pStyle w:val="FERCparanumber"/>
      </w:pPr>
      <w:r>
        <w:t xml:space="preserve">New York </w:t>
      </w:r>
      <w:r w:rsidRPr="009E7795" w:rsidR="009E7795">
        <w:t>Transco is a New York limited liability company that develops high voltage bulk transmission facilities and maintains those projects under the functional control of NYISO.</w:t>
      </w:r>
      <w:r>
        <w:rPr>
          <w:b/>
          <w:vertAlign w:val="superscript"/>
        </w:rPr>
        <w:footnoteReference w:id="7"/>
      </w:r>
      <w:r w:rsidRPr="009E7795" w:rsidR="009E7795">
        <w:t xml:space="preserve">  </w:t>
      </w:r>
      <w:r w:rsidR="00CF69EE">
        <w:t xml:space="preserve">New York </w:t>
      </w:r>
      <w:r w:rsidRPr="009E7795" w:rsidR="009E7795">
        <w:t>Transco is owned by Consolidated Edison Transmission, LLC</w:t>
      </w:r>
      <w:r w:rsidR="00486752">
        <w:t>;</w:t>
      </w:r>
      <w:r w:rsidRPr="009E7795" w:rsidR="009E7795">
        <w:t xml:space="preserve"> Grid NY LLC</w:t>
      </w:r>
      <w:r w:rsidR="00486752">
        <w:t>;</w:t>
      </w:r>
      <w:r w:rsidRPr="009E7795" w:rsidR="009E7795">
        <w:t xml:space="preserve"> </w:t>
      </w:r>
      <w:r w:rsidR="00486752">
        <w:t>Avang</w:t>
      </w:r>
      <w:r w:rsidR="009A2FDA">
        <w:t>rid</w:t>
      </w:r>
      <w:r w:rsidRPr="009E7795" w:rsidR="009E7795">
        <w:t xml:space="preserve"> Networks New York Trans</w:t>
      </w:r>
      <w:r w:rsidR="009A2FDA">
        <w:t>C</w:t>
      </w:r>
      <w:r w:rsidRPr="009E7795" w:rsidR="009E7795">
        <w:t>o</w:t>
      </w:r>
      <w:r w:rsidR="009A2FDA">
        <w:t>,</w:t>
      </w:r>
      <w:r w:rsidRPr="009E7795" w:rsidR="009E7795">
        <w:t xml:space="preserve"> LLC</w:t>
      </w:r>
      <w:r w:rsidR="009A2FDA">
        <w:t>;</w:t>
      </w:r>
      <w:r w:rsidRPr="009E7795" w:rsidR="009A2FDA">
        <w:t xml:space="preserve"> </w:t>
      </w:r>
      <w:r w:rsidRPr="009E7795" w:rsidR="009E7795">
        <w:t>and Central Hudson Electric Transmission LLC</w:t>
      </w:r>
      <w:r w:rsidR="001F4145">
        <w:t xml:space="preserve"> (</w:t>
      </w:r>
      <w:r w:rsidR="00173B99">
        <w:t xml:space="preserve">New York </w:t>
      </w:r>
      <w:r w:rsidR="001F4145">
        <w:t>Transco Owners)</w:t>
      </w:r>
      <w:r w:rsidRPr="009E7795" w:rsidR="009E7795">
        <w:t xml:space="preserve">.  </w:t>
      </w:r>
      <w:r w:rsidR="00CF69EE">
        <w:t xml:space="preserve">New York </w:t>
      </w:r>
      <w:r w:rsidRPr="009E7795" w:rsidR="009E7795">
        <w:t xml:space="preserve">Transco is a transmission-owning member of NYISO and recovers its revenue requirements in accordance with its Formula Rate and the </w:t>
      </w:r>
      <w:r w:rsidR="00CF69EE">
        <w:t xml:space="preserve">New York </w:t>
      </w:r>
      <w:r w:rsidRPr="009E7795" w:rsidR="009E7795">
        <w:t>Transco Facilities Charge</w:t>
      </w:r>
      <w:r>
        <w:rPr>
          <w:rStyle w:val="FootnoteReference"/>
        </w:rPr>
        <w:footnoteReference w:id="8"/>
      </w:r>
      <w:r w:rsidRPr="009E7795" w:rsidR="009E7795">
        <w:t xml:space="preserve"> under Rate Schedule 13 of the </w:t>
      </w:r>
      <w:r w:rsidR="00714656">
        <w:t>Tariff</w:t>
      </w:r>
      <w:r w:rsidR="009E7795">
        <w:t>.</w:t>
      </w:r>
      <w:r w:rsidR="00714656">
        <w:t xml:space="preserve">  </w:t>
      </w:r>
    </w:p>
    <w:p w:rsidR="009E7795" w:rsidP="003B6660">
      <w:pPr>
        <w:pStyle w:val="Heading2"/>
      </w:pPr>
      <w:r>
        <w:t>Description of Formula Rate</w:t>
      </w:r>
    </w:p>
    <w:p w:rsidR="004F3FED" w:rsidP="00D662BA">
      <w:pPr>
        <w:pStyle w:val="FERCparanumber"/>
      </w:pPr>
      <w:r>
        <w:t xml:space="preserve">New York </w:t>
      </w:r>
      <w:r w:rsidR="00541C87">
        <w:t xml:space="preserve">Transco states that </w:t>
      </w:r>
      <w:r w:rsidR="00FA5147">
        <w:t>its formula rate and formula rate implementation protocols were first established in Docket N</w:t>
      </w:r>
      <w:r w:rsidR="00037044">
        <w:t>o</w:t>
      </w:r>
      <w:r w:rsidR="00E23573">
        <w:t>.</w:t>
      </w:r>
      <w:r w:rsidR="00037044">
        <w:t xml:space="preserve"> ER15-575-000</w:t>
      </w:r>
      <w:r w:rsidR="00B009E5">
        <w:t>.</w:t>
      </w:r>
      <w:r>
        <w:rPr>
          <w:rStyle w:val="FootnoteReference"/>
        </w:rPr>
        <w:footnoteReference w:id="9"/>
      </w:r>
      <w:r w:rsidR="00B009E5">
        <w:t xml:space="preserve">  </w:t>
      </w:r>
      <w:r>
        <w:t xml:space="preserve">New York </w:t>
      </w:r>
      <w:r w:rsidR="00037044">
        <w:t xml:space="preserve">Transco </w:t>
      </w:r>
      <w:r w:rsidR="00637B25">
        <w:t>states that</w:t>
      </w:r>
      <w:r w:rsidR="00F46B67">
        <w:t>, at the time o</w:t>
      </w:r>
      <w:r w:rsidR="00426C38">
        <w:t>f that fil</w:t>
      </w:r>
      <w:r w:rsidR="005E4930">
        <w:t>ing,</w:t>
      </w:r>
      <w:r w:rsidR="00E36884">
        <w:t xml:space="preserve"> </w:t>
      </w:r>
      <w:r w:rsidR="00637B25">
        <w:t xml:space="preserve">it </w:t>
      </w:r>
      <w:r w:rsidR="00037044">
        <w:t xml:space="preserve">intended to own and operate the Transmission Owner Transmission Solution (TOTS) portfolio of projects and potentially develop and own </w:t>
      </w:r>
      <w:r w:rsidR="0009514A">
        <w:br/>
      </w:r>
      <w:r w:rsidR="00037044">
        <w:t xml:space="preserve">the proposed </w:t>
      </w:r>
      <w:r w:rsidRPr="00836553" w:rsidR="00037044">
        <w:t>solutions</w:t>
      </w:r>
      <w:r w:rsidR="00037044">
        <w:t xml:space="preserve"> </w:t>
      </w:r>
      <w:r w:rsidR="00D44A7C">
        <w:t>(AC Transmission Projects)</w:t>
      </w:r>
      <w:r w:rsidR="00836553">
        <w:t xml:space="preserve"> </w:t>
      </w:r>
      <w:r w:rsidR="00037044">
        <w:t xml:space="preserve">to relieve </w:t>
      </w:r>
      <w:r w:rsidR="006B0256">
        <w:t xml:space="preserve">transmission </w:t>
      </w:r>
      <w:r w:rsidR="00037044">
        <w:t xml:space="preserve">congestion </w:t>
      </w:r>
      <w:r w:rsidR="00CE4474">
        <w:t>that was</w:t>
      </w:r>
      <w:r w:rsidR="00037044">
        <w:t xml:space="preserve"> </w:t>
      </w:r>
      <w:r w:rsidR="00BC7463">
        <w:t>identified in the New York State Public Service Commission (</w:t>
      </w:r>
      <w:r w:rsidR="001F572A">
        <w:t>New York Commission</w:t>
      </w:r>
      <w:r w:rsidR="00BC7463">
        <w:t>) regulatory process</w:t>
      </w:r>
      <w:r w:rsidR="00F83023">
        <w:t>.</w:t>
      </w:r>
      <w:r w:rsidR="00BC7463">
        <w:t xml:space="preserve"> </w:t>
      </w:r>
      <w:r w:rsidR="0063066D">
        <w:t xml:space="preserve"> </w:t>
      </w:r>
      <w:r>
        <w:t xml:space="preserve">New York </w:t>
      </w:r>
      <w:r w:rsidR="00714656">
        <w:t xml:space="preserve">Transco </w:t>
      </w:r>
      <w:r w:rsidR="00882038">
        <w:t>asserts</w:t>
      </w:r>
      <w:r w:rsidR="00714656">
        <w:t xml:space="preserve"> that it entered into one settlement agreem</w:t>
      </w:r>
      <w:r w:rsidR="00934E97">
        <w:t xml:space="preserve">ent </w:t>
      </w:r>
      <w:r w:rsidR="00D33F19">
        <w:t xml:space="preserve">to recover costs associated with its investment in the TOTS projects, which provided for the general formula that would apply to </w:t>
      </w:r>
      <w:r w:rsidR="00C93AD2">
        <w:t xml:space="preserve">New York </w:t>
      </w:r>
      <w:r w:rsidR="00D33F19">
        <w:t>Transco’s investment</w:t>
      </w:r>
      <w:r w:rsidR="0096724D">
        <w:t xml:space="preserve"> in all electric transmission</w:t>
      </w:r>
      <w:r w:rsidR="00D33F19">
        <w:t xml:space="preserve"> facilities, a TOTS</w:t>
      </w:r>
      <w:r w:rsidR="006F235F">
        <w:t>-</w:t>
      </w:r>
      <w:r w:rsidR="00D33F19">
        <w:t xml:space="preserve">specific base ROE </w:t>
      </w:r>
      <w:r w:rsidR="0009514A">
        <w:br/>
      </w:r>
      <w:r w:rsidR="00D33F19">
        <w:t>of 9.5%, and incentive rate ROE adders specific to the TOTS cost recovery.</w:t>
      </w:r>
      <w:r>
        <w:rPr>
          <w:rStyle w:val="FootnoteReference"/>
        </w:rPr>
        <w:footnoteReference w:id="10"/>
      </w:r>
      <w:r w:rsidR="00F3095F">
        <w:t xml:space="preserve"> </w:t>
      </w:r>
      <w:r w:rsidRPr="00C93AD2" w:rsidR="00C93AD2">
        <w:t xml:space="preserve"> </w:t>
      </w:r>
      <w:r w:rsidR="00C93AD2">
        <w:t xml:space="preserve">New York </w:t>
      </w:r>
      <w:r w:rsidR="00F3095F">
        <w:t xml:space="preserve">Transco states </w:t>
      </w:r>
      <w:r w:rsidR="00115583">
        <w:t xml:space="preserve">that </w:t>
      </w:r>
      <w:r w:rsidR="00406652">
        <w:t>it entered into a</w:t>
      </w:r>
      <w:r w:rsidR="00F3095F">
        <w:t xml:space="preserve"> second settlement </w:t>
      </w:r>
      <w:r w:rsidR="00406652">
        <w:t xml:space="preserve">agreement </w:t>
      </w:r>
      <w:r w:rsidR="004237C7">
        <w:t>concerning</w:t>
      </w:r>
      <w:r w:rsidR="00F3095F">
        <w:t xml:space="preserve"> the AC Transmission Project </w:t>
      </w:r>
      <w:r w:rsidR="00115583">
        <w:t xml:space="preserve">that </w:t>
      </w:r>
      <w:r w:rsidR="00F3095F">
        <w:t xml:space="preserve">would apply if </w:t>
      </w:r>
      <w:r w:rsidR="00C93AD2">
        <w:t xml:space="preserve">New York </w:t>
      </w:r>
      <w:r w:rsidR="00F3095F">
        <w:t>Transco was a</w:t>
      </w:r>
      <w:r w:rsidR="003260F5">
        <w:t>warded aspects of the AC T</w:t>
      </w:r>
      <w:r w:rsidR="0079128F">
        <w:t xml:space="preserve">ransmission Projects consistent </w:t>
      </w:r>
      <w:r w:rsidR="002D15FD">
        <w:t xml:space="preserve">with </w:t>
      </w:r>
      <w:r w:rsidR="0079128F">
        <w:t xml:space="preserve">the NYISO’s Public Planning Transmission Planning Process (PPTPP) and a competitive solicitation </w:t>
      </w:r>
      <w:r w:rsidR="003E2B53">
        <w:t>administered by NYISO</w:t>
      </w:r>
      <w:r w:rsidR="0079128F">
        <w:t xml:space="preserve"> in accordance with the PPTPP.</w:t>
      </w:r>
      <w:r>
        <w:rPr>
          <w:rStyle w:val="FootnoteReference"/>
        </w:rPr>
        <w:footnoteReference w:id="11"/>
      </w:r>
      <w:r w:rsidR="001477C3">
        <w:t xml:space="preserve">  </w:t>
      </w:r>
      <w:r w:rsidR="00C93AD2">
        <w:t xml:space="preserve">New York </w:t>
      </w:r>
      <w:r w:rsidR="001477C3">
        <w:t xml:space="preserve">Transco states that </w:t>
      </w:r>
      <w:r w:rsidR="00430401">
        <w:t>the parties agreed to a</w:t>
      </w:r>
      <w:r w:rsidR="006F235F">
        <w:t>n</w:t>
      </w:r>
      <w:r w:rsidR="00430401">
        <w:t xml:space="preserve"> AC Transmission Project-specific ROE of 9.65% and incentive rate ROE adders specific to the AC Transmission Project cost recovery.</w:t>
      </w:r>
      <w:r w:rsidR="003743E9">
        <w:t xml:space="preserve"> </w:t>
      </w:r>
      <w:r w:rsidRPr="00C93AD2" w:rsidR="00C93AD2">
        <w:t xml:space="preserve"> </w:t>
      </w:r>
      <w:r w:rsidR="00C93AD2">
        <w:t xml:space="preserve">New York </w:t>
      </w:r>
      <w:r w:rsidR="003743E9">
        <w:t xml:space="preserve">Transco </w:t>
      </w:r>
      <w:r w:rsidR="00DB1980">
        <w:t xml:space="preserve">contends </w:t>
      </w:r>
      <w:r w:rsidR="003743E9">
        <w:t>that</w:t>
      </w:r>
      <w:r w:rsidR="0098792E">
        <w:t>,</w:t>
      </w:r>
      <w:r w:rsidR="003743E9">
        <w:t xml:space="preserve"> as a result of the settlements</w:t>
      </w:r>
      <w:r w:rsidR="009F6693">
        <w:t xml:space="preserve">, </w:t>
      </w:r>
      <w:r w:rsidR="00C93AD2">
        <w:t xml:space="preserve">New York </w:t>
      </w:r>
      <w:r w:rsidR="003743E9">
        <w:t>Transco’s base ROE values are project</w:t>
      </w:r>
      <w:r w:rsidR="00277723">
        <w:t>-</w:t>
      </w:r>
      <w:r w:rsidR="003743E9">
        <w:t xml:space="preserve">specific and </w:t>
      </w:r>
      <w:r w:rsidR="00C93AD2">
        <w:t xml:space="preserve">New York </w:t>
      </w:r>
      <w:r w:rsidR="003743E9">
        <w:t xml:space="preserve">Transco is required to submit a new filing and propose a base ROE value for each transmission investment and project </w:t>
      </w:r>
      <w:r w:rsidR="00372DD9">
        <w:t xml:space="preserve">that </w:t>
      </w:r>
      <w:r w:rsidR="003743E9">
        <w:t>it develops.</w:t>
      </w:r>
    </w:p>
    <w:p w:rsidR="004F3FED" w:rsidP="00121DC8">
      <w:pPr>
        <w:pStyle w:val="Heading1"/>
      </w:pPr>
      <w:r>
        <w:t>Notice of Filing and Responsive Pleadings</w:t>
      </w:r>
    </w:p>
    <w:p w:rsidR="00A85479" w:rsidRPr="00C37982" w:rsidP="00A85479">
      <w:pPr>
        <w:pStyle w:val="FERCparanumber"/>
      </w:pPr>
      <w:r w:rsidRPr="00C37982">
        <w:t xml:space="preserve">Notice of New York Transco’s filing was published in the </w:t>
      </w:r>
      <w:r w:rsidRPr="00C37982">
        <w:rPr>
          <w:i/>
        </w:rPr>
        <w:t>Federal Register</w:t>
      </w:r>
      <w:r w:rsidRPr="00C37982">
        <w:t xml:space="preserve">, </w:t>
      </w:r>
      <w:r w:rsidR="0009514A">
        <w:br/>
      </w:r>
      <w:r w:rsidR="00584FA4">
        <w:t>90</w:t>
      </w:r>
      <w:r w:rsidRPr="00C37982" w:rsidR="00584FA4">
        <w:t xml:space="preserve"> </w:t>
      </w:r>
      <w:r w:rsidRPr="00C37982">
        <w:t xml:space="preserve">Fed. Reg. </w:t>
      </w:r>
      <w:r w:rsidR="006D3BCF">
        <w:t>4733</w:t>
      </w:r>
      <w:r w:rsidRPr="00C37982">
        <w:t xml:space="preserve"> (</w:t>
      </w:r>
      <w:r w:rsidR="006B1CC3">
        <w:t>Jan</w:t>
      </w:r>
      <w:r w:rsidR="00361B78">
        <w:t>.</w:t>
      </w:r>
      <w:r w:rsidR="006B1CC3">
        <w:t xml:space="preserve"> </w:t>
      </w:r>
      <w:r w:rsidR="00BA2AA6">
        <w:t>1</w:t>
      </w:r>
      <w:r w:rsidR="006B1CC3">
        <w:t>6</w:t>
      </w:r>
      <w:r w:rsidRPr="00C37982">
        <w:t xml:space="preserve">, </w:t>
      </w:r>
      <w:r w:rsidRPr="00C37982" w:rsidR="00591D21">
        <w:t>202</w:t>
      </w:r>
      <w:r w:rsidR="00591D21">
        <w:t>5</w:t>
      </w:r>
      <w:r w:rsidRPr="00C37982">
        <w:t xml:space="preserve">), with interventions and comments due on or before </w:t>
      </w:r>
      <w:r w:rsidR="00AA69EB">
        <w:t>January 31</w:t>
      </w:r>
      <w:r w:rsidRPr="00C37982">
        <w:t xml:space="preserve">, </w:t>
      </w:r>
      <w:r w:rsidRPr="00C37982" w:rsidR="00AA69EB">
        <w:t>202</w:t>
      </w:r>
      <w:r w:rsidR="00AA69EB">
        <w:t>5</w:t>
      </w:r>
      <w:r w:rsidRPr="00C37982">
        <w:t xml:space="preserve">.   </w:t>
      </w:r>
    </w:p>
    <w:p w:rsidR="009E61B1">
      <w:pPr>
        <w:pStyle w:val="FERCparanumber"/>
      </w:pPr>
      <w:r>
        <w:t xml:space="preserve">The </w:t>
      </w:r>
      <w:r w:rsidRPr="001F120D" w:rsidR="00994B87">
        <w:t>New York Commission</w:t>
      </w:r>
      <w:r w:rsidR="00994B87">
        <w:t xml:space="preserve"> filed a notice of intervention.  </w:t>
      </w:r>
      <w:r w:rsidRPr="00C37982" w:rsidR="00A85479">
        <w:t>City of New York</w:t>
      </w:r>
      <w:r w:rsidR="00E7130C">
        <w:t>;</w:t>
      </w:r>
      <w:r w:rsidRPr="00C37982" w:rsidR="00A85479">
        <w:t xml:space="preserve"> Multiple Intervenors</w:t>
      </w:r>
      <w:r w:rsidR="00E7130C">
        <w:t>;</w:t>
      </w:r>
      <w:r>
        <w:rPr>
          <w:rStyle w:val="FootnoteReference"/>
        </w:rPr>
        <w:footnoteReference w:id="12"/>
      </w:r>
      <w:r w:rsidRPr="00C37982" w:rsidR="00A85479">
        <w:t xml:space="preserve"> Consolidated Edison Company of New York, Inc.</w:t>
      </w:r>
      <w:r w:rsidR="00E7130C">
        <w:t>;</w:t>
      </w:r>
      <w:r w:rsidR="00C73965">
        <w:t xml:space="preserve"> </w:t>
      </w:r>
      <w:r w:rsidRPr="00C73965" w:rsidR="00C73965">
        <w:t>New York Association of Public Power</w:t>
      </w:r>
      <w:r w:rsidR="00A83AC3">
        <w:t xml:space="preserve"> (NYAP</w:t>
      </w:r>
      <w:r w:rsidR="003115A1">
        <w:t>P)</w:t>
      </w:r>
      <w:r w:rsidR="00FA1DB5">
        <w:t>;</w:t>
      </w:r>
      <w:r w:rsidR="00D03827">
        <w:t xml:space="preserve"> </w:t>
      </w:r>
      <w:r w:rsidR="00994B87">
        <w:t xml:space="preserve">and </w:t>
      </w:r>
      <w:r w:rsidRPr="00D03827" w:rsidR="00D03827">
        <w:t>Municipal Electric Utilities Association of New York</w:t>
      </w:r>
      <w:r w:rsidR="001F120D">
        <w:t xml:space="preserve"> </w:t>
      </w:r>
      <w:r w:rsidRPr="00C37982" w:rsidR="00A85479">
        <w:t xml:space="preserve">filed timely motions to intervene.  On </w:t>
      </w:r>
      <w:r w:rsidR="001071FC">
        <w:t>January 31, 2025</w:t>
      </w:r>
      <w:r w:rsidRPr="00C37982" w:rsidR="00A85479">
        <w:t xml:space="preserve">, City of New York and Multiple Intervenors (collectively, </w:t>
      </w:r>
      <w:r w:rsidR="005A7666">
        <w:t>Consumer Advocates</w:t>
      </w:r>
      <w:r w:rsidRPr="00C37982" w:rsidR="00A85479">
        <w:t>)</w:t>
      </w:r>
      <w:r w:rsidR="00A83AC3">
        <w:t xml:space="preserve">, </w:t>
      </w:r>
      <w:r w:rsidR="003115A1">
        <w:t xml:space="preserve">NYAPP, and </w:t>
      </w:r>
      <w:r w:rsidR="00BF19E3">
        <w:t xml:space="preserve">the </w:t>
      </w:r>
      <w:r w:rsidR="008C752B">
        <w:t xml:space="preserve">New York Commission </w:t>
      </w:r>
      <w:r w:rsidRPr="00C37982" w:rsidR="00A85479">
        <w:t>filed protest</w:t>
      </w:r>
      <w:r w:rsidR="00A604CB">
        <w:t>s</w:t>
      </w:r>
      <w:r w:rsidRPr="00C37982" w:rsidR="00A85479">
        <w:t>.</w:t>
      </w:r>
      <w:r w:rsidR="00661E15">
        <w:t xml:space="preserve">  </w:t>
      </w:r>
      <w:r w:rsidRPr="0076507B" w:rsidR="00A85479">
        <w:t xml:space="preserve">On </w:t>
      </w:r>
      <w:r w:rsidRPr="0076507B" w:rsidR="00A604CB">
        <w:t xml:space="preserve">February </w:t>
      </w:r>
      <w:r w:rsidR="00852E18">
        <w:t>18</w:t>
      </w:r>
      <w:r w:rsidRPr="0076507B" w:rsidR="00A604CB">
        <w:t>, 2025</w:t>
      </w:r>
      <w:r w:rsidRPr="0076507B" w:rsidR="00A85479">
        <w:t xml:space="preserve">, </w:t>
      </w:r>
      <w:r w:rsidR="00852E18">
        <w:t xml:space="preserve">New York </w:t>
      </w:r>
      <w:r w:rsidRPr="0076507B" w:rsidR="00A85479">
        <w:t xml:space="preserve">Transco filed </w:t>
      </w:r>
      <w:r w:rsidR="00661E15">
        <w:t xml:space="preserve">an </w:t>
      </w:r>
      <w:r w:rsidRPr="0076507B" w:rsidR="00A85479">
        <w:t>answer</w:t>
      </w:r>
      <w:r w:rsidR="00661E15">
        <w:t xml:space="preserve"> to the protests</w:t>
      </w:r>
      <w:r w:rsidRPr="0076507B" w:rsidR="00A604CB">
        <w:t>.</w:t>
      </w:r>
      <w:r w:rsidR="00845A4B">
        <w:t xml:space="preserve"> </w:t>
      </w:r>
      <w:r w:rsidR="00A209C0">
        <w:t xml:space="preserve"> </w:t>
      </w:r>
    </w:p>
    <w:p w:rsidR="00335A6B" w:rsidRPr="00852E18" w:rsidP="007620BF">
      <w:pPr>
        <w:pStyle w:val="FERCparanumber"/>
      </w:pPr>
      <w:r>
        <w:t xml:space="preserve">On </w:t>
      </w:r>
      <w:r w:rsidR="004B2C50">
        <w:t>February 28, 2025, New York Power Authority (NY</w:t>
      </w:r>
      <w:r w:rsidR="00E6025F">
        <w:t>PA)</w:t>
      </w:r>
      <w:r w:rsidR="00DE30F5">
        <w:t xml:space="preserve"> filed an out-of-time motion to intervene</w:t>
      </w:r>
      <w:r w:rsidR="008A38E4">
        <w:t>.</w:t>
      </w:r>
      <w:r w:rsidR="00DE30F5">
        <w:t xml:space="preserve">  </w:t>
      </w:r>
    </w:p>
    <w:p w:rsidR="004F3FED" w:rsidP="005C4976">
      <w:pPr>
        <w:pStyle w:val="Heading1"/>
      </w:pPr>
      <w:r>
        <w:t>Discussion</w:t>
      </w:r>
    </w:p>
    <w:p w:rsidR="00661E15" w:rsidP="00661E15">
      <w:pPr>
        <w:pStyle w:val="Heading2"/>
      </w:pPr>
      <w:r>
        <w:t>Procedural Matters</w:t>
      </w:r>
    </w:p>
    <w:p w:rsidR="0070490A" w:rsidP="003E2F85">
      <w:pPr>
        <w:pStyle w:val="FERCparanumber"/>
      </w:pPr>
      <w:r w:rsidRPr="00F87AA5">
        <w:t xml:space="preserve">Pursuant to Rule 214 of the Commission’s Rules of Practice and Procedure, </w:t>
      </w:r>
      <w:r w:rsidR="007457F4">
        <w:br/>
      </w:r>
      <w:r w:rsidRPr="00763EA0">
        <w:t>18 C.F.R. § 385.214 (20</w:t>
      </w:r>
      <w:r>
        <w:t>24</w:t>
      </w:r>
      <w:r w:rsidRPr="00763EA0">
        <w:t xml:space="preserve">), </w:t>
      </w:r>
      <w:r w:rsidRPr="00F87AA5">
        <w:t xml:space="preserve">the </w:t>
      </w:r>
      <w:r w:rsidRPr="00AF23EC">
        <w:t>notice</w:t>
      </w:r>
      <w:r w:rsidRPr="00F87AA5">
        <w:t xml:space="preserve"> of intervention and timely, unopposed motions </w:t>
      </w:r>
      <w:r w:rsidR="007457F4">
        <w:br/>
      </w:r>
      <w:r w:rsidRPr="00F87AA5">
        <w:t>to intervene serve to make the entities that filed them parties to this proceeding.</w:t>
      </w:r>
    </w:p>
    <w:p w:rsidR="003472E0" w:rsidP="003E2F85">
      <w:pPr>
        <w:pStyle w:val="FERCparanumber"/>
      </w:pPr>
      <w:r w:rsidRPr="000B01C4">
        <w:t xml:space="preserve">Pursuant to Rule 214(d) of the Commission’s Rules of Practice and Procedure, </w:t>
      </w:r>
      <w:r w:rsidR="007457F4">
        <w:br/>
      </w:r>
      <w:r w:rsidRPr="000B01C4">
        <w:t xml:space="preserve">18 C.F.R. § 385.214(d), we grant NYPA’s late-filed motion to intervene given its </w:t>
      </w:r>
      <w:r w:rsidR="007457F4">
        <w:br/>
      </w:r>
      <w:r w:rsidRPr="000B01C4">
        <w:t>interest in the proceeding, the early stage of the proceeding, and the absence of undue prejudice or delay</w:t>
      </w:r>
      <w:r w:rsidR="00C437AD">
        <w:t>.</w:t>
      </w:r>
    </w:p>
    <w:p w:rsidR="00661E15" w:rsidRPr="00661E15" w:rsidP="00374BEA">
      <w:pPr>
        <w:pStyle w:val="FERCparanumber"/>
      </w:pPr>
      <w:r w:rsidRPr="00845A4B">
        <w:t>Rule 213(a)(2) of the Commission</w:t>
      </w:r>
      <w:r>
        <w:t>’</w:t>
      </w:r>
      <w:r w:rsidRPr="00845A4B">
        <w:t>s Rules of Practice and Procedure</w:t>
      </w:r>
      <w:r>
        <w:rPr>
          <w:rStyle w:val="FootnoteReference"/>
        </w:rPr>
        <w:footnoteReference w:id="13"/>
      </w:r>
      <w:r>
        <w:t xml:space="preserve"> </w:t>
      </w:r>
      <w:r w:rsidRPr="00845A4B">
        <w:t xml:space="preserve">prohibits </w:t>
      </w:r>
      <w:r w:rsidR="007457F4">
        <w:br/>
      </w:r>
      <w:r w:rsidRPr="00845A4B">
        <w:t xml:space="preserve">an answer to a protest unless otherwise ordered by the decisional authority.  We accept </w:t>
      </w:r>
      <w:r>
        <w:t>New York Transco’</w:t>
      </w:r>
      <w:r w:rsidRPr="00845A4B">
        <w:t>s answer because it has provided information that assisted us in our decision-making process</w:t>
      </w:r>
      <w:r>
        <w:t>.</w:t>
      </w:r>
    </w:p>
    <w:p w:rsidR="004F3FED" w:rsidP="005C4976">
      <w:pPr>
        <w:pStyle w:val="Heading2"/>
      </w:pPr>
      <w:r>
        <w:t>Formula Rate</w:t>
      </w:r>
    </w:p>
    <w:p w:rsidR="00F50E49" w:rsidP="005C4976">
      <w:pPr>
        <w:pStyle w:val="Heading3"/>
      </w:pPr>
      <w:r>
        <w:t>Filing</w:t>
      </w:r>
    </w:p>
    <w:p w:rsidR="003C0BAE" w:rsidP="003C0BAE">
      <w:pPr>
        <w:pStyle w:val="FERCparanumber"/>
      </w:pPr>
      <w:r>
        <w:t xml:space="preserve">New York </w:t>
      </w:r>
      <w:r w:rsidR="00D21095">
        <w:t>Transco states that Account</w:t>
      </w:r>
      <w:r w:rsidR="00ED46DB">
        <w:t>s</w:t>
      </w:r>
      <w:r w:rsidR="00D21095">
        <w:t xml:space="preserve"> 561.1 through 561.8 of the USofA </w:t>
      </w:r>
      <w:r w:rsidR="007457F4">
        <w:br/>
      </w:r>
      <w:r w:rsidR="007C4B87">
        <w:t>are used to record</w:t>
      </w:r>
      <w:r w:rsidR="00D21095">
        <w:t xml:space="preserve"> costs for general transmission operation and maintenance expenses related to reliability, planning, standards development, transmission service studies, and generation interconnection studies.</w:t>
      </w:r>
      <w:r>
        <w:rPr>
          <w:rStyle w:val="FootnoteReference"/>
        </w:rPr>
        <w:footnoteReference w:id="14"/>
      </w:r>
      <w:r w:rsidR="00D21095">
        <w:t xml:space="preserve"> </w:t>
      </w:r>
      <w:r w:rsidR="007B0702">
        <w:t xml:space="preserve"> </w:t>
      </w:r>
      <w:r>
        <w:t xml:space="preserve">New York </w:t>
      </w:r>
      <w:r w:rsidR="00952A44">
        <w:t>Transco states that its Formula Rate currently excludes Account</w:t>
      </w:r>
      <w:r w:rsidR="0083198B">
        <w:t>s</w:t>
      </w:r>
      <w:r w:rsidR="00952A44">
        <w:t xml:space="preserve"> 565, 561</w:t>
      </w:r>
      <w:r w:rsidR="00034705">
        <w:t>,</w:t>
      </w:r>
      <w:r>
        <w:rPr>
          <w:rStyle w:val="FootnoteReference"/>
        </w:rPr>
        <w:footnoteReference w:id="15"/>
      </w:r>
      <w:r w:rsidR="00952A44">
        <w:t xml:space="preserve"> and 561.1 through 561.8, which are listed </w:t>
      </w:r>
      <w:r w:rsidR="007457F4">
        <w:br/>
      </w:r>
      <w:r w:rsidR="00952A44">
        <w:t xml:space="preserve">as operational transmission expense accounts in the Commission’s USofA.  </w:t>
      </w:r>
      <w:r>
        <w:t xml:space="preserve">New </w:t>
      </w:r>
      <w:r w:rsidR="00972FB2">
        <w:br/>
      </w:r>
      <w:r>
        <w:t xml:space="preserve">York </w:t>
      </w:r>
      <w:r w:rsidR="00952A44">
        <w:t xml:space="preserve">Transco </w:t>
      </w:r>
      <w:r w:rsidR="00580B49">
        <w:t xml:space="preserve">contends </w:t>
      </w:r>
      <w:r w:rsidR="00952A44">
        <w:t xml:space="preserve">that it </w:t>
      </w:r>
      <w:r w:rsidR="006746FF">
        <w:t>did not foresee</w:t>
      </w:r>
      <w:r w:rsidR="00952A44">
        <w:t xml:space="preserve"> engaging in the types of transactions contemplated in </w:t>
      </w:r>
      <w:r w:rsidR="00146BD3">
        <w:t>these accounts</w:t>
      </w:r>
      <w:r w:rsidR="00952A44">
        <w:t xml:space="preserve"> when it first submitted its Formula Rate proposal in </w:t>
      </w:r>
      <w:r w:rsidR="00972FB2">
        <w:br/>
      </w:r>
      <w:r w:rsidR="00952A44">
        <w:t xml:space="preserve">2014 </w:t>
      </w:r>
      <w:r w:rsidR="00AC760F">
        <w:t>and so did not</w:t>
      </w:r>
      <w:r w:rsidR="00952A44">
        <w:t xml:space="preserve"> include the accounts in its initial revenue requirement.</w:t>
      </w:r>
    </w:p>
    <w:p w:rsidR="003C33AC" w:rsidP="003C0BAE">
      <w:pPr>
        <w:pStyle w:val="FERCparanumber"/>
      </w:pPr>
      <w:r>
        <w:t xml:space="preserve">New York </w:t>
      </w:r>
      <w:r w:rsidR="003C0BAE">
        <w:t>Transco states that, since it initially submitted its Formula Rate proposal in 2014, it has become responsible for the development and physical ownership of increasing electric transmission investment and performs the requirements of a NYISO transmission-owning member</w:t>
      </w:r>
      <w:r w:rsidR="00092502">
        <w:t>.</w:t>
      </w:r>
      <w:r w:rsidR="000B625A">
        <w:t xml:space="preserve"> </w:t>
      </w:r>
      <w:r w:rsidR="00C435D2">
        <w:t xml:space="preserve"> </w:t>
      </w:r>
      <w:r w:rsidR="00092502">
        <w:t xml:space="preserve">New </w:t>
      </w:r>
      <w:r w:rsidR="00F76245">
        <w:t xml:space="preserve">York </w:t>
      </w:r>
      <w:r w:rsidR="00092502">
        <w:t xml:space="preserve">Transco contends that, therefore, </w:t>
      </w:r>
      <w:r w:rsidR="003C0BAE">
        <w:t>it</w:t>
      </w:r>
      <w:r w:rsidR="000B625A">
        <w:t xml:space="preserve"> has become</w:t>
      </w:r>
      <w:r w:rsidR="003C0BAE">
        <w:t xml:space="preserve"> clear that </w:t>
      </w:r>
      <w:r>
        <w:t xml:space="preserve">New York </w:t>
      </w:r>
      <w:r w:rsidR="003C0BAE">
        <w:t>Transco will incur costs appropriately booked to Account</w:t>
      </w:r>
      <w:r w:rsidR="007B3BBB">
        <w:t>s</w:t>
      </w:r>
      <w:r w:rsidR="003C0BAE">
        <w:t xml:space="preserve"> 561.1</w:t>
      </w:r>
      <w:r w:rsidR="00041EF2">
        <w:t xml:space="preserve"> t</w:t>
      </w:r>
      <w:r w:rsidR="00D27554">
        <w:t>hrough</w:t>
      </w:r>
      <w:r w:rsidR="00041EF2">
        <w:t xml:space="preserve"> </w:t>
      </w:r>
      <w:r w:rsidR="003C0BAE">
        <w:t>561.8, recovery of which is not permitted under the current Formula Rate.</w:t>
      </w:r>
      <w:r>
        <w:rPr>
          <w:rStyle w:val="FootnoteReference"/>
        </w:rPr>
        <w:footnoteReference w:id="16"/>
      </w:r>
      <w:r w:rsidR="003C0BAE">
        <w:t xml:space="preserve">  </w:t>
      </w:r>
    </w:p>
    <w:p w:rsidR="00890881" w:rsidP="003C33AC">
      <w:pPr>
        <w:pStyle w:val="FERCparanumber"/>
      </w:pPr>
      <w:r>
        <w:t xml:space="preserve">New York </w:t>
      </w:r>
      <w:r w:rsidR="003C33AC">
        <w:t xml:space="preserve">Transco </w:t>
      </w:r>
      <w:r w:rsidR="008758AD">
        <w:t xml:space="preserve">explains </w:t>
      </w:r>
      <w:r w:rsidR="003C33AC">
        <w:t xml:space="preserve">that it is </w:t>
      </w:r>
      <w:r w:rsidR="00164B45">
        <w:t>now</w:t>
      </w:r>
      <w:r w:rsidR="003C33AC">
        <w:t xml:space="preserve"> responsible </w:t>
      </w:r>
      <w:r w:rsidR="00164B45">
        <w:t xml:space="preserve">for </w:t>
      </w:r>
      <w:r w:rsidR="003C33AC">
        <w:t>perform</w:t>
      </w:r>
      <w:r w:rsidR="00164B45">
        <w:t>ing</w:t>
      </w:r>
      <w:r w:rsidR="003C33AC">
        <w:t xml:space="preserve"> the tasks enumerated in Account 561.1 for its electric transmission assets that are not included in the Bulk Power System and comprising its 115</w:t>
      </w:r>
      <w:r w:rsidR="009E0AEC">
        <w:t xml:space="preserve"> </w:t>
      </w:r>
      <w:r w:rsidR="003C33AC">
        <w:t>kV and 138</w:t>
      </w:r>
      <w:r w:rsidR="009E0AEC">
        <w:t xml:space="preserve"> </w:t>
      </w:r>
      <w:r w:rsidR="003C33AC">
        <w:t xml:space="preserve">kV transmission and substation assets and </w:t>
      </w:r>
      <w:r w:rsidR="00D01BA3">
        <w:t xml:space="preserve">now </w:t>
      </w:r>
      <w:r w:rsidR="003C33AC">
        <w:t>responsible for Account 561.2 work items for its 115</w:t>
      </w:r>
      <w:r w:rsidR="009E0AEC">
        <w:t xml:space="preserve"> </w:t>
      </w:r>
      <w:r w:rsidR="003C33AC">
        <w:t>kV and 138</w:t>
      </w:r>
      <w:r w:rsidR="009E0AEC">
        <w:t xml:space="preserve"> </w:t>
      </w:r>
      <w:r w:rsidR="003C33AC">
        <w:t>kV transmission and substation assets.</w:t>
      </w:r>
      <w:r>
        <w:rPr>
          <w:rStyle w:val="FootnoteReference"/>
        </w:rPr>
        <w:footnoteReference w:id="17"/>
      </w:r>
      <w:r w:rsidR="003C33AC">
        <w:t xml:space="preserve">  </w:t>
      </w:r>
      <w:r>
        <w:t xml:space="preserve">New York </w:t>
      </w:r>
      <w:r w:rsidR="003C33AC">
        <w:t xml:space="preserve">Transco explains that it currently engages third parties to perform these functions and assigns those costs to Account 923 of the USofA (Outside Services Employed).  </w:t>
      </w:r>
      <w:r w:rsidR="00AC4158">
        <w:t xml:space="preserve">However, </w:t>
      </w:r>
      <w:r>
        <w:t xml:space="preserve">New York </w:t>
      </w:r>
      <w:r w:rsidR="003C33AC">
        <w:t xml:space="preserve">Transco states that its significant growth suggests that it may be more efficient and cost effective if </w:t>
      </w:r>
      <w:r>
        <w:t xml:space="preserve">New York </w:t>
      </w:r>
      <w:r w:rsidR="003C33AC">
        <w:t xml:space="preserve">Transco were to open its own control center and utilize its own employees to perform these and other tasks.  </w:t>
      </w:r>
      <w:r w:rsidR="00AC4158">
        <w:t>New York Transco contends that i</w:t>
      </w:r>
      <w:r w:rsidR="003C33AC">
        <w:t xml:space="preserve">f </w:t>
      </w:r>
      <w:r>
        <w:t xml:space="preserve">New York </w:t>
      </w:r>
      <w:r w:rsidR="003C33AC">
        <w:t xml:space="preserve">Transco were to do so, it would no longer be appropriate to book the costs in Account 923 and would instead be appropriate to book these and other prudently incurred transmission operation and maintenance expenses in the </w:t>
      </w:r>
      <w:r w:rsidRPr="00DE723D" w:rsidR="003C33AC">
        <w:t xml:space="preserve">Account 561.1 </w:t>
      </w:r>
      <w:r w:rsidR="0096334B">
        <w:t>through</w:t>
      </w:r>
      <w:r w:rsidRPr="00DE723D" w:rsidR="003C33AC">
        <w:t xml:space="preserve"> 561.8</w:t>
      </w:r>
      <w:r w:rsidR="003C33AC">
        <w:t xml:space="preserve"> series of accounts for recovery under the Formula Rate.</w:t>
      </w:r>
    </w:p>
    <w:p w:rsidR="00B802C9" w:rsidP="00F90C5B">
      <w:pPr>
        <w:pStyle w:val="FERCparanumber"/>
      </w:pPr>
      <w:r>
        <w:t xml:space="preserve">New York </w:t>
      </w:r>
      <w:r>
        <w:t xml:space="preserve">Transco states that </w:t>
      </w:r>
      <w:r w:rsidR="0061031F">
        <w:t xml:space="preserve">other transmission </w:t>
      </w:r>
      <w:r w:rsidR="00807C1C">
        <w:t xml:space="preserve">owners in New York currently have </w:t>
      </w:r>
      <w:r w:rsidRPr="00DE723D" w:rsidR="00DE723D">
        <w:t>Account</w:t>
      </w:r>
      <w:r w:rsidR="0096205B">
        <w:t>s</w:t>
      </w:r>
      <w:r w:rsidRPr="00DE723D" w:rsidR="00DE723D">
        <w:t xml:space="preserve"> 561.1 </w:t>
      </w:r>
      <w:r w:rsidR="0096334B">
        <w:t>through</w:t>
      </w:r>
      <w:r w:rsidRPr="00DE723D" w:rsidR="00DE723D">
        <w:t xml:space="preserve"> 561.8</w:t>
      </w:r>
      <w:r w:rsidR="00E40F41">
        <w:t xml:space="preserve"> as part of their Commission-approved formula rates and that </w:t>
      </w:r>
      <w:r>
        <w:t xml:space="preserve">New York </w:t>
      </w:r>
      <w:r w:rsidR="00E40F41">
        <w:t>Transco’s request is consistent with that precedent.</w:t>
      </w:r>
      <w:r>
        <w:rPr>
          <w:rStyle w:val="FootnoteReference"/>
        </w:rPr>
        <w:footnoteReference w:id="18"/>
      </w:r>
    </w:p>
    <w:p w:rsidR="00C97F75" w:rsidP="00F90C5B">
      <w:pPr>
        <w:pStyle w:val="FERCparanumber"/>
      </w:pPr>
      <w:r>
        <w:t xml:space="preserve">New York </w:t>
      </w:r>
      <w:r w:rsidR="00315FDC">
        <w:t>Transco states that the inclusion of Account</w:t>
      </w:r>
      <w:r w:rsidR="00536A43">
        <w:t>s</w:t>
      </w:r>
      <w:r w:rsidR="00315FDC">
        <w:t xml:space="preserve"> 561.1</w:t>
      </w:r>
      <w:r w:rsidR="00FD4E53">
        <w:t xml:space="preserve"> through </w:t>
      </w:r>
      <w:r w:rsidR="00315FDC">
        <w:t>561.8 will not result in a rate increase or any double recovery of costs.</w:t>
      </w:r>
      <w:r>
        <w:rPr>
          <w:rStyle w:val="FootnoteReference"/>
        </w:rPr>
        <w:footnoteReference w:id="19"/>
      </w:r>
      <w:r w:rsidR="00315FDC">
        <w:t xml:space="preserve">  </w:t>
      </w:r>
      <w:r w:rsidR="00B345F3">
        <w:t xml:space="preserve">New York </w:t>
      </w:r>
      <w:r>
        <w:t xml:space="preserve">Transco </w:t>
      </w:r>
      <w:r w:rsidR="00827C10">
        <w:t>explains that</w:t>
      </w:r>
      <w:r w:rsidR="00F7136A">
        <w:t>,</w:t>
      </w:r>
      <w:r w:rsidR="00827C10">
        <w:t xml:space="preserve"> </w:t>
      </w:r>
      <w:r w:rsidR="00335D91">
        <w:t xml:space="preserve">in the event any costs </w:t>
      </w:r>
      <w:r w:rsidR="0029275B">
        <w:t>associated with the tasks and services described in Account</w:t>
      </w:r>
      <w:r w:rsidR="00BC008A">
        <w:t>s</w:t>
      </w:r>
      <w:r w:rsidR="0029275B">
        <w:t xml:space="preserve"> 561.1 through 561.8</w:t>
      </w:r>
      <w:r w:rsidR="00335D91">
        <w:t xml:space="preserve"> are reimbursable to </w:t>
      </w:r>
      <w:r w:rsidR="00B345F3">
        <w:t xml:space="preserve">New York </w:t>
      </w:r>
      <w:r w:rsidR="00335D91">
        <w:t xml:space="preserve">Transco under a separate bilateral agreement with any third party, </w:t>
      </w:r>
      <w:r w:rsidR="00B345F3">
        <w:t xml:space="preserve">New York </w:t>
      </w:r>
      <w:r w:rsidR="00335D91">
        <w:t xml:space="preserve">Transco will maintain detailed records for each cost item undertaken and for </w:t>
      </w:r>
      <w:r w:rsidR="00157288">
        <w:t>all reimbursements received</w:t>
      </w:r>
      <w:r w:rsidR="000B0E19">
        <w:t xml:space="preserve"> for conducting such cost items as required by the instructions </w:t>
      </w:r>
      <w:r w:rsidR="00D63D02">
        <w:t xml:space="preserve">to </w:t>
      </w:r>
      <w:r w:rsidR="00710E52">
        <w:t>Account</w:t>
      </w:r>
      <w:r w:rsidR="007E496B">
        <w:t>s</w:t>
      </w:r>
      <w:r w:rsidR="00710E52">
        <w:t xml:space="preserve"> 561.1</w:t>
      </w:r>
      <w:r w:rsidR="0096334B">
        <w:t xml:space="preserve"> through </w:t>
      </w:r>
      <w:r w:rsidR="00710E52">
        <w:t xml:space="preserve">561.8 </w:t>
      </w:r>
      <w:r w:rsidR="00050F33">
        <w:t xml:space="preserve">so that there is no duplicative recovery of </w:t>
      </w:r>
      <w:r w:rsidR="00FC329B">
        <w:t>costs.</w:t>
      </w:r>
    </w:p>
    <w:p w:rsidR="000F155F" w:rsidRPr="00B66071" w:rsidP="000F155F">
      <w:pPr>
        <w:pStyle w:val="FERCparanumber"/>
      </w:pPr>
      <w:r>
        <w:t>New York Transco also proposes to utilize the depreciation rates that are currently included in Attachment 9 of its Formula Rate.</w:t>
      </w:r>
      <w:r>
        <w:rPr>
          <w:rStyle w:val="FootnoteReference"/>
        </w:rPr>
        <w:footnoteReference w:id="20"/>
      </w:r>
      <w:r>
        <w:t xml:space="preserve">  New York Transco notes that it committed in its initial Formula Rate f</w:t>
      </w:r>
      <w:r w:rsidRPr="00BA1A87">
        <w:t>iling</w:t>
      </w:r>
      <w:r>
        <w:t xml:space="preserve"> in 2014 to submit a new deprecation study within five years of the in-service date of the first project to be placed in service.  However, New York Transco states that it entered into two settlement agreements, only one of which addressed depreciation rates.  New York Transco states that it met individually with the parties to the TOTS Settlement and AC Transmission Settlement to confirm its interpretation </w:t>
      </w:r>
      <w:r w:rsidR="003C0A52">
        <w:t xml:space="preserve">that </w:t>
      </w:r>
      <w:r>
        <w:t xml:space="preserve">the settlements </w:t>
      </w:r>
      <w:r w:rsidR="003C0A52">
        <w:t>require</w:t>
      </w:r>
      <w:r>
        <w:t xml:space="preserve"> New York Transco to perform a depreciation study and submit any modifications by January 1, 2026.</w:t>
      </w:r>
      <w:r>
        <w:rPr>
          <w:rStyle w:val="FootnoteReference"/>
        </w:rPr>
        <w:footnoteReference w:id="21"/>
      </w:r>
      <w:r>
        <w:t xml:space="preserve">  New York Transco states that the settling parties agreed with this interpretation of the settlement agreements and</w:t>
      </w:r>
      <w:r w:rsidR="001A30D7">
        <w:t xml:space="preserve"> </w:t>
      </w:r>
      <w:r w:rsidR="00B10487">
        <w:t>states</w:t>
      </w:r>
      <w:r>
        <w:t xml:space="preserve"> that it intends to make such a filing in advance of the January 1, 2026 date.</w:t>
      </w:r>
    </w:p>
    <w:p w:rsidR="000F155F" w:rsidRPr="00B66071" w:rsidP="000F155F">
      <w:pPr>
        <w:pStyle w:val="FERCparanumber"/>
      </w:pPr>
      <w:r>
        <w:t xml:space="preserve">New York Transco requests </w:t>
      </w:r>
      <w:r w:rsidRPr="00463138">
        <w:t>waiver of the Commission’s filing requirements</w:t>
      </w:r>
      <w:r w:rsidR="00F73C50">
        <w:t>,</w:t>
      </w:r>
      <w:r w:rsidRPr="00463138">
        <w:t xml:space="preserve"> including the need to submit additional cost-of-service statements</w:t>
      </w:r>
      <w:r>
        <w:t>, which New York Transco states is c</w:t>
      </w:r>
      <w:r w:rsidRPr="00AC246C">
        <w:t>onsistent with the Commission’s precedent in formula</w:t>
      </w:r>
      <w:r w:rsidR="00F73C50">
        <w:t xml:space="preserve"> </w:t>
      </w:r>
      <w:r w:rsidRPr="00AC246C">
        <w:t>rate</w:t>
      </w:r>
      <w:r w:rsidR="00F73C50">
        <w:t>-</w:t>
      </w:r>
      <w:r w:rsidRPr="00AC246C">
        <w:t>related proceedings</w:t>
      </w:r>
      <w:r>
        <w:t>.</w:t>
      </w:r>
      <w:r>
        <w:rPr>
          <w:rStyle w:val="FootnoteReference"/>
        </w:rPr>
        <w:footnoteReference w:id="22"/>
      </w:r>
      <w:r>
        <w:t xml:space="preserve"> </w:t>
      </w:r>
      <w:r w:rsidRPr="008C3E8A" w:rsidR="008C3E8A">
        <w:t xml:space="preserve"> </w:t>
      </w:r>
    </w:p>
    <w:p w:rsidR="004F3FED" w:rsidP="003B575A">
      <w:pPr>
        <w:pStyle w:val="Heading3"/>
      </w:pPr>
      <w:r>
        <w:t>Protest</w:t>
      </w:r>
      <w:r w:rsidR="00A71B58">
        <w:t>s</w:t>
      </w:r>
    </w:p>
    <w:p w:rsidR="0009514A" w:rsidP="00F55F64">
      <w:pPr>
        <w:pStyle w:val="FERCparanumber"/>
      </w:pPr>
      <w:r>
        <w:t>Consumer Advocates state that it</w:t>
      </w:r>
      <w:r w:rsidR="001F243C">
        <w:t xml:space="preserve"> is</w:t>
      </w:r>
      <w:r>
        <w:t xml:space="preserve"> </w:t>
      </w:r>
      <w:r w:rsidR="0030511F">
        <w:t xml:space="preserve">not </w:t>
      </w:r>
      <w:r>
        <w:t xml:space="preserve">appropriate to account for expenses that should have been </w:t>
      </w:r>
      <w:r w:rsidR="0030511F">
        <w:t xml:space="preserve">recorded in </w:t>
      </w:r>
      <w:r>
        <w:t>Account</w:t>
      </w:r>
      <w:r w:rsidR="00193EAA">
        <w:t>s</w:t>
      </w:r>
      <w:r>
        <w:t xml:space="preserve"> 561.1 through 561.8 and 565 </w:t>
      </w:r>
      <w:r w:rsidR="00DB3AD3">
        <w:t>(</w:t>
      </w:r>
      <w:r w:rsidR="000A339E">
        <w:t xml:space="preserve">collectively, </w:t>
      </w:r>
      <w:r w:rsidR="00DB3AD3">
        <w:t xml:space="preserve">Transmission Operating Expenses) </w:t>
      </w:r>
      <w:r>
        <w:t>in Account 923</w:t>
      </w:r>
      <w:r w:rsidR="005F53D4">
        <w:t>.</w:t>
      </w:r>
      <w:r>
        <w:rPr>
          <w:rStyle w:val="FootnoteReference"/>
        </w:rPr>
        <w:footnoteReference w:id="23"/>
      </w:r>
      <w:r>
        <w:t xml:space="preserve"> </w:t>
      </w:r>
      <w:r w:rsidR="00DB3AD3">
        <w:t xml:space="preserve"> </w:t>
      </w:r>
      <w:r w:rsidR="005F53D4">
        <w:t xml:space="preserve">Consumer Advocates </w:t>
      </w:r>
      <w:r w:rsidR="00312E95">
        <w:t xml:space="preserve">state </w:t>
      </w:r>
      <w:r>
        <w:t xml:space="preserve">that </w:t>
      </w:r>
      <w:r w:rsidRPr="00FF1DA8" w:rsidR="00FF1DA8">
        <w:t>Account</w:t>
      </w:r>
      <w:r w:rsidR="0089171F">
        <w:t xml:space="preserve"> </w:t>
      </w:r>
      <w:r w:rsidRPr="00FF1DA8" w:rsidR="00FF1DA8">
        <w:t xml:space="preserve">923 is used to record the fees and expenses of professional </w:t>
      </w:r>
      <w:r w:rsidRPr="00145451" w:rsidR="00145451">
        <w:t>consultants and others for general services</w:t>
      </w:r>
      <w:r w:rsidR="00B87162">
        <w:t xml:space="preserve"> </w:t>
      </w:r>
      <w:r w:rsidR="00BB3FB3">
        <w:t>that</w:t>
      </w:r>
      <w:r w:rsidRPr="00145451" w:rsidR="00145451">
        <w:t xml:space="preserve"> are not applicable to a particular operating </w:t>
      </w:r>
      <w:r w:rsidRPr="002E454F" w:rsidR="002E454F">
        <w:t xml:space="preserve">function or </w:t>
      </w:r>
      <w:r>
        <w:br/>
      </w:r>
      <w:r w:rsidRPr="002E454F" w:rsidR="002E454F">
        <w:t>to other accounts</w:t>
      </w:r>
      <w:r w:rsidR="00B87162">
        <w:t xml:space="preserve">. </w:t>
      </w:r>
      <w:r w:rsidR="00312E95">
        <w:t xml:space="preserve"> </w:t>
      </w:r>
      <w:r w:rsidR="00B87162">
        <w:t>Consumer Advocates</w:t>
      </w:r>
      <w:r w:rsidR="00312E95">
        <w:t xml:space="preserve"> contend that </w:t>
      </w:r>
      <w:r w:rsidR="00B345F3">
        <w:t xml:space="preserve">New York </w:t>
      </w:r>
      <w:r>
        <w:t xml:space="preserve">Transco has been improperly booking </w:t>
      </w:r>
      <w:r w:rsidR="00DB3AD3">
        <w:t xml:space="preserve">Transmission </w:t>
      </w:r>
      <w:r>
        <w:t>Operating Expense</w:t>
      </w:r>
      <w:r w:rsidR="005F53D4">
        <w:t>s to</w:t>
      </w:r>
      <w:r>
        <w:t xml:space="preserve"> Account</w:t>
      </w:r>
      <w:r w:rsidR="0089171F">
        <w:t xml:space="preserve"> </w:t>
      </w:r>
      <w:r>
        <w:t>923</w:t>
      </w:r>
      <w:r w:rsidR="005F53D4">
        <w:t xml:space="preserve"> and, therefore, </w:t>
      </w:r>
      <w:r>
        <w:br/>
      </w:r>
      <w:r w:rsidR="005F53D4">
        <w:t>has been improperly</w:t>
      </w:r>
      <w:r w:rsidR="008C01C4">
        <w:t xml:space="preserve"> collecting Transmission Operating Expenses via its Formula Rate</w:t>
      </w:r>
      <w:r>
        <w:t>.</w:t>
      </w:r>
      <w:r>
        <w:rPr>
          <w:rStyle w:val="FootnoteReference"/>
        </w:rPr>
        <w:footnoteReference w:id="24"/>
      </w:r>
    </w:p>
    <w:p w:rsidR="0009514A">
      <w:pPr>
        <w:widowControl/>
        <w:spacing w:after="160" w:line="259" w:lineRule="auto"/>
      </w:pPr>
      <w:r>
        <w:br w:type="page"/>
      </w:r>
    </w:p>
    <w:p w:rsidR="00F55F64" w:rsidP="00F55F64">
      <w:pPr>
        <w:pStyle w:val="FERCparanumber"/>
      </w:pPr>
      <w:r>
        <w:t>Consumer Advocates claim that it is</w:t>
      </w:r>
      <w:r w:rsidRPr="00266661">
        <w:t xml:space="preserve"> not clear that </w:t>
      </w:r>
      <w:r w:rsidR="00B345F3">
        <w:t xml:space="preserve">New York </w:t>
      </w:r>
      <w:r w:rsidRPr="00266661">
        <w:t xml:space="preserve">Transco employees can perform the activities </w:t>
      </w:r>
      <w:r w:rsidR="006460A4">
        <w:t>expensed</w:t>
      </w:r>
      <w:r w:rsidRPr="00266661">
        <w:t xml:space="preserve"> in Account</w:t>
      </w:r>
      <w:r w:rsidR="008C1B21">
        <w:t>s</w:t>
      </w:r>
      <w:r w:rsidRPr="00266661">
        <w:t xml:space="preserve"> 561.4 and 561.8</w:t>
      </w:r>
      <w:r w:rsidR="00AE5716">
        <w:t>,</w:t>
      </w:r>
      <w:r w:rsidRPr="00266661">
        <w:t xml:space="preserve"> as language in the USo</w:t>
      </w:r>
      <w:r w:rsidR="00B01FD4">
        <w:t>f</w:t>
      </w:r>
      <w:r w:rsidRPr="00266661">
        <w:t>A indicates that these costs are “billed” to the transmission owner.</w:t>
      </w:r>
      <w:r>
        <w:rPr>
          <w:rStyle w:val="FootnoteReference"/>
        </w:rPr>
        <w:footnoteReference w:id="25"/>
      </w:r>
      <w:r>
        <w:t xml:space="preserve">  Consumer Advocates request that </w:t>
      </w:r>
      <w:r w:rsidR="00B345F3">
        <w:t xml:space="preserve">New York </w:t>
      </w:r>
      <w:r>
        <w:t xml:space="preserve">Transco be ordered to discontinue improperly booking </w:t>
      </w:r>
      <w:r w:rsidRPr="002A7B45">
        <w:t>Transmission Operating Expenses in Account</w:t>
      </w:r>
      <w:r w:rsidR="008F0CBD">
        <w:t xml:space="preserve"> </w:t>
      </w:r>
      <w:r w:rsidRPr="002A7B45">
        <w:t xml:space="preserve">923 and that </w:t>
      </w:r>
      <w:r w:rsidR="00B345F3">
        <w:t xml:space="preserve">New York </w:t>
      </w:r>
      <w:r w:rsidRPr="002A7B45">
        <w:t xml:space="preserve">Transco’s Formula Rate be revised to include the operation and maintenance </w:t>
      </w:r>
      <w:r w:rsidR="001B2CDA">
        <w:t>a</w:t>
      </w:r>
      <w:r w:rsidRPr="002A7B45" w:rsidR="001B2CDA">
        <w:t xml:space="preserve">ccounts </w:t>
      </w:r>
      <w:r w:rsidRPr="002A7B45">
        <w:t xml:space="preserve">so that properly incurred Transmission Operating Expenses have an opportunity to be transparently collected </w:t>
      </w:r>
      <w:r>
        <w:t>in the Formula Rate.</w:t>
      </w:r>
    </w:p>
    <w:p w:rsidR="00747C61" w:rsidP="00462201">
      <w:pPr>
        <w:pStyle w:val="FERCparanumber"/>
      </w:pPr>
      <w:r>
        <w:t xml:space="preserve">New York Commission </w:t>
      </w:r>
      <w:r>
        <w:t xml:space="preserve">argues that </w:t>
      </w:r>
      <w:r w:rsidR="00B345F3">
        <w:t xml:space="preserve">New York </w:t>
      </w:r>
      <w:r>
        <w:t xml:space="preserve">Transco has failed to </w:t>
      </w:r>
      <w:r w:rsidR="008F0CBD">
        <w:t xml:space="preserve">demonstrate </w:t>
      </w:r>
      <w:r>
        <w:t xml:space="preserve">that the inclusion of </w:t>
      </w:r>
      <w:r w:rsidR="008F0CBD">
        <w:t>Account</w:t>
      </w:r>
      <w:r w:rsidR="008D50F6">
        <w:t>s</w:t>
      </w:r>
      <w:r>
        <w:t xml:space="preserve"> </w:t>
      </w:r>
      <w:r w:rsidRPr="00757022">
        <w:t>561.1 through 561.8</w:t>
      </w:r>
      <w:r>
        <w:t xml:space="preserve"> in the formula rate will not result in increased rates for customers.</w:t>
      </w:r>
      <w:r>
        <w:rPr>
          <w:rStyle w:val="FootnoteReference"/>
        </w:rPr>
        <w:footnoteReference w:id="26"/>
      </w:r>
      <w:r>
        <w:t xml:space="preserve">  </w:t>
      </w:r>
      <w:r>
        <w:t xml:space="preserve">New York Commission </w:t>
      </w:r>
      <w:r>
        <w:t xml:space="preserve">requests that the Commission conduct a hearing to evaluate </w:t>
      </w:r>
      <w:r w:rsidR="00B345F3">
        <w:t xml:space="preserve">New York </w:t>
      </w:r>
      <w:r>
        <w:t>Transco’s proposed revisions to its formula rate.</w:t>
      </w:r>
    </w:p>
    <w:p w:rsidR="00645BAF" w:rsidP="006B5CC2">
      <w:pPr>
        <w:pStyle w:val="Heading3"/>
      </w:pPr>
      <w:r w:rsidRPr="004B08F7">
        <w:t>Answe</w:t>
      </w:r>
      <w:r>
        <w:t>r</w:t>
      </w:r>
    </w:p>
    <w:p w:rsidR="004B08F7" w:rsidRPr="004B08F7" w:rsidP="004B08F7">
      <w:pPr>
        <w:pStyle w:val="FERCparanumber"/>
      </w:pPr>
      <w:r>
        <w:t>According</w:t>
      </w:r>
      <w:r w:rsidR="002F752F">
        <w:t xml:space="preserve"> to New York Transco, </w:t>
      </w:r>
      <w:r w:rsidR="009C053A">
        <w:t>Consumer Advocates do not provide justification for the assertion that New York Transco has been improperly booking costs to Account 9</w:t>
      </w:r>
      <w:r w:rsidR="00920CE6">
        <w:t>23</w:t>
      </w:r>
      <w:r w:rsidR="009C053A">
        <w:t>.</w:t>
      </w:r>
      <w:r>
        <w:rPr>
          <w:rStyle w:val="FootnoteReference"/>
        </w:rPr>
        <w:footnoteReference w:id="27"/>
      </w:r>
      <w:r w:rsidR="009C053A">
        <w:t xml:space="preserve">  New York Transco asserts that</w:t>
      </w:r>
      <w:r w:rsidR="00902A90">
        <w:t xml:space="preserve"> its use of Account 923</w:t>
      </w:r>
      <w:r w:rsidR="00D03889">
        <w:t xml:space="preserve"> is consistent with Commission accounting methods and Consumer Advocates have not presented evidence to the contrary.</w:t>
      </w:r>
      <w:r>
        <w:rPr>
          <w:rStyle w:val="FootnoteReference"/>
        </w:rPr>
        <w:footnoteReference w:id="28"/>
      </w:r>
    </w:p>
    <w:p w:rsidR="004F3FED" w:rsidP="003B575A">
      <w:pPr>
        <w:pStyle w:val="Heading3"/>
      </w:pPr>
      <w:r>
        <w:t xml:space="preserve">Commission </w:t>
      </w:r>
      <w:r>
        <w:t>Determination</w:t>
      </w:r>
    </w:p>
    <w:p w:rsidR="0023718F">
      <w:pPr>
        <w:pStyle w:val="FERCparanumber"/>
      </w:pPr>
      <w:r>
        <w:t>We</w:t>
      </w:r>
      <w:r>
        <w:t xml:space="preserve"> find that </w:t>
      </w:r>
      <w:r w:rsidR="002F752F">
        <w:t xml:space="preserve">New York </w:t>
      </w:r>
      <w:r>
        <w:t xml:space="preserve">Transco’s </w:t>
      </w:r>
      <w:r w:rsidR="00787DC4">
        <w:t>proposal to include</w:t>
      </w:r>
      <w:r>
        <w:t xml:space="preserve"> Account</w:t>
      </w:r>
      <w:r w:rsidR="00866646">
        <w:t>s</w:t>
      </w:r>
      <w:r>
        <w:t xml:space="preserve"> 561.1 through 561.8 </w:t>
      </w:r>
      <w:r w:rsidR="00787DC4">
        <w:t>in its Formula</w:t>
      </w:r>
      <w:r w:rsidR="000A31E2">
        <w:t xml:space="preserve"> Rate </w:t>
      </w:r>
      <w:r>
        <w:t>is just and reasonable</w:t>
      </w:r>
      <w:r w:rsidR="00DC6BAD">
        <w:t xml:space="preserve"> </w:t>
      </w:r>
      <w:r w:rsidRPr="0036337F" w:rsidR="00DC6BAD">
        <w:t>because</w:t>
      </w:r>
      <w:r w:rsidRPr="0036337F" w:rsidR="000A1AF9">
        <w:t xml:space="preserve"> </w:t>
      </w:r>
      <w:r w:rsidRPr="0036337F" w:rsidR="00F91867">
        <w:t xml:space="preserve">it </w:t>
      </w:r>
      <w:r w:rsidRPr="0036337F" w:rsidR="000A1AF9">
        <w:t xml:space="preserve">allows New York Transco </w:t>
      </w:r>
      <w:r w:rsidR="000A1AF9">
        <w:t xml:space="preserve">to </w:t>
      </w:r>
      <w:r w:rsidR="0089727F">
        <w:t>recover</w:t>
      </w:r>
      <w:r w:rsidR="000A1AF9">
        <w:t xml:space="preserve"> prudently incurred transmission operation and maintenance expenses</w:t>
      </w:r>
      <w:r>
        <w:t>.</w:t>
      </w:r>
      <w:r w:rsidR="0089171F">
        <w:t xml:space="preserve">  </w:t>
      </w:r>
      <w:r w:rsidR="001217C3">
        <w:t>With regard to</w:t>
      </w:r>
      <w:r w:rsidR="00212ABF">
        <w:t xml:space="preserve"> the New York Commission’s </w:t>
      </w:r>
      <w:r w:rsidR="001217C3">
        <w:t>concerns about</w:t>
      </w:r>
      <w:r w:rsidR="00212ABF">
        <w:t xml:space="preserve"> the inclusion of Account</w:t>
      </w:r>
      <w:r w:rsidR="00262EEB">
        <w:t>s</w:t>
      </w:r>
      <w:r w:rsidR="00212ABF">
        <w:t xml:space="preserve"> 561.1 through 561.8 in New York Transco’s Formula Rate </w:t>
      </w:r>
      <w:r w:rsidR="001217C3">
        <w:t>resulting</w:t>
      </w:r>
      <w:r w:rsidR="00212ABF">
        <w:t xml:space="preserve"> in increased rates</w:t>
      </w:r>
      <w:r w:rsidR="001217C3">
        <w:t xml:space="preserve">, we note that </w:t>
      </w:r>
      <w:r w:rsidR="004555A8">
        <w:t xml:space="preserve">New York Transco is </w:t>
      </w:r>
      <w:r w:rsidR="00FF32E0">
        <w:t xml:space="preserve">only </w:t>
      </w:r>
      <w:r w:rsidR="00D20165">
        <w:t xml:space="preserve">proposing </w:t>
      </w:r>
      <w:r w:rsidR="00FF32E0">
        <w:t xml:space="preserve">to add </w:t>
      </w:r>
      <w:r w:rsidRPr="00DE723D" w:rsidR="00FF32E0">
        <w:t>Account</w:t>
      </w:r>
      <w:r w:rsidR="00FF32E0">
        <w:t>s</w:t>
      </w:r>
      <w:r w:rsidRPr="00DE723D" w:rsidR="00FF32E0">
        <w:t xml:space="preserve"> 561.1 </w:t>
      </w:r>
      <w:r w:rsidR="00FF32E0">
        <w:t>through</w:t>
      </w:r>
      <w:r w:rsidRPr="00DE723D" w:rsidR="00FF32E0">
        <w:t xml:space="preserve"> 561.8</w:t>
      </w:r>
      <w:r w:rsidR="00FF32E0">
        <w:t xml:space="preserve"> to its Formula Rate template and is not through this filing seeking to recover specific costs</w:t>
      </w:r>
      <w:r w:rsidR="00EC1638">
        <w:t xml:space="preserve"> through those accounts</w:t>
      </w:r>
      <w:r w:rsidR="00FF32E0">
        <w:t xml:space="preserve">.  Moreover, </w:t>
      </w:r>
      <w:r w:rsidR="001D587C">
        <w:t>New York Transco indicates that it intends</w:t>
      </w:r>
      <w:r w:rsidR="00D20165">
        <w:t xml:space="preserve"> to book costs in </w:t>
      </w:r>
      <w:r w:rsidRPr="00DE723D" w:rsidR="00D20165">
        <w:t>Account</w:t>
      </w:r>
      <w:r w:rsidR="00D20165">
        <w:t>s</w:t>
      </w:r>
      <w:r w:rsidRPr="00DE723D" w:rsidR="00D20165">
        <w:t xml:space="preserve"> 561.1 </w:t>
      </w:r>
      <w:r w:rsidR="00D20165">
        <w:t>through</w:t>
      </w:r>
      <w:r w:rsidRPr="00DE723D" w:rsidR="00D20165">
        <w:t xml:space="preserve"> 561.8</w:t>
      </w:r>
      <w:r w:rsidR="00D20165">
        <w:t xml:space="preserve"> that are currently </w:t>
      </w:r>
      <w:r w:rsidR="009A0CC7">
        <w:t xml:space="preserve">associated with </w:t>
      </w:r>
      <w:r w:rsidR="00BC531E">
        <w:t xml:space="preserve">activities performed by third parties and </w:t>
      </w:r>
      <w:r w:rsidR="00D20165">
        <w:t>booked in Account 923</w:t>
      </w:r>
      <w:r w:rsidR="00BC531E">
        <w:t xml:space="preserve">.  </w:t>
      </w:r>
      <w:r w:rsidR="004166F3">
        <w:t xml:space="preserve">We find </w:t>
      </w:r>
      <w:r w:rsidR="00037343">
        <w:t xml:space="preserve">no evidence in this record </w:t>
      </w:r>
      <w:r w:rsidR="00AD27FE">
        <w:t xml:space="preserve">to </w:t>
      </w:r>
      <w:r w:rsidR="004166F3">
        <w:t xml:space="preserve">conclude that </w:t>
      </w:r>
      <w:r w:rsidR="00A87EF0">
        <w:t>this change</w:t>
      </w:r>
      <w:r w:rsidR="00980A24">
        <w:t xml:space="preserve"> will</w:t>
      </w:r>
      <w:r w:rsidR="00A87EF0">
        <w:t xml:space="preserve"> necessarily</w:t>
      </w:r>
      <w:r w:rsidR="00980A24">
        <w:t xml:space="preserve"> lead to cost </w:t>
      </w:r>
      <w:r w:rsidR="00873A11">
        <w:t>increases</w:t>
      </w:r>
      <w:r w:rsidR="00E960DD">
        <w:t xml:space="preserve"> and</w:t>
      </w:r>
      <w:r w:rsidR="007B104D">
        <w:t xml:space="preserve"> we also note that</w:t>
      </w:r>
      <w:r w:rsidR="00E960DD">
        <w:t xml:space="preserve"> the prudency </w:t>
      </w:r>
      <w:r w:rsidR="00E35B7A">
        <w:t xml:space="preserve">of such costs </w:t>
      </w:r>
      <w:r w:rsidR="007B104D">
        <w:t>are</w:t>
      </w:r>
      <w:r w:rsidR="00E35B7A">
        <w:t xml:space="preserve"> subject to review during the </w:t>
      </w:r>
      <w:r w:rsidR="00CC5433">
        <w:t>Formula Rate annual update process.</w:t>
      </w:r>
      <w:r w:rsidR="00E960DD">
        <w:t xml:space="preserve"> </w:t>
      </w:r>
      <w:r w:rsidR="00D20165">
        <w:t xml:space="preserve"> </w:t>
      </w:r>
      <w:r w:rsidR="00212ABF">
        <w:t xml:space="preserve">We further note that New York Transco has committed to </w:t>
      </w:r>
      <w:r w:rsidR="00F97EB4">
        <w:t xml:space="preserve">ensuring that there will be no </w:t>
      </w:r>
      <w:r w:rsidR="00212ABF">
        <w:t xml:space="preserve">double recovery of costs </w:t>
      </w:r>
      <w:r w:rsidR="00F97EB4">
        <w:t xml:space="preserve">due to its use of </w:t>
      </w:r>
      <w:r w:rsidR="00212ABF">
        <w:t>Account</w:t>
      </w:r>
      <w:r w:rsidR="000331F9">
        <w:t>s</w:t>
      </w:r>
      <w:r w:rsidR="00212ABF">
        <w:t xml:space="preserve"> 561.1</w:t>
      </w:r>
      <w:r w:rsidR="00D13F03">
        <w:t xml:space="preserve"> through </w:t>
      </w:r>
      <w:r w:rsidR="00212ABF">
        <w:t>561.8</w:t>
      </w:r>
      <w:r w:rsidR="00F97EB4">
        <w:t xml:space="preserve"> instead of Account 923</w:t>
      </w:r>
      <w:r w:rsidR="00212ABF">
        <w:t>.</w:t>
      </w:r>
      <w:r>
        <w:rPr>
          <w:rStyle w:val="FootnoteReference"/>
        </w:rPr>
        <w:footnoteReference w:id="29"/>
      </w:r>
      <w:r w:rsidR="007B104D">
        <w:t xml:space="preserve">  Therefore, we decline the New York Commission’s request for hearing on the matter.</w:t>
      </w:r>
    </w:p>
    <w:p w:rsidR="00CA2EC3" w:rsidP="003D7994">
      <w:pPr>
        <w:pStyle w:val="FERCparanumber"/>
      </w:pPr>
      <w:r>
        <w:t xml:space="preserve">We are not persuaded by Consumer Advocates’ concerns about whether </w:t>
      </w:r>
      <w:r w:rsidR="0067392E">
        <w:t>New York</w:t>
      </w:r>
      <w:r w:rsidR="00FB334E">
        <w:t xml:space="preserve"> </w:t>
      </w:r>
      <w:r>
        <w:t>Transco employees can perform the activities included in Account</w:t>
      </w:r>
      <w:r w:rsidR="00532BDE">
        <w:t>s</w:t>
      </w:r>
      <w:r>
        <w:t xml:space="preserve"> 561.4 and 561.8.</w:t>
      </w:r>
      <w:r>
        <w:rPr>
          <w:rStyle w:val="FootnoteReference"/>
        </w:rPr>
        <w:footnoteReference w:id="30"/>
      </w:r>
      <w:r>
        <w:t xml:space="preserve">  </w:t>
      </w:r>
      <w:r w:rsidR="00ED376E">
        <w:t>Consumer Advocates ha</w:t>
      </w:r>
      <w:r w:rsidR="007F6816">
        <w:t>ve</w:t>
      </w:r>
      <w:r w:rsidR="00ED376E">
        <w:t xml:space="preserve"> </w:t>
      </w:r>
      <w:r w:rsidR="009F1E85">
        <w:t xml:space="preserve">not </w:t>
      </w:r>
      <w:r w:rsidR="00ED376E">
        <w:t xml:space="preserve">offered </w:t>
      </w:r>
      <w:r w:rsidR="009F1E85">
        <w:t>any</w:t>
      </w:r>
      <w:r w:rsidR="00ED376E">
        <w:t xml:space="preserve"> explanation as to why New York Transco is not capable of performing the relevant activities</w:t>
      </w:r>
      <w:r w:rsidR="008407F6">
        <w:t xml:space="preserve"> and only states that</w:t>
      </w:r>
      <w:r w:rsidR="00265974">
        <w:t xml:space="preserve"> there is a lack of cla</w:t>
      </w:r>
      <w:r w:rsidR="00A00C19">
        <w:t xml:space="preserve">rity because of the use of the </w:t>
      </w:r>
      <w:r w:rsidR="009F1E85">
        <w:t>word “billed.”</w:t>
      </w:r>
      <w:r>
        <w:t xml:space="preserve">  The Commission here accepts New York Transco’s proposal to </w:t>
      </w:r>
      <w:r w:rsidR="00D0068A">
        <w:t xml:space="preserve">include in its Formula Rate </w:t>
      </w:r>
      <w:r w:rsidR="000F554E">
        <w:t xml:space="preserve">and </w:t>
      </w:r>
      <w:r>
        <w:t xml:space="preserve">use </w:t>
      </w:r>
      <w:r w:rsidR="000F554E">
        <w:t>certain</w:t>
      </w:r>
      <w:r>
        <w:t xml:space="preserve"> Accounts in the USofA for the intended purpose of those Accounts, nothing more.  </w:t>
      </w:r>
    </w:p>
    <w:p w:rsidR="00EE7426" w:rsidP="003D7994">
      <w:pPr>
        <w:pStyle w:val="FERCparanumber"/>
      </w:pPr>
      <w:r>
        <w:t xml:space="preserve">We </w:t>
      </w:r>
      <w:r w:rsidR="00E3605C">
        <w:t>further</w:t>
      </w:r>
      <w:r>
        <w:t xml:space="preserve"> find that </w:t>
      </w:r>
      <w:r w:rsidR="00F418C3">
        <w:t>Consumer Advocates</w:t>
      </w:r>
      <w:r>
        <w:t>’ argument</w:t>
      </w:r>
      <w:r w:rsidR="00F418C3">
        <w:t xml:space="preserve"> that New York Transco has been improperly booking Transmission Operating Expenses to Account 923</w:t>
      </w:r>
      <w:r>
        <w:t xml:space="preserve"> is beyond the scope of this proceeding</w:t>
      </w:r>
      <w:r w:rsidR="00E36901">
        <w:t xml:space="preserve"> on</w:t>
      </w:r>
      <w:r w:rsidR="00D15F6C">
        <w:t xml:space="preserve"> New York Transco’s proposal</w:t>
      </w:r>
      <w:r w:rsidR="00F418C3">
        <w:t xml:space="preserve"> </w:t>
      </w:r>
      <w:r w:rsidR="007C6B29">
        <w:t>to establish Accounts 561.1 through 561.8 in its Formula Rate</w:t>
      </w:r>
      <w:r>
        <w:t>.</w:t>
      </w:r>
      <w:r w:rsidR="00D139FC">
        <w:t xml:space="preserve">  Challenges to costs included in the Formula Rate </w:t>
      </w:r>
      <w:r w:rsidR="00844585">
        <w:t>may be</w:t>
      </w:r>
      <w:r w:rsidR="00D139FC">
        <w:t xml:space="preserve"> raised in the </w:t>
      </w:r>
      <w:r w:rsidR="00844585">
        <w:t>annual update process in accordance with New York Transco’s Formula Rate protocols.</w:t>
      </w:r>
    </w:p>
    <w:p w:rsidR="0009514A" w:rsidP="00235962">
      <w:pPr>
        <w:pStyle w:val="FERCparanumber"/>
      </w:pPr>
      <w:r>
        <w:t>Through this filing, New York Transco does not propose changes to the depreciation rates that are currently included in Attachment 9 of its Formula Rate and states that it will continue to use those depreciation rates.</w:t>
      </w:r>
      <w:r>
        <w:rPr>
          <w:rStyle w:val="FootnoteReference"/>
        </w:rPr>
        <w:footnoteReference w:id="31"/>
      </w:r>
      <w:r>
        <w:t xml:space="preserve">  We recognize New York Transco’s commitment, consistent with settlement agreements in the proceeding establishing the depreciation rates, that New York Transco will perform a depreciation study and file an FPA section 205 filing implementing modified depreciation rates by  January 1, 2026.</w:t>
      </w:r>
      <w:r>
        <w:rPr>
          <w:rStyle w:val="FootnoteReference"/>
        </w:rPr>
        <w:footnoteReference w:id="32"/>
      </w:r>
    </w:p>
    <w:p w:rsidR="0009514A">
      <w:pPr>
        <w:widowControl/>
        <w:spacing w:after="160" w:line="259" w:lineRule="auto"/>
      </w:pPr>
      <w:r>
        <w:br w:type="page"/>
      </w:r>
    </w:p>
    <w:p w:rsidR="000F155F" w:rsidRPr="006F0340" w:rsidP="000F155F">
      <w:pPr>
        <w:pStyle w:val="FERCparanumber"/>
      </w:pPr>
      <w:r>
        <w:t>We grant New York Transco’s request for waiver of the need to submit additional cost-of-service statements</w:t>
      </w:r>
      <w:r w:rsidR="00EC18EE">
        <w:t xml:space="preserve">, </w:t>
      </w:r>
      <w:r>
        <w:t>consistent with the Commission’s prior acceptance of formula rates.</w:t>
      </w:r>
      <w:r>
        <w:rPr>
          <w:rStyle w:val="FootnoteReference"/>
        </w:rPr>
        <w:footnoteReference w:id="33"/>
      </w:r>
      <w:r w:rsidR="004A1636">
        <w:t xml:space="preserve">  </w:t>
      </w:r>
      <w:r w:rsidRPr="004A1636" w:rsidR="004A1636">
        <w:t>However, to the extent that participants at the hearing</w:t>
      </w:r>
      <w:r w:rsidR="004A1636">
        <w:t xml:space="preserve"> ordered below</w:t>
      </w:r>
      <w:r w:rsidRPr="004A1636" w:rsidR="004A1636">
        <w:t xml:space="preserve"> can show the relevance of additional information needed to evaluate </w:t>
      </w:r>
      <w:r w:rsidR="004A1636">
        <w:t>N</w:t>
      </w:r>
      <w:r w:rsidR="00753494">
        <w:t xml:space="preserve">ew </w:t>
      </w:r>
      <w:r w:rsidR="004A1636">
        <w:t>Y</w:t>
      </w:r>
      <w:r w:rsidR="00753494">
        <w:t>ork</w:t>
      </w:r>
      <w:r w:rsidR="004A1636">
        <w:t xml:space="preserve"> Transco’s proposed base ROE</w:t>
      </w:r>
      <w:r w:rsidRPr="004A1636" w:rsidR="004A1636">
        <w:t>, the Administrative Law Judge can provide for appropriate discovery of such information.</w:t>
      </w:r>
    </w:p>
    <w:p w:rsidR="004F3FED" w:rsidP="003B575A">
      <w:pPr>
        <w:pStyle w:val="Heading2"/>
      </w:pPr>
      <w:r>
        <w:t>Base Rate of Return of Equity</w:t>
      </w:r>
    </w:p>
    <w:p w:rsidR="004F3FED" w:rsidP="003B575A">
      <w:pPr>
        <w:pStyle w:val="Heading3"/>
      </w:pPr>
      <w:r>
        <w:t>Filing</w:t>
      </w:r>
    </w:p>
    <w:p w:rsidR="00086527" w:rsidP="00162F8B">
      <w:pPr>
        <w:pStyle w:val="FERCparanumber"/>
      </w:pPr>
      <w:r>
        <w:t xml:space="preserve">New York </w:t>
      </w:r>
      <w:r>
        <w:t>Transco requests a company-wide base ROE value of 10.9%.</w:t>
      </w:r>
      <w:r>
        <w:rPr>
          <w:rStyle w:val="FootnoteReference"/>
        </w:rPr>
        <w:footnoteReference w:id="34"/>
      </w:r>
      <w:r>
        <w:t xml:space="preserve">  </w:t>
      </w:r>
      <w:r>
        <w:t xml:space="preserve">New York </w:t>
      </w:r>
      <w:r>
        <w:t>Transco explains that this base ROE would apply to the TOTS projects and the AC Transmission Projects rate recovery</w:t>
      </w:r>
      <w:r w:rsidR="005052DA">
        <w:t>,</w:t>
      </w:r>
      <w:r>
        <w:t xml:space="preserve"> as well as any future electric transmission assets that </w:t>
      </w:r>
      <w:r>
        <w:t xml:space="preserve">New York </w:t>
      </w:r>
      <w:r>
        <w:t>Transco develops and owns.</w:t>
      </w:r>
      <w:r>
        <w:rPr>
          <w:rStyle w:val="FootnoteReference"/>
        </w:rPr>
        <w:footnoteReference w:id="35"/>
      </w:r>
      <w:r>
        <w:t xml:space="preserve">  </w:t>
      </w:r>
      <w:r w:rsidR="002C16AD">
        <w:t xml:space="preserve">New York </w:t>
      </w:r>
      <w:r w:rsidR="00D0657F">
        <w:t>Transco notes that</w:t>
      </w:r>
      <w:r w:rsidR="00505420">
        <w:t xml:space="preserve"> </w:t>
      </w:r>
      <w:r w:rsidR="00E172A6">
        <w:t xml:space="preserve">the </w:t>
      </w:r>
      <w:r w:rsidR="00505420">
        <w:t xml:space="preserve">proposed base ROE value would not apply to </w:t>
      </w:r>
      <w:r w:rsidR="002C16AD">
        <w:t xml:space="preserve">its </w:t>
      </w:r>
      <w:r w:rsidR="00505420">
        <w:t>cost recovery for the Propel NY Project, as the cost recovery for that project is the subject of a settlement agreement</w:t>
      </w:r>
      <w:r w:rsidR="00AB35C6">
        <w:t xml:space="preserve"> prohibiting modification of that project’s base ROE value, or any other settlement provision prior to May 31, 2030.</w:t>
      </w:r>
      <w:r>
        <w:rPr>
          <w:rStyle w:val="FootnoteReference"/>
        </w:rPr>
        <w:footnoteReference w:id="36"/>
      </w:r>
    </w:p>
    <w:p w:rsidR="00C127B9" w:rsidP="00C127B9">
      <w:pPr>
        <w:pStyle w:val="FERCparanumber"/>
      </w:pPr>
      <w:r>
        <w:t xml:space="preserve">New York </w:t>
      </w:r>
      <w:r w:rsidR="00203AEE">
        <w:t>Transco states that its need to establish a company-wide base ROE value is based on two primary factors.</w:t>
      </w:r>
      <w:r>
        <w:rPr>
          <w:rStyle w:val="FootnoteReference"/>
        </w:rPr>
        <w:footnoteReference w:id="37"/>
      </w:r>
      <w:r w:rsidR="00203AEE">
        <w:t xml:space="preserve">  First, </w:t>
      </w:r>
      <w:r>
        <w:t xml:space="preserve">New York </w:t>
      </w:r>
      <w:r w:rsidR="00203AEE">
        <w:t>Transco explains</w:t>
      </w:r>
      <w:r w:rsidR="00B24015">
        <w:t xml:space="preserve"> that it</w:t>
      </w:r>
      <w:r w:rsidR="006E7658">
        <w:t xml:space="preserve"> </w:t>
      </w:r>
      <w:r w:rsidR="00B24015">
        <w:t>may</w:t>
      </w:r>
      <w:r w:rsidRPr="00AE2FF0" w:rsidR="00B24015">
        <w:t xml:space="preserve"> </w:t>
      </w:r>
      <w:r w:rsidRPr="00AE2FF0" w:rsidR="00AE2FF0">
        <w:t xml:space="preserve">need to construct a Designated Public Policy Project in accordance with the NYISO </w:t>
      </w:r>
      <w:r w:rsidR="00D4270E">
        <w:t>OATT</w:t>
      </w:r>
      <w:r w:rsidR="00AE2FF0">
        <w:t xml:space="preserve">.  </w:t>
      </w:r>
      <w:r>
        <w:t xml:space="preserve">New York </w:t>
      </w:r>
      <w:r w:rsidR="00695648">
        <w:t xml:space="preserve">Transco </w:t>
      </w:r>
      <w:r w:rsidR="00B05AA1">
        <w:t xml:space="preserve">states </w:t>
      </w:r>
      <w:r w:rsidR="0019488D">
        <w:t xml:space="preserve">that </w:t>
      </w:r>
      <w:r w:rsidR="00B05AA1">
        <w:t xml:space="preserve">it </w:t>
      </w:r>
      <w:r w:rsidR="00695648">
        <w:t xml:space="preserve">would </w:t>
      </w:r>
      <w:r w:rsidR="00484137">
        <w:t xml:space="preserve">be permitted to recover the costs of such facilities </w:t>
      </w:r>
      <w:r w:rsidR="005F0367">
        <w:t xml:space="preserve">in accordance with Rate Schedule 10 of the NYISO </w:t>
      </w:r>
      <w:r w:rsidR="006336D5">
        <w:t>OATT</w:t>
      </w:r>
      <w:r w:rsidR="005F0367">
        <w:t>, and the compan</w:t>
      </w:r>
      <w:r w:rsidR="00064FF9">
        <w:t xml:space="preserve">y-wide base ROE would apply to those projects in determining the </w:t>
      </w:r>
      <w:r w:rsidR="00AE086A">
        <w:t xml:space="preserve">transmission asset revenue requirements.  </w:t>
      </w:r>
      <w:r w:rsidR="00570192">
        <w:t xml:space="preserve">Second, </w:t>
      </w:r>
      <w:r>
        <w:t xml:space="preserve">New York </w:t>
      </w:r>
      <w:r w:rsidR="00AB25EB">
        <w:t xml:space="preserve">Transco </w:t>
      </w:r>
      <w:r w:rsidR="002C33E4">
        <w:t xml:space="preserve">contends that </w:t>
      </w:r>
      <w:r w:rsidR="00EF5DB7">
        <w:t xml:space="preserve">a company-wide base ROE value for its transmission projects would put </w:t>
      </w:r>
      <w:r>
        <w:t xml:space="preserve">New York </w:t>
      </w:r>
      <w:r w:rsidR="00EF5DB7">
        <w:t xml:space="preserve">Transco on equal footing </w:t>
      </w:r>
      <w:r w:rsidR="00AD7F92">
        <w:t>with other transmission developers</w:t>
      </w:r>
      <w:r w:rsidR="007B30D6">
        <w:t xml:space="preserve">, including other </w:t>
      </w:r>
      <w:r w:rsidR="002E581B">
        <w:t>developers in NYISO</w:t>
      </w:r>
      <w:r w:rsidR="004A52DC">
        <w:t>’s</w:t>
      </w:r>
      <w:r w:rsidR="002E581B">
        <w:t xml:space="preserve"> competitive transmission solicitations</w:t>
      </w:r>
      <w:r w:rsidR="005633A9">
        <w:t>.  New York Transco asserts that</w:t>
      </w:r>
      <w:r w:rsidR="002B6015">
        <w:t xml:space="preserve"> a company-wide base ROE</w:t>
      </w:r>
      <w:r w:rsidR="002503F4">
        <w:t xml:space="preserve"> </w:t>
      </w:r>
      <w:r w:rsidR="00C03057">
        <w:t xml:space="preserve">would provide </w:t>
      </w:r>
      <w:r w:rsidR="00934026">
        <w:t>rate certainty, consistency</w:t>
      </w:r>
      <w:r w:rsidR="00493D15">
        <w:t>,</w:t>
      </w:r>
      <w:r w:rsidR="00934026">
        <w:t xml:space="preserve"> and better clarity for current and future development activi</w:t>
      </w:r>
      <w:r>
        <w:t>ti</w:t>
      </w:r>
      <w:r w:rsidR="00934026">
        <w:t>es.</w:t>
      </w:r>
      <w:r>
        <w:t xml:space="preserve">  </w:t>
      </w:r>
      <w:r w:rsidR="00FE3EA2">
        <w:t xml:space="preserve">New York </w:t>
      </w:r>
      <w:r w:rsidR="004E5504">
        <w:t>Transco states that</w:t>
      </w:r>
      <w:r w:rsidR="00F303DD">
        <w:t xml:space="preserve"> the Commission has routinely accepted</w:t>
      </w:r>
      <w:r w:rsidR="004E5504">
        <w:t xml:space="preserve"> </w:t>
      </w:r>
      <w:r w:rsidR="007C5C28">
        <w:t xml:space="preserve">company-wide base ROEs </w:t>
      </w:r>
      <w:r w:rsidR="00710824">
        <w:t>for existing and new transmission investment in NYISO.</w:t>
      </w:r>
      <w:r>
        <w:rPr>
          <w:rStyle w:val="FootnoteReference"/>
        </w:rPr>
        <w:footnoteReference w:id="38"/>
      </w:r>
      <w:r w:rsidR="00710824">
        <w:t xml:space="preserve"> </w:t>
      </w:r>
    </w:p>
    <w:p w:rsidR="00F828B3" w:rsidP="000B3AD4">
      <w:pPr>
        <w:pStyle w:val="FERCparanumber"/>
      </w:pPr>
      <w:r>
        <w:t xml:space="preserve">New York </w:t>
      </w:r>
      <w:r w:rsidR="0085770C">
        <w:t xml:space="preserve">Transco </w:t>
      </w:r>
      <w:r w:rsidR="009744CD">
        <w:t xml:space="preserve">provides </w:t>
      </w:r>
      <w:r w:rsidR="00FE7BD7">
        <w:t>the</w:t>
      </w:r>
      <w:r w:rsidR="0026298C">
        <w:t xml:space="preserve"> testimony of Mr. Adrien M. McKenzie</w:t>
      </w:r>
      <w:r w:rsidR="0076311E">
        <w:t xml:space="preserve"> in </w:t>
      </w:r>
      <w:r w:rsidR="00972FB2">
        <w:br/>
      </w:r>
      <w:r w:rsidR="0076311E">
        <w:t>support of its proposed company-wide base ROE.</w:t>
      </w:r>
      <w:r>
        <w:rPr>
          <w:rStyle w:val="FootnoteReference"/>
        </w:rPr>
        <w:footnoteReference w:id="39"/>
      </w:r>
      <w:r w:rsidR="0076311E">
        <w:t xml:space="preserve">  </w:t>
      </w:r>
      <w:r>
        <w:t xml:space="preserve">New York </w:t>
      </w:r>
      <w:r w:rsidR="0054075E">
        <w:t xml:space="preserve">Transco states that </w:t>
      </w:r>
      <w:r w:rsidR="00972FB2">
        <w:br/>
      </w:r>
      <w:r w:rsidR="0054075E">
        <w:t xml:space="preserve">Mr. </w:t>
      </w:r>
      <w:r w:rsidR="0085770C">
        <w:t xml:space="preserve">McKenzie’s evaluation of a just and reasonable base ROE relies on the results </w:t>
      </w:r>
      <w:r w:rsidR="00972FB2">
        <w:br/>
      </w:r>
      <w:r w:rsidR="0085770C">
        <w:t xml:space="preserve">of </w:t>
      </w:r>
      <w:r w:rsidR="003F790B">
        <w:t xml:space="preserve">four different </w:t>
      </w:r>
      <w:r w:rsidR="0057329D">
        <w:t xml:space="preserve">financial models: </w:t>
      </w:r>
      <w:r w:rsidR="0085770C">
        <w:t xml:space="preserve">the two-step discounted cash flow (DCF) model, </w:t>
      </w:r>
      <w:r w:rsidR="00972FB2">
        <w:br/>
      </w:r>
      <w:r w:rsidR="0085770C">
        <w:t>the capital asset pricing model (CAPM), the risk premium method</w:t>
      </w:r>
      <w:r w:rsidR="003B7F92">
        <w:t>,</w:t>
      </w:r>
      <w:r w:rsidR="0085770C">
        <w:t xml:space="preserve"> and the expected earnings approach.</w:t>
      </w:r>
      <w:r>
        <w:rPr>
          <w:rStyle w:val="FootnoteReference"/>
        </w:rPr>
        <w:footnoteReference w:id="40"/>
      </w:r>
      <w:r w:rsidR="0085770C">
        <w:t xml:space="preserve">  </w:t>
      </w:r>
      <w:r w:rsidR="002225D2">
        <w:t xml:space="preserve">Mr. McKenzie </w:t>
      </w:r>
      <w:r w:rsidR="00D43DC8">
        <w:t>states</w:t>
      </w:r>
      <w:r w:rsidR="0017469D">
        <w:t xml:space="preserve"> </w:t>
      </w:r>
      <w:r w:rsidR="005E39A8">
        <w:t>that</w:t>
      </w:r>
      <w:r w:rsidR="0017469D">
        <w:t xml:space="preserve"> the</w:t>
      </w:r>
      <w:r w:rsidR="00091D56">
        <w:t xml:space="preserve"> Commission</w:t>
      </w:r>
      <w:r w:rsidR="005E39A8">
        <w:t>’s</w:t>
      </w:r>
      <w:r w:rsidR="00091D56">
        <w:t xml:space="preserve"> two-ste</w:t>
      </w:r>
      <w:r w:rsidR="001E4186">
        <w:t xml:space="preserve">p DCF </w:t>
      </w:r>
      <w:r w:rsidR="00972FB2">
        <w:br/>
      </w:r>
      <w:r w:rsidR="001E4186">
        <w:t xml:space="preserve">method </w:t>
      </w:r>
      <w:r w:rsidR="004E67FA">
        <w:t>assumes that investors differentia</w:t>
      </w:r>
      <w:r w:rsidR="000634EE">
        <w:t>te</w:t>
      </w:r>
      <w:r w:rsidR="004E67FA">
        <w:t xml:space="preserve"> between </w:t>
      </w:r>
      <w:r w:rsidR="001B3E37">
        <w:t xml:space="preserve">near-term growth forecasts and </w:t>
      </w:r>
      <w:r w:rsidR="00972FB2">
        <w:br/>
      </w:r>
      <w:r w:rsidR="00593D97">
        <w:t>some no</w:t>
      </w:r>
      <w:r w:rsidR="00283409">
        <w:t xml:space="preserve">tion of longer-term growth extending into the distant future using </w:t>
      </w:r>
      <w:r w:rsidR="00214685">
        <w:t>Institutional Brokers’ Estimate System (</w:t>
      </w:r>
      <w:r w:rsidR="00283409">
        <w:t>IBES</w:t>
      </w:r>
      <w:r w:rsidR="00214685">
        <w:t>)</w:t>
      </w:r>
      <w:r w:rsidR="00283409">
        <w:t xml:space="preserve"> growth rates.</w:t>
      </w:r>
      <w:r>
        <w:rPr>
          <w:rStyle w:val="FootnoteReference"/>
        </w:rPr>
        <w:footnoteReference w:id="41"/>
      </w:r>
      <w:r w:rsidR="00283409">
        <w:t xml:space="preserve">  </w:t>
      </w:r>
      <w:r w:rsidR="00D30FF5">
        <w:t xml:space="preserve">Mr. McKenzie </w:t>
      </w:r>
      <w:r w:rsidR="00107469">
        <w:t>explains</w:t>
      </w:r>
      <w:r w:rsidR="00D30FF5">
        <w:t xml:space="preserve"> that the </w:t>
      </w:r>
      <w:r w:rsidR="00972FB2">
        <w:br/>
      </w:r>
      <w:r w:rsidR="00D30FF5">
        <w:t xml:space="preserve">CAPM model is also a </w:t>
      </w:r>
      <w:r w:rsidR="00802D00">
        <w:t xml:space="preserve">forward looking </w:t>
      </w:r>
      <w:r w:rsidR="00540291">
        <w:t>model based on the future</w:t>
      </w:r>
      <w:r w:rsidR="00BF4705">
        <w:t xml:space="preserve"> and must be applied using estimates that reflect </w:t>
      </w:r>
      <w:r w:rsidR="00D370AB">
        <w:t>the expectations of ac</w:t>
      </w:r>
      <w:r w:rsidR="00330ABD">
        <w:t>tual investors in the market.</w:t>
      </w:r>
      <w:r>
        <w:rPr>
          <w:rStyle w:val="FootnoteReference"/>
        </w:rPr>
        <w:footnoteReference w:id="42"/>
      </w:r>
      <w:r w:rsidR="00C279F3">
        <w:t xml:space="preserve">  </w:t>
      </w:r>
      <w:r w:rsidR="00972FB2">
        <w:br/>
      </w:r>
      <w:r w:rsidR="00C279F3">
        <w:t xml:space="preserve">Mr. McKenzie also states that </w:t>
      </w:r>
      <w:r w:rsidR="00D3007D">
        <w:t xml:space="preserve">the </w:t>
      </w:r>
      <w:r w:rsidR="000D7BC6">
        <w:t>r</w:t>
      </w:r>
      <w:r w:rsidRPr="00C279F3" w:rsidR="000D7BC6">
        <w:t xml:space="preserve">isk </w:t>
      </w:r>
      <w:r w:rsidR="000D7BC6">
        <w:t>p</w:t>
      </w:r>
      <w:r w:rsidRPr="00C279F3" w:rsidR="000D7BC6">
        <w:t xml:space="preserve">remium </w:t>
      </w:r>
      <w:r w:rsidRPr="00C279F3" w:rsidR="00C279F3">
        <w:t>approach extends the risk-return tradeoff observed with bonds to estimate investors’ required rate of return on common stocks</w:t>
      </w:r>
      <w:r w:rsidR="006C0B2B">
        <w:t>.</w:t>
      </w:r>
      <w:r>
        <w:rPr>
          <w:rStyle w:val="FootnoteReference"/>
        </w:rPr>
        <w:footnoteReference w:id="43"/>
      </w:r>
      <w:r w:rsidR="009615CF">
        <w:t xml:space="preserve">  Additionally, Mr. McKenzie states that the </w:t>
      </w:r>
      <w:r w:rsidR="00115114">
        <w:t xml:space="preserve">expected earnings approach </w:t>
      </w:r>
      <w:r w:rsidR="00C839D7">
        <w:t xml:space="preserve">focuses on the projected </w:t>
      </w:r>
      <w:r w:rsidR="003A56E7">
        <w:t>earned returns on book equity supporting investors’ expectation underlying the market price of a stock.</w:t>
      </w:r>
      <w:r>
        <w:rPr>
          <w:rStyle w:val="FootnoteReference"/>
        </w:rPr>
        <w:footnoteReference w:id="44"/>
      </w:r>
      <w:r w:rsidR="003A56E7">
        <w:t xml:space="preserve"> </w:t>
      </w:r>
      <w:r w:rsidR="009615CF">
        <w:t xml:space="preserve"> </w:t>
      </w:r>
    </w:p>
    <w:p w:rsidR="00C127B9" w:rsidP="000B3AD4">
      <w:pPr>
        <w:pStyle w:val="FERCparanumber"/>
      </w:pPr>
      <w:r>
        <w:t xml:space="preserve">New York </w:t>
      </w:r>
      <w:r w:rsidR="00B57E3A">
        <w:t xml:space="preserve">Transco states that Mr. McKenzie employed a national proxy group composed of </w:t>
      </w:r>
      <w:r w:rsidR="006C3811">
        <w:t>31</w:t>
      </w:r>
      <w:r w:rsidR="006407B1">
        <w:t xml:space="preserve"> risk comparable electric utilities and utilized that proxy group in </w:t>
      </w:r>
      <w:r w:rsidR="00972FB2">
        <w:br/>
      </w:r>
      <w:r w:rsidR="006407B1">
        <w:t xml:space="preserve">each one of the </w:t>
      </w:r>
      <w:r w:rsidR="00C366DF">
        <w:t xml:space="preserve">four </w:t>
      </w:r>
      <w:r w:rsidR="006407B1">
        <w:t>methods</w:t>
      </w:r>
      <w:r w:rsidR="00C366DF">
        <w:t xml:space="preserve"> described above</w:t>
      </w:r>
      <w:r w:rsidR="006407B1">
        <w:t>.</w:t>
      </w:r>
      <w:r>
        <w:rPr>
          <w:rStyle w:val="FootnoteReference"/>
        </w:rPr>
        <w:footnoteReference w:id="45"/>
      </w:r>
      <w:r w:rsidR="006407B1">
        <w:t xml:space="preserve">  </w:t>
      </w:r>
      <w:r>
        <w:t xml:space="preserve">New York </w:t>
      </w:r>
      <w:r w:rsidR="007A3662">
        <w:t xml:space="preserve">Transco </w:t>
      </w:r>
      <w:r w:rsidR="00561EB1">
        <w:t xml:space="preserve">explains that </w:t>
      </w:r>
      <w:r w:rsidR="00972FB2">
        <w:br/>
      </w:r>
      <w:r w:rsidR="00561EB1">
        <w:t>Mr. McKenzie</w:t>
      </w:r>
      <w:r w:rsidR="0074601E">
        <w:t xml:space="preserve">’s analysis resulted in </w:t>
      </w:r>
      <w:r w:rsidR="0018722A">
        <w:t xml:space="preserve">a composite ROE zone of reasonableness of </w:t>
      </w:r>
      <w:r w:rsidR="00972FB2">
        <w:br/>
      </w:r>
      <w:r w:rsidR="000B3AD4">
        <w:t>8.35</w:t>
      </w:r>
      <w:r w:rsidR="0018722A">
        <w:t xml:space="preserve">% to </w:t>
      </w:r>
      <w:r w:rsidR="000B3AD4">
        <w:t>13.16</w:t>
      </w:r>
      <w:r w:rsidR="0018722A">
        <w:t xml:space="preserve">%, with a median of </w:t>
      </w:r>
      <w:r w:rsidR="000B3AD4">
        <w:t>10.79</w:t>
      </w:r>
      <w:r w:rsidR="0018722A">
        <w:t>% and midpoint of 10.</w:t>
      </w:r>
      <w:r w:rsidR="000B7248">
        <w:t>75</w:t>
      </w:r>
      <w:r w:rsidR="00762814">
        <w:t>%</w:t>
      </w:r>
      <w:r w:rsidR="005A5866">
        <w:t>.</w:t>
      </w:r>
      <w:r w:rsidR="0064798B">
        <w:t xml:space="preserve"> </w:t>
      </w:r>
      <w:r w:rsidR="0043580A">
        <w:t xml:space="preserve"> </w:t>
      </w:r>
      <w:r>
        <w:t xml:space="preserve">New York </w:t>
      </w:r>
      <w:r w:rsidR="00972FB2">
        <w:br/>
      </w:r>
      <w:r w:rsidR="0064798B">
        <w:t xml:space="preserve">Transco further explains that Mr. McKenzie’s analysis, applying the Commission’s approach of using the two-step DCF model and an application of the CAPM using </w:t>
      </w:r>
      <w:r w:rsidR="00972FB2">
        <w:br/>
      </w:r>
      <w:r w:rsidR="0019055C">
        <w:t>IBES growth rates to determine the market risk premium</w:t>
      </w:r>
      <w:r w:rsidR="009D48EC">
        <w:t>,</w:t>
      </w:r>
      <w:r w:rsidR="0064798B">
        <w:t xml:space="preserve"> resulted in a composite </w:t>
      </w:r>
      <w:r w:rsidR="00972FB2">
        <w:br/>
      </w:r>
      <w:r w:rsidR="0064798B">
        <w:t xml:space="preserve">ROE zone of reasonableness of </w:t>
      </w:r>
      <w:r w:rsidR="000B7248">
        <w:t>9.08</w:t>
      </w:r>
      <w:r w:rsidR="0064798B">
        <w:t xml:space="preserve">% to </w:t>
      </w:r>
      <w:r w:rsidR="000B7248">
        <w:t>12.72</w:t>
      </w:r>
      <w:r w:rsidR="0064798B">
        <w:t xml:space="preserve">%, with a median of </w:t>
      </w:r>
      <w:r w:rsidR="000B7248">
        <w:t>11.17</w:t>
      </w:r>
      <w:r w:rsidR="0064798B">
        <w:t>% and midpoint of 10.90%.</w:t>
      </w:r>
      <w:r>
        <w:rPr>
          <w:rStyle w:val="FootnoteReference"/>
        </w:rPr>
        <w:footnoteReference w:id="46"/>
      </w:r>
    </w:p>
    <w:p w:rsidR="000B3B31">
      <w:pPr>
        <w:pStyle w:val="FERCparanumber"/>
      </w:pPr>
      <w:r>
        <w:t xml:space="preserve">New York </w:t>
      </w:r>
      <w:r w:rsidR="00746BB5">
        <w:t xml:space="preserve">Transco </w:t>
      </w:r>
      <w:r w:rsidR="00993713">
        <w:t>concludes</w:t>
      </w:r>
      <w:r w:rsidR="007D7D53">
        <w:t xml:space="preserve"> </w:t>
      </w:r>
      <w:r w:rsidR="00746BB5">
        <w:t xml:space="preserve">that a generally applicable 10.9% base ROE is just </w:t>
      </w:r>
      <w:r w:rsidR="00BC1FEB">
        <w:t>and reasonable</w:t>
      </w:r>
      <w:r w:rsidR="00993713">
        <w:t xml:space="preserve"> because</w:t>
      </w:r>
      <w:r w:rsidR="00E92390">
        <w:t xml:space="preserve"> it</w:t>
      </w:r>
      <w:r w:rsidR="00993713">
        <w:t xml:space="preserve">:  (1) </w:t>
      </w:r>
      <w:r w:rsidR="00195484">
        <w:t>i</w:t>
      </w:r>
      <w:r w:rsidR="00F83B1E">
        <w:t xml:space="preserve">s well within the composite zone of reasonableness </w:t>
      </w:r>
      <w:r w:rsidR="00390C36">
        <w:t xml:space="preserve">in </w:t>
      </w:r>
      <w:r w:rsidR="00746573">
        <w:t>all four</w:t>
      </w:r>
      <w:r w:rsidR="00390C36">
        <w:t xml:space="preserve"> of</w:t>
      </w:r>
      <w:r w:rsidR="004D4914">
        <w:t xml:space="preserve"> </w:t>
      </w:r>
      <w:r w:rsidR="00F83B1E">
        <w:t xml:space="preserve">Mr. McKenzie’s </w:t>
      </w:r>
      <w:r w:rsidR="004D4914">
        <w:t xml:space="preserve">preferred </w:t>
      </w:r>
      <w:r w:rsidR="001C2B39">
        <w:t>financial model approach</w:t>
      </w:r>
      <w:r w:rsidR="00746573">
        <w:t>es</w:t>
      </w:r>
      <w:r w:rsidR="00D74BC7">
        <w:t>,</w:t>
      </w:r>
      <w:r w:rsidR="001C2B39">
        <w:t xml:space="preserve"> as well as </w:t>
      </w:r>
      <w:r w:rsidR="00625A35">
        <w:t>the</w:t>
      </w:r>
      <w:r w:rsidR="000C5C4E">
        <w:t xml:space="preserve"> </w:t>
      </w:r>
      <w:r w:rsidR="0068739C">
        <w:t xml:space="preserve">financial approach that the Commission accepted </w:t>
      </w:r>
      <w:r w:rsidRPr="00627C99" w:rsidR="0068739C">
        <w:t>in the Order on Remand</w:t>
      </w:r>
      <w:r w:rsidR="00EC06AE">
        <w:t>; (2)</w:t>
      </w:r>
      <w:r w:rsidR="000C5C4E">
        <w:t xml:space="preserve"> </w:t>
      </w:r>
      <w:r w:rsidR="008D6A37">
        <w:t xml:space="preserve">is </w:t>
      </w:r>
      <w:r w:rsidR="00E15D8D">
        <w:t>consisten</w:t>
      </w:r>
      <w:r w:rsidR="00C922F7">
        <w:t xml:space="preserve">t with the metrics </w:t>
      </w:r>
      <w:r w:rsidR="008620ED">
        <w:t>produced by a DCF model as applied to a select group of low-risk</w:t>
      </w:r>
      <w:r w:rsidR="007B58AD">
        <w:t xml:space="preserve"> companies to the non-utility sectors of the economy</w:t>
      </w:r>
      <w:r w:rsidR="00E92390">
        <w:t xml:space="preserve">; and (3) </w:t>
      </w:r>
      <w:r w:rsidR="00A02075">
        <w:t xml:space="preserve">is </w:t>
      </w:r>
      <w:r w:rsidR="00743A1C">
        <w:t xml:space="preserve">below the 11.17% median value derived through a </w:t>
      </w:r>
      <w:r w:rsidR="00C872F2">
        <w:t xml:space="preserve">strict application of the </w:t>
      </w:r>
      <w:r w:rsidR="00F40197">
        <w:t>dual</w:t>
      </w:r>
      <w:r w:rsidR="003F4F0F">
        <w:t>-model approach in the Order on Remand</w:t>
      </w:r>
      <w:r w:rsidR="000727BC">
        <w:t>.</w:t>
      </w:r>
      <w:r>
        <w:rPr>
          <w:rStyle w:val="FootnoteReference"/>
        </w:rPr>
        <w:footnoteReference w:id="47"/>
      </w:r>
    </w:p>
    <w:p w:rsidR="000B3B31" w:rsidRPr="00086527" w:rsidP="00D662BA">
      <w:pPr>
        <w:pStyle w:val="FERCparanumber"/>
      </w:pPr>
      <w:r>
        <w:t xml:space="preserve">New York </w:t>
      </w:r>
      <w:r w:rsidR="00D70155">
        <w:t xml:space="preserve">Transco states that </w:t>
      </w:r>
      <w:r w:rsidR="005C4FF4">
        <w:t>the new company-wide base ROE value would result in a</w:t>
      </w:r>
      <w:r w:rsidR="00313645">
        <w:t xml:space="preserve"> minor increase in the</w:t>
      </w:r>
      <w:r w:rsidR="0041432E">
        <w:t xml:space="preserve"> </w:t>
      </w:r>
      <w:r w:rsidR="00BC336A">
        <w:t xml:space="preserve">yearly revenue requirement </w:t>
      </w:r>
      <w:r w:rsidR="0041432E">
        <w:t>f</w:t>
      </w:r>
      <w:r w:rsidR="0039728F">
        <w:t xml:space="preserve">or the TOTS Project </w:t>
      </w:r>
      <w:r w:rsidR="00BC336A">
        <w:t xml:space="preserve">of </w:t>
      </w:r>
      <w:r w:rsidR="00922643">
        <w:t>$1.67 million, and an increase of $6.65 million for the AC Transmission Projects.</w:t>
      </w:r>
      <w:r>
        <w:rPr>
          <w:rStyle w:val="FootnoteReference"/>
        </w:rPr>
        <w:footnoteReference w:id="48"/>
      </w:r>
      <w:r w:rsidR="002936F9">
        <w:t xml:space="preserve"> </w:t>
      </w:r>
    </w:p>
    <w:p w:rsidR="004F3FED" w:rsidP="003B575A">
      <w:pPr>
        <w:pStyle w:val="Heading3"/>
      </w:pPr>
      <w:r>
        <w:t>Protest</w:t>
      </w:r>
    </w:p>
    <w:p w:rsidR="00506375" w:rsidRPr="00CE79E1" w:rsidP="00506375">
      <w:pPr>
        <w:pStyle w:val="FERCparanumber"/>
      </w:pPr>
      <w:r w:rsidRPr="00EA71BA">
        <w:t xml:space="preserve">Consumer Advocates </w:t>
      </w:r>
      <w:r w:rsidRPr="00EA71BA" w:rsidR="0075791E">
        <w:t xml:space="preserve">and </w:t>
      </w:r>
      <w:r w:rsidR="00057171">
        <w:t xml:space="preserve">the </w:t>
      </w:r>
      <w:r w:rsidR="008C752B">
        <w:t>New York Commission</w:t>
      </w:r>
      <w:r w:rsidRPr="00EA71BA" w:rsidR="008C752B">
        <w:t xml:space="preserve"> </w:t>
      </w:r>
      <w:r w:rsidRPr="00EA71BA">
        <w:t>contend that a determination of a just and reasonable ROE requires</w:t>
      </w:r>
      <w:r>
        <w:t xml:space="preserve"> more than just assessing whether the proposed </w:t>
      </w:r>
      <w:r w:rsidR="00972FB2">
        <w:br/>
      </w:r>
      <w:r>
        <w:t>rate falls within the zone of reasonableness.</w:t>
      </w:r>
      <w:r>
        <w:rPr>
          <w:rStyle w:val="FootnoteReference"/>
        </w:rPr>
        <w:footnoteReference w:id="49"/>
      </w:r>
      <w:r>
        <w:t xml:space="preserve">  Consumer Advocates</w:t>
      </w:r>
      <w:r w:rsidR="00D11FC4">
        <w:t xml:space="preserve">, </w:t>
      </w:r>
      <w:r w:rsidR="001C3603">
        <w:t>the</w:t>
      </w:r>
      <w:r w:rsidR="00D11FC4">
        <w:t xml:space="preserve"> </w:t>
      </w:r>
      <w:r w:rsidR="008C752B">
        <w:t>New York Commission</w:t>
      </w:r>
      <w:r w:rsidR="001C3603">
        <w:t>,</w:t>
      </w:r>
      <w:r w:rsidR="008C752B">
        <w:t xml:space="preserve"> </w:t>
      </w:r>
      <w:r w:rsidR="00D11FC4">
        <w:t xml:space="preserve">and </w:t>
      </w:r>
      <w:r w:rsidR="008613C6">
        <w:t>NYAPP</w:t>
      </w:r>
      <w:r>
        <w:t xml:space="preserve"> state that Commission has been clear that utility rate regulation must adequately balance both consumer and investor interests.</w:t>
      </w:r>
      <w:r>
        <w:rPr>
          <w:rStyle w:val="FootnoteReference"/>
        </w:rPr>
        <w:footnoteReference w:id="50"/>
      </w:r>
      <w:r>
        <w:t xml:space="preserve"> </w:t>
      </w:r>
      <w:r w:rsidR="006633CB">
        <w:t xml:space="preserve"> The New York Commission also states that the need for any ROE incentive adders should be revisited in light of New York Transco’s request to increase its base ROE, which could result in the total ROE falling outside the zone of reasonableness.</w:t>
      </w:r>
      <w:r>
        <w:rPr>
          <w:rStyle w:val="FootnoteReference"/>
        </w:rPr>
        <w:footnoteReference w:id="51"/>
      </w:r>
      <w:r>
        <w:t xml:space="preserve"> </w:t>
      </w:r>
      <w:r w:rsidR="006633CB">
        <w:t xml:space="preserve"> </w:t>
      </w:r>
      <w:r>
        <w:t>Consumer Advocates</w:t>
      </w:r>
      <w:r w:rsidR="004107F5">
        <w:t xml:space="preserve">, </w:t>
      </w:r>
      <w:r w:rsidR="001C3603">
        <w:t xml:space="preserve">the </w:t>
      </w:r>
      <w:r w:rsidR="00E82FEC">
        <w:t xml:space="preserve">New York Commission, </w:t>
      </w:r>
      <w:r w:rsidR="004107F5">
        <w:t>and NYAPP</w:t>
      </w:r>
      <w:r>
        <w:t xml:space="preserve"> argue that the Commission should set this matter for hearing so that the assumptions and analyses underpinning </w:t>
      </w:r>
      <w:r w:rsidR="00FE3EA2">
        <w:t xml:space="preserve">New York </w:t>
      </w:r>
      <w:r>
        <w:t>Transco’s proposed base ROE can be investigated further</w:t>
      </w:r>
      <w:r w:rsidR="001A23D7">
        <w:t xml:space="preserve">, </w:t>
      </w:r>
      <w:r>
        <w:t>a more complete record can be developed for the Commission’s consideration</w:t>
      </w:r>
      <w:r w:rsidR="001A23D7">
        <w:t xml:space="preserve">, and interested parties can cross-examine </w:t>
      </w:r>
      <w:r w:rsidR="00FE3EA2">
        <w:t xml:space="preserve">New York </w:t>
      </w:r>
      <w:r w:rsidR="001A23D7">
        <w:t xml:space="preserve">Transco’s expert witness on the factual claims </w:t>
      </w:r>
      <w:r w:rsidR="00AE0FE5">
        <w:t xml:space="preserve">with </w:t>
      </w:r>
      <w:r w:rsidR="001A23D7">
        <w:t>respect to the requested ROE</w:t>
      </w:r>
      <w:r>
        <w:t>.</w:t>
      </w:r>
      <w:r>
        <w:rPr>
          <w:rStyle w:val="FootnoteReference"/>
        </w:rPr>
        <w:footnoteReference w:id="52"/>
      </w:r>
      <w:r w:rsidR="00DC169C">
        <w:t xml:space="preserve">  </w:t>
      </w:r>
    </w:p>
    <w:p w:rsidR="00FA4A13" w:rsidP="008D5BD3">
      <w:pPr>
        <w:pStyle w:val="FERCparanumber"/>
      </w:pPr>
      <w:r>
        <w:t xml:space="preserve">Consumer Advocates </w:t>
      </w:r>
      <w:r w:rsidR="0021177E">
        <w:t>and NY</w:t>
      </w:r>
      <w:r w:rsidR="00D702BC">
        <w:t>APP</w:t>
      </w:r>
      <w:r>
        <w:t xml:space="preserve"> </w:t>
      </w:r>
      <w:r w:rsidR="00035F08">
        <w:t xml:space="preserve">argue </w:t>
      </w:r>
      <w:r>
        <w:t xml:space="preserve">that </w:t>
      </w:r>
      <w:r w:rsidR="00FE3EA2">
        <w:t xml:space="preserve">New York </w:t>
      </w:r>
      <w:r>
        <w:t>Transco’s CAPM analyses</w:t>
      </w:r>
      <w:r w:rsidR="00035F08">
        <w:t xml:space="preserve"> </w:t>
      </w:r>
      <w:r>
        <w:t>are flawed.</w:t>
      </w:r>
      <w:r>
        <w:rPr>
          <w:rStyle w:val="FootnoteReference"/>
        </w:rPr>
        <w:footnoteReference w:id="53"/>
      </w:r>
      <w:r>
        <w:t xml:space="preserve">  According to Consumer Advocates, </w:t>
      </w:r>
      <w:r w:rsidR="00FE3EA2">
        <w:t xml:space="preserve">New York </w:t>
      </w:r>
      <w:r>
        <w:t xml:space="preserve">Transco’s CAPM analyses fail to account for </w:t>
      </w:r>
      <w:r w:rsidR="00FE3EA2">
        <w:t xml:space="preserve">New York </w:t>
      </w:r>
      <w:r w:rsidR="00035F08">
        <w:t xml:space="preserve">Transco’s </w:t>
      </w:r>
      <w:r>
        <w:t>target 47% - 53% debt-equity capital structure for transmission assets</w:t>
      </w:r>
      <w:r w:rsidR="00D702BC">
        <w:t>.</w:t>
      </w:r>
      <w:r>
        <w:rPr>
          <w:rStyle w:val="FootnoteReference"/>
        </w:rPr>
        <w:footnoteReference w:id="54"/>
      </w:r>
      <w:r>
        <w:t xml:space="preserve"> </w:t>
      </w:r>
      <w:r w:rsidR="00D702BC">
        <w:t xml:space="preserve"> </w:t>
      </w:r>
      <w:r w:rsidR="003D6F7F">
        <w:t xml:space="preserve">Specifically, Consumer Advocates criticize </w:t>
      </w:r>
      <w:r w:rsidR="00FE3EA2">
        <w:t xml:space="preserve">New </w:t>
      </w:r>
      <w:r w:rsidR="00407E8B">
        <w:br/>
      </w:r>
      <w:r w:rsidR="00FE3EA2">
        <w:t xml:space="preserve">York </w:t>
      </w:r>
      <w:r w:rsidR="00593A4C">
        <w:t>Transco’s</w:t>
      </w:r>
      <w:r w:rsidR="003D6F7F">
        <w:t xml:space="preserve"> use of unadjusted beta values</w:t>
      </w:r>
      <w:r w:rsidR="00105634">
        <w:t xml:space="preserve"> </w:t>
      </w:r>
      <w:r w:rsidR="00E97FD5">
        <w:t>reported</w:t>
      </w:r>
      <w:r w:rsidR="00105634">
        <w:t xml:space="preserve"> by the Value Line company</w:t>
      </w:r>
      <w:r w:rsidR="00593A4C">
        <w:t xml:space="preserve"> for the selected proxy companies</w:t>
      </w:r>
      <w:r w:rsidR="00105634">
        <w:t>, which</w:t>
      </w:r>
      <w:r w:rsidR="003C1379">
        <w:t xml:space="preserve"> Consumer Advocates assert</w:t>
      </w:r>
      <w:r w:rsidR="00593A4C">
        <w:t xml:space="preserve"> each have leverage </w:t>
      </w:r>
      <w:r w:rsidR="00407E8B">
        <w:br/>
      </w:r>
      <w:r w:rsidR="00593A4C">
        <w:t>well in excess of 47%.</w:t>
      </w:r>
      <w:r>
        <w:rPr>
          <w:rStyle w:val="FootnoteReference"/>
        </w:rPr>
        <w:footnoteReference w:id="55"/>
      </w:r>
      <w:r w:rsidR="00593A4C">
        <w:t xml:space="preserve">  Consumer Advocates contend that </w:t>
      </w:r>
      <w:r w:rsidR="00FE3EA2">
        <w:t xml:space="preserve">New York </w:t>
      </w:r>
      <w:r w:rsidR="00593A4C">
        <w:t xml:space="preserve">Transco’s </w:t>
      </w:r>
      <w:r w:rsidR="00407E8B">
        <w:br/>
      </w:r>
      <w:r w:rsidR="00593A4C">
        <w:t>use of these unadjusted beta values inflate</w:t>
      </w:r>
      <w:r w:rsidR="00F774DE">
        <w:t>d</w:t>
      </w:r>
      <w:r w:rsidR="00593A4C">
        <w:t xml:space="preserve"> the results produced by the CAPM.</w:t>
      </w:r>
      <w:r>
        <w:rPr>
          <w:rStyle w:val="FootnoteReference"/>
        </w:rPr>
        <w:footnoteReference w:id="56"/>
      </w:r>
      <w:r w:rsidR="00593A4C">
        <w:t xml:space="preserve">  Consumer Advocates state that </w:t>
      </w:r>
      <w:r w:rsidR="00D52C1D">
        <w:t>they</w:t>
      </w:r>
      <w:r w:rsidR="00593A4C">
        <w:t xml:space="preserve"> </w:t>
      </w:r>
      <w:r w:rsidR="004635C0">
        <w:t xml:space="preserve">corrected </w:t>
      </w:r>
      <w:r w:rsidR="00FE3EA2">
        <w:t xml:space="preserve">New York </w:t>
      </w:r>
      <w:r w:rsidR="004635C0">
        <w:t xml:space="preserve">Transco’s CAPM calculations by </w:t>
      </w:r>
      <w:r w:rsidRPr="00963D39" w:rsidR="00593A4C">
        <w:t>(</w:t>
      </w:r>
      <w:r w:rsidR="00DB3E58">
        <w:t>1</w:t>
      </w:r>
      <w:r w:rsidRPr="00963D39" w:rsidR="00593A4C">
        <w:t>) deriv</w:t>
      </w:r>
      <w:r w:rsidR="004635C0">
        <w:t>ing</w:t>
      </w:r>
      <w:r w:rsidRPr="00963D39" w:rsidR="00593A4C">
        <w:t xml:space="preserve"> the asset beta for each proxy group company, (</w:t>
      </w:r>
      <w:r w:rsidR="00D70AA8">
        <w:t>2</w:t>
      </w:r>
      <w:r w:rsidRPr="00963D39" w:rsidR="00593A4C">
        <w:t>) re-lever</w:t>
      </w:r>
      <w:r w:rsidR="004635C0">
        <w:t>ing</w:t>
      </w:r>
      <w:r w:rsidRPr="00963D39" w:rsidR="00593A4C">
        <w:t xml:space="preserve"> that </w:t>
      </w:r>
      <w:r w:rsidR="00407E8B">
        <w:br/>
      </w:r>
      <w:r w:rsidRPr="00963D39" w:rsidR="00593A4C">
        <w:t xml:space="preserve">asset beta using the target 47%-53% </w:t>
      </w:r>
      <w:r w:rsidR="00FE3EA2">
        <w:t xml:space="preserve">New York </w:t>
      </w:r>
      <w:r w:rsidRPr="00963D39" w:rsidR="00593A4C">
        <w:t xml:space="preserve">Transco capital structure, and </w:t>
      </w:r>
      <w:r w:rsidR="00F774DE">
        <w:t xml:space="preserve">then </w:t>
      </w:r>
      <w:r w:rsidR="00407E8B">
        <w:br/>
      </w:r>
      <w:r w:rsidRPr="00963D39" w:rsidR="00593A4C">
        <w:t>(</w:t>
      </w:r>
      <w:r w:rsidR="00D70AA8">
        <w:t>3</w:t>
      </w:r>
      <w:r w:rsidRPr="00963D39" w:rsidR="00593A4C">
        <w:t>) employ</w:t>
      </w:r>
      <w:r w:rsidR="004635C0">
        <w:t>ing</w:t>
      </w:r>
      <w:r w:rsidRPr="00963D39" w:rsidR="00593A4C">
        <w:t xml:space="preserve"> the re-levered beta in the CAPM formula to yield the ROE ranges applicable to the target 47%-53% capital structure</w:t>
      </w:r>
      <w:r w:rsidR="004635C0">
        <w:t>, which result</w:t>
      </w:r>
      <w:r w:rsidR="00F774DE">
        <w:t>s</w:t>
      </w:r>
      <w:r w:rsidR="004635C0">
        <w:t xml:space="preserve"> in </w:t>
      </w:r>
      <w:r w:rsidRPr="00876CA1" w:rsidR="004635C0">
        <w:t>an ROE range of 7.29% to 10.98%, a median CAPM ROE of 8.36%</w:t>
      </w:r>
      <w:r w:rsidR="004635C0">
        <w:t>,</w:t>
      </w:r>
      <w:r w:rsidRPr="00876CA1" w:rsidR="004635C0">
        <w:t xml:space="preserve"> and a midpoint ROE of 9.13%</w:t>
      </w:r>
      <w:r w:rsidR="00593A4C">
        <w:t>.</w:t>
      </w:r>
      <w:r>
        <w:rPr>
          <w:rStyle w:val="FootnoteReference"/>
        </w:rPr>
        <w:footnoteReference w:id="57"/>
      </w:r>
      <w:r w:rsidR="00593A4C">
        <w:t xml:space="preserve">  </w:t>
      </w:r>
    </w:p>
    <w:p w:rsidR="00593A4C" w:rsidP="008D5BD3">
      <w:pPr>
        <w:pStyle w:val="FERCparanumber"/>
      </w:pPr>
      <w:r>
        <w:t xml:space="preserve">Consumer Advocates </w:t>
      </w:r>
      <w:r w:rsidR="0039431C">
        <w:t>support the</w:t>
      </w:r>
      <w:r>
        <w:t xml:space="preserve"> Value Line approach over the IBES approach</w:t>
      </w:r>
      <w:r w:rsidR="00751F91">
        <w:t xml:space="preserve"> because</w:t>
      </w:r>
      <w:r w:rsidR="000A450F">
        <w:t xml:space="preserve">: </w:t>
      </w:r>
      <w:r w:rsidR="00751F91">
        <w:t xml:space="preserve"> (1) the DCF analysis already incorporates IBES growth rates, so reflecting them again in CAPM is unnecessary; and (2) the Commission has determined that there is a benefit to using Value Line growth estimates and that considering both IBES and Value Line is appropriate in determining ROE.</w:t>
      </w:r>
      <w:r>
        <w:rPr>
          <w:rStyle w:val="FootnoteReference"/>
        </w:rPr>
        <w:footnoteReference w:id="58"/>
      </w:r>
      <w:r w:rsidR="00751F91">
        <w:t xml:space="preserve">  </w:t>
      </w:r>
    </w:p>
    <w:p w:rsidR="00424D7B" w:rsidP="00B1258C">
      <w:pPr>
        <w:pStyle w:val="FERCparanumber"/>
      </w:pPr>
      <w:r>
        <w:t xml:space="preserve">NYAPP criticizes </w:t>
      </w:r>
      <w:r w:rsidR="00523C8A">
        <w:t xml:space="preserve">New York </w:t>
      </w:r>
      <w:r>
        <w:t>Transco’s use of Value Line beta</w:t>
      </w:r>
      <w:r w:rsidR="00F27D4F">
        <w:t xml:space="preserve"> value</w:t>
      </w:r>
      <w:r>
        <w:t>s over Bloomberg betas, the latter of which are based on the S&amp;P 500 and used by the Commission.</w:t>
      </w:r>
      <w:r>
        <w:rPr>
          <w:rStyle w:val="FootnoteReference"/>
        </w:rPr>
        <w:footnoteReference w:id="59"/>
      </w:r>
      <w:r>
        <w:t xml:space="preserve">  NYAPP contends that </w:t>
      </w:r>
      <w:r w:rsidR="00C3698A">
        <w:t xml:space="preserve">Mr. McKenzie </w:t>
      </w:r>
      <w:r>
        <w:t>argues, without evidence, that Bloomberg betas are subject to manipulation.</w:t>
      </w:r>
      <w:r>
        <w:rPr>
          <w:rStyle w:val="FootnoteReference"/>
        </w:rPr>
        <w:footnoteReference w:id="60"/>
      </w:r>
      <w:r>
        <w:t xml:space="preserve">  NYAPP also criticizes </w:t>
      </w:r>
      <w:r w:rsidR="00523C8A">
        <w:t xml:space="preserve">New York </w:t>
      </w:r>
      <w:r>
        <w:t>Transco’s averaging of the results of CAPM analyses using both Value Line and IBES earnings growth rates.  NYAPP states that the Commission has established a clear preference for the use of IBES growth rates, and that there is no Commission precedent that allows averaging the market risk premium estimates by using both Value Line and IBES earnings growth rates.</w:t>
      </w:r>
      <w:r>
        <w:rPr>
          <w:rStyle w:val="FootnoteReference"/>
        </w:rPr>
        <w:footnoteReference w:id="61"/>
      </w:r>
      <w:r>
        <w:t xml:space="preserve">  Similarly, </w:t>
      </w:r>
      <w:r w:rsidR="00D93465">
        <w:t xml:space="preserve">the </w:t>
      </w:r>
      <w:r w:rsidR="008C752B">
        <w:t xml:space="preserve">New York Commission </w:t>
      </w:r>
      <w:r>
        <w:t xml:space="preserve">also questions the validity of relying on IBES-determined growth rate estimates, reportedly obtained from </w:t>
      </w:r>
      <w:r w:rsidRPr="000F09E3">
        <w:t xml:space="preserve">YahooFinance.com, </w:t>
      </w:r>
      <w:r w:rsidR="000D57DD">
        <w:t>asserting</w:t>
      </w:r>
      <w:r w:rsidRPr="000F09E3" w:rsidR="000D57DD">
        <w:t xml:space="preserve"> </w:t>
      </w:r>
      <w:r w:rsidRPr="000F09E3">
        <w:t>that Yahoo Finance no longer provides such information</w:t>
      </w:r>
      <w:r>
        <w:t>, and that there are alternative sources with more reliable growth rate estimates</w:t>
      </w:r>
      <w:r w:rsidRPr="000F09E3">
        <w:t>.</w:t>
      </w:r>
      <w:r>
        <w:rPr>
          <w:rStyle w:val="FootnoteReference"/>
        </w:rPr>
        <w:footnoteReference w:id="62"/>
      </w:r>
      <w:r>
        <w:t xml:space="preserve">  </w:t>
      </w:r>
    </w:p>
    <w:p w:rsidR="0083636E" w:rsidP="00B1258C">
      <w:pPr>
        <w:pStyle w:val="FERCparanumber"/>
      </w:pPr>
      <w:r>
        <w:t>NYAPP</w:t>
      </w:r>
      <w:r w:rsidR="00424D7B">
        <w:t xml:space="preserve"> further</w:t>
      </w:r>
      <w:r>
        <w:t xml:space="preserve"> states that, contrary to Commission precedent, </w:t>
      </w:r>
      <w:r w:rsidR="00523C8A">
        <w:t xml:space="preserve">New York </w:t>
      </w:r>
      <w:r>
        <w:t>Transco relies on the midpoint values of the ranges of results rather than the median values.</w:t>
      </w:r>
      <w:r>
        <w:rPr>
          <w:rStyle w:val="FootnoteReference"/>
        </w:rPr>
        <w:footnoteReference w:id="63"/>
      </w:r>
      <w:r>
        <w:t xml:space="preserve">  NYAPP also argues that </w:t>
      </w:r>
      <w:r w:rsidR="00AD1234">
        <w:t xml:space="preserve">New York </w:t>
      </w:r>
      <w:r>
        <w:t xml:space="preserve">Transco has not provided evidence that </w:t>
      </w:r>
      <w:r w:rsidR="00AD1234">
        <w:t xml:space="preserve">New York </w:t>
      </w:r>
      <w:r>
        <w:t>Transco should receive a base ROE that is almost 100-basis points higher than the recently approved 9.98% base ROE for Midcontinent Independent System Operator</w:t>
      </w:r>
      <w:r w:rsidR="00F5669E">
        <w:t xml:space="preserve"> (MISO)</w:t>
      </w:r>
      <w:r>
        <w:t xml:space="preserve"> transmission owners.</w:t>
      </w:r>
      <w:r>
        <w:rPr>
          <w:rStyle w:val="FootnoteReference"/>
        </w:rPr>
        <w:footnoteReference w:id="64"/>
      </w:r>
      <w:r>
        <w:t xml:space="preserve"> </w:t>
      </w:r>
    </w:p>
    <w:p w:rsidR="00506375" w:rsidP="00506375">
      <w:pPr>
        <w:pStyle w:val="FERCparanumber"/>
      </w:pPr>
      <w:r>
        <w:t>Consumer Advocates</w:t>
      </w:r>
      <w:r w:rsidR="008D5BD3">
        <w:t xml:space="preserve"> contend that </w:t>
      </w:r>
      <w:r w:rsidR="00AD1234">
        <w:t xml:space="preserve">New York </w:t>
      </w:r>
      <w:r>
        <w:t>Transco’s DCF analyses are flawed.</w:t>
      </w:r>
      <w:r>
        <w:rPr>
          <w:rStyle w:val="FootnoteReference"/>
        </w:rPr>
        <w:footnoteReference w:id="65"/>
      </w:r>
      <w:r>
        <w:t xml:space="preserve">  Consumer Advocates </w:t>
      </w:r>
      <w:r w:rsidR="003A5AD7">
        <w:t xml:space="preserve">state </w:t>
      </w:r>
      <w:r>
        <w:t xml:space="preserve">that </w:t>
      </w:r>
      <w:r w:rsidR="00AD1234">
        <w:t xml:space="preserve">New York </w:t>
      </w:r>
      <w:r>
        <w:t>Transco does not provide sufficient evidence of its assumption that i</w:t>
      </w:r>
      <w:r w:rsidR="00F41AB3">
        <w:t>t</w:t>
      </w:r>
      <w:r>
        <w:t xml:space="preserve"> qualifies for </w:t>
      </w:r>
      <w:r w:rsidR="002202E2">
        <w:t xml:space="preserve">investment grade </w:t>
      </w:r>
      <w:r>
        <w:t xml:space="preserve">ratings equivalent to the </w:t>
      </w:r>
      <w:r w:rsidRPr="00B53015">
        <w:t>average Baa2 Moody’s issuer rating and BBB</w:t>
      </w:r>
      <w:r w:rsidR="00152A23">
        <w:t xml:space="preserve"> </w:t>
      </w:r>
      <w:r w:rsidRPr="00B53015">
        <w:t>+</w:t>
      </w:r>
      <w:r>
        <w:t xml:space="preserve"> S&amp;P corporate crediting rate</w:t>
      </w:r>
      <w:r w:rsidR="00A71690">
        <w:t xml:space="preserve">.  </w:t>
      </w:r>
      <w:r w:rsidR="009239BA">
        <w:t>Consumer Advocates state that</w:t>
      </w:r>
      <w:r w:rsidR="00152A23">
        <w:t>,</w:t>
      </w:r>
      <w:r w:rsidR="009239BA">
        <w:t xml:space="preserve"> although </w:t>
      </w:r>
      <w:r w:rsidR="00AD1234">
        <w:t xml:space="preserve">New York </w:t>
      </w:r>
      <w:r w:rsidR="009239BA">
        <w:t xml:space="preserve">Transco asserts that these ratings </w:t>
      </w:r>
      <w:r>
        <w:t xml:space="preserve">are supported by the </w:t>
      </w:r>
      <w:r w:rsidR="003C3126">
        <w:t>credit profiles</w:t>
      </w:r>
      <w:r w:rsidR="000E5139">
        <w:t xml:space="preserve"> of the </w:t>
      </w:r>
      <w:r w:rsidR="00E4585A">
        <w:t xml:space="preserve">New York </w:t>
      </w:r>
      <w:r w:rsidRPr="00D30BB1">
        <w:t>Transco Owners</w:t>
      </w:r>
      <w:r w:rsidR="000E5139">
        <w:t>, it does not provide sufficient evidence to validate this claim</w:t>
      </w:r>
      <w:r>
        <w:t>.</w:t>
      </w:r>
      <w:r>
        <w:rPr>
          <w:rStyle w:val="FootnoteReference"/>
        </w:rPr>
        <w:footnoteReference w:id="66"/>
      </w:r>
      <w:r>
        <w:t xml:space="preserve">  Consumer Advocates </w:t>
      </w:r>
      <w:r w:rsidR="008D3EDC">
        <w:t>argue</w:t>
      </w:r>
      <w:r>
        <w:t xml:space="preserve"> that </w:t>
      </w:r>
      <w:r w:rsidR="00AD1234">
        <w:t xml:space="preserve">New York </w:t>
      </w:r>
      <w:r>
        <w:t xml:space="preserve">Transco’s DCF approach is not reasonable because it does not include credit ratings for all of the </w:t>
      </w:r>
      <w:r w:rsidR="00E4585A">
        <w:t xml:space="preserve">New York </w:t>
      </w:r>
      <w:r>
        <w:t>Transco Owners or their holding companies.  Consumer Advocates recommend establishing a comparable risk band one notch around A-/Baa2 ratings</w:t>
      </w:r>
      <w:r w:rsidR="008C0B32">
        <w:t xml:space="preserve"> </w:t>
      </w:r>
      <w:r w:rsidR="00015A94">
        <w:t xml:space="preserve">to </w:t>
      </w:r>
      <w:r>
        <w:t xml:space="preserve">better reflect the credit ratings of </w:t>
      </w:r>
      <w:r w:rsidR="008C0B32">
        <w:t xml:space="preserve">the </w:t>
      </w:r>
      <w:r w:rsidR="00E4585A">
        <w:t xml:space="preserve">New York </w:t>
      </w:r>
      <w:r>
        <w:t xml:space="preserve">Transco’s </w:t>
      </w:r>
      <w:r w:rsidR="00A531F0">
        <w:t>o</w:t>
      </w:r>
      <w:r>
        <w:t>wners or their holding companies</w:t>
      </w:r>
      <w:r w:rsidR="00F5624C">
        <w:t>.</w:t>
      </w:r>
      <w:r>
        <w:t xml:space="preserve">  According to Consumer Advocates, this produces DCF ROE results of a zone of reasonableness of </w:t>
      </w:r>
      <w:r w:rsidRPr="00146334">
        <w:t>7.37% to 11.00%</w:t>
      </w:r>
      <w:r w:rsidR="00DB361A">
        <w:t>,</w:t>
      </w:r>
      <w:r w:rsidRPr="00146334">
        <w:t xml:space="preserve"> with a median ROE of 9.79% and a midpoint ROE of 9.19%</w:t>
      </w:r>
      <w:r>
        <w:t xml:space="preserve">. </w:t>
      </w:r>
      <w:r w:rsidR="00925BF0">
        <w:t xml:space="preserve"> </w:t>
      </w:r>
      <w:r w:rsidR="005A1A38">
        <w:t xml:space="preserve">Additionally, NYAPP contends that </w:t>
      </w:r>
      <w:r w:rsidR="00E4585A">
        <w:t xml:space="preserve">New York </w:t>
      </w:r>
      <w:r w:rsidR="005A1A38">
        <w:t xml:space="preserve">Transco has not provided evidence </w:t>
      </w:r>
      <w:r w:rsidR="00DB361A">
        <w:t>to support</w:t>
      </w:r>
      <w:r w:rsidR="005A1A38">
        <w:t xml:space="preserve"> its argument that DCF methodology imparts a downward-bias to the Commission</w:t>
      </w:r>
      <w:r w:rsidR="0063392B">
        <w:t>’s</w:t>
      </w:r>
      <w:r w:rsidR="005A1A38">
        <w:t xml:space="preserve"> ROE methodology.</w:t>
      </w:r>
      <w:r>
        <w:rPr>
          <w:rStyle w:val="FootnoteReference"/>
        </w:rPr>
        <w:footnoteReference w:id="67"/>
      </w:r>
      <w:r w:rsidR="005A1A38">
        <w:t xml:space="preserve">  NYAPP also contends that the Commission has never accepted the use of non-utility DCF analyses to confirm the results of its DCF methodology.</w:t>
      </w:r>
      <w:r w:rsidR="00F5624C">
        <w:rPr>
          <w:rStyle w:val="FootnoteReference"/>
        </w:rPr>
        <w:t xml:space="preserve"> </w:t>
      </w:r>
    </w:p>
    <w:p w:rsidR="00720D4A" w:rsidP="00506375">
      <w:pPr>
        <w:pStyle w:val="FERCparanumber"/>
      </w:pPr>
      <w:r>
        <w:t>Consumer Advocates</w:t>
      </w:r>
      <w:r w:rsidR="00D233B9">
        <w:t xml:space="preserve"> and </w:t>
      </w:r>
      <w:r w:rsidR="00D6472D">
        <w:t>the</w:t>
      </w:r>
      <w:r>
        <w:t xml:space="preserve"> </w:t>
      </w:r>
      <w:r w:rsidR="008C752B">
        <w:t xml:space="preserve">New York Commission </w:t>
      </w:r>
      <w:r>
        <w:t xml:space="preserve">argue that </w:t>
      </w:r>
      <w:r w:rsidR="00FA5517">
        <w:t xml:space="preserve">New York </w:t>
      </w:r>
      <w:r>
        <w:t>Transco’s proxy companies used for its ROE analyses are flawed and that the majority of utilities in the proxy group are vastly dissimilar and constitute much risk</w:t>
      </w:r>
      <w:r w:rsidR="003151F2">
        <w:t>i</w:t>
      </w:r>
      <w:r>
        <w:t>er investments.</w:t>
      </w:r>
      <w:r>
        <w:rPr>
          <w:rStyle w:val="FootnoteReference"/>
        </w:rPr>
        <w:footnoteReference w:id="68"/>
      </w:r>
      <w:r>
        <w:t xml:space="preserve">  Consumer Advocates state that, among other things, </w:t>
      </w:r>
      <w:r w:rsidR="00CB3DA3">
        <w:t xml:space="preserve">while </w:t>
      </w:r>
      <w:r w:rsidRPr="00E63DB1">
        <w:t xml:space="preserve">many of the companies in </w:t>
      </w:r>
      <w:r w:rsidR="00FA5517">
        <w:t xml:space="preserve">New York </w:t>
      </w:r>
      <w:r>
        <w:t>Transco’s</w:t>
      </w:r>
      <w:r w:rsidRPr="00E63DB1">
        <w:t xml:space="preserve"> proxy </w:t>
      </w:r>
      <w:r w:rsidR="00C034B5">
        <w:t>group</w:t>
      </w:r>
      <w:r w:rsidRPr="00E63DB1" w:rsidR="00C034B5">
        <w:t xml:space="preserve"> </w:t>
      </w:r>
      <w:r w:rsidRPr="00E63DB1">
        <w:t xml:space="preserve">are holding companies with assets in many different states and are regulated by various regulatory commissions, </w:t>
      </w:r>
      <w:r w:rsidR="00FA5517">
        <w:t xml:space="preserve">New York </w:t>
      </w:r>
      <w:r w:rsidRPr="00E63DB1">
        <w:t>Transco’s transmission assets are located only within New York</w:t>
      </w:r>
      <w:r>
        <w:t>.</w:t>
      </w:r>
      <w:r>
        <w:rPr>
          <w:rStyle w:val="FootnoteReference"/>
        </w:rPr>
        <w:footnoteReference w:id="69"/>
      </w:r>
      <w:r>
        <w:t xml:space="preserve">  </w:t>
      </w:r>
      <w:r w:rsidR="00FC1243">
        <w:t xml:space="preserve">Similarly, </w:t>
      </w:r>
      <w:r w:rsidR="006D7DA7">
        <w:t xml:space="preserve">the </w:t>
      </w:r>
      <w:r w:rsidR="008C752B">
        <w:t xml:space="preserve">New York Commission </w:t>
      </w:r>
      <w:r w:rsidR="00EF7E7A">
        <w:t>state</w:t>
      </w:r>
      <w:r w:rsidR="00193CDA">
        <w:t>s</w:t>
      </w:r>
      <w:r w:rsidR="00EF7E7A">
        <w:t xml:space="preserve"> </w:t>
      </w:r>
      <w:r w:rsidR="004A45B1">
        <w:t xml:space="preserve">that </w:t>
      </w:r>
      <w:r w:rsidR="00FA5517">
        <w:t xml:space="preserve">New York </w:t>
      </w:r>
      <w:r w:rsidR="004A45B1">
        <w:t>Transco’s expert witness used a proxy group with a</w:t>
      </w:r>
      <w:r w:rsidR="00506465">
        <w:t>n</w:t>
      </w:r>
      <w:r w:rsidR="004A45B1">
        <w:t xml:space="preserve"> average credit rating of Baa2/BBB+, which appears to be riskier than </w:t>
      </w:r>
      <w:r w:rsidR="00FA5517">
        <w:t xml:space="preserve">New York </w:t>
      </w:r>
      <w:r w:rsidR="004A45B1">
        <w:t>Transco’s actual risk profile.</w:t>
      </w:r>
      <w:r>
        <w:rPr>
          <w:rStyle w:val="FootnoteReference"/>
        </w:rPr>
        <w:footnoteReference w:id="70"/>
      </w:r>
      <w:r w:rsidR="00D9087D">
        <w:t xml:space="preserve">  </w:t>
      </w:r>
      <w:r w:rsidR="006D7DA7">
        <w:t xml:space="preserve">The </w:t>
      </w:r>
      <w:r w:rsidR="00D9087D">
        <w:t xml:space="preserve">New York Commission also </w:t>
      </w:r>
      <w:r w:rsidR="00CF7D02">
        <w:t>argues</w:t>
      </w:r>
      <w:r w:rsidR="006A03A3">
        <w:t xml:space="preserve"> </w:t>
      </w:r>
      <w:r w:rsidR="00D9087D">
        <w:t xml:space="preserve">that </w:t>
      </w:r>
      <w:r w:rsidR="00FA5517">
        <w:t xml:space="preserve">New York </w:t>
      </w:r>
      <w:r w:rsidR="00D9087D">
        <w:t xml:space="preserve">Transco’s </w:t>
      </w:r>
      <w:r w:rsidR="0006137D">
        <w:t>inclusion of</w:t>
      </w:r>
      <w:r w:rsidR="00D9087D">
        <w:t xml:space="preserve"> Fortis Inc., </w:t>
      </w:r>
      <w:r w:rsidR="00500850">
        <w:t>which is headquartered in Canada,</w:t>
      </w:r>
      <w:r w:rsidR="00D9087D">
        <w:t xml:space="preserve"> within its proxy group </w:t>
      </w:r>
      <w:r w:rsidR="00067E1E">
        <w:t xml:space="preserve">raises concerns </w:t>
      </w:r>
      <w:r w:rsidR="009F1CD4">
        <w:t xml:space="preserve">with respect to </w:t>
      </w:r>
      <w:r w:rsidR="00D9087D">
        <w:t>Commission’s requirement for proxy groups to consist of domestic publicly traded utilities.</w:t>
      </w:r>
      <w:r>
        <w:rPr>
          <w:rStyle w:val="FootnoteReference"/>
        </w:rPr>
        <w:footnoteReference w:id="71"/>
      </w:r>
      <w:r w:rsidR="00D9087D">
        <w:t xml:space="preserve"> </w:t>
      </w:r>
      <w:r w:rsidR="004A45B1">
        <w:t xml:space="preserve"> </w:t>
      </w:r>
      <w:r w:rsidR="002B31AA">
        <w:t xml:space="preserve">Additionally, </w:t>
      </w:r>
      <w:r w:rsidR="00DB361A">
        <w:t xml:space="preserve">NYAPP states that </w:t>
      </w:r>
      <w:r w:rsidR="00FA5517">
        <w:t xml:space="preserve">New York </w:t>
      </w:r>
      <w:r w:rsidR="0018096F">
        <w:t>Transco fails to consider its risks relative to the proxy group</w:t>
      </w:r>
      <w:r w:rsidR="00A4054C">
        <w:t xml:space="preserve"> and </w:t>
      </w:r>
      <w:r w:rsidR="0018096F">
        <w:t>assum</w:t>
      </w:r>
      <w:r w:rsidR="00A4054C">
        <w:t>es</w:t>
      </w:r>
      <w:r w:rsidR="0018096F">
        <w:t xml:space="preserve">, without evidence, that </w:t>
      </w:r>
      <w:r w:rsidR="00FA5517">
        <w:t xml:space="preserve">New York </w:t>
      </w:r>
      <w:r w:rsidR="0018096F">
        <w:t xml:space="preserve">Transco is </w:t>
      </w:r>
      <w:r w:rsidR="00D9087D">
        <w:t xml:space="preserve">of </w:t>
      </w:r>
      <w:r w:rsidR="0018096F">
        <w:t>average risk.</w:t>
      </w:r>
      <w:r>
        <w:rPr>
          <w:rStyle w:val="FootnoteReference"/>
        </w:rPr>
        <w:footnoteReference w:id="72"/>
      </w:r>
      <w:r w:rsidR="004A45B1">
        <w:t xml:space="preserve"> </w:t>
      </w:r>
      <w:r w:rsidR="00D60142">
        <w:t xml:space="preserve"> </w:t>
      </w:r>
    </w:p>
    <w:p w:rsidR="002D45AF" w:rsidP="0083636E">
      <w:pPr>
        <w:pStyle w:val="FERCparanumber"/>
      </w:pPr>
      <w:r>
        <w:t xml:space="preserve">NYAPP </w:t>
      </w:r>
      <w:r w:rsidR="002B6335">
        <w:t xml:space="preserve">further </w:t>
      </w:r>
      <w:r w:rsidR="002D2E58">
        <w:t>disputes</w:t>
      </w:r>
      <w:r>
        <w:t xml:space="preserve"> </w:t>
      </w:r>
      <w:r w:rsidR="00FA5517">
        <w:t xml:space="preserve">New York </w:t>
      </w:r>
      <w:r>
        <w:t>Transco’s argument</w:t>
      </w:r>
      <w:r w:rsidR="00543BC3">
        <w:t xml:space="preserve"> that </w:t>
      </w:r>
      <w:r w:rsidR="005F68C4">
        <w:t>the</w:t>
      </w:r>
      <w:r w:rsidR="00543BC3">
        <w:t xml:space="preserve"> </w:t>
      </w:r>
      <w:r>
        <w:t xml:space="preserve">risk premium methodology is </w:t>
      </w:r>
      <w:r w:rsidR="00543BC3">
        <w:t>not</w:t>
      </w:r>
      <w:r>
        <w:t xml:space="preserve"> circular.</w:t>
      </w:r>
      <w:r>
        <w:rPr>
          <w:rStyle w:val="FootnoteReference"/>
        </w:rPr>
        <w:footnoteReference w:id="73"/>
      </w:r>
      <w:r>
        <w:t xml:space="preserve">  NYAPP </w:t>
      </w:r>
      <w:r w:rsidR="008C091E">
        <w:t>states</w:t>
      </w:r>
      <w:r w:rsidR="00106FF3">
        <w:t xml:space="preserve"> </w:t>
      </w:r>
      <w:r>
        <w:t xml:space="preserve">that </w:t>
      </w:r>
      <w:r w:rsidR="00FA5517">
        <w:t xml:space="preserve">New York </w:t>
      </w:r>
      <w:r>
        <w:t xml:space="preserve">Transco’s risk premium methodology is based on ROE values based on settlements and there is no evidence that any such settlement ROE values are based on market conditions.  Additionally, NYAPP argues that </w:t>
      </w:r>
      <w:r w:rsidR="00FA5517">
        <w:t xml:space="preserve">New York </w:t>
      </w:r>
      <w:r>
        <w:t>Transco’s risk premium methodology is based on past, not current, market conditions.</w:t>
      </w:r>
      <w:r>
        <w:rPr>
          <w:rStyle w:val="FootnoteReference"/>
        </w:rPr>
        <w:footnoteReference w:id="74"/>
      </w:r>
      <w:r>
        <w:t xml:space="preserve">  NYAPP</w:t>
      </w:r>
      <w:r w:rsidR="00F4620E">
        <w:t xml:space="preserve"> also</w:t>
      </w:r>
      <w:r>
        <w:t xml:space="preserve"> states that the </w:t>
      </w:r>
      <w:r w:rsidR="00B46D74">
        <w:t>e</w:t>
      </w:r>
      <w:r>
        <w:t xml:space="preserve">xpected </w:t>
      </w:r>
      <w:r w:rsidR="00B46D74">
        <w:t>e</w:t>
      </w:r>
      <w:r>
        <w:t>arning</w:t>
      </w:r>
      <w:r w:rsidR="00E97754">
        <w:t>s</w:t>
      </w:r>
      <w:r>
        <w:t xml:space="preserve"> </w:t>
      </w:r>
      <w:r w:rsidR="00B46D74">
        <w:t>a</w:t>
      </w:r>
      <w:r>
        <w:t>pproach has been consistently rejected by the Commission because it is not market-based.</w:t>
      </w:r>
      <w:r>
        <w:rPr>
          <w:rStyle w:val="FootnoteReference"/>
        </w:rPr>
        <w:footnoteReference w:id="75"/>
      </w:r>
    </w:p>
    <w:p w:rsidR="00F33E7B" w:rsidP="006B5CC2">
      <w:pPr>
        <w:pStyle w:val="Heading3"/>
      </w:pPr>
      <w:r>
        <w:t>Answer</w:t>
      </w:r>
    </w:p>
    <w:p w:rsidR="003E6F54">
      <w:pPr>
        <w:pStyle w:val="FERCparanumber"/>
      </w:pPr>
      <w:r>
        <w:t>New York Transco</w:t>
      </w:r>
      <w:r w:rsidR="00BD5818">
        <w:t xml:space="preserve"> responds to concerns raised by</w:t>
      </w:r>
      <w:r>
        <w:t xml:space="preserve"> </w:t>
      </w:r>
      <w:r w:rsidR="00C7679C">
        <w:t>the New York Commission</w:t>
      </w:r>
      <w:r w:rsidR="0055647A">
        <w:t xml:space="preserve"> and Consumer Advocates</w:t>
      </w:r>
      <w:r w:rsidR="00F22506">
        <w:t xml:space="preserve"> </w:t>
      </w:r>
      <w:r w:rsidR="00BD5818">
        <w:t>a</w:t>
      </w:r>
      <w:r w:rsidR="00941D49">
        <w:t>b</w:t>
      </w:r>
      <w:r w:rsidR="00BD5818">
        <w:t>out</w:t>
      </w:r>
      <w:r w:rsidR="00F22506">
        <w:t xml:space="preserve"> the proxy group </w:t>
      </w:r>
      <w:r w:rsidR="006A3817">
        <w:t>including</w:t>
      </w:r>
      <w:r w:rsidR="00F22506">
        <w:t xml:space="preserve"> companies </w:t>
      </w:r>
      <w:r w:rsidR="006A3817">
        <w:t>that</w:t>
      </w:r>
      <w:r w:rsidR="00F22506">
        <w:t xml:space="preserve"> have higher risk profiles.</w:t>
      </w:r>
      <w:r>
        <w:rPr>
          <w:rStyle w:val="FootnoteReference"/>
        </w:rPr>
        <w:footnoteReference w:id="76"/>
      </w:r>
      <w:r w:rsidR="001D3E93">
        <w:t xml:space="preserve"> </w:t>
      </w:r>
      <w:r w:rsidR="00CB518A">
        <w:t xml:space="preserve"> </w:t>
      </w:r>
      <w:r w:rsidR="009E1CAC">
        <w:t xml:space="preserve">New York Transco contends that the Commission has rejected the </w:t>
      </w:r>
      <w:r w:rsidR="000E66B9">
        <w:t>notion</w:t>
      </w:r>
      <w:r w:rsidR="009E1CAC">
        <w:t xml:space="preserve"> that narrow company sp</w:t>
      </w:r>
      <w:r w:rsidR="00D0131D">
        <w:t>ecific attributes are meaningful criteria in evaluating comparable risk</w:t>
      </w:r>
      <w:r>
        <w:rPr>
          <w:rStyle w:val="FootnoteReference"/>
        </w:rPr>
        <w:footnoteReference w:id="77"/>
      </w:r>
      <w:r w:rsidR="00D0131D">
        <w:t xml:space="preserve"> and assertions </w:t>
      </w:r>
      <w:r w:rsidR="00C8354F">
        <w:t>that the relative risks faced by wholesale transmission owners are lower than those of publicly traded utilities used to estimate the cost of equity.</w:t>
      </w:r>
      <w:r>
        <w:rPr>
          <w:rStyle w:val="FootnoteReference"/>
        </w:rPr>
        <w:footnoteReference w:id="78"/>
      </w:r>
      <w:r w:rsidR="00B903B5">
        <w:t xml:space="preserve">  </w:t>
      </w:r>
    </w:p>
    <w:p w:rsidR="006B5507" w:rsidRPr="00F33E7B" w:rsidP="00F33E7B">
      <w:pPr>
        <w:pStyle w:val="FERCparanumber"/>
      </w:pPr>
      <w:r>
        <w:t>New York Transco</w:t>
      </w:r>
      <w:r w:rsidR="00B903B5">
        <w:t xml:space="preserve"> also</w:t>
      </w:r>
      <w:r>
        <w:t xml:space="preserve"> argues that it </w:t>
      </w:r>
      <w:r w:rsidR="00030542">
        <w:t>has provided sufficient support of its proxy group determination.</w:t>
      </w:r>
      <w:r>
        <w:rPr>
          <w:rStyle w:val="FootnoteReference"/>
        </w:rPr>
        <w:footnoteReference w:id="79"/>
      </w:r>
      <w:r w:rsidR="000459FD">
        <w:t xml:space="preserve"> </w:t>
      </w:r>
      <w:r w:rsidR="00C04AB8">
        <w:t xml:space="preserve"> New York Transco states that</w:t>
      </w:r>
      <w:r w:rsidR="00471202">
        <w:t>, because</w:t>
      </w:r>
      <w:r w:rsidR="00B2000B">
        <w:t xml:space="preserve"> </w:t>
      </w:r>
      <w:r w:rsidR="00C04AB8">
        <w:t>it does not have a S&amp;P or Moody’s credit rating</w:t>
      </w:r>
      <w:r w:rsidR="00B2000B">
        <w:t>, New York Transco assumes it qualifies for rating equivalent to</w:t>
      </w:r>
      <w:r w:rsidR="003226E4">
        <w:t xml:space="preserve"> the</w:t>
      </w:r>
      <w:r w:rsidR="00B2000B">
        <w:t xml:space="preserve"> avera</w:t>
      </w:r>
      <w:r w:rsidR="00680262">
        <w:t xml:space="preserve">ge </w:t>
      </w:r>
      <w:r w:rsidR="008E79D6">
        <w:t>Baa2</w:t>
      </w:r>
      <w:r w:rsidR="003226E4">
        <w:t xml:space="preserve"> Moody’s issuer ratings and BBB+ S&amp;P corporate rating main</w:t>
      </w:r>
      <w:r w:rsidR="00266E94">
        <w:t>tained by firms in Value Line’s electric utility industry groups.</w:t>
      </w:r>
      <w:r>
        <w:rPr>
          <w:rStyle w:val="FootnoteReference"/>
        </w:rPr>
        <w:footnoteReference w:id="80"/>
      </w:r>
      <w:r w:rsidR="00402E31">
        <w:t xml:space="preserve">  New York Transco states that Consumer Advocates seem to </w:t>
      </w:r>
      <w:r w:rsidR="00844CB7">
        <w:t xml:space="preserve">endorse New York Transco’s use of </w:t>
      </w:r>
      <w:r w:rsidR="002A0FC9">
        <w:t xml:space="preserve">the Baa2 Moody’s rating, but </w:t>
      </w:r>
      <w:r w:rsidR="003B6EF0">
        <w:t>suggest that a</w:t>
      </w:r>
      <w:r w:rsidR="002A0FC9">
        <w:t xml:space="preserve"> </w:t>
      </w:r>
      <w:r w:rsidR="00EB28BD">
        <w:t>S&amp;P rat</w:t>
      </w:r>
      <w:r w:rsidR="003B6EF0">
        <w:t xml:space="preserve">ing </w:t>
      </w:r>
      <w:r w:rsidR="00D846C2">
        <w:t>of A- is more appropriate</w:t>
      </w:r>
      <w:r w:rsidR="00137029">
        <w:t>.</w:t>
      </w:r>
      <w:r>
        <w:rPr>
          <w:rStyle w:val="FootnoteReference"/>
        </w:rPr>
        <w:footnoteReference w:id="81"/>
      </w:r>
      <w:r w:rsidR="0090130B">
        <w:t xml:space="preserve">  According to New York Transco, this is flawed because </w:t>
      </w:r>
      <w:r w:rsidR="00B70F82">
        <w:t xml:space="preserve">(1) </w:t>
      </w:r>
      <w:r w:rsidRPr="00CB28E6" w:rsidR="00CB28E6">
        <w:t>Consolidated Edison, Inc.</w:t>
      </w:r>
      <w:r w:rsidR="002C278E">
        <w:t>,</w:t>
      </w:r>
      <w:r w:rsidRPr="00CB28E6" w:rsidR="00CB28E6">
        <w:t xml:space="preserve"> has an S&amp;P credit rating of A-, not A+ as suggested </w:t>
      </w:r>
      <w:r w:rsidR="002C278E">
        <w:t>by Consumer Advocates</w:t>
      </w:r>
      <w:r w:rsidRPr="00CB28E6" w:rsidR="00CB28E6">
        <w:t xml:space="preserve">, </w:t>
      </w:r>
      <w:r w:rsidR="00B70F82">
        <w:t>(2)</w:t>
      </w:r>
      <w:r w:rsidRPr="00CB28E6" w:rsidR="00CB28E6">
        <w:t xml:space="preserve"> Central Hudson Electric &amp; Gas Company has its own stand-alone S&amp;P rating of BBB+, the same rating used by </w:t>
      </w:r>
      <w:r w:rsidR="00CB28E6">
        <w:t xml:space="preserve">New York </w:t>
      </w:r>
      <w:r w:rsidRPr="00CB28E6" w:rsidR="00CB28E6">
        <w:t>Transco</w:t>
      </w:r>
      <w:r w:rsidR="00CB28E6">
        <w:t xml:space="preserve">, and </w:t>
      </w:r>
      <w:r w:rsidR="00B70F82">
        <w:t xml:space="preserve">(3) </w:t>
      </w:r>
      <w:r w:rsidR="00D93323">
        <w:t>Consumer Advocates</w:t>
      </w:r>
      <w:r w:rsidRPr="00CB28E6" w:rsidR="00CB28E6">
        <w:t xml:space="preserve"> inappropriately </w:t>
      </w:r>
      <w:r w:rsidRPr="00CB28E6" w:rsidR="00730A3D">
        <w:t>rel</w:t>
      </w:r>
      <w:r w:rsidR="00730A3D">
        <w:t>y</w:t>
      </w:r>
      <w:r w:rsidRPr="00CB28E6" w:rsidR="00730A3D">
        <w:t xml:space="preserve"> </w:t>
      </w:r>
      <w:r w:rsidRPr="00CB28E6" w:rsidR="00CB28E6">
        <w:t xml:space="preserve">on the rating of </w:t>
      </w:r>
      <w:r w:rsidRPr="0016584B" w:rsidR="0016584B">
        <w:t>Central Hudson Electric &amp; Gas Company</w:t>
      </w:r>
      <w:r w:rsidRPr="00C22E3D" w:rsidR="00CB28E6">
        <w:t>’s</w:t>
      </w:r>
      <w:r w:rsidRPr="00CB28E6" w:rsidR="00CB28E6">
        <w:t xml:space="preserve"> parent company Fortis Inc.</w:t>
      </w:r>
      <w:r>
        <w:rPr>
          <w:rStyle w:val="FootnoteReference"/>
        </w:rPr>
        <w:footnoteReference w:id="82"/>
      </w:r>
      <w:r w:rsidR="00137029">
        <w:t xml:space="preserve">  </w:t>
      </w:r>
    </w:p>
    <w:p w:rsidR="00B903B5" w:rsidP="00B903B5">
      <w:pPr>
        <w:pStyle w:val="FERCparanumber"/>
      </w:pPr>
      <w:r>
        <w:t>New York Transco contends that Consumer Advocates improperly rel</w:t>
      </w:r>
      <w:r w:rsidR="00FD1CED">
        <w:t>y</w:t>
      </w:r>
      <w:r>
        <w:t xml:space="preserve"> solely on Value Line beta values in </w:t>
      </w:r>
      <w:r w:rsidR="00E625AE">
        <w:t xml:space="preserve">their </w:t>
      </w:r>
      <w:r>
        <w:t>CAPM analysis and propose a theoretical leverage adjustment resulting in unreasonabl</w:t>
      </w:r>
      <w:r w:rsidR="005A2609">
        <w:t>y</w:t>
      </w:r>
      <w:r>
        <w:t xml:space="preserve"> low CAPM cost of equity estimates.</w:t>
      </w:r>
      <w:r>
        <w:rPr>
          <w:rStyle w:val="FootnoteReference"/>
        </w:rPr>
        <w:footnoteReference w:id="83"/>
      </w:r>
      <w:r w:rsidR="002B23AA">
        <w:t xml:space="preserve">  </w:t>
      </w:r>
      <w:r w:rsidR="00F24E1D">
        <w:t xml:space="preserve">New York Transco argues that </w:t>
      </w:r>
      <w:r w:rsidR="00AF68B9">
        <w:t xml:space="preserve">Consumer Advocates provided no support </w:t>
      </w:r>
      <w:r w:rsidR="0016732E">
        <w:t xml:space="preserve">for </w:t>
      </w:r>
      <w:r w:rsidRPr="00963D39" w:rsidR="0016732E">
        <w:t>re-lever</w:t>
      </w:r>
      <w:r w:rsidR="0016732E">
        <w:t>ing</w:t>
      </w:r>
      <w:r w:rsidRPr="00963D39" w:rsidR="0016732E">
        <w:t xml:space="preserve"> </w:t>
      </w:r>
      <w:r w:rsidR="00DC30B7">
        <w:t>the</w:t>
      </w:r>
      <w:r w:rsidRPr="00963D39" w:rsidR="0016732E">
        <w:t xml:space="preserve"> asset beta using the target 47%-53% </w:t>
      </w:r>
      <w:r w:rsidR="0016732E">
        <w:t xml:space="preserve">New York </w:t>
      </w:r>
      <w:r w:rsidRPr="00963D39" w:rsidR="0016732E">
        <w:t>Transco capital structure</w:t>
      </w:r>
      <w:r w:rsidR="00AF0EAA">
        <w:t>.</w:t>
      </w:r>
      <w:r>
        <w:rPr>
          <w:rStyle w:val="FootnoteReference"/>
        </w:rPr>
        <w:footnoteReference w:id="84"/>
      </w:r>
      <w:r w:rsidR="00243D68">
        <w:t xml:space="preserve">  New York Transco also state</w:t>
      </w:r>
      <w:r w:rsidR="00B70F82">
        <w:t>s</w:t>
      </w:r>
      <w:r w:rsidR="00243D68">
        <w:t xml:space="preserve"> that Consumer Advocates provide no reference to Commission precedent that endorsed such an approach.</w:t>
      </w:r>
      <w:r>
        <w:rPr>
          <w:rStyle w:val="FootnoteReference"/>
        </w:rPr>
        <w:footnoteReference w:id="85"/>
      </w:r>
      <w:r w:rsidR="00C16AC9">
        <w:t xml:space="preserve">  On the contrary, New York Transco argues that the Commission has consistently </w:t>
      </w:r>
      <w:r w:rsidR="00902590">
        <w:t>relied on credit ratings as an objective indicator of ri</w:t>
      </w:r>
      <w:r w:rsidR="00AA1ECA">
        <w:t>sk and h</w:t>
      </w:r>
      <w:r w:rsidR="00007AEF">
        <w:t>as</w:t>
      </w:r>
      <w:r w:rsidR="00AA1ECA">
        <w:t xml:space="preserve"> not highlighted one risk measure</w:t>
      </w:r>
      <w:r w:rsidR="005C5BEA">
        <w:t xml:space="preserve"> like capital structure over other risk measures. </w:t>
      </w:r>
    </w:p>
    <w:p w:rsidR="00A24921" w:rsidP="00B903B5">
      <w:pPr>
        <w:pStyle w:val="FERCparanumber"/>
      </w:pPr>
      <w:r>
        <w:t>New York Transco argues that Consumer Advocates misstate Commission policy as it relates to</w:t>
      </w:r>
      <w:r w:rsidR="00491BD3">
        <w:t xml:space="preserve"> Value Line growth estimates in that the Commission has never sole</w:t>
      </w:r>
      <w:r w:rsidR="00995446">
        <w:t>ly relied</w:t>
      </w:r>
      <w:r w:rsidR="00883881">
        <w:t xml:space="preserve"> on the use of V</w:t>
      </w:r>
      <w:r w:rsidR="0045477A">
        <w:t>alue Line growth rates.</w:t>
      </w:r>
      <w:r>
        <w:rPr>
          <w:rStyle w:val="FootnoteReference"/>
        </w:rPr>
        <w:footnoteReference w:id="86"/>
      </w:r>
      <w:r w:rsidR="00384F5B">
        <w:t xml:space="preserve">  According to New York Transco, </w:t>
      </w:r>
      <w:r w:rsidR="003F535D">
        <w:t xml:space="preserve">while </w:t>
      </w:r>
      <w:r w:rsidR="0035134F">
        <w:t>Consumer Advocates</w:t>
      </w:r>
      <w:r w:rsidR="003F535D">
        <w:t xml:space="preserve"> oppose the inclusion of IBES growth rates, this</w:t>
      </w:r>
      <w:r w:rsidR="0035134F">
        <w:t xml:space="preserve"> position </w:t>
      </w:r>
      <w:r w:rsidRPr="0035134F" w:rsidR="0035134F">
        <w:t xml:space="preserve">mischaracterizes the Commission’s findings </w:t>
      </w:r>
      <w:r w:rsidR="00F33E49">
        <w:t>that</w:t>
      </w:r>
      <w:r w:rsidRPr="0035134F" w:rsidR="00F33E49">
        <w:t xml:space="preserve"> </w:t>
      </w:r>
      <w:r w:rsidR="001F1103">
        <w:t xml:space="preserve">(1) </w:t>
      </w:r>
      <w:r w:rsidRPr="0035134F" w:rsidR="0035134F">
        <w:t xml:space="preserve">approve the use of IBES growth rates in evaluating CAPM market rate of return while </w:t>
      </w:r>
      <w:r w:rsidR="001F1103">
        <w:t xml:space="preserve">(2) </w:t>
      </w:r>
      <w:r w:rsidRPr="0035134F" w:rsidR="0035134F">
        <w:t>simultaneously recognizing that Value Line growth rates may also be</w:t>
      </w:r>
      <w:r w:rsidR="0035134F">
        <w:t xml:space="preserve"> considered for this purpose.</w:t>
      </w:r>
      <w:r>
        <w:rPr>
          <w:rStyle w:val="FootnoteReference"/>
        </w:rPr>
        <w:footnoteReference w:id="87"/>
      </w:r>
      <w:r w:rsidR="0035134F">
        <w:t xml:space="preserve"> </w:t>
      </w:r>
      <w:r w:rsidR="008B6CD8">
        <w:t xml:space="preserve"> </w:t>
      </w:r>
      <w:r w:rsidR="0006417C">
        <w:t xml:space="preserve">New York Transco </w:t>
      </w:r>
      <w:r w:rsidR="004A09FB">
        <w:t>contends</w:t>
      </w:r>
      <w:r w:rsidR="0006417C">
        <w:t xml:space="preserve"> that</w:t>
      </w:r>
      <w:r w:rsidR="001F1103">
        <w:t>,</w:t>
      </w:r>
      <w:r w:rsidR="0006417C">
        <w:t xml:space="preserve"> </w:t>
      </w:r>
      <w:r w:rsidR="002E41CA">
        <w:t>while</w:t>
      </w:r>
      <w:r w:rsidR="00463D74">
        <w:t xml:space="preserve"> NYAPP</w:t>
      </w:r>
      <w:r w:rsidR="007E0847">
        <w:t xml:space="preserve"> argues t</w:t>
      </w:r>
      <w:r w:rsidR="00383372">
        <w:t>hat Bloomberg values should be used instead</w:t>
      </w:r>
      <w:r w:rsidR="004133E6">
        <w:t xml:space="preserve">, </w:t>
      </w:r>
      <w:r w:rsidR="009971A3">
        <w:t>Bloomberg</w:t>
      </w:r>
      <w:r w:rsidR="00276AE3">
        <w:t xml:space="preserve">-derived beta values </w:t>
      </w:r>
      <w:r w:rsidR="00421D62">
        <w:t xml:space="preserve">are dependent on criteria </w:t>
      </w:r>
      <w:r w:rsidR="00DE642D">
        <w:t>specified</w:t>
      </w:r>
      <w:r w:rsidR="000B67C6">
        <w:t xml:space="preserve"> </w:t>
      </w:r>
      <w:r w:rsidR="00421D62">
        <w:t xml:space="preserve">by </w:t>
      </w:r>
      <w:r w:rsidR="000B67C6">
        <w:t>an individual user, subject to manipulation, and available to only a select subset of investors that can afford subscription fees.</w:t>
      </w:r>
      <w:r>
        <w:rPr>
          <w:rStyle w:val="FootnoteReference"/>
        </w:rPr>
        <w:footnoteReference w:id="88"/>
      </w:r>
      <w:r w:rsidR="000B67C6">
        <w:t xml:space="preserve">  </w:t>
      </w:r>
    </w:p>
    <w:p w:rsidR="007D1D3F" w:rsidRPr="00F33E7B" w:rsidP="00F33E7B">
      <w:pPr>
        <w:pStyle w:val="FERCparanumber"/>
      </w:pPr>
      <w:r>
        <w:t xml:space="preserve">New York Transco </w:t>
      </w:r>
      <w:r w:rsidR="00D85DB5">
        <w:t xml:space="preserve">states that </w:t>
      </w:r>
      <w:r w:rsidR="007343FC">
        <w:t xml:space="preserve">its </w:t>
      </w:r>
      <w:r w:rsidR="007858A9">
        <w:t>use</w:t>
      </w:r>
      <w:r w:rsidR="007343FC">
        <w:t xml:space="preserve"> of </w:t>
      </w:r>
      <w:r w:rsidR="007858A9">
        <w:t xml:space="preserve">four </w:t>
      </w:r>
      <w:r w:rsidR="007343FC">
        <w:t xml:space="preserve">financial models and the composition of the proxy group </w:t>
      </w:r>
      <w:r w:rsidR="007858A9">
        <w:t>used to</w:t>
      </w:r>
      <w:r w:rsidR="007343FC">
        <w:t xml:space="preserve"> support its proposed base ROE value are adequately supported by Mr. McKenzie’s </w:t>
      </w:r>
      <w:r w:rsidR="007858A9">
        <w:t>testimony.</w:t>
      </w:r>
      <w:r>
        <w:rPr>
          <w:rStyle w:val="FootnoteReference"/>
        </w:rPr>
        <w:footnoteReference w:id="89"/>
      </w:r>
      <w:r w:rsidR="007858A9">
        <w:t xml:space="preserve">  New York Transco </w:t>
      </w:r>
      <w:r w:rsidR="002728E7">
        <w:t>asserts</w:t>
      </w:r>
      <w:r w:rsidR="007858A9">
        <w:t xml:space="preserve"> that </w:t>
      </w:r>
      <w:r w:rsidR="00A20B4B">
        <w:t xml:space="preserve">its </w:t>
      </w:r>
      <w:r w:rsidR="007858A9">
        <w:t xml:space="preserve">DCF and CAPM analyses were performed consistently with the Commission’s </w:t>
      </w:r>
      <w:r w:rsidR="002728E7">
        <w:t>Order on Remand</w:t>
      </w:r>
      <w:r w:rsidR="00A20B4B">
        <w:t xml:space="preserve">, and that Mr. McKenzie’s testimony </w:t>
      </w:r>
      <w:r w:rsidR="0054499E">
        <w:t xml:space="preserve">showing that the risk premium method is widely relied upon to determine cost equity by the academic and investment communities in addition to regulatory proceedings </w:t>
      </w:r>
      <w:r w:rsidR="00A20B4B">
        <w:t>supports the use of the risk premium method</w:t>
      </w:r>
      <w:r w:rsidR="0054499E">
        <w:t>.</w:t>
      </w:r>
      <w:r>
        <w:rPr>
          <w:rStyle w:val="FootnoteReference"/>
        </w:rPr>
        <w:footnoteReference w:id="90"/>
      </w:r>
      <w:r w:rsidR="00A20B4B">
        <w:t xml:space="preserve"> </w:t>
      </w:r>
      <w:r w:rsidR="002067DF">
        <w:t xml:space="preserve"> </w:t>
      </w:r>
      <w:r w:rsidR="00DE0072">
        <w:t xml:space="preserve">New York Transco </w:t>
      </w:r>
      <w:r w:rsidR="002B1CCD">
        <w:t xml:space="preserve">further </w:t>
      </w:r>
      <w:r w:rsidR="002405FB">
        <w:t>argues that NYAPP</w:t>
      </w:r>
      <w:r w:rsidR="002B1CCD">
        <w:t xml:space="preserve"> </w:t>
      </w:r>
      <w:r w:rsidR="003275ED">
        <w:t>did not provide any evidence</w:t>
      </w:r>
      <w:r w:rsidR="002067DF">
        <w:t>,</w:t>
      </w:r>
      <w:r w:rsidR="003275ED">
        <w:t xml:space="preserve"> beyond asserting that </w:t>
      </w:r>
      <w:r w:rsidR="00FE0118">
        <w:t xml:space="preserve">ROE values determined through settlement </w:t>
      </w:r>
      <w:r w:rsidR="00BA1F93">
        <w:t>negotiations are not based on market conditions</w:t>
      </w:r>
      <w:r w:rsidR="002067DF">
        <w:t xml:space="preserve">, that would foreclose the use of the risk premium method.  </w:t>
      </w:r>
      <w:r w:rsidR="000F2C51">
        <w:t>Additionally</w:t>
      </w:r>
      <w:r w:rsidR="00E8782E">
        <w:t>, New York Transco rejects NYAPP’s concerns with the expected earnings approach</w:t>
      </w:r>
      <w:r w:rsidR="00BE6E12">
        <w:t xml:space="preserve">, stating that the </w:t>
      </w:r>
      <w:r w:rsidR="001D5BA6">
        <w:t>approach is well-supported and widely relied upon to evaluate investor</w:t>
      </w:r>
      <w:r w:rsidR="006A2A3A">
        <w:t>s’ required returns.</w:t>
      </w:r>
      <w:r>
        <w:rPr>
          <w:rStyle w:val="FootnoteReference"/>
        </w:rPr>
        <w:footnoteReference w:id="91"/>
      </w:r>
      <w:r w:rsidR="00866452">
        <w:t xml:space="preserve">  </w:t>
      </w:r>
      <w:r w:rsidR="00BF054C">
        <w:t xml:space="preserve">New York Transco </w:t>
      </w:r>
      <w:r w:rsidR="000F2C51">
        <w:t xml:space="preserve">further rejects NYAPP’s comparison of the </w:t>
      </w:r>
      <w:r w:rsidR="00052CCB">
        <w:t xml:space="preserve">proposed base ROE to the </w:t>
      </w:r>
      <w:r w:rsidR="00805D5F">
        <w:t>rate</w:t>
      </w:r>
      <w:r w:rsidR="00052CCB">
        <w:t xml:space="preserve"> granted to MISO transmission owners in the Order on Remand</w:t>
      </w:r>
      <w:r w:rsidR="00805D5F">
        <w:t xml:space="preserve"> as inappropriate</w:t>
      </w:r>
      <w:r w:rsidR="003B2EF7">
        <w:t xml:space="preserve">, </w:t>
      </w:r>
      <w:r w:rsidR="00FA2CA2">
        <w:t xml:space="preserve">stating that </w:t>
      </w:r>
      <w:r w:rsidR="002F28A7">
        <w:t xml:space="preserve">an ROE should be determined based on the </w:t>
      </w:r>
      <w:r w:rsidR="00CE04BF">
        <w:t>facts specific to each proceeding</w:t>
      </w:r>
      <w:r w:rsidR="00CE6B44">
        <w:t>, and that the</w:t>
      </w:r>
      <w:r w:rsidR="00C8119F">
        <w:t xml:space="preserve">re is a vast difference between the </w:t>
      </w:r>
      <w:r w:rsidR="00262CC8">
        <w:t xml:space="preserve">Order on </w:t>
      </w:r>
      <w:r w:rsidR="00764CB9">
        <w:t xml:space="preserve">Remand </w:t>
      </w:r>
      <w:r w:rsidR="00C8119F">
        <w:t xml:space="preserve">and the </w:t>
      </w:r>
      <w:r w:rsidR="00BD7AC4">
        <w:t xml:space="preserve">instant </w:t>
      </w:r>
      <w:r w:rsidR="00B62C45">
        <w:t>proceeding</w:t>
      </w:r>
      <w:r w:rsidR="00BD7AC4">
        <w:t>.</w:t>
      </w:r>
      <w:r>
        <w:rPr>
          <w:rStyle w:val="FootnoteReference"/>
        </w:rPr>
        <w:footnoteReference w:id="92"/>
      </w:r>
    </w:p>
    <w:p w:rsidR="004F3FED" w:rsidP="003B575A">
      <w:pPr>
        <w:pStyle w:val="Heading3"/>
      </w:pPr>
      <w:r>
        <w:t xml:space="preserve">Commission </w:t>
      </w:r>
      <w:r>
        <w:t>Determination</w:t>
      </w:r>
    </w:p>
    <w:p w:rsidR="00C700D6" w:rsidP="00AD6E5D">
      <w:pPr>
        <w:pStyle w:val="FERCparanumber"/>
      </w:pPr>
      <w:r w:rsidRPr="00D90BE0">
        <w:t xml:space="preserve">Our preliminary analysis indicates that </w:t>
      </w:r>
      <w:r w:rsidR="00CA1629">
        <w:t xml:space="preserve">New York </w:t>
      </w:r>
      <w:r>
        <w:t xml:space="preserve">Transco’s proposed base ROE of 10.9% </w:t>
      </w:r>
      <w:r w:rsidRPr="00D90BE0">
        <w:t xml:space="preserve">has not been shown to be just and reasonable and may be unjust, unreasonable, unduly discriminatory or preferential, or otherwise unlawful.  </w:t>
      </w:r>
      <w:r w:rsidR="00707D75">
        <w:t xml:space="preserve">We find that </w:t>
      </w:r>
      <w:r w:rsidR="00CA1629">
        <w:t xml:space="preserve">New York </w:t>
      </w:r>
      <w:r w:rsidRPr="00235CBE">
        <w:t>Transco</w:t>
      </w:r>
      <w:r w:rsidR="007B0E51">
        <w:t>’s</w:t>
      </w:r>
      <w:r>
        <w:rPr>
          <w:b/>
          <w:bCs/>
        </w:rPr>
        <w:t xml:space="preserve"> </w:t>
      </w:r>
      <w:r w:rsidR="00707D75">
        <w:t>proposed base ROE</w:t>
      </w:r>
      <w:r w:rsidRPr="00D90BE0" w:rsidR="00707D75">
        <w:t xml:space="preserve"> </w:t>
      </w:r>
      <w:r w:rsidRPr="00D90BE0">
        <w:t xml:space="preserve">raises issues of material fact that cannot be resolved based on the record before us and that are more appropriately addressed in the hearing and settlement judge procedures ordered below. </w:t>
      </w:r>
      <w:r>
        <w:t xml:space="preserve"> </w:t>
      </w:r>
      <w:r w:rsidRPr="00C37982" w:rsidR="00137C4D">
        <w:t xml:space="preserve">Therefore, we accept the proposed </w:t>
      </w:r>
      <w:r w:rsidR="00E57D37">
        <w:t>base</w:t>
      </w:r>
      <w:r w:rsidRPr="00C37982" w:rsidR="00137C4D">
        <w:t xml:space="preserve"> ROE for filing, suspend it for a nominal period, to be effective </w:t>
      </w:r>
      <w:r w:rsidR="00137C4D">
        <w:t>March 12</w:t>
      </w:r>
      <w:r w:rsidRPr="00C37982" w:rsidR="00137C4D">
        <w:t>, 202</w:t>
      </w:r>
      <w:r w:rsidR="00137C4D">
        <w:t>5</w:t>
      </w:r>
      <w:r w:rsidRPr="00C37982" w:rsidR="00137C4D">
        <w:t xml:space="preserve">, subject to refund and to the outcome of hearing and settlement judge procedures. </w:t>
      </w:r>
    </w:p>
    <w:p w:rsidR="00B71C15" w:rsidP="00B71C15">
      <w:pPr>
        <w:pStyle w:val="FERCparanumber"/>
      </w:pPr>
      <w:r w:rsidRPr="00424766">
        <w:t xml:space="preserve">While we are setting </w:t>
      </w:r>
      <w:r w:rsidR="003F57C7">
        <w:t>the proposed base ROE</w:t>
      </w:r>
      <w:r w:rsidRPr="00424766">
        <w:t xml:space="preserve"> for a trial-type evidentiary hearing,</w:t>
      </w:r>
      <w:r>
        <w:rPr>
          <w:b/>
          <w:vertAlign w:val="superscript"/>
        </w:rPr>
        <w:footnoteReference w:id="93"/>
      </w:r>
      <w:r w:rsidRPr="00424766">
        <w:t xml:space="preserve"> we encourage efforts to reach settlement before hearing procedures commence.  </w:t>
      </w:r>
      <w:r w:rsidRPr="002A7221">
        <w:t>To aid settlement efforts, we will hold the hearing in abeyance and direct that a settlement</w:t>
      </w:r>
      <w:r w:rsidRPr="00CE7718">
        <w:t xml:space="preserve"> </w:t>
      </w:r>
      <w:r w:rsidR="00917CD3">
        <w:br/>
      </w:r>
      <w:r w:rsidRPr="00CE7718">
        <w:t>judge be appointed, pursuant to Rule 603</w:t>
      </w:r>
      <w:r w:rsidRPr="00773BD8">
        <w:t xml:space="preserve"> of the Commission’s Rules of Practice and Procedure.</w:t>
      </w:r>
      <w:r>
        <w:rPr>
          <w:b/>
          <w:vertAlign w:val="superscript"/>
        </w:rPr>
        <w:footnoteReference w:id="94"/>
      </w:r>
      <w:r w:rsidRPr="00773BD8">
        <w:t xml:space="preserve">  If parties desire, they may, by mutual agreement, request a specific judge </w:t>
      </w:r>
      <w:r w:rsidR="00917CD3">
        <w:br/>
      </w:r>
      <w:r w:rsidRPr="00773BD8">
        <w:t xml:space="preserve">as the settlement judge in the proceeding.  The Chief Judge, however, may not be able </w:t>
      </w:r>
      <w:r w:rsidR="00917CD3">
        <w:br/>
      </w:r>
      <w:r w:rsidRPr="00773BD8">
        <w:t>to designate the requested settlement judge based on workload requirements</w:t>
      </w:r>
      <w:r w:rsidR="00520575">
        <w:t>,</w:t>
      </w:r>
      <w:r w:rsidRPr="00773BD8">
        <w:t xml:space="preserve"> which determine judges’ availability.</w:t>
      </w:r>
      <w:r>
        <w:rPr>
          <w:b/>
          <w:vertAlign w:val="superscript"/>
        </w:rPr>
        <w:footnoteReference w:id="95"/>
      </w:r>
      <w:r w:rsidRPr="00773BD8">
        <w:t xml:space="preserve">  The settlement judge shall report to the Chief Judge and the Commission within </w:t>
      </w:r>
      <w:r>
        <w:t>30</w:t>
      </w:r>
      <w:r w:rsidRPr="00773BD8">
        <w:t xml:space="preserve"> days of the date of the appointment of the settlement judge</w:t>
      </w:r>
      <w:r>
        <w:t xml:space="preserve"> on</w:t>
      </w:r>
      <w:r w:rsidRPr="00773BD8">
        <w:t xml:space="preserve"> the status of settlement discussions. </w:t>
      </w:r>
      <w:r>
        <w:t xml:space="preserve"> </w:t>
      </w:r>
      <w:r w:rsidRPr="00773BD8">
        <w:t>Based on this report, the Chief Judge shall provide additional time to continue settlement discussions or provide for commencement of a hearing by assigning the case to a presiding judge.</w:t>
      </w:r>
    </w:p>
    <w:p w:rsidR="004F3FED" w:rsidP="0086137B">
      <w:r w:rsidRPr="00CD0B38">
        <w:rPr>
          <w:u w:val="single"/>
        </w:rPr>
        <w:t>The Commission orders</w:t>
      </w:r>
      <w:r w:rsidRPr="00CD0B38">
        <w:t>:</w:t>
      </w:r>
    </w:p>
    <w:p w:rsidR="004F3FED" w:rsidP="0086137B"/>
    <w:p w:rsidR="00361E0C" w:rsidP="00361E0C">
      <w:pPr>
        <w:pStyle w:val="ListParagraph"/>
        <w:numPr>
          <w:ilvl w:val="0"/>
          <w:numId w:val="23"/>
        </w:numPr>
        <w:spacing w:after="260"/>
        <w:contextualSpacing w:val="0"/>
      </w:pPr>
      <w:r>
        <w:t xml:space="preserve">New York </w:t>
      </w:r>
      <w:r>
        <w:t xml:space="preserve">Transco’s </w:t>
      </w:r>
      <w:r w:rsidR="0099409A">
        <w:t xml:space="preserve">proposed </w:t>
      </w:r>
      <w:r w:rsidR="008B45DC">
        <w:t>Formula Rate revisions</w:t>
      </w:r>
      <w:r w:rsidR="00784AA1">
        <w:t xml:space="preserve"> </w:t>
      </w:r>
      <w:r w:rsidR="00401456">
        <w:t>are hereby accepted</w:t>
      </w:r>
      <w:r>
        <w:t>, to be effective March 1</w:t>
      </w:r>
      <w:r w:rsidR="000A37AE">
        <w:t>2</w:t>
      </w:r>
      <w:r>
        <w:t>, 2025, as discussed in the body of this order.</w:t>
      </w:r>
    </w:p>
    <w:p w:rsidR="00E77FC8" w:rsidP="00361E0C">
      <w:pPr>
        <w:pStyle w:val="ListParagraph"/>
        <w:numPr>
          <w:ilvl w:val="0"/>
          <w:numId w:val="23"/>
        </w:numPr>
        <w:spacing w:after="260"/>
        <w:contextualSpacing w:val="0"/>
      </w:pPr>
      <w:r>
        <w:t xml:space="preserve">New York </w:t>
      </w:r>
      <w:r w:rsidRPr="00E77FC8">
        <w:t>Transco’s proposed base ROE</w:t>
      </w:r>
      <w:r>
        <w:t xml:space="preserve"> </w:t>
      </w:r>
      <w:r w:rsidR="00FD7D35">
        <w:t xml:space="preserve">is hereby accepted </w:t>
      </w:r>
      <w:r w:rsidRPr="00E77FC8">
        <w:t xml:space="preserve">for filing, </w:t>
      </w:r>
      <w:r w:rsidR="00FD7D35">
        <w:t>and</w:t>
      </w:r>
      <w:r w:rsidRPr="00E77FC8">
        <w:t xml:space="preserve"> suspended for </w:t>
      </w:r>
      <w:r w:rsidR="00134CF4">
        <w:t>a</w:t>
      </w:r>
      <w:r w:rsidRPr="00E77FC8" w:rsidR="00134CF4">
        <w:t xml:space="preserve"> </w:t>
      </w:r>
      <w:r w:rsidRPr="00E77FC8">
        <w:t xml:space="preserve">nominal period, to be effective </w:t>
      </w:r>
      <w:r>
        <w:t>March 1</w:t>
      </w:r>
      <w:r w:rsidR="000A37AE">
        <w:t>2</w:t>
      </w:r>
      <w:r>
        <w:t>, 2025</w:t>
      </w:r>
      <w:r w:rsidRPr="00E77FC8">
        <w:t xml:space="preserve">, subject to refund, </w:t>
      </w:r>
      <w:r w:rsidR="000F0D1F">
        <w:t xml:space="preserve">as discussed in the </w:t>
      </w:r>
      <w:r w:rsidR="002656E8">
        <w:t>body of this order</w:t>
      </w:r>
      <w:r w:rsidR="005D471B">
        <w:t>.</w:t>
      </w:r>
    </w:p>
    <w:p w:rsidR="00B47563" w:rsidRPr="00623AF9" w:rsidP="00B47563">
      <w:pPr>
        <w:pStyle w:val="ListParagraph"/>
        <w:numPr>
          <w:ilvl w:val="0"/>
          <w:numId w:val="23"/>
        </w:numPr>
        <w:spacing w:after="260"/>
        <w:contextualSpacing w:val="0"/>
      </w:pPr>
      <w:r w:rsidRPr="00623AF9">
        <w:t xml:space="preserve">Pursuant to the authority contained in and subject to the jurisdiction conferred upon the Federal Energy Regulatory Commission by section 402(a) of the Department of Energy Organization Act and by the FPA, particularly section 206 thereof, and pursuant to the Commission’s Rules of Practice and Procedure and the regulations under the FPA (18 C.F.R. Chapter I), </w:t>
      </w:r>
      <w:r w:rsidR="00977D25">
        <w:t>a public hearing shall be held concer</w:t>
      </w:r>
      <w:r w:rsidR="00555FF6">
        <w:t>n</w:t>
      </w:r>
      <w:r w:rsidR="00977D25">
        <w:t>ing</w:t>
      </w:r>
      <w:r w:rsidRPr="00623AF9">
        <w:t xml:space="preserve"> the justness and reasonableness of </w:t>
      </w:r>
      <w:r w:rsidR="002E712E">
        <w:t xml:space="preserve">New York </w:t>
      </w:r>
      <w:r w:rsidR="00625E9C">
        <w:t>Transco</w:t>
      </w:r>
      <w:r w:rsidRPr="00623AF9">
        <w:t xml:space="preserve">’s </w:t>
      </w:r>
      <w:r w:rsidR="005632BC">
        <w:t>proposed</w:t>
      </w:r>
      <w:r w:rsidRPr="00623AF9">
        <w:t xml:space="preserve"> base ROE, as discussed in the body of this order.  However, the hearing </w:t>
      </w:r>
      <w:r w:rsidR="007B7F65">
        <w:t>will</w:t>
      </w:r>
      <w:r w:rsidRPr="00623AF9" w:rsidR="007B7F65">
        <w:t xml:space="preserve"> </w:t>
      </w:r>
      <w:r w:rsidRPr="00623AF9">
        <w:t>be held in abeyance to provide time for settlement judge procedures, as discussed in Ordering Paragraphs (</w:t>
      </w:r>
      <w:r w:rsidR="00EC2504">
        <w:t>D</w:t>
      </w:r>
      <w:r w:rsidRPr="00623AF9">
        <w:t>) and (</w:t>
      </w:r>
      <w:r w:rsidR="00EC2504">
        <w:t>E</w:t>
      </w:r>
      <w:r w:rsidRPr="00623AF9">
        <w:t>) below.</w:t>
      </w:r>
    </w:p>
    <w:p w:rsidR="00851112" w:rsidRPr="00623AF9" w:rsidP="00851112">
      <w:pPr>
        <w:pStyle w:val="ListParagraph"/>
        <w:numPr>
          <w:ilvl w:val="0"/>
          <w:numId w:val="23"/>
        </w:numPr>
        <w:spacing w:after="260"/>
        <w:contextualSpacing w:val="0"/>
      </w:pPr>
      <w:r w:rsidRPr="00623AF9">
        <w:t xml:space="preserve">Pursuant to Rule 603 of the Commission’s Rules of Practice and Procedure, 18 C.F.R. § 385.603, the Chief Judge is hereby directed to appoint </w:t>
      </w:r>
      <w:r w:rsidR="00ED6A04">
        <w:t xml:space="preserve">a </w:t>
      </w:r>
      <w:r w:rsidRPr="00623AF9">
        <w:t xml:space="preserve">settlement judge in </w:t>
      </w:r>
      <w:r w:rsidR="00FE7170">
        <w:t>this</w:t>
      </w:r>
      <w:r w:rsidRPr="00623AF9" w:rsidR="00FE7170">
        <w:t xml:space="preserve"> </w:t>
      </w:r>
      <w:r w:rsidRPr="00623AF9">
        <w:t xml:space="preserve">proceeding within 45 days of the date of this order.  Such settlement judge shall have all powers and duties enumerated in Rule 603 and shall convene </w:t>
      </w:r>
      <w:r w:rsidR="00D46F9A">
        <w:t xml:space="preserve">a </w:t>
      </w:r>
      <w:r w:rsidRPr="00623AF9">
        <w:t xml:space="preserve">settlement conference as soon as practicable after the Chief Judge designates the settlement judge.  If parties decide to request </w:t>
      </w:r>
      <w:r w:rsidR="00FE3A14">
        <w:t>a</w:t>
      </w:r>
      <w:r w:rsidRPr="00623AF9">
        <w:t xml:space="preserve"> specific judge, they must make their request to the Chief Judge within five days of the date of this order.</w:t>
      </w:r>
    </w:p>
    <w:p w:rsidR="00851112" w:rsidRPr="00623AF9" w:rsidP="00851112">
      <w:pPr>
        <w:numPr>
          <w:ilvl w:val="0"/>
          <w:numId w:val="23"/>
        </w:numPr>
        <w:rPr>
          <w:szCs w:val="26"/>
        </w:rPr>
      </w:pPr>
      <w:r w:rsidRPr="00623AF9">
        <w:rPr>
          <w:szCs w:val="26"/>
        </w:rPr>
        <w:t xml:space="preserve">Within </w:t>
      </w:r>
      <w:r w:rsidR="00FE3A14">
        <w:rPr>
          <w:szCs w:val="26"/>
        </w:rPr>
        <w:t>30</w:t>
      </w:r>
      <w:r w:rsidRPr="00623AF9">
        <w:rPr>
          <w:szCs w:val="26"/>
        </w:rPr>
        <w:t xml:space="preserve"> days of the appointment of the settlement judge, the settlement judge shall file </w:t>
      </w:r>
      <w:r w:rsidR="007267FE">
        <w:rPr>
          <w:szCs w:val="26"/>
        </w:rPr>
        <w:t>a</w:t>
      </w:r>
      <w:r w:rsidRPr="00623AF9">
        <w:rPr>
          <w:szCs w:val="26"/>
        </w:rPr>
        <w:t xml:space="preserve"> report with the Commission and the Chief Judge on the status of the settlement discussions.  Based on </w:t>
      </w:r>
      <w:r w:rsidR="009807C0">
        <w:rPr>
          <w:szCs w:val="26"/>
        </w:rPr>
        <w:t>this</w:t>
      </w:r>
      <w:r w:rsidRPr="00623AF9">
        <w:rPr>
          <w:szCs w:val="26"/>
        </w:rPr>
        <w:t xml:space="preserve"> report, the Chief Judge shall provide participants with additional time to continue their settlement discussions, if appropriate, or assign the case to </w:t>
      </w:r>
      <w:r w:rsidR="00E4323C">
        <w:rPr>
          <w:szCs w:val="26"/>
        </w:rPr>
        <w:t xml:space="preserve">a </w:t>
      </w:r>
      <w:r w:rsidRPr="00623AF9">
        <w:rPr>
          <w:szCs w:val="26"/>
        </w:rPr>
        <w:t xml:space="preserve">presiding judge for </w:t>
      </w:r>
      <w:r w:rsidR="00687027">
        <w:rPr>
          <w:szCs w:val="26"/>
        </w:rPr>
        <w:t xml:space="preserve">a </w:t>
      </w:r>
      <w:r w:rsidRPr="00623AF9">
        <w:rPr>
          <w:szCs w:val="26"/>
        </w:rPr>
        <w:t>trial-type evidentiary hearing, if appropriate.  If settlement discussions continue, the settlement judge shall file a report at least every 60 days thereafter, informing the Commission and the Chief Judge of participants’ progress toward settlement.</w:t>
      </w:r>
    </w:p>
    <w:p w:rsidR="00851112" w:rsidRPr="00623AF9" w:rsidP="00851112">
      <w:pPr>
        <w:ind w:firstLine="720"/>
        <w:rPr>
          <w:szCs w:val="26"/>
        </w:rPr>
      </w:pPr>
    </w:p>
    <w:p w:rsidR="00851112" w:rsidRPr="00623AF9" w:rsidP="00851112">
      <w:pPr>
        <w:numPr>
          <w:ilvl w:val="0"/>
          <w:numId w:val="23"/>
        </w:numPr>
        <w:rPr>
          <w:szCs w:val="26"/>
        </w:rPr>
      </w:pPr>
      <w:r w:rsidRPr="00623AF9">
        <w:rPr>
          <w:szCs w:val="26"/>
        </w:rPr>
        <w:t xml:space="preserve">If settlement judge procedures fail and trial-type evidentiary hearings are to be held, </w:t>
      </w:r>
      <w:r w:rsidR="00C05D28">
        <w:rPr>
          <w:szCs w:val="26"/>
        </w:rPr>
        <w:t xml:space="preserve">a </w:t>
      </w:r>
      <w:r w:rsidRPr="00623AF9">
        <w:rPr>
          <w:szCs w:val="26"/>
        </w:rPr>
        <w:t>presiding judge, to be designated by the Chief Judge, shall, within 45 days of the date of the presiding judge</w:t>
      </w:r>
      <w:r w:rsidR="00C05D28">
        <w:rPr>
          <w:szCs w:val="26"/>
        </w:rPr>
        <w:t>’</w:t>
      </w:r>
      <w:r w:rsidRPr="00623AF9">
        <w:rPr>
          <w:szCs w:val="26"/>
        </w:rPr>
        <w:t xml:space="preserve">s designation, convene prehearing conference in these proceedings in a hearing room of the Commission, 888 First Street, NE, Washington, DC  20426, or remotely (by telephone or electronically), as appropriate.  Such </w:t>
      </w:r>
      <w:r w:rsidR="001470BF">
        <w:rPr>
          <w:szCs w:val="26"/>
        </w:rPr>
        <w:t>a</w:t>
      </w:r>
      <w:r w:rsidRPr="00623AF9">
        <w:rPr>
          <w:szCs w:val="26"/>
        </w:rPr>
        <w:t xml:space="preserve"> conference shall be held for the purpose of establishing a procedural schedule.  The presiding judge </w:t>
      </w:r>
      <w:r w:rsidR="009D7C76">
        <w:rPr>
          <w:szCs w:val="26"/>
        </w:rPr>
        <w:t>is</w:t>
      </w:r>
      <w:r w:rsidRPr="00623AF9">
        <w:rPr>
          <w:szCs w:val="26"/>
        </w:rPr>
        <w:t xml:space="preserve"> authorized to establish procedural dates, and to rule on all motions (except motions to dismiss) as provided in the Commission’s Rules of Practice and Procedure.</w:t>
      </w:r>
    </w:p>
    <w:p w:rsidR="00851112" w:rsidRPr="00623AF9" w:rsidP="00851112">
      <w:pPr>
        <w:pStyle w:val="ListParagraph"/>
        <w:ind w:left="0" w:firstLine="720"/>
        <w:rPr>
          <w:szCs w:val="26"/>
        </w:rPr>
      </w:pPr>
    </w:p>
    <w:p w:rsidR="004F3FED" w:rsidP="0086137B">
      <w:r w:rsidRPr="00CD0B38">
        <w:t>By the Commission.</w:t>
      </w:r>
    </w:p>
    <w:p w:rsidR="002C41F7" w:rsidP="0086137B"/>
    <w:p w:rsidR="002C41F7" w:rsidP="002C41F7">
      <w:pPr>
        <w:widowControl/>
      </w:pPr>
      <w:r w:rsidRPr="002C41F7">
        <w:t>( S E A L )</w:t>
      </w:r>
    </w:p>
    <w:p w:rsidR="002C41F7" w:rsidP="002C41F7">
      <w:pPr>
        <w:widowControl/>
      </w:pPr>
    </w:p>
    <w:p w:rsidR="002C41F7" w:rsidP="002C41F7">
      <w:pPr>
        <w:widowControl/>
      </w:pPr>
    </w:p>
    <w:p w:rsidR="002C41F7" w:rsidP="002C41F7">
      <w:pPr>
        <w:widowControl/>
      </w:pPr>
    </w:p>
    <w:p w:rsidR="002C41F7" w:rsidP="002C41F7">
      <w:pPr>
        <w:widowControl/>
      </w:pPr>
    </w:p>
    <w:p w:rsidR="002C41F7" w:rsidRPr="002C41F7" w:rsidP="002C41F7">
      <w:pPr>
        <w:widowControl/>
        <w:ind w:firstLine="2606"/>
        <w:jc w:val="center"/>
      </w:pPr>
      <w:r w:rsidRPr="002C41F7">
        <w:t>Debbie-Anne A. Reese,</w:t>
      </w:r>
    </w:p>
    <w:p w:rsidR="002C41F7" w:rsidRPr="002C41F7" w:rsidP="002C41F7">
      <w:pPr>
        <w:widowControl/>
        <w:ind w:firstLine="2606"/>
        <w:jc w:val="center"/>
      </w:pPr>
      <w:r w:rsidRPr="002C41F7">
        <w:t>Secretary.</w:t>
      </w:r>
    </w:p>
    <w:p w:rsidR="004F3FED" w:rsidRPr="00CD0B38" w:rsidP="0086137B"/>
    <w:p w:rsidR="004F3FED" w:rsidRPr="00401A63" w:rsidP="00401A63">
      <w:r w:rsidRPr="00CD0B38">
        <w:tab/>
        <w:tab/>
        <w:tab/>
        <w:tab/>
        <w:tab/>
        <w:tab/>
        <w:tab/>
      </w:r>
    </w:p>
    <w:p w:rsidR="00FF32A1" w:rsidRPr="0003382F" w:rsidP="000D7E4E">
      <w:pPr>
        <w:pStyle w:val="FootnoteText"/>
        <w:ind w:firstLine="0"/>
      </w:pPr>
    </w:p>
    <w:sectPr w:rsidSect="004F3FED">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5D" w:rsidP="0048020B">
      <w:r>
        <w:separator/>
      </w:r>
    </w:p>
  </w:endnote>
  <w:endnote w:type="continuationSeparator" w:id="1">
    <w:p w:rsidR="00EC125D" w:rsidP="0048020B">
      <w:r>
        <w:continuationSeparator/>
      </w:r>
    </w:p>
  </w:endnote>
  <w:endnote w:type="continuationNotice" w:id="2">
    <w:p w:rsidR="00EC125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5D" w:rsidP="0048020B">
      <w:r>
        <w:separator/>
      </w:r>
    </w:p>
  </w:footnote>
  <w:footnote w:type="continuationSeparator" w:id="1">
    <w:p w:rsidR="00EC125D" w:rsidP="0048020B">
      <w:r>
        <w:continuationSeparator/>
      </w:r>
    </w:p>
  </w:footnote>
  <w:footnote w:type="continuationNotice" w:id="2">
    <w:p w:rsidR="00EC125D" w:rsidRPr="00BA7D74" w:rsidP="00BA7D74">
      <w:pPr>
        <w:spacing w:line="14" w:lineRule="exact"/>
        <w:rPr>
          <w:sz w:val="2"/>
        </w:rPr>
      </w:pPr>
    </w:p>
  </w:footnote>
  <w:footnote w:id="3">
    <w:p w:rsidR="00DF6777" w:rsidP="007457F4">
      <w:pPr>
        <w:pStyle w:val="FootnoteText"/>
        <w:tabs>
          <w:tab w:val="left" w:pos="7050"/>
        </w:tabs>
      </w:pPr>
      <w:r>
        <w:rPr>
          <w:rStyle w:val="FootnoteReference"/>
        </w:rPr>
        <w:footnoteRef/>
      </w:r>
      <w:r>
        <w:t xml:space="preserve"> </w:t>
      </w:r>
      <w:r w:rsidRPr="009C320C">
        <w:t>16 U.S.C. §</w:t>
      </w:r>
      <w:r>
        <w:t> </w:t>
      </w:r>
      <w:r w:rsidRPr="009C320C">
        <w:t>824d</w:t>
      </w:r>
      <w:r>
        <w:t>.</w:t>
      </w:r>
      <w:r w:rsidR="007457F4">
        <w:tab/>
      </w:r>
    </w:p>
  </w:footnote>
  <w:footnote w:id="4">
    <w:p w:rsidR="00DF6777" w:rsidP="00DF6777">
      <w:pPr>
        <w:pStyle w:val="FootnoteText"/>
      </w:pPr>
      <w:r>
        <w:rPr>
          <w:rStyle w:val="FootnoteReference"/>
        </w:rPr>
        <w:footnoteRef/>
      </w:r>
      <w:r>
        <w:t xml:space="preserve"> 18 C.F.R. </w:t>
      </w:r>
      <w:r w:rsidRPr="009C320C">
        <w:t>§</w:t>
      </w:r>
      <w:r>
        <w:t xml:space="preserve"> 35.13</w:t>
      </w:r>
      <w:r w:rsidR="007239B8">
        <w:t xml:space="preserve"> (2024)</w:t>
      </w:r>
      <w:r>
        <w:t>.</w:t>
      </w:r>
    </w:p>
  </w:footnote>
  <w:footnote w:id="5">
    <w:p w:rsidR="003348BA">
      <w:pPr>
        <w:pStyle w:val="FootnoteText"/>
      </w:pPr>
      <w:r>
        <w:rPr>
          <w:rStyle w:val="FootnoteReference"/>
        </w:rPr>
        <w:footnoteRef/>
      </w:r>
      <w:r>
        <w:t xml:space="preserve"> </w:t>
      </w:r>
      <w:r w:rsidRPr="00A81A53" w:rsidR="007457F4">
        <w:t>NYISO, NYISO Tariffs, NYISO OATT</w:t>
      </w:r>
      <w:r w:rsidR="007457F4">
        <w:t xml:space="preserve">, § 36 (attach. DD – Rules to Allocate </w:t>
        <w:br/>
        <w:t>the Cost of NY Transco LLC Transmission Facilities and Formula Rates) (7.0.0).</w:t>
      </w:r>
    </w:p>
  </w:footnote>
  <w:footnote w:id="6">
    <w:p w:rsidR="00833A35">
      <w:pPr>
        <w:pStyle w:val="FootnoteText"/>
      </w:pPr>
      <w:r>
        <w:rPr>
          <w:rStyle w:val="FootnoteReference"/>
        </w:rPr>
        <w:footnoteRef/>
      </w:r>
      <w:r>
        <w:t xml:space="preserve"> </w:t>
      </w:r>
      <w:r w:rsidRPr="00476EE2" w:rsidR="000E6D6C">
        <w:t xml:space="preserve">18 C.F.R. </w:t>
      </w:r>
      <w:r w:rsidR="000E6D6C">
        <w:t>pt.</w:t>
      </w:r>
      <w:r w:rsidRPr="00476EE2" w:rsidR="000E6D6C">
        <w:t xml:space="preserve"> 101 §§ 561.</w:t>
      </w:r>
      <w:r w:rsidR="000E6D6C">
        <w:t>1</w:t>
      </w:r>
      <w:r w:rsidRPr="00476EE2" w:rsidR="000E6D6C">
        <w:t xml:space="preserve"> – 561.</w:t>
      </w:r>
      <w:r w:rsidR="000E6D6C">
        <w:t>8</w:t>
      </w:r>
      <w:r w:rsidR="007457F4">
        <w:t xml:space="preserve"> (2024)</w:t>
      </w:r>
      <w:r w:rsidRPr="00476EE2" w:rsidR="000E6D6C">
        <w:t>.</w:t>
      </w:r>
      <w:r w:rsidR="000E6D6C">
        <w:t xml:space="preserve">  </w:t>
      </w:r>
      <w:r w:rsidR="00F25889">
        <w:t xml:space="preserve">These accounts are used to record </w:t>
      </w:r>
      <w:r w:rsidR="007B5271">
        <w:t>Transmission Expenses</w:t>
      </w:r>
      <w:r w:rsidR="00E962F5">
        <w:t xml:space="preserve"> for:  </w:t>
      </w:r>
      <w:r w:rsidR="003A3BAB">
        <w:t>Load Dispatch – Reliability (</w:t>
      </w:r>
      <w:r w:rsidR="00E962F5">
        <w:t>Account 561.1</w:t>
      </w:r>
      <w:r w:rsidR="003A3BAB">
        <w:t>)</w:t>
      </w:r>
      <w:r w:rsidR="00E962F5">
        <w:t xml:space="preserve">, </w:t>
      </w:r>
      <w:r w:rsidR="003A3BAB">
        <w:t xml:space="preserve">Load </w:t>
      </w:r>
      <w:r w:rsidR="007457F4">
        <w:br/>
      </w:r>
      <w:r w:rsidR="003A3BAB">
        <w:t>Dispatch – Monitor and operate transmission system</w:t>
      </w:r>
      <w:r w:rsidR="00E71F71">
        <w:t xml:space="preserve"> (</w:t>
      </w:r>
      <w:r w:rsidR="00CA61FA">
        <w:t>Account</w:t>
      </w:r>
      <w:r w:rsidR="003A3BAB">
        <w:t xml:space="preserve"> </w:t>
      </w:r>
      <w:r w:rsidR="00E962F5">
        <w:t>561.2</w:t>
      </w:r>
      <w:r w:rsidR="00CA61FA">
        <w:t>)</w:t>
      </w:r>
      <w:r w:rsidR="00E962F5">
        <w:t xml:space="preserve">, </w:t>
      </w:r>
      <w:r w:rsidR="00CA61FA">
        <w:t xml:space="preserve">Load Dispatch – Transmission service and scheduling (Account </w:t>
      </w:r>
      <w:r w:rsidR="00E962F5">
        <w:t>5</w:t>
      </w:r>
      <w:r w:rsidR="00CA61FA">
        <w:t>6</w:t>
      </w:r>
      <w:r w:rsidR="00E962F5">
        <w:t>1.3</w:t>
      </w:r>
      <w:r w:rsidR="00CA61FA">
        <w:t>)</w:t>
      </w:r>
      <w:r w:rsidR="00E962F5">
        <w:t xml:space="preserve">, </w:t>
      </w:r>
      <w:r w:rsidR="00CA61FA">
        <w:t xml:space="preserve">Scheduling, system control and dispatch services (Account </w:t>
      </w:r>
      <w:r w:rsidR="00E962F5">
        <w:t>561.4</w:t>
      </w:r>
      <w:r w:rsidR="00CA61FA">
        <w:t>)</w:t>
      </w:r>
      <w:r w:rsidR="00E962F5">
        <w:t xml:space="preserve">, </w:t>
      </w:r>
      <w:r w:rsidRPr="008964FA" w:rsidR="008964FA">
        <w:t xml:space="preserve">Reliability planning and standards development </w:t>
      </w:r>
      <w:r w:rsidR="008964FA">
        <w:t xml:space="preserve">(Account </w:t>
      </w:r>
      <w:r w:rsidR="00E962F5">
        <w:t>561.5</w:t>
      </w:r>
      <w:r w:rsidR="008964FA">
        <w:t>)</w:t>
      </w:r>
      <w:r w:rsidR="00E962F5">
        <w:t xml:space="preserve">, </w:t>
      </w:r>
      <w:r w:rsidR="00D3259C">
        <w:t xml:space="preserve">Transmission service studies (Account </w:t>
      </w:r>
      <w:r w:rsidR="00E962F5">
        <w:t>561.6</w:t>
      </w:r>
      <w:r w:rsidR="00D3259C">
        <w:t>)</w:t>
      </w:r>
      <w:r w:rsidR="00E962F5">
        <w:t xml:space="preserve">, </w:t>
      </w:r>
      <w:r w:rsidRPr="00201395" w:rsidR="00201395">
        <w:t xml:space="preserve">Generation interconnection studies </w:t>
      </w:r>
      <w:r w:rsidR="00201395">
        <w:t xml:space="preserve">(Account </w:t>
      </w:r>
      <w:r w:rsidR="00E962F5">
        <w:t>561.7</w:t>
      </w:r>
      <w:r w:rsidR="00201395">
        <w:t>)</w:t>
      </w:r>
      <w:r w:rsidR="00E962F5">
        <w:t>, and</w:t>
      </w:r>
      <w:r w:rsidR="003A3BAB">
        <w:t xml:space="preserve"> </w:t>
      </w:r>
      <w:r w:rsidRPr="006A46E2" w:rsidR="006A46E2">
        <w:t xml:space="preserve">Reliability planning and standards development services </w:t>
      </w:r>
      <w:r w:rsidR="006A46E2">
        <w:t xml:space="preserve">(Account </w:t>
      </w:r>
      <w:r w:rsidR="003A3BAB">
        <w:t>561.8</w:t>
      </w:r>
      <w:r w:rsidR="006A46E2">
        <w:t>).</w:t>
      </w:r>
    </w:p>
  </w:footnote>
  <w:footnote w:id="7">
    <w:p w:rsidR="009E7795" w:rsidP="009E7795">
      <w:pPr>
        <w:pStyle w:val="FootnoteText"/>
      </w:pPr>
      <w:r>
        <w:rPr>
          <w:rStyle w:val="FootnoteReference"/>
        </w:rPr>
        <w:footnoteRef/>
      </w:r>
      <w:r>
        <w:t xml:space="preserve"> </w:t>
      </w:r>
      <w:r w:rsidR="00394CE3">
        <w:t>Filing,</w:t>
      </w:r>
      <w:r>
        <w:t xml:space="preserve"> Transmittal Letter at 5. </w:t>
      </w:r>
    </w:p>
  </w:footnote>
  <w:footnote w:id="8">
    <w:p w:rsidR="00F81CBA">
      <w:pPr>
        <w:pStyle w:val="FootnoteText"/>
      </w:pPr>
      <w:r>
        <w:rPr>
          <w:rStyle w:val="FootnoteReference"/>
        </w:rPr>
        <w:footnoteRef/>
      </w:r>
      <w:r>
        <w:t xml:space="preserve"> </w:t>
      </w:r>
      <w:r w:rsidRPr="00643D3B" w:rsidR="00643D3B">
        <w:t>Capitalized terms not defined herein shall have the meaning set forth in the NYISO OATT</w:t>
      </w:r>
      <w:r w:rsidR="00B32C0D">
        <w:t>.</w:t>
      </w:r>
    </w:p>
  </w:footnote>
  <w:footnote w:id="9">
    <w:p w:rsidR="00B009E5" w:rsidRPr="00AE0CB2" w:rsidP="00B009E5">
      <w:pPr>
        <w:pStyle w:val="FootnoteText"/>
        <w:rPr>
          <w:i/>
          <w:iCs/>
        </w:rPr>
      </w:pPr>
      <w:r>
        <w:rPr>
          <w:rStyle w:val="FootnoteReference"/>
        </w:rPr>
        <w:footnoteRef/>
      </w:r>
      <w:r>
        <w:t xml:space="preserve"> </w:t>
      </w:r>
      <w:r w:rsidR="00394CE3">
        <w:t>Filing,</w:t>
      </w:r>
      <w:r>
        <w:t xml:space="preserve"> Transmittal Letter at 3.</w:t>
      </w:r>
    </w:p>
  </w:footnote>
  <w:footnote w:id="10">
    <w:p w:rsidR="00D33F19" w:rsidP="003F3A07">
      <w:pPr>
        <w:pStyle w:val="FootnoteText"/>
      </w:pPr>
      <w:r>
        <w:rPr>
          <w:rStyle w:val="FootnoteReference"/>
        </w:rPr>
        <w:footnoteRef/>
      </w:r>
      <w:r>
        <w:t xml:space="preserve"> </w:t>
      </w:r>
      <w:r w:rsidR="00537C8A">
        <w:rPr>
          <w:i/>
          <w:iCs/>
        </w:rPr>
        <w:t>Id.</w:t>
      </w:r>
      <w:r w:rsidRPr="00507264" w:rsidR="00537C8A">
        <w:t xml:space="preserve"> </w:t>
      </w:r>
      <w:r>
        <w:t>at 3</w:t>
      </w:r>
      <w:r w:rsidR="00A21D5A">
        <w:t xml:space="preserve">.  </w:t>
      </w:r>
      <w:r w:rsidR="00A21D5A">
        <w:rPr>
          <w:i/>
          <w:iCs/>
        </w:rPr>
        <w:t>See</w:t>
      </w:r>
      <w:r w:rsidR="00552DE9">
        <w:rPr>
          <w:i/>
          <w:iCs/>
        </w:rPr>
        <w:t xml:space="preserve"> </w:t>
      </w:r>
      <w:r w:rsidR="002A774A">
        <w:rPr>
          <w:i/>
          <w:iCs/>
        </w:rPr>
        <w:t>N.Y. In</w:t>
      </w:r>
      <w:r w:rsidR="003C14EC">
        <w:rPr>
          <w:i/>
          <w:iCs/>
        </w:rPr>
        <w:t>d</w:t>
      </w:r>
      <w:r w:rsidR="002A774A">
        <w:rPr>
          <w:i/>
          <w:iCs/>
        </w:rPr>
        <w:t>ep. Sys. Operator, Inc.</w:t>
      </w:r>
      <w:r w:rsidR="002A774A">
        <w:t xml:space="preserve">, </w:t>
      </w:r>
      <w:r w:rsidRPr="002A774A" w:rsidR="002A774A">
        <w:t>154 FERC ¶ 61,196</w:t>
      </w:r>
      <w:r w:rsidR="003F3A07">
        <w:t xml:space="preserve"> (2016)</w:t>
      </w:r>
      <w:r w:rsidR="005C4BCD">
        <w:t xml:space="preserve"> (TOTS Settlement)</w:t>
      </w:r>
      <w:r w:rsidR="003F3A07">
        <w:t>.</w:t>
      </w:r>
      <w:r>
        <w:t xml:space="preserve"> </w:t>
      </w:r>
    </w:p>
  </w:footnote>
  <w:footnote w:id="11">
    <w:p w:rsidR="0079128F" w:rsidRPr="0077601F">
      <w:pPr>
        <w:pStyle w:val="FootnoteText"/>
      </w:pPr>
      <w:r>
        <w:rPr>
          <w:rStyle w:val="FootnoteReference"/>
        </w:rPr>
        <w:footnoteRef/>
      </w:r>
      <w:r>
        <w:t xml:space="preserve"> </w:t>
      </w:r>
      <w:r w:rsidR="00520887">
        <w:rPr>
          <w:i/>
          <w:iCs/>
        </w:rPr>
        <w:t>Id.</w:t>
      </w:r>
      <w:r w:rsidR="00BB4604">
        <w:rPr>
          <w:i/>
          <w:iCs/>
        </w:rPr>
        <w:t xml:space="preserve"> </w:t>
      </w:r>
      <w:r>
        <w:t>at 4</w:t>
      </w:r>
      <w:r w:rsidR="001C2199">
        <w:t xml:space="preserve">.  </w:t>
      </w:r>
      <w:r w:rsidR="001C2199">
        <w:rPr>
          <w:i/>
          <w:iCs/>
        </w:rPr>
        <w:t>See</w:t>
      </w:r>
      <w:r w:rsidR="006A584D">
        <w:t xml:space="preserve"> </w:t>
      </w:r>
      <w:r w:rsidR="00D31BAB">
        <w:rPr>
          <w:i/>
          <w:iCs/>
        </w:rPr>
        <w:t>N.Y. Indep. Sys. Operator</w:t>
      </w:r>
      <w:r w:rsidR="005D097F">
        <w:rPr>
          <w:i/>
          <w:iCs/>
        </w:rPr>
        <w:t>, Inc.</w:t>
      </w:r>
      <w:r w:rsidR="005D097F">
        <w:t xml:space="preserve">, </w:t>
      </w:r>
      <w:r w:rsidRPr="00862E4B" w:rsidR="006A584D">
        <w:t>161 FERC ¶ 61,161</w:t>
      </w:r>
      <w:r w:rsidR="006A584D">
        <w:t xml:space="preserve"> </w:t>
      </w:r>
      <w:r w:rsidRPr="0077601F" w:rsidR="0077601F">
        <w:t>(2017)</w:t>
      </w:r>
      <w:r w:rsidR="00A7130C">
        <w:t xml:space="preserve"> (AC Transmission Settlement)</w:t>
      </w:r>
      <w:r w:rsidRPr="0077601F" w:rsidR="0077601F">
        <w:t xml:space="preserve">.  </w:t>
      </w:r>
      <w:r w:rsidRPr="002E712E" w:rsidR="002E712E">
        <w:t xml:space="preserve">New York </w:t>
      </w:r>
      <w:r w:rsidRPr="0077601F" w:rsidR="0077601F">
        <w:t xml:space="preserve">Transco </w:t>
      </w:r>
      <w:r w:rsidR="003E0147">
        <w:t>states that it</w:t>
      </w:r>
      <w:r w:rsidRPr="0077601F" w:rsidR="0077601F">
        <w:t xml:space="preserve"> was awarded development rights to the Segment B and Segment B Additions components of the AC Transmission Projects through a NYISO competitive solicitation.</w:t>
      </w:r>
      <w:r w:rsidR="0077601F">
        <w:t xml:space="preserve">  </w:t>
      </w:r>
      <w:r w:rsidRPr="00D662BA" w:rsidR="00920B47">
        <w:t>Filing</w:t>
      </w:r>
      <w:r w:rsidR="00920B47">
        <w:t xml:space="preserve">, Transmittal </w:t>
      </w:r>
      <w:r w:rsidR="00121DC8">
        <w:t xml:space="preserve">Letter </w:t>
      </w:r>
      <w:r w:rsidR="00920B47">
        <w:t>at 4 n.</w:t>
      </w:r>
      <w:r w:rsidR="00787AB6">
        <w:t>12</w:t>
      </w:r>
      <w:r w:rsidR="0077601F">
        <w:t>.</w:t>
      </w:r>
    </w:p>
  </w:footnote>
  <w:footnote w:id="12">
    <w:p w:rsidR="00A85479" w:rsidP="00A85479">
      <w:pPr>
        <w:pStyle w:val="FootnoteText"/>
      </w:pPr>
      <w:r>
        <w:rPr>
          <w:rStyle w:val="FootnoteReference"/>
        </w:rPr>
        <w:footnoteRef/>
      </w:r>
      <w:r>
        <w:t xml:space="preserve"> </w:t>
      </w:r>
      <w:r w:rsidRPr="00A55AC7">
        <w:t>Multiple Intervenors is an unincorporated association of approximately 55 large industrial, commercial</w:t>
      </w:r>
      <w:r w:rsidR="007C4E96">
        <w:t>,</w:t>
      </w:r>
      <w:r w:rsidRPr="00A55AC7">
        <w:t xml:space="preserve"> and institutional energy consumers with manufacturing and other facilities located throughout New York State</w:t>
      </w:r>
      <w:r>
        <w:t xml:space="preserve">.  </w:t>
      </w:r>
    </w:p>
  </w:footnote>
  <w:footnote w:id="13">
    <w:p w:rsidR="00661E15" w:rsidP="00661E15">
      <w:pPr>
        <w:pStyle w:val="FootnoteText"/>
      </w:pPr>
      <w:r>
        <w:rPr>
          <w:rStyle w:val="FootnoteReference"/>
        </w:rPr>
        <w:footnoteRef/>
      </w:r>
      <w:r>
        <w:t xml:space="preserve"> </w:t>
      </w:r>
      <w:r w:rsidRPr="00125082">
        <w:t>18 C.F.R. § 385.213(a)(2)</w:t>
      </w:r>
      <w:r w:rsidR="00972FB2">
        <w:t xml:space="preserve"> (2024)</w:t>
      </w:r>
      <w:r>
        <w:t>.</w:t>
      </w:r>
    </w:p>
  </w:footnote>
  <w:footnote w:id="14">
    <w:p w:rsidR="00D21095" w:rsidP="00D21095">
      <w:pPr>
        <w:pStyle w:val="FootnoteText"/>
      </w:pPr>
      <w:r>
        <w:rPr>
          <w:rStyle w:val="FootnoteReference"/>
        </w:rPr>
        <w:footnoteRef/>
      </w:r>
      <w:r>
        <w:t xml:space="preserve"> </w:t>
      </w:r>
      <w:r w:rsidR="00394CE3">
        <w:t>Filing,</w:t>
      </w:r>
      <w:r>
        <w:t xml:space="preserve"> Transmittal Letter at 4-5</w:t>
      </w:r>
      <w:r w:rsidR="0096334B">
        <w:t>.</w:t>
      </w:r>
    </w:p>
  </w:footnote>
  <w:footnote w:id="15">
    <w:p w:rsidR="00952A44" w:rsidP="00952A44">
      <w:pPr>
        <w:pStyle w:val="FootnoteText"/>
      </w:pPr>
      <w:r>
        <w:rPr>
          <w:rStyle w:val="FootnoteReference"/>
        </w:rPr>
        <w:footnoteRef/>
      </w:r>
      <w:r>
        <w:t xml:space="preserve"> </w:t>
      </w:r>
      <w:r w:rsidR="00235E66">
        <w:t xml:space="preserve">Although </w:t>
      </w:r>
      <w:r>
        <w:t>the USofA does not include an Account 561</w:t>
      </w:r>
      <w:r w:rsidR="00235E66">
        <w:t xml:space="preserve">, </w:t>
      </w:r>
      <w:r w:rsidRPr="00797BEF" w:rsidR="00797BEF">
        <w:t xml:space="preserve">New York </w:t>
      </w:r>
      <w:r w:rsidR="00235E66">
        <w:t>Transco uses</w:t>
      </w:r>
      <w:r>
        <w:t xml:space="preserve"> </w:t>
      </w:r>
      <w:r w:rsidRPr="00743471">
        <w:t>this reference</w:t>
      </w:r>
      <w:r>
        <w:t xml:space="preserve"> to cover all of the subaccounts under Account 561. </w:t>
      </w:r>
      <w:r w:rsidR="00235E66">
        <w:t xml:space="preserve"> </w:t>
      </w:r>
      <w:r w:rsidR="00394CE3">
        <w:t xml:space="preserve">Filing, </w:t>
      </w:r>
      <w:r>
        <w:t>Transmittal Letter at 6 n.17.</w:t>
      </w:r>
    </w:p>
  </w:footnote>
  <w:footnote w:id="16">
    <w:p w:rsidR="000B625A" w:rsidP="000B625A">
      <w:pPr>
        <w:pStyle w:val="FootnoteText"/>
      </w:pPr>
      <w:r>
        <w:rPr>
          <w:rStyle w:val="FootnoteReference"/>
        </w:rPr>
        <w:footnoteRef/>
      </w:r>
      <w:r>
        <w:t xml:space="preserve"> Filing, Transmittal Letter at 6.</w:t>
      </w:r>
    </w:p>
  </w:footnote>
  <w:footnote w:id="17">
    <w:p w:rsidR="003C33AC" w:rsidP="003C33AC">
      <w:pPr>
        <w:pStyle w:val="FootnoteText"/>
      </w:pPr>
      <w:r>
        <w:rPr>
          <w:rStyle w:val="FootnoteReference"/>
        </w:rPr>
        <w:footnoteRef/>
      </w:r>
      <w:r>
        <w:t xml:space="preserve"> </w:t>
      </w:r>
      <w:r w:rsidR="00520887">
        <w:rPr>
          <w:i/>
          <w:iCs/>
        </w:rPr>
        <w:t>Id.</w:t>
      </w:r>
      <w:r>
        <w:t xml:space="preserve"> at 8.</w:t>
      </w:r>
    </w:p>
  </w:footnote>
  <w:footnote w:id="18">
    <w:p w:rsidR="00E40F41">
      <w:pPr>
        <w:pStyle w:val="FootnoteText"/>
      </w:pPr>
      <w:r>
        <w:rPr>
          <w:rStyle w:val="FootnoteReference"/>
        </w:rPr>
        <w:footnoteRef/>
      </w:r>
      <w:r>
        <w:t xml:space="preserve"> </w:t>
      </w:r>
      <w:r w:rsidR="00972FB2">
        <w:rPr>
          <w:i/>
          <w:iCs/>
        </w:rPr>
        <w:t>Id.</w:t>
      </w:r>
      <w:r w:rsidR="00972FB2">
        <w:t xml:space="preserve"> at 8-9 (citing NYISO OATT, </w:t>
      </w:r>
      <w:r w:rsidRPr="004E6082" w:rsidR="00972FB2">
        <w:t>§</w:t>
      </w:r>
      <w:r w:rsidRPr="00344D34" w:rsidR="00972FB2">
        <w:t xml:space="preserve"> 6.10.7</w:t>
      </w:r>
      <w:r w:rsidR="00972FB2">
        <w:t xml:space="preserve">.2.1 (Schedule 10 – Formula </w:t>
        <w:br/>
        <w:t>Rate Template) (5.0.0), § attach. 1</w:t>
      </w:r>
      <w:r w:rsidRPr="00344D34" w:rsidR="00972FB2">
        <w:t>;</w:t>
      </w:r>
      <w:r w:rsidR="00972FB2">
        <w:t xml:space="preserve"> </w:t>
      </w:r>
      <w:r w:rsidR="00972FB2">
        <w:rPr>
          <w:i/>
          <w:iCs/>
        </w:rPr>
        <w:t>id.</w:t>
      </w:r>
      <w:r w:rsidRPr="00344D34" w:rsidR="00972FB2">
        <w:t xml:space="preserve"> </w:t>
      </w:r>
      <w:r w:rsidRPr="004E6082" w:rsidR="00972FB2">
        <w:t>§</w:t>
      </w:r>
      <w:r w:rsidR="00972FB2">
        <w:t xml:space="preserve"> </w:t>
      </w:r>
      <w:r w:rsidRPr="00344D34" w:rsidR="00972FB2">
        <w:t>6.10.9</w:t>
      </w:r>
      <w:r w:rsidR="00972FB2">
        <w:t xml:space="preserve">.2.1 (Schedule 10 – </w:t>
      </w:r>
      <w:r w:rsidRPr="00344D34" w:rsidR="00972FB2">
        <w:t xml:space="preserve">NextEra Energy Transmission New York, </w:t>
      </w:r>
      <w:r w:rsidR="00972FB2">
        <w:t>Inc. Formula Rate Template) (5.0.0), § attach. 3).</w:t>
      </w:r>
    </w:p>
  </w:footnote>
  <w:footnote w:id="19">
    <w:p w:rsidR="005E774C">
      <w:pPr>
        <w:pStyle w:val="FootnoteText"/>
      </w:pPr>
      <w:r>
        <w:rPr>
          <w:rStyle w:val="FootnoteReference"/>
        </w:rPr>
        <w:footnoteRef/>
      </w:r>
      <w:r>
        <w:t xml:space="preserve"> </w:t>
      </w:r>
      <w:r w:rsidR="00520887">
        <w:rPr>
          <w:i/>
          <w:iCs/>
        </w:rPr>
        <w:t>Id.</w:t>
      </w:r>
      <w:r>
        <w:t xml:space="preserve"> at 9.</w:t>
      </w:r>
    </w:p>
  </w:footnote>
  <w:footnote w:id="20">
    <w:p w:rsidR="000F155F" w:rsidP="000F155F">
      <w:pPr>
        <w:pStyle w:val="FootnoteText"/>
      </w:pPr>
      <w:r>
        <w:rPr>
          <w:rStyle w:val="FootnoteReference"/>
        </w:rPr>
        <w:footnoteRef/>
      </w:r>
      <w:r>
        <w:t xml:space="preserve"> </w:t>
      </w:r>
      <w:r w:rsidR="00520887">
        <w:rPr>
          <w:i/>
          <w:iCs/>
        </w:rPr>
        <w:t>Id.</w:t>
      </w:r>
      <w:r>
        <w:t xml:space="preserve"> at 16.</w:t>
      </w:r>
    </w:p>
  </w:footnote>
  <w:footnote w:id="21">
    <w:p w:rsidR="00BF75F3">
      <w:pPr>
        <w:pStyle w:val="FootnoteText"/>
      </w:pPr>
      <w:r>
        <w:rPr>
          <w:rStyle w:val="FootnoteReference"/>
        </w:rPr>
        <w:footnoteRef/>
      </w:r>
      <w:r>
        <w:t xml:space="preserve"> </w:t>
      </w:r>
      <w:r w:rsidRPr="00BF75F3">
        <w:rPr>
          <w:i/>
          <w:iCs/>
        </w:rPr>
        <w:t>Id.</w:t>
      </w:r>
      <w:r>
        <w:t xml:space="preserve"> at 16-17.</w:t>
      </w:r>
    </w:p>
  </w:footnote>
  <w:footnote w:id="22">
    <w:p w:rsidR="000F155F" w:rsidP="000F155F">
      <w:pPr>
        <w:pStyle w:val="FootnoteText"/>
      </w:pPr>
      <w:r>
        <w:rPr>
          <w:rStyle w:val="FootnoteReference"/>
        </w:rPr>
        <w:footnoteRef/>
      </w:r>
      <w:r>
        <w:t xml:space="preserve"> </w:t>
      </w:r>
      <w:r w:rsidR="00520887">
        <w:rPr>
          <w:i/>
          <w:iCs/>
        </w:rPr>
        <w:t>Id.</w:t>
      </w:r>
      <w:r>
        <w:t xml:space="preserve"> at 17</w:t>
      </w:r>
      <w:r w:rsidR="008C3E8A">
        <w:t xml:space="preserve"> (citing </w:t>
      </w:r>
      <w:r w:rsidRPr="00AD6E5D" w:rsidR="00FE655B">
        <w:rPr>
          <w:i/>
          <w:iCs/>
        </w:rPr>
        <w:t>Okla. Gas &amp; Elec. Co.</w:t>
      </w:r>
      <w:r w:rsidRPr="00AD6E5D" w:rsidR="00FE655B">
        <w:t>, 122 FERC ¶ 61,071, at P 41 (2008)</w:t>
      </w:r>
      <w:r w:rsidR="00877526">
        <w:t>)</w:t>
      </w:r>
      <w:r>
        <w:t>.</w:t>
      </w:r>
    </w:p>
  </w:footnote>
  <w:footnote w:id="23">
    <w:p w:rsidR="005F53D4" w:rsidP="005F53D4">
      <w:pPr>
        <w:pStyle w:val="FootnoteText"/>
      </w:pPr>
      <w:r>
        <w:rPr>
          <w:rStyle w:val="FootnoteReference"/>
        </w:rPr>
        <w:footnoteRef/>
      </w:r>
      <w:r>
        <w:t xml:space="preserve"> Consumer Advocates Protest at 11</w:t>
      </w:r>
      <w:r w:rsidR="00117651">
        <w:t xml:space="preserve"> (</w:t>
      </w:r>
      <w:r>
        <w:t>citing app. A, Testimony of Michele Chait Testimony (Chait Test</w:t>
      </w:r>
      <w:r w:rsidR="0038218B">
        <w:t>.</w:t>
      </w:r>
      <w:r>
        <w:t>) at 4-5</w:t>
      </w:r>
      <w:r w:rsidR="002622B6">
        <w:t>)</w:t>
      </w:r>
      <w:r>
        <w:t>.</w:t>
      </w:r>
    </w:p>
  </w:footnote>
  <w:footnote w:id="24">
    <w:p w:rsidR="00E40C6C" w:rsidP="00E40C6C">
      <w:pPr>
        <w:pStyle w:val="FootnoteText"/>
      </w:pPr>
      <w:r>
        <w:rPr>
          <w:rStyle w:val="FootnoteReference"/>
        </w:rPr>
        <w:footnoteRef/>
      </w:r>
      <w:r>
        <w:t xml:space="preserve"> </w:t>
      </w:r>
      <w:r w:rsidR="00520887">
        <w:rPr>
          <w:i/>
          <w:iCs/>
        </w:rPr>
        <w:t>Id.</w:t>
      </w:r>
      <w:r>
        <w:t xml:space="preserve"> at 11-12.  </w:t>
      </w:r>
    </w:p>
  </w:footnote>
  <w:footnote w:id="25">
    <w:p w:rsidR="00F55F64" w:rsidP="00F55F64">
      <w:pPr>
        <w:pStyle w:val="FootnoteText"/>
      </w:pPr>
      <w:r>
        <w:rPr>
          <w:rStyle w:val="FootnoteReference"/>
        </w:rPr>
        <w:footnoteRef/>
      </w:r>
      <w:r>
        <w:t xml:space="preserve"> </w:t>
      </w:r>
      <w:r w:rsidR="00056830">
        <w:rPr>
          <w:i/>
          <w:iCs/>
        </w:rPr>
        <w:t>Id.</w:t>
      </w:r>
      <w:r>
        <w:t xml:space="preserve"> at 12.  </w:t>
      </w:r>
    </w:p>
  </w:footnote>
  <w:footnote w:id="26">
    <w:p w:rsidR="00747C61" w:rsidP="00747C61">
      <w:pPr>
        <w:pStyle w:val="FootnoteText"/>
      </w:pPr>
      <w:r>
        <w:rPr>
          <w:rStyle w:val="FootnoteReference"/>
        </w:rPr>
        <w:footnoteRef/>
      </w:r>
      <w:r>
        <w:t xml:space="preserve"> </w:t>
      </w:r>
      <w:r w:rsidRPr="008C752B" w:rsidR="008C752B">
        <w:t xml:space="preserve">New York Commission </w:t>
      </w:r>
      <w:r>
        <w:t>Protest at 2.</w:t>
      </w:r>
    </w:p>
  </w:footnote>
  <w:footnote w:id="27">
    <w:p w:rsidR="009C053A">
      <w:pPr>
        <w:pStyle w:val="FootnoteText"/>
      </w:pPr>
      <w:r>
        <w:rPr>
          <w:rStyle w:val="FootnoteReference"/>
        </w:rPr>
        <w:footnoteRef/>
      </w:r>
      <w:r>
        <w:t xml:space="preserve"> New York Transco Answer at 13-14. </w:t>
      </w:r>
    </w:p>
  </w:footnote>
  <w:footnote w:id="28">
    <w:p w:rsidR="00D03889">
      <w:pPr>
        <w:pStyle w:val="FootnoteText"/>
      </w:pPr>
      <w:r>
        <w:rPr>
          <w:rStyle w:val="FootnoteReference"/>
        </w:rPr>
        <w:footnoteRef/>
      </w:r>
      <w:r>
        <w:t xml:space="preserve"> </w:t>
      </w:r>
      <w:r w:rsidR="00056830">
        <w:rPr>
          <w:i/>
          <w:iCs/>
        </w:rPr>
        <w:t>Id.</w:t>
      </w:r>
      <w:r>
        <w:t xml:space="preserve"> at 14. </w:t>
      </w:r>
    </w:p>
  </w:footnote>
  <w:footnote w:id="29">
    <w:p w:rsidR="00212ABF" w:rsidP="00212ABF">
      <w:pPr>
        <w:pStyle w:val="FootnoteText"/>
      </w:pPr>
      <w:r>
        <w:rPr>
          <w:rStyle w:val="FootnoteReference"/>
        </w:rPr>
        <w:footnoteRef/>
      </w:r>
      <w:r>
        <w:t xml:space="preserve"> </w:t>
      </w:r>
      <w:r w:rsidR="00664D8C">
        <w:t>Filing, Transmittal Letter at</w:t>
      </w:r>
      <w:r w:rsidR="009E1BB1">
        <w:t xml:space="preserve"> 9.</w:t>
      </w:r>
    </w:p>
  </w:footnote>
  <w:footnote w:id="30">
    <w:p w:rsidR="00EE7426" w:rsidP="00EE7426">
      <w:pPr>
        <w:pStyle w:val="FootnoteText"/>
      </w:pPr>
      <w:r>
        <w:rPr>
          <w:rStyle w:val="FootnoteReference"/>
        </w:rPr>
        <w:footnoteRef/>
      </w:r>
      <w:r>
        <w:t xml:space="preserve"> Consumer Advocates Protest at 12.</w:t>
      </w:r>
    </w:p>
  </w:footnote>
  <w:footnote w:id="31">
    <w:p w:rsidR="00235962" w:rsidP="00235962">
      <w:pPr>
        <w:pStyle w:val="FootnoteText"/>
      </w:pPr>
      <w:r>
        <w:rPr>
          <w:rStyle w:val="FootnoteReference"/>
        </w:rPr>
        <w:footnoteRef/>
      </w:r>
      <w:r>
        <w:t xml:space="preserve"> </w:t>
      </w:r>
      <w:r>
        <w:rPr>
          <w:i/>
          <w:iCs/>
        </w:rPr>
        <w:t>Id.</w:t>
      </w:r>
      <w:r>
        <w:t xml:space="preserve"> at 16.</w:t>
      </w:r>
    </w:p>
  </w:footnote>
  <w:footnote w:id="32">
    <w:p w:rsidR="00235962" w:rsidRPr="00E873F4" w:rsidP="00235962">
      <w:pPr>
        <w:pStyle w:val="FootnoteText"/>
      </w:pPr>
      <w:r>
        <w:rPr>
          <w:rStyle w:val="FootnoteReference"/>
        </w:rPr>
        <w:footnoteRef/>
      </w:r>
      <w:r>
        <w:t xml:space="preserve"> </w:t>
      </w:r>
      <w:r>
        <w:rPr>
          <w:i/>
          <w:iCs/>
        </w:rPr>
        <w:t xml:space="preserve">Id. </w:t>
      </w:r>
      <w:r>
        <w:t xml:space="preserve">at 16-17. </w:t>
      </w:r>
    </w:p>
  </w:footnote>
  <w:footnote w:id="33">
    <w:p w:rsidR="000F155F" w:rsidRPr="00267CDA" w:rsidP="000F155F">
      <w:pPr>
        <w:pStyle w:val="FootnoteText"/>
      </w:pPr>
      <w:r>
        <w:rPr>
          <w:rStyle w:val="FootnoteReference"/>
        </w:rPr>
        <w:footnoteRef/>
      </w:r>
      <w:r>
        <w:t xml:space="preserve"> </w:t>
      </w:r>
      <w:r>
        <w:rPr>
          <w:i/>
          <w:iCs/>
        </w:rPr>
        <w:t>See Sw. Pub. Serv. Co.</w:t>
      </w:r>
      <w:r>
        <w:t xml:space="preserve">, 190 FERC </w:t>
      </w:r>
      <w:r w:rsidRPr="00FF1896">
        <w:t>¶</w:t>
      </w:r>
      <w:r>
        <w:t xml:space="preserve"> 61,046, at P 24 (2025); </w:t>
      </w:r>
      <w:r>
        <w:rPr>
          <w:i/>
          <w:iCs/>
        </w:rPr>
        <w:t>Pac. Gas &amp; Elec. Co.</w:t>
      </w:r>
      <w:r>
        <w:t xml:space="preserve">, 189 FERC </w:t>
      </w:r>
      <w:r w:rsidRPr="00FF1896">
        <w:t>¶</w:t>
      </w:r>
      <w:r>
        <w:t xml:space="preserve"> 61,229, at P 28 (2024); </w:t>
      </w:r>
      <w:r>
        <w:rPr>
          <w:i/>
          <w:iCs/>
        </w:rPr>
        <w:t>Okla. Gas &amp; Elec. Co.</w:t>
      </w:r>
      <w:r>
        <w:t xml:space="preserve">, 122 FERC </w:t>
      </w:r>
      <w:r w:rsidRPr="00FF1896">
        <w:t>¶</w:t>
      </w:r>
      <w:r>
        <w:t xml:space="preserve"> 61,071 at </w:t>
      </w:r>
      <w:r w:rsidR="00972FB2">
        <w:br/>
      </w:r>
      <w:r>
        <w:t>P 4</w:t>
      </w:r>
      <w:r w:rsidR="00972FB2">
        <w:t>1</w:t>
      </w:r>
      <w:r>
        <w:t>.</w:t>
      </w:r>
    </w:p>
  </w:footnote>
  <w:footnote w:id="34">
    <w:p w:rsidR="00B238B6">
      <w:pPr>
        <w:pStyle w:val="FootnoteText"/>
      </w:pPr>
      <w:r>
        <w:rPr>
          <w:rStyle w:val="FootnoteReference"/>
        </w:rPr>
        <w:footnoteRef/>
      </w:r>
      <w:r>
        <w:t xml:space="preserve"> </w:t>
      </w:r>
      <w:r w:rsidR="001A7F37">
        <w:t xml:space="preserve">Filing, Transmittal Letter at </w:t>
      </w:r>
      <w:r w:rsidR="0018097A">
        <w:t>5</w:t>
      </w:r>
      <w:r w:rsidR="001A7F37">
        <w:t>, 11.</w:t>
      </w:r>
    </w:p>
  </w:footnote>
  <w:footnote w:id="35">
    <w:p w:rsidR="00086527">
      <w:pPr>
        <w:pStyle w:val="FootnoteText"/>
      </w:pPr>
      <w:r>
        <w:rPr>
          <w:rStyle w:val="FootnoteReference"/>
        </w:rPr>
        <w:footnoteRef/>
      </w:r>
      <w:r>
        <w:t xml:space="preserve"> </w:t>
      </w:r>
      <w:r w:rsidR="00056830">
        <w:rPr>
          <w:i/>
          <w:iCs/>
        </w:rPr>
        <w:t>Id.</w:t>
      </w:r>
      <w:r>
        <w:t xml:space="preserve"> at 10.</w:t>
      </w:r>
    </w:p>
  </w:footnote>
  <w:footnote w:id="36">
    <w:p w:rsidR="00AB35C6" w:rsidRPr="00ED7245">
      <w:pPr>
        <w:pStyle w:val="FootnoteText"/>
      </w:pPr>
      <w:r>
        <w:rPr>
          <w:rStyle w:val="FootnoteReference"/>
        </w:rPr>
        <w:footnoteRef/>
      </w:r>
      <w:r>
        <w:t xml:space="preserve"> </w:t>
      </w:r>
      <w:r w:rsidR="00056830">
        <w:rPr>
          <w:i/>
          <w:iCs/>
        </w:rPr>
        <w:t>Id.</w:t>
      </w:r>
      <w:r w:rsidR="001F4DFE">
        <w:t xml:space="preserve"> at 2</w:t>
      </w:r>
      <w:r w:rsidR="00720EEF">
        <w:t>, 10</w:t>
      </w:r>
      <w:r w:rsidR="001F4DFE">
        <w:t xml:space="preserve">.  </w:t>
      </w:r>
    </w:p>
  </w:footnote>
  <w:footnote w:id="37">
    <w:p w:rsidR="00203AEE">
      <w:pPr>
        <w:pStyle w:val="FootnoteText"/>
      </w:pPr>
      <w:r>
        <w:rPr>
          <w:rStyle w:val="FootnoteReference"/>
        </w:rPr>
        <w:footnoteRef/>
      </w:r>
      <w:r>
        <w:t xml:space="preserve"> </w:t>
      </w:r>
      <w:r w:rsidR="00056830">
        <w:rPr>
          <w:i/>
          <w:iCs/>
        </w:rPr>
        <w:t>Id.</w:t>
      </w:r>
      <w:r w:rsidR="00425855">
        <w:t xml:space="preserve"> </w:t>
      </w:r>
      <w:r>
        <w:t>at 10.</w:t>
      </w:r>
    </w:p>
  </w:footnote>
  <w:footnote w:id="38">
    <w:p w:rsidR="005F5FD4">
      <w:pPr>
        <w:pStyle w:val="FootnoteText"/>
      </w:pPr>
      <w:r>
        <w:rPr>
          <w:rStyle w:val="FootnoteReference"/>
        </w:rPr>
        <w:footnoteRef/>
      </w:r>
      <w:r>
        <w:t xml:space="preserve"> </w:t>
      </w:r>
      <w:r w:rsidR="00056830">
        <w:rPr>
          <w:i/>
          <w:iCs/>
        </w:rPr>
        <w:t>Id.</w:t>
      </w:r>
      <w:r w:rsidR="00283AA4">
        <w:t xml:space="preserve"> at 11.</w:t>
      </w:r>
    </w:p>
  </w:footnote>
  <w:footnote w:id="39">
    <w:p w:rsidR="0076311E">
      <w:pPr>
        <w:pStyle w:val="FootnoteText"/>
      </w:pPr>
      <w:r>
        <w:rPr>
          <w:rStyle w:val="FootnoteReference"/>
        </w:rPr>
        <w:footnoteRef/>
      </w:r>
      <w:r>
        <w:t xml:space="preserve"> </w:t>
      </w:r>
      <w:r w:rsidR="00D033F0">
        <w:t xml:space="preserve">Filing, </w:t>
      </w:r>
      <w:r w:rsidR="00BF3A96">
        <w:t>a</w:t>
      </w:r>
      <w:r w:rsidR="00382C89">
        <w:t xml:space="preserve">ttach. D, Testimony of Adrien M. McKenzie </w:t>
      </w:r>
      <w:r w:rsidR="00F158A7">
        <w:t xml:space="preserve">(McKenzie </w:t>
      </w:r>
      <w:r w:rsidR="00D033F0">
        <w:t>Test.</w:t>
      </w:r>
      <w:r w:rsidR="003A7CEF">
        <w:t>)</w:t>
      </w:r>
      <w:r w:rsidR="004B5960">
        <w:t>.</w:t>
      </w:r>
    </w:p>
  </w:footnote>
  <w:footnote w:id="40">
    <w:p w:rsidR="006878F2">
      <w:pPr>
        <w:pStyle w:val="FootnoteText"/>
      </w:pPr>
      <w:r>
        <w:rPr>
          <w:rStyle w:val="FootnoteReference"/>
        </w:rPr>
        <w:footnoteRef/>
      </w:r>
      <w:r>
        <w:t xml:space="preserve"> </w:t>
      </w:r>
      <w:r w:rsidR="00352DC5">
        <w:t>Filing, Transmittal Letter</w:t>
      </w:r>
      <w:r>
        <w:t xml:space="preserve"> at 11.</w:t>
      </w:r>
    </w:p>
  </w:footnote>
  <w:footnote w:id="41">
    <w:p w:rsidR="00283409">
      <w:pPr>
        <w:pStyle w:val="FootnoteText"/>
      </w:pPr>
      <w:r>
        <w:rPr>
          <w:rStyle w:val="FootnoteReference"/>
        </w:rPr>
        <w:footnoteRef/>
      </w:r>
      <w:r>
        <w:t xml:space="preserve"> Filing, </w:t>
      </w:r>
      <w:r w:rsidR="00330ABD">
        <w:t>attach. D,</w:t>
      </w:r>
      <w:r>
        <w:t xml:space="preserve"> McKenzie Test</w:t>
      </w:r>
      <w:r w:rsidR="00330ABD">
        <w:t>.</w:t>
      </w:r>
      <w:r>
        <w:t xml:space="preserve"> at 30-31. </w:t>
      </w:r>
    </w:p>
  </w:footnote>
  <w:footnote w:id="42">
    <w:p w:rsidR="00330ABD">
      <w:pPr>
        <w:pStyle w:val="FootnoteText"/>
      </w:pPr>
      <w:r>
        <w:rPr>
          <w:rStyle w:val="FootnoteReference"/>
        </w:rPr>
        <w:footnoteRef/>
      </w:r>
      <w:r>
        <w:t xml:space="preserve"> </w:t>
      </w:r>
      <w:r w:rsidR="004B0795">
        <w:rPr>
          <w:i/>
          <w:iCs/>
        </w:rPr>
        <w:t>Id.</w:t>
      </w:r>
      <w:r>
        <w:t xml:space="preserve"> at 3</w:t>
      </w:r>
      <w:r w:rsidR="006C0B2B">
        <w:t>6.</w:t>
      </w:r>
    </w:p>
  </w:footnote>
  <w:footnote w:id="43">
    <w:p w:rsidR="006C0B2B">
      <w:pPr>
        <w:pStyle w:val="FootnoteText"/>
      </w:pPr>
      <w:r>
        <w:rPr>
          <w:rStyle w:val="FootnoteReference"/>
        </w:rPr>
        <w:footnoteRef/>
      </w:r>
      <w:r>
        <w:t xml:space="preserve"> </w:t>
      </w:r>
      <w:r w:rsidR="004B0795">
        <w:rPr>
          <w:i/>
          <w:iCs/>
        </w:rPr>
        <w:t>Id</w:t>
      </w:r>
      <w:r w:rsidRPr="00A94BFE" w:rsidR="004B0795">
        <w:rPr>
          <w:i/>
          <w:iCs/>
        </w:rPr>
        <w:t>.</w:t>
      </w:r>
      <w:r w:rsidRPr="00D853CB">
        <w:t xml:space="preserve"> </w:t>
      </w:r>
      <w:r>
        <w:t>at 47.</w:t>
      </w:r>
    </w:p>
  </w:footnote>
  <w:footnote w:id="44">
    <w:p w:rsidR="00E61AA2">
      <w:pPr>
        <w:pStyle w:val="FootnoteText"/>
      </w:pPr>
      <w:r>
        <w:rPr>
          <w:rStyle w:val="FootnoteReference"/>
        </w:rPr>
        <w:footnoteRef/>
      </w:r>
      <w:r>
        <w:t xml:space="preserve"> </w:t>
      </w:r>
      <w:r w:rsidR="004B0795">
        <w:rPr>
          <w:i/>
          <w:iCs/>
        </w:rPr>
        <w:t>Id</w:t>
      </w:r>
      <w:r w:rsidRPr="00A94BFE" w:rsidR="004B0795">
        <w:rPr>
          <w:i/>
          <w:iCs/>
        </w:rPr>
        <w:t>.</w:t>
      </w:r>
      <w:r w:rsidRPr="0098418D">
        <w:rPr>
          <w:i/>
          <w:iCs/>
        </w:rPr>
        <w:t xml:space="preserve"> </w:t>
      </w:r>
      <w:r>
        <w:t>at 68.</w:t>
      </w:r>
    </w:p>
  </w:footnote>
  <w:footnote w:id="45">
    <w:p w:rsidR="006407B1">
      <w:pPr>
        <w:pStyle w:val="FootnoteText"/>
      </w:pPr>
      <w:r>
        <w:rPr>
          <w:rStyle w:val="FootnoteReference"/>
        </w:rPr>
        <w:footnoteRef/>
      </w:r>
      <w:r>
        <w:t xml:space="preserve"> </w:t>
      </w:r>
      <w:r w:rsidR="00352DC5">
        <w:t>Filing, Transmittal Letter</w:t>
      </w:r>
      <w:r>
        <w:t xml:space="preserve"> at 12.</w:t>
      </w:r>
    </w:p>
  </w:footnote>
  <w:footnote w:id="46">
    <w:p w:rsidR="00784DB7" w:rsidRPr="00D062B8" w:rsidP="00B3744A">
      <w:pPr>
        <w:pStyle w:val="FootnoteText"/>
        <w:rPr>
          <w:i/>
          <w:iCs/>
        </w:rPr>
      </w:pPr>
      <w:r>
        <w:rPr>
          <w:rStyle w:val="FootnoteReference"/>
        </w:rPr>
        <w:footnoteRef/>
      </w:r>
      <w:r>
        <w:t xml:space="preserve"> </w:t>
      </w:r>
      <w:r w:rsidR="000D7BC6">
        <w:rPr>
          <w:i/>
          <w:iCs/>
        </w:rPr>
        <w:t>Id.</w:t>
      </w:r>
      <w:r w:rsidR="00597515">
        <w:t xml:space="preserve"> at 11 n.33, 12</w:t>
      </w:r>
      <w:r w:rsidR="00312E6C">
        <w:t xml:space="preserve"> (citing</w:t>
      </w:r>
      <w:r w:rsidR="00312E6C">
        <w:rPr>
          <w:i/>
          <w:iCs/>
        </w:rPr>
        <w:t xml:space="preserve"> </w:t>
      </w:r>
      <w:r w:rsidRPr="00D062B8" w:rsidR="00B3744A">
        <w:rPr>
          <w:i/>
          <w:iCs/>
        </w:rPr>
        <w:t>Ass’n of Bus. Advocating Tariff Equity v. Midcontinent Indep. Sys. Operator, Inc</w:t>
      </w:r>
      <w:r w:rsidRPr="00B3744A" w:rsidR="00B3744A">
        <w:t>., 189 FERC ¶ 61,036 (2024) (Order on Remand</w:t>
      </w:r>
      <w:r w:rsidR="00C43348">
        <w:t>)</w:t>
      </w:r>
      <w:r w:rsidRPr="00B3744A" w:rsidR="00B3744A">
        <w:t>)</w:t>
      </w:r>
      <w:r w:rsidR="009056BC">
        <w:t>.  The</w:t>
      </w:r>
      <w:r w:rsidRPr="009056BC" w:rsidR="009056BC">
        <w:t xml:space="preserve"> Commission </w:t>
      </w:r>
      <w:r w:rsidR="00ED7215">
        <w:t xml:space="preserve">did not adopt the </w:t>
      </w:r>
      <w:r w:rsidR="00E23F2F">
        <w:t>r</w:t>
      </w:r>
      <w:r w:rsidR="00ED7215">
        <w:t xml:space="preserve">isk </w:t>
      </w:r>
      <w:r w:rsidR="00E23F2F">
        <w:t>p</w:t>
      </w:r>
      <w:r w:rsidR="00ED7215">
        <w:t>remium model</w:t>
      </w:r>
      <w:r w:rsidRPr="009056BC" w:rsidR="00ED7215">
        <w:t xml:space="preserve"> </w:t>
      </w:r>
      <w:r w:rsidR="00F41CA6">
        <w:t>in the Order on Remand</w:t>
      </w:r>
      <w:r w:rsidR="003B229C">
        <w:t>,</w:t>
      </w:r>
      <w:r w:rsidR="00DD0ED9">
        <w:t xml:space="preserve"> based </w:t>
      </w:r>
      <w:r w:rsidR="00407E8B">
        <w:br/>
      </w:r>
      <w:r w:rsidR="00DD0ED9">
        <w:t>on the record before it</w:t>
      </w:r>
      <w:r w:rsidR="003B229C">
        <w:t>,</w:t>
      </w:r>
      <w:r w:rsidR="00ED7215">
        <w:t xml:space="preserve"> but stated</w:t>
      </w:r>
      <w:r w:rsidR="00334EEF">
        <w:t xml:space="preserve"> that it did not foreclose the use of a </w:t>
      </w:r>
      <w:r w:rsidR="00655A8F">
        <w:t>r</w:t>
      </w:r>
      <w:r w:rsidR="00334EEF">
        <w:t xml:space="preserve">isk </w:t>
      </w:r>
      <w:r w:rsidR="00655A8F">
        <w:t>p</w:t>
      </w:r>
      <w:r w:rsidR="00334EEF">
        <w:t xml:space="preserve">remium </w:t>
      </w:r>
      <w:r w:rsidR="00407E8B">
        <w:br/>
      </w:r>
      <w:r w:rsidR="00334EEF">
        <w:t>model in future proceedings if parties</w:t>
      </w:r>
      <w:r w:rsidR="00DE26B7">
        <w:t xml:space="preserve"> addressed relevant concerns.  </w:t>
      </w:r>
      <w:r w:rsidRPr="00B3744A" w:rsidR="00630B9A">
        <w:t>Order on Remand</w:t>
      </w:r>
      <w:r w:rsidR="00675E18">
        <w:t xml:space="preserve">, 189 FERC </w:t>
      </w:r>
      <w:r w:rsidRPr="00B3744A" w:rsidR="00675E18">
        <w:t xml:space="preserve">¶ 61,036 </w:t>
      </w:r>
      <w:r w:rsidR="00835EE2">
        <w:t>at</w:t>
      </w:r>
      <w:r w:rsidR="00630B9A">
        <w:rPr>
          <w:i/>
          <w:iCs/>
        </w:rPr>
        <w:t xml:space="preserve"> </w:t>
      </w:r>
      <w:r w:rsidR="0009767C">
        <w:t>P 24</w:t>
      </w:r>
      <w:r w:rsidR="009056BC">
        <w:rPr>
          <w:i/>
          <w:iCs/>
        </w:rPr>
        <w:t xml:space="preserve">. </w:t>
      </w:r>
    </w:p>
  </w:footnote>
  <w:footnote w:id="47">
    <w:p w:rsidR="00E92390">
      <w:pPr>
        <w:pStyle w:val="FootnoteText"/>
      </w:pPr>
      <w:r>
        <w:rPr>
          <w:rStyle w:val="FootnoteReference"/>
        </w:rPr>
        <w:footnoteRef/>
      </w:r>
      <w:r>
        <w:t xml:space="preserve"> </w:t>
      </w:r>
      <w:r w:rsidR="000D7BC6">
        <w:rPr>
          <w:i/>
          <w:iCs/>
        </w:rPr>
        <w:t>Id.</w:t>
      </w:r>
      <w:r w:rsidR="00A93630">
        <w:t xml:space="preserve"> at </w:t>
      </w:r>
      <w:r w:rsidR="005B6BBC">
        <w:t>13.</w:t>
      </w:r>
    </w:p>
  </w:footnote>
  <w:footnote w:id="48">
    <w:p w:rsidR="00A56CFD">
      <w:pPr>
        <w:pStyle w:val="FootnoteText"/>
      </w:pPr>
      <w:r>
        <w:rPr>
          <w:rStyle w:val="FootnoteReference"/>
        </w:rPr>
        <w:footnoteRef/>
      </w:r>
      <w:r>
        <w:t xml:space="preserve"> </w:t>
      </w:r>
      <w:r w:rsidR="000D7BC6">
        <w:rPr>
          <w:i/>
          <w:iCs/>
        </w:rPr>
        <w:t>Id.</w:t>
      </w:r>
      <w:r>
        <w:t xml:space="preserve"> at </w:t>
      </w:r>
      <w:r w:rsidR="003B61C6">
        <w:t>15-16.</w:t>
      </w:r>
    </w:p>
  </w:footnote>
  <w:footnote w:id="49">
    <w:p w:rsidR="00506375" w:rsidP="00506375">
      <w:pPr>
        <w:pStyle w:val="FootnoteText"/>
      </w:pPr>
      <w:r>
        <w:rPr>
          <w:rStyle w:val="FootnoteReference"/>
        </w:rPr>
        <w:footnoteRef/>
      </w:r>
      <w:r>
        <w:t xml:space="preserve"> Consumer Advocates Protest at 5 </w:t>
      </w:r>
      <w:r w:rsidR="004D52F5">
        <w:t>(</w:t>
      </w:r>
      <w:r>
        <w:t xml:space="preserve">citing </w:t>
      </w:r>
      <w:r w:rsidRPr="00B8591B">
        <w:rPr>
          <w:i/>
          <w:iCs/>
        </w:rPr>
        <w:t>Bangor Hydro-Ele</w:t>
      </w:r>
      <w:r w:rsidR="00972FB2">
        <w:rPr>
          <w:i/>
          <w:iCs/>
        </w:rPr>
        <w:t>c.</w:t>
      </w:r>
      <w:r w:rsidRPr="00B8591B">
        <w:rPr>
          <w:i/>
          <w:iCs/>
        </w:rPr>
        <w:t xml:space="preserve"> Co.</w:t>
      </w:r>
      <w:r w:rsidRPr="00AD6E5D">
        <w:t>,</w:t>
      </w:r>
      <w:r w:rsidRPr="00B8591B">
        <w:t xml:space="preserve"> 122 FERC </w:t>
      </w:r>
      <w:r w:rsidR="00972FB2">
        <w:br/>
      </w:r>
      <w:r w:rsidRPr="00B8591B">
        <w:t>¶ 61,038</w:t>
      </w:r>
      <w:r w:rsidR="004D52F5">
        <w:t>, at PP 12, 14</w:t>
      </w:r>
      <w:r w:rsidRPr="00B8591B">
        <w:t xml:space="preserve"> (2008</w:t>
      </w:r>
      <w:r w:rsidR="00234B69">
        <w:t>)</w:t>
      </w:r>
      <w:r w:rsidRPr="00B8591B">
        <w:t>)</w:t>
      </w:r>
      <w:r w:rsidR="00BB3205">
        <w:t>;</w:t>
      </w:r>
      <w:r w:rsidR="00AB4396">
        <w:t xml:space="preserve"> </w:t>
      </w:r>
      <w:r w:rsidRPr="008C752B" w:rsidR="008C752B">
        <w:t xml:space="preserve">New York Commission </w:t>
      </w:r>
      <w:r w:rsidR="009946E1">
        <w:t xml:space="preserve">Protest at 2 </w:t>
      </w:r>
      <w:r w:rsidR="00234B69">
        <w:t>(</w:t>
      </w:r>
      <w:r w:rsidR="009946E1">
        <w:t>citing</w:t>
      </w:r>
      <w:r w:rsidRPr="001744C0" w:rsidR="009946E1">
        <w:t xml:space="preserve"> to</w:t>
      </w:r>
      <w:r w:rsidRPr="001744C0" w:rsidR="009946E1">
        <w:rPr>
          <w:i/>
          <w:iCs/>
        </w:rPr>
        <w:t xml:space="preserve"> Bangor Hydro-Elec</w:t>
      </w:r>
      <w:r w:rsidR="00972FB2">
        <w:rPr>
          <w:i/>
          <w:iCs/>
        </w:rPr>
        <w:t>.</w:t>
      </w:r>
      <w:r w:rsidRPr="001744C0" w:rsidR="009946E1">
        <w:rPr>
          <w:i/>
          <w:iCs/>
        </w:rPr>
        <w:t xml:space="preserve"> Co.</w:t>
      </w:r>
      <w:r w:rsidRPr="001744C0" w:rsidR="009946E1">
        <w:t>, 122 FERC ¶ 61,038 at P 12</w:t>
      </w:r>
      <w:r w:rsidR="00234B69">
        <w:t>)</w:t>
      </w:r>
      <w:r>
        <w:t xml:space="preserve">. </w:t>
      </w:r>
    </w:p>
  </w:footnote>
  <w:footnote w:id="50">
    <w:p w:rsidR="00506375" w:rsidP="00506375">
      <w:pPr>
        <w:pStyle w:val="FootnoteText"/>
      </w:pPr>
      <w:r>
        <w:rPr>
          <w:rStyle w:val="FootnoteReference"/>
        </w:rPr>
        <w:footnoteRef/>
      </w:r>
      <w:r>
        <w:t xml:space="preserve"> </w:t>
      </w:r>
      <w:r w:rsidR="000D7BC6">
        <w:rPr>
          <w:i/>
          <w:iCs/>
        </w:rPr>
        <w:t>Id.</w:t>
      </w:r>
      <w:r>
        <w:t xml:space="preserve"> at 6 </w:t>
      </w:r>
      <w:r w:rsidR="00C64B02">
        <w:t>(</w:t>
      </w:r>
      <w:r>
        <w:t xml:space="preserve">citing </w:t>
      </w:r>
      <w:r w:rsidRPr="00E76079">
        <w:rPr>
          <w:i/>
          <w:iCs/>
        </w:rPr>
        <w:t>Promoting Transmission Investment through Pricing Reform</w:t>
      </w:r>
      <w:r w:rsidRPr="00E76079">
        <w:t>, Order No. 679</w:t>
      </w:r>
      <w:r w:rsidR="0053031F">
        <w:t>,</w:t>
      </w:r>
      <w:r w:rsidRPr="00E76079">
        <w:t xml:space="preserve"> </w:t>
      </w:r>
      <w:r w:rsidR="008C700D">
        <w:t>116</w:t>
      </w:r>
      <w:r w:rsidRPr="00E76079">
        <w:t xml:space="preserve"> FERC ¶ </w:t>
      </w:r>
      <w:r w:rsidR="009A19ED">
        <w:t>61,057</w:t>
      </w:r>
      <w:r w:rsidR="00933BEF">
        <w:t>,</w:t>
      </w:r>
      <w:r w:rsidRPr="00E76079">
        <w:t xml:space="preserve"> at P 21</w:t>
      </w:r>
      <w:r w:rsidR="00FC65FD">
        <w:t xml:space="preserve"> (Order No. 679)</w:t>
      </w:r>
      <w:r w:rsidRPr="00E76079">
        <w:t xml:space="preserve">, </w:t>
      </w:r>
      <w:r w:rsidRPr="00AD6E5D">
        <w:rPr>
          <w:i/>
          <w:iCs/>
        </w:rPr>
        <w:t>order on reh’g</w:t>
      </w:r>
      <w:r w:rsidRPr="00E76079">
        <w:t xml:space="preserve">, Order </w:t>
      </w:r>
      <w:r w:rsidR="00407E8B">
        <w:br/>
      </w:r>
      <w:r w:rsidRPr="00E76079">
        <w:t xml:space="preserve">No. 679-A, </w:t>
      </w:r>
      <w:r w:rsidR="00933BEF">
        <w:t xml:space="preserve">117 </w:t>
      </w:r>
      <w:r w:rsidRPr="00E76079">
        <w:t xml:space="preserve">FERC ¶ </w:t>
      </w:r>
      <w:r w:rsidR="002F3FFE">
        <w:t>61,345</w:t>
      </w:r>
      <w:r w:rsidRPr="00E76079">
        <w:t xml:space="preserve"> (2006)</w:t>
      </w:r>
      <w:r w:rsidR="002F3FFE">
        <w:t xml:space="preserve">, </w:t>
      </w:r>
      <w:r w:rsidR="002F3FFE">
        <w:rPr>
          <w:i/>
          <w:iCs/>
        </w:rPr>
        <w:t>order on reh’g</w:t>
      </w:r>
      <w:r w:rsidR="002F3FFE">
        <w:t>, 119 FERC ¶ 61,062 (2007)</w:t>
      </w:r>
      <w:r w:rsidR="00C64B02">
        <w:t>)</w:t>
      </w:r>
      <w:r w:rsidR="00AC1040">
        <w:t>;</w:t>
      </w:r>
      <w:r w:rsidR="008E612F">
        <w:t xml:space="preserve"> </w:t>
      </w:r>
      <w:r w:rsidRPr="008C752B" w:rsidR="008C752B">
        <w:t xml:space="preserve">New York Commission </w:t>
      </w:r>
      <w:r w:rsidR="008E612F">
        <w:t xml:space="preserve">Protest at 3 </w:t>
      </w:r>
      <w:r w:rsidR="00C64B02">
        <w:t>(</w:t>
      </w:r>
      <w:r w:rsidR="008E612F">
        <w:t>citing</w:t>
      </w:r>
      <w:r w:rsidRPr="005E213B" w:rsidR="008E612F">
        <w:t xml:space="preserve"> Order No. 679</w:t>
      </w:r>
      <w:r w:rsidR="00FC65FD">
        <w:t>, 116</w:t>
      </w:r>
      <w:r w:rsidRPr="005E213B" w:rsidR="008E612F">
        <w:t xml:space="preserve"> FERC </w:t>
      </w:r>
      <w:r w:rsidRPr="00E76079" w:rsidR="00C53482">
        <w:t xml:space="preserve">¶ </w:t>
      </w:r>
      <w:r w:rsidR="00C53482">
        <w:t xml:space="preserve">61,057 </w:t>
      </w:r>
      <w:r w:rsidRPr="005E213B" w:rsidR="008E612F">
        <w:t>at P 21</w:t>
      </w:r>
      <w:r w:rsidR="002B32F4">
        <w:t>)</w:t>
      </w:r>
      <w:r w:rsidR="00C53482">
        <w:t>;</w:t>
      </w:r>
      <w:r w:rsidR="00407E8B">
        <w:br/>
      </w:r>
      <w:r w:rsidR="008E612F">
        <w:t xml:space="preserve">NYAPP Protest at 4-5 </w:t>
      </w:r>
      <w:r w:rsidR="009D3EB8">
        <w:t>(</w:t>
      </w:r>
      <w:r w:rsidR="008E612F">
        <w:t xml:space="preserve">citing </w:t>
      </w:r>
      <w:r w:rsidRPr="00A46207" w:rsidR="008E612F">
        <w:rPr>
          <w:i/>
          <w:iCs/>
        </w:rPr>
        <w:t>FPC v. Hope Nat. Gas Co.</w:t>
      </w:r>
      <w:r w:rsidRPr="00AD6E5D" w:rsidR="008E612F">
        <w:t>,</w:t>
      </w:r>
      <w:r w:rsidRPr="00A46207" w:rsidR="008E612F">
        <w:rPr>
          <w:i/>
          <w:iCs/>
        </w:rPr>
        <w:t xml:space="preserve"> </w:t>
      </w:r>
      <w:r w:rsidRPr="00A46207" w:rsidR="008E612F">
        <w:t>320 U.S. 591 at 604</w:t>
      </w:r>
      <w:r w:rsidR="008E612F">
        <w:t>, 612</w:t>
      </w:r>
      <w:r w:rsidR="009D3EB8">
        <w:t xml:space="preserve"> (</w:t>
      </w:r>
      <w:r w:rsidR="007C3D4C">
        <w:t>1944))</w:t>
      </w:r>
      <w:r w:rsidR="008E612F">
        <w:t>.</w:t>
      </w:r>
    </w:p>
  </w:footnote>
  <w:footnote w:id="51">
    <w:p w:rsidR="006633CB" w:rsidP="006633CB">
      <w:pPr>
        <w:pStyle w:val="FootnoteText"/>
      </w:pPr>
      <w:r>
        <w:rPr>
          <w:rStyle w:val="FootnoteReference"/>
        </w:rPr>
        <w:footnoteRef/>
      </w:r>
      <w:r>
        <w:t xml:space="preserve"> New York Commission Protest at 2</w:t>
      </w:r>
    </w:p>
  </w:footnote>
  <w:footnote w:id="52">
    <w:p w:rsidR="00506375" w:rsidP="00506375">
      <w:pPr>
        <w:pStyle w:val="FootnoteText"/>
      </w:pPr>
      <w:r>
        <w:rPr>
          <w:rStyle w:val="FootnoteReference"/>
        </w:rPr>
        <w:footnoteRef/>
      </w:r>
      <w:r>
        <w:t xml:space="preserve"> </w:t>
      </w:r>
      <w:r w:rsidR="00972FEB">
        <w:rPr>
          <w:i/>
          <w:iCs/>
        </w:rPr>
        <w:t>Id.</w:t>
      </w:r>
      <w:r w:rsidRPr="00820CD3" w:rsidR="00411962">
        <w:t xml:space="preserve"> </w:t>
      </w:r>
      <w:r w:rsidRPr="00820CD3" w:rsidR="00C86911">
        <w:t>a</w:t>
      </w:r>
      <w:r w:rsidRPr="00820CD3" w:rsidR="00411962">
        <w:t xml:space="preserve">t </w:t>
      </w:r>
      <w:r w:rsidRPr="00820CD3" w:rsidR="00C86911">
        <w:t>3;</w:t>
      </w:r>
      <w:r w:rsidR="00C86911">
        <w:rPr>
          <w:i/>
          <w:iCs/>
        </w:rPr>
        <w:t xml:space="preserve"> </w:t>
      </w:r>
      <w:r w:rsidR="00555A4B">
        <w:t>Consumer Advocates Protest at 6</w:t>
      </w:r>
      <w:r w:rsidR="00837DAA">
        <w:t>; NYAPP</w:t>
      </w:r>
      <w:r w:rsidRPr="008C752B" w:rsidR="008C752B">
        <w:t xml:space="preserve"> </w:t>
      </w:r>
      <w:r w:rsidR="00EE68F9">
        <w:t>Protest</w:t>
      </w:r>
      <w:r w:rsidR="001A23D7">
        <w:t xml:space="preserve"> at </w:t>
      </w:r>
      <w:r w:rsidR="00837DAA">
        <w:t>5</w:t>
      </w:r>
      <w:r w:rsidR="00C86911">
        <w:t>.</w:t>
      </w:r>
    </w:p>
  </w:footnote>
  <w:footnote w:id="53">
    <w:p w:rsidR="00506375" w:rsidP="00506375">
      <w:pPr>
        <w:pStyle w:val="FootnoteText"/>
      </w:pPr>
      <w:r>
        <w:rPr>
          <w:rStyle w:val="FootnoteReference"/>
        </w:rPr>
        <w:footnoteRef/>
      </w:r>
      <w:r>
        <w:t xml:space="preserve"> Consumer Advocates Protest at 6</w:t>
      </w:r>
      <w:r w:rsidR="00DD65B4">
        <w:t>; NYAPP Protest at 3</w:t>
      </w:r>
      <w:r>
        <w:t xml:space="preserve">.  </w:t>
      </w:r>
    </w:p>
  </w:footnote>
  <w:footnote w:id="54">
    <w:p w:rsidR="00D702BC">
      <w:pPr>
        <w:pStyle w:val="FootnoteText"/>
      </w:pPr>
      <w:r>
        <w:rPr>
          <w:rStyle w:val="FootnoteReference"/>
        </w:rPr>
        <w:footnoteRef/>
      </w:r>
      <w:r>
        <w:t xml:space="preserve"> Consumer Advocates Protest at 6.</w:t>
      </w:r>
    </w:p>
  </w:footnote>
  <w:footnote w:id="55">
    <w:p w:rsidR="00593A4C">
      <w:pPr>
        <w:pStyle w:val="FootnoteText"/>
      </w:pPr>
      <w:r>
        <w:rPr>
          <w:rStyle w:val="FootnoteReference"/>
        </w:rPr>
        <w:footnoteRef/>
      </w:r>
      <w:r>
        <w:t xml:space="preserve"> </w:t>
      </w:r>
      <w:r w:rsidR="00D853CB">
        <w:rPr>
          <w:i/>
          <w:iCs/>
        </w:rPr>
        <w:t>Id</w:t>
      </w:r>
      <w:r w:rsidRPr="00A94BFE" w:rsidR="00D853CB">
        <w:rPr>
          <w:i/>
          <w:iCs/>
        </w:rPr>
        <w:t>.</w:t>
      </w:r>
      <w:r>
        <w:t xml:space="preserve"> at 6-7.</w:t>
      </w:r>
    </w:p>
  </w:footnote>
  <w:footnote w:id="56">
    <w:p w:rsidR="00593A4C">
      <w:pPr>
        <w:pStyle w:val="FootnoteText"/>
      </w:pPr>
      <w:r>
        <w:rPr>
          <w:rStyle w:val="FootnoteReference"/>
        </w:rPr>
        <w:footnoteRef/>
      </w:r>
      <w:r>
        <w:t xml:space="preserve"> </w:t>
      </w:r>
      <w:r w:rsidR="00972FEB">
        <w:rPr>
          <w:i/>
          <w:iCs/>
        </w:rPr>
        <w:t>Id.</w:t>
      </w:r>
      <w:r w:rsidR="00A94BFE">
        <w:rPr>
          <w:i/>
          <w:iCs/>
        </w:rPr>
        <w:t xml:space="preserve"> </w:t>
      </w:r>
      <w:r>
        <w:t>at 7.</w:t>
      </w:r>
    </w:p>
  </w:footnote>
  <w:footnote w:id="57">
    <w:p w:rsidR="00593A4C" w:rsidP="00593A4C">
      <w:pPr>
        <w:pStyle w:val="FootnoteText"/>
      </w:pPr>
      <w:r>
        <w:rPr>
          <w:rStyle w:val="FootnoteReference"/>
        </w:rPr>
        <w:footnoteRef/>
      </w:r>
      <w:r>
        <w:t xml:space="preserve"> </w:t>
      </w:r>
      <w:r w:rsidR="00972FEB">
        <w:rPr>
          <w:i/>
          <w:iCs/>
        </w:rPr>
        <w:t>Id.</w:t>
      </w:r>
      <w:r w:rsidR="00972FEB">
        <w:t xml:space="preserve"> </w:t>
      </w:r>
      <w:r w:rsidR="00680616">
        <w:t>(</w:t>
      </w:r>
      <w:r>
        <w:t>citing</w:t>
      </w:r>
      <w:r w:rsidR="00421C68">
        <w:t xml:space="preserve"> Chait Test. at 8).</w:t>
      </w:r>
    </w:p>
  </w:footnote>
  <w:footnote w:id="58">
    <w:p w:rsidR="00751F91" w:rsidP="00751F91">
      <w:pPr>
        <w:pStyle w:val="FootnoteText"/>
      </w:pPr>
      <w:r>
        <w:rPr>
          <w:rStyle w:val="FootnoteReference"/>
        </w:rPr>
        <w:footnoteRef/>
      </w:r>
      <w:r>
        <w:t xml:space="preserve"> </w:t>
      </w:r>
      <w:r w:rsidR="000E63C6">
        <w:rPr>
          <w:i/>
          <w:iCs/>
        </w:rPr>
        <w:t>Id.</w:t>
      </w:r>
      <w:r w:rsidR="00AF41E7">
        <w:t>;</w:t>
      </w:r>
      <w:r w:rsidR="00722F5F">
        <w:t xml:space="preserve"> Chait Test. at 22</w:t>
      </w:r>
      <w:r w:rsidR="00816C6E">
        <w:t xml:space="preserve"> (citing </w:t>
      </w:r>
      <w:r w:rsidRPr="004505BF" w:rsidR="00CF10EA">
        <w:rPr>
          <w:i/>
          <w:iCs/>
        </w:rPr>
        <w:t>Inquiry Regarding the Comm’</w:t>
      </w:r>
      <w:r w:rsidR="00407E8B">
        <w:rPr>
          <w:i/>
          <w:iCs/>
        </w:rPr>
        <w:t>n</w:t>
      </w:r>
      <w:r w:rsidR="004A11AF">
        <w:rPr>
          <w:i/>
          <w:iCs/>
        </w:rPr>
        <w:t>’</w:t>
      </w:r>
      <w:r w:rsidRPr="004505BF" w:rsidR="00CF10EA">
        <w:rPr>
          <w:i/>
          <w:iCs/>
        </w:rPr>
        <w:t>s Pol</w:t>
      </w:r>
      <w:r w:rsidR="0009514A">
        <w:rPr>
          <w:i/>
          <w:iCs/>
        </w:rPr>
        <w:t>’</w:t>
      </w:r>
      <w:r w:rsidRPr="004505BF" w:rsidR="00CF10EA">
        <w:rPr>
          <w:i/>
          <w:iCs/>
        </w:rPr>
        <w:t>y for Determining Return on Equity</w:t>
      </w:r>
      <w:r w:rsidRPr="004505BF" w:rsidR="00CF10EA">
        <w:t>, Polic</w:t>
      </w:r>
      <w:r w:rsidRPr="004505BF" w:rsidR="007F11F7">
        <w:t>y</w:t>
      </w:r>
      <w:r w:rsidRPr="004505BF" w:rsidR="00CF10EA">
        <w:t xml:space="preserve"> Statement</w:t>
      </w:r>
      <w:r w:rsidRPr="004505BF" w:rsidR="007F11F7">
        <w:t xml:space="preserve"> on Determining Return on Equity </w:t>
      </w:r>
      <w:r w:rsidR="004A11AF">
        <w:br/>
      </w:r>
      <w:r w:rsidRPr="004505BF" w:rsidR="007F11F7">
        <w:t>for Natural Gas and Oil Pipelines</w:t>
      </w:r>
      <w:r w:rsidR="007A5368">
        <w:t>, Docket No. PL19-4-000, at 56 (2020)</w:t>
      </w:r>
      <w:r w:rsidR="007072A0">
        <w:t>)</w:t>
      </w:r>
      <w:r w:rsidR="007F1DC8">
        <w:t>.</w:t>
      </w:r>
    </w:p>
  </w:footnote>
  <w:footnote w:id="59">
    <w:p w:rsidR="0083636E" w:rsidP="0083636E">
      <w:pPr>
        <w:pStyle w:val="FootnoteText"/>
      </w:pPr>
      <w:r>
        <w:rPr>
          <w:rStyle w:val="FootnoteReference"/>
        </w:rPr>
        <w:footnoteRef/>
      </w:r>
      <w:r>
        <w:t xml:space="preserve"> NYAPP Protest at 3</w:t>
      </w:r>
      <w:r w:rsidR="00CF044D">
        <w:t xml:space="preserve"> (citing </w:t>
      </w:r>
      <w:r w:rsidRPr="00F80FF8" w:rsidR="00CF044D">
        <w:rPr>
          <w:i/>
          <w:iCs/>
        </w:rPr>
        <w:t>Constellation Mystic Power, LLC</w:t>
      </w:r>
      <w:r w:rsidRPr="00751F91" w:rsidR="00CF044D">
        <w:t xml:space="preserve">, 176 FERC </w:t>
      </w:r>
      <w:r w:rsidR="004A11AF">
        <w:br/>
      </w:r>
      <w:r w:rsidRPr="00751F91" w:rsidR="00CF044D">
        <w:t>¶ 61,019</w:t>
      </w:r>
      <w:r w:rsidR="00CF044D">
        <w:t>,</w:t>
      </w:r>
      <w:r w:rsidRPr="00751F91" w:rsidR="00CF044D">
        <w:t xml:space="preserve"> at PP 77, 85 (2021)</w:t>
      </w:r>
      <w:r w:rsidR="00CF044D">
        <w:t>).</w:t>
      </w:r>
      <w:r>
        <w:t xml:space="preserve"> </w:t>
      </w:r>
    </w:p>
  </w:footnote>
  <w:footnote w:id="60">
    <w:p w:rsidR="0083636E" w:rsidP="0083636E">
      <w:pPr>
        <w:pStyle w:val="FootnoteText"/>
      </w:pPr>
      <w:r>
        <w:rPr>
          <w:rStyle w:val="FootnoteReference"/>
        </w:rPr>
        <w:footnoteRef/>
      </w:r>
      <w:r>
        <w:t xml:space="preserve"> </w:t>
      </w:r>
      <w:r w:rsidR="000E63C6">
        <w:rPr>
          <w:i/>
          <w:iCs/>
        </w:rPr>
        <w:t>Id.</w:t>
      </w:r>
      <w:r w:rsidR="000E63C6">
        <w:t xml:space="preserve"> </w:t>
      </w:r>
      <w:r w:rsidR="00762AA8">
        <w:t>(citing McKen</w:t>
      </w:r>
      <w:r w:rsidR="00046015">
        <w:t>zie</w:t>
      </w:r>
      <w:r w:rsidR="00762AA8">
        <w:t xml:space="preserve"> Test. </w:t>
      </w:r>
      <w:r w:rsidR="00046015">
        <w:t>a</w:t>
      </w:r>
      <w:r w:rsidR="00762AA8">
        <w:t>t</w:t>
      </w:r>
      <w:r w:rsidR="00046015">
        <w:t xml:space="preserve"> </w:t>
      </w:r>
      <w:r w:rsidR="006C6D79">
        <w:t>41)</w:t>
      </w:r>
      <w:r>
        <w:t xml:space="preserve">. </w:t>
      </w:r>
    </w:p>
  </w:footnote>
  <w:footnote w:id="61">
    <w:p w:rsidR="0083636E" w:rsidP="0083636E">
      <w:pPr>
        <w:pStyle w:val="FootnoteText"/>
      </w:pPr>
      <w:r>
        <w:rPr>
          <w:rStyle w:val="FootnoteReference"/>
        </w:rPr>
        <w:footnoteRef/>
      </w:r>
      <w:r>
        <w:t xml:space="preserve"> </w:t>
      </w:r>
      <w:r w:rsidR="005829F9">
        <w:rPr>
          <w:i/>
          <w:iCs/>
        </w:rPr>
        <w:t>Id.</w:t>
      </w:r>
      <w:r>
        <w:t xml:space="preserve"> at 3-4. </w:t>
      </w:r>
    </w:p>
  </w:footnote>
  <w:footnote w:id="62">
    <w:p w:rsidR="0083636E" w:rsidP="0083636E">
      <w:pPr>
        <w:pStyle w:val="FootnoteText"/>
      </w:pPr>
      <w:r>
        <w:rPr>
          <w:rStyle w:val="FootnoteReference"/>
        </w:rPr>
        <w:footnoteRef/>
      </w:r>
      <w:r>
        <w:t xml:space="preserve"> </w:t>
      </w:r>
      <w:r w:rsidRPr="008C752B" w:rsidR="008C752B">
        <w:t xml:space="preserve">New York Commission </w:t>
      </w:r>
      <w:r>
        <w:t>Protest at 4.</w:t>
      </w:r>
    </w:p>
  </w:footnote>
  <w:footnote w:id="63">
    <w:p w:rsidR="0083636E" w:rsidP="0083636E">
      <w:pPr>
        <w:pStyle w:val="FootnoteText"/>
      </w:pPr>
      <w:r>
        <w:rPr>
          <w:rStyle w:val="FootnoteReference"/>
        </w:rPr>
        <w:footnoteRef/>
      </w:r>
      <w:r>
        <w:t xml:space="preserve"> NYAPP Protest at 4.</w:t>
      </w:r>
    </w:p>
  </w:footnote>
  <w:footnote w:id="64">
    <w:p w:rsidR="0083636E" w:rsidRPr="00F41350" w:rsidP="0083636E">
      <w:pPr>
        <w:pStyle w:val="FootnoteText"/>
        <w:rPr>
          <w:b/>
          <w:bCs/>
        </w:rPr>
      </w:pPr>
      <w:r>
        <w:rPr>
          <w:rStyle w:val="FootnoteReference"/>
        </w:rPr>
        <w:footnoteRef/>
      </w:r>
      <w:r>
        <w:t xml:space="preserve"> </w:t>
      </w:r>
      <w:r w:rsidR="002C41F7">
        <w:rPr>
          <w:i/>
          <w:iCs/>
        </w:rPr>
        <w:t>Id.</w:t>
      </w:r>
      <w:r w:rsidR="002C41F7">
        <w:t xml:space="preserve"> at 5 (citing </w:t>
      </w:r>
      <w:r w:rsidRPr="00B3744A" w:rsidR="002C41F7">
        <w:t>Order on Remand</w:t>
      </w:r>
      <w:r w:rsidRPr="00F41350" w:rsidR="002C41F7">
        <w:t>, 189 FERC ¶ 61,036</w:t>
      </w:r>
      <w:r w:rsidR="002C41F7">
        <w:t xml:space="preserve"> at P 42)</w:t>
      </w:r>
      <w:r w:rsidRPr="00F41350" w:rsidR="002C41F7">
        <w:t>.</w:t>
      </w:r>
    </w:p>
  </w:footnote>
  <w:footnote w:id="65">
    <w:p w:rsidR="00506375" w:rsidP="00506375">
      <w:pPr>
        <w:pStyle w:val="FootnoteText"/>
      </w:pPr>
      <w:r>
        <w:rPr>
          <w:rStyle w:val="FootnoteReference"/>
        </w:rPr>
        <w:footnoteRef/>
      </w:r>
      <w:r>
        <w:t xml:space="preserve"> Consumer Advocates Protest at 8-9. </w:t>
      </w:r>
    </w:p>
  </w:footnote>
  <w:footnote w:id="66">
    <w:p w:rsidR="00506375" w:rsidP="00506375">
      <w:pPr>
        <w:pStyle w:val="FootnoteText"/>
      </w:pPr>
      <w:r>
        <w:rPr>
          <w:rStyle w:val="FootnoteReference"/>
        </w:rPr>
        <w:footnoteRef/>
      </w:r>
      <w:r>
        <w:t xml:space="preserve"> </w:t>
      </w:r>
      <w:r w:rsidR="005829F9">
        <w:rPr>
          <w:i/>
          <w:iCs/>
        </w:rPr>
        <w:t>Id.</w:t>
      </w:r>
      <w:r>
        <w:t xml:space="preserve"> at 9.  </w:t>
      </w:r>
    </w:p>
  </w:footnote>
  <w:footnote w:id="67">
    <w:p w:rsidR="005A1A38" w:rsidP="005A1A38">
      <w:pPr>
        <w:pStyle w:val="FootnoteText"/>
      </w:pPr>
      <w:r>
        <w:rPr>
          <w:rStyle w:val="FootnoteReference"/>
        </w:rPr>
        <w:footnoteRef/>
      </w:r>
      <w:r>
        <w:t xml:space="preserve"> NYAPP Protest at 4. </w:t>
      </w:r>
    </w:p>
  </w:footnote>
  <w:footnote w:id="68">
    <w:p w:rsidR="00506375" w:rsidP="00506375">
      <w:pPr>
        <w:pStyle w:val="FootnoteText"/>
      </w:pPr>
      <w:r>
        <w:rPr>
          <w:rStyle w:val="FootnoteReference"/>
        </w:rPr>
        <w:footnoteRef/>
      </w:r>
      <w:r>
        <w:t xml:space="preserve"> Consumer Advocates Protest at 9</w:t>
      </w:r>
      <w:r w:rsidR="00A65C17">
        <w:t>;</w:t>
      </w:r>
      <w:r w:rsidR="003151F2">
        <w:t xml:space="preserve"> </w:t>
      </w:r>
      <w:r w:rsidRPr="008C752B" w:rsidR="008C752B">
        <w:t xml:space="preserve">New York Commission </w:t>
      </w:r>
      <w:r w:rsidR="003151F2">
        <w:t>Protest at 4</w:t>
      </w:r>
      <w:r>
        <w:t xml:space="preserve">. </w:t>
      </w:r>
    </w:p>
  </w:footnote>
  <w:footnote w:id="69">
    <w:p w:rsidR="00506375" w:rsidP="00506375">
      <w:pPr>
        <w:pStyle w:val="FootnoteText"/>
      </w:pPr>
      <w:r>
        <w:rPr>
          <w:rStyle w:val="FootnoteReference"/>
        </w:rPr>
        <w:footnoteRef/>
      </w:r>
      <w:r>
        <w:t xml:space="preserve"> Consumer Advocates Protest at 10.  </w:t>
      </w:r>
    </w:p>
  </w:footnote>
  <w:footnote w:id="70">
    <w:p w:rsidR="004A45B1" w:rsidP="004A45B1">
      <w:pPr>
        <w:pStyle w:val="FootnoteText"/>
      </w:pPr>
      <w:r>
        <w:rPr>
          <w:rStyle w:val="FootnoteReference"/>
        </w:rPr>
        <w:footnoteRef/>
      </w:r>
      <w:r>
        <w:t xml:space="preserve"> </w:t>
      </w:r>
      <w:r w:rsidRPr="008C752B" w:rsidR="008C752B">
        <w:t xml:space="preserve">New York Commission </w:t>
      </w:r>
      <w:r w:rsidR="00A65C17">
        <w:t>Protest</w:t>
      </w:r>
      <w:r>
        <w:t xml:space="preserve"> at </w:t>
      </w:r>
      <w:r w:rsidR="00EF7E7A">
        <w:t>3-</w:t>
      </w:r>
      <w:r>
        <w:t>4.</w:t>
      </w:r>
    </w:p>
  </w:footnote>
  <w:footnote w:id="71">
    <w:p w:rsidR="00D9087D" w:rsidP="00D9087D">
      <w:pPr>
        <w:pStyle w:val="FootnoteText"/>
      </w:pPr>
      <w:r>
        <w:rPr>
          <w:rStyle w:val="FootnoteReference"/>
        </w:rPr>
        <w:footnoteRef/>
      </w:r>
      <w:r>
        <w:t xml:space="preserve"> </w:t>
      </w:r>
      <w:r w:rsidR="005829F9">
        <w:rPr>
          <w:i/>
          <w:iCs/>
        </w:rPr>
        <w:t>Id.</w:t>
      </w:r>
      <w:r>
        <w:t xml:space="preserve"> at 4.</w:t>
      </w:r>
    </w:p>
  </w:footnote>
  <w:footnote w:id="72">
    <w:p w:rsidR="0018096F" w:rsidP="0018096F">
      <w:pPr>
        <w:pStyle w:val="FootnoteText"/>
      </w:pPr>
      <w:r>
        <w:rPr>
          <w:rStyle w:val="FootnoteReference"/>
        </w:rPr>
        <w:footnoteRef/>
      </w:r>
      <w:r>
        <w:t xml:space="preserve"> NYAPP Protest at 4. </w:t>
      </w:r>
    </w:p>
  </w:footnote>
  <w:footnote w:id="73">
    <w:p w:rsidR="002D45AF" w:rsidP="002D45AF">
      <w:pPr>
        <w:pStyle w:val="FootnoteText"/>
      </w:pPr>
      <w:r>
        <w:rPr>
          <w:rStyle w:val="FootnoteReference"/>
        </w:rPr>
        <w:footnoteRef/>
      </w:r>
      <w:r>
        <w:t xml:space="preserve"> </w:t>
      </w:r>
      <w:r w:rsidR="004E0522">
        <w:rPr>
          <w:i/>
          <w:iCs/>
        </w:rPr>
        <w:t>Id.</w:t>
      </w:r>
      <w:r>
        <w:t xml:space="preserve"> at 2. </w:t>
      </w:r>
    </w:p>
  </w:footnote>
  <w:footnote w:id="74">
    <w:p w:rsidR="002D45AF" w:rsidP="002D45AF">
      <w:pPr>
        <w:pStyle w:val="FootnoteText"/>
      </w:pPr>
      <w:r>
        <w:rPr>
          <w:rStyle w:val="FootnoteReference"/>
        </w:rPr>
        <w:footnoteRef/>
      </w:r>
      <w:r>
        <w:t xml:space="preserve"> </w:t>
      </w:r>
      <w:r w:rsidR="004E0522">
        <w:rPr>
          <w:i/>
          <w:iCs/>
        </w:rPr>
        <w:t>Id.</w:t>
      </w:r>
      <w:r>
        <w:t xml:space="preserve"> at 2-3. </w:t>
      </w:r>
    </w:p>
  </w:footnote>
  <w:footnote w:id="75">
    <w:p w:rsidR="002D45AF" w:rsidP="002D45AF">
      <w:pPr>
        <w:pStyle w:val="FootnoteText"/>
      </w:pPr>
      <w:r>
        <w:rPr>
          <w:rStyle w:val="FootnoteReference"/>
        </w:rPr>
        <w:footnoteRef/>
      </w:r>
      <w:r>
        <w:t xml:space="preserve"> </w:t>
      </w:r>
      <w:r w:rsidR="004E0522">
        <w:rPr>
          <w:i/>
          <w:iCs/>
        </w:rPr>
        <w:t>Id.</w:t>
      </w:r>
      <w:r w:rsidR="00D853CB">
        <w:rPr>
          <w:i/>
          <w:iCs/>
        </w:rPr>
        <w:t xml:space="preserve"> </w:t>
      </w:r>
      <w:r>
        <w:t xml:space="preserve">at 3. </w:t>
      </w:r>
    </w:p>
  </w:footnote>
  <w:footnote w:id="76">
    <w:p w:rsidR="00DE3C97">
      <w:pPr>
        <w:pStyle w:val="FootnoteText"/>
      </w:pPr>
      <w:r>
        <w:rPr>
          <w:rStyle w:val="FootnoteReference"/>
        </w:rPr>
        <w:footnoteRef/>
      </w:r>
      <w:r>
        <w:t xml:space="preserve"> </w:t>
      </w:r>
      <w:r w:rsidR="008D7F71">
        <w:t>New York Transco Answer at 5.</w:t>
      </w:r>
    </w:p>
  </w:footnote>
  <w:footnote w:id="77">
    <w:p w:rsidR="00F05E64">
      <w:pPr>
        <w:pStyle w:val="FootnoteText"/>
      </w:pPr>
      <w:r>
        <w:rPr>
          <w:rStyle w:val="FootnoteReference"/>
        </w:rPr>
        <w:footnoteRef/>
      </w:r>
      <w:r>
        <w:t xml:space="preserve"> </w:t>
      </w:r>
      <w:r w:rsidRPr="00CB518A" w:rsidR="008D7F71">
        <w:rPr>
          <w:i/>
          <w:iCs/>
        </w:rPr>
        <w:t>Id.</w:t>
      </w:r>
      <w:r w:rsidRPr="00CB518A">
        <w:rPr>
          <w:i/>
          <w:iCs/>
        </w:rPr>
        <w:t xml:space="preserve"> </w:t>
      </w:r>
      <w:r>
        <w:t>at 6</w:t>
      </w:r>
      <w:r w:rsidRPr="00F05E64">
        <w:t xml:space="preserve"> </w:t>
      </w:r>
      <w:r w:rsidR="00DB7F0C">
        <w:t>(</w:t>
      </w:r>
      <w:r>
        <w:t xml:space="preserve">citing </w:t>
      </w:r>
      <w:r w:rsidRPr="00AD6E5D">
        <w:rPr>
          <w:i/>
          <w:iCs/>
        </w:rPr>
        <w:t>Midwest Indep. Transmission Sys. Operator, Inc.,</w:t>
      </w:r>
      <w:r w:rsidRPr="00A81CA2">
        <w:t xml:space="preserve"> 100 FERC </w:t>
      </w:r>
      <w:r w:rsidR="002C41F7">
        <w:br/>
      </w:r>
      <w:r w:rsidRPr="00A81CA2">
        <w:t>¶ 61,292</w:t>
      </w:r>
      <w:r w:rsidR="00DB7F0C">
        <w:t>,</w:t>
      </w:r>
      <w:r w:rsidRPr="00A81CA2">
        <w:t xml:space="preserve"> at P 12 (2002), </w:t>
      </w:r>
      <w:r w:rsidRPr="00AD6E5D">
        <w:rPr>
          <w:i/>
        </w:rPr>
        <w:t>reh’g denied</w:t>
      </w:r>
      <w:r w:rsidRPr="00A81CA2">
        <w:t xml:space="preserve">, 102 FERC ¶ 61,143 (2003), </w:t>
      </w:r>
      <w:r w:rsidRPr="00AD6E5D">
        <w:rPr>
          <w:i/>
          <w:iCs/>
        </w:rPr>
        <w:t>order on remand</w:t>
      </w:r>
      <w:r w:rsidRPr="00A81CA2">
        <w:t xml:space="preserve">, </w:t>
      </w:r>
      <w:r w:rsidR="002C41F7">
        <w:br/>
      </w:r>
      <w:r w:rsidRPr="00A81CA2">
        <w:t>106 FERC ¶ 61,302 (2004)</w:t>
      </w:r>
      <w:r w:rsidR="0095178F">
        <w:t xml:space="preserve">, </w:t>
      </w:r>
      <w:r w:rsidRPr="00AD6E5D" w:rsidR="0095178F">
        <w:rPr>
          <w:i/>
          <w:iCs/>
        </w:rPr>
        <w:t>aff’d in part sub nom. Pub. Serv. Co. of Ky. v. FERC</w:t>
      </w:r>
      <w:r w:rsidRPr="0095178F" w:rsidR="0095178F">
        <w:t xml:space="preserve">, </w:t>
      </w:r>
      <w:r w:rsidR="002C41F7">
        <w:br/>
      </w:r>
      <w:r w:rsidRPr="0095178F" w:rsidR="0095178F">
        <w:t xml:space="preserve">397 F.3d 1004 (D.C. Cir. 2005); </w:t>
      </w:r>
      <w:r w:rsidRPr="00AD6E5D" w:rsidR="0095178F">
        <w:rPr>
          <w:i/>
          <w:iCs/>
        </w:rPr>
        <w:t>Bangor Hydro-Elec. Co., Opinion No. 489</w:t>
      </w:r>
      <w:r w:rsidRPr="0095178F" w:rsidR="0095178F">
        <w:t xml:space="preserve">, 117 FERC </w:t>
      </w:r>
      <w:r w:rsidR="002C41F7">
        <w:br/>
      </w:r>
      <w:r w:rsidRPr="0095178F" w:rsidR="0095178F">
        <w:t>¶ 61,129</w:t>
      </w:r>
      <w:r w:rsidR="00DB7F0C">
        <w:t>,</w:t>
      </w:r>
      <w:r w:rsidRPr="0095178F" w:rsidR="0095178F">
        <w:t xml:space="preserve"> at PP 17, 19, 26 (2006) </w:t>
      </w:r>
      <w:r w:rsidRPr="00AD6E5D" w:rsidR="0095178F">
        <w:rPr>
          <w:i/>
          <w:iCs/>
        </w:rPr>
        <w:t>order on reh’g,</w:t>
      </w:r>
      <w:r w:rsidRPr="0095178F" w:rsidR="0095178F">
        <w:t xml:space="preserve"> 122 FERC ¶ 61,265; </w:t>
      </w:r>
      <w:r w:rsidRPr="00AD6E5D" w:rsidR="0095178F">
        <w:rPr>
          <w:i/>
          <w:iCs/>
        </w:rPr>
        <w:t>Pepco Holdings, Inc.</w:t>
      </w:r>
      <w:r w:rsidRPr="0095178F" w:rsidR="0095178F">
        <w:t>, 124 FERC ¶ 61,176</w:t>
      </w:r>
      <w:r w:rsidR="00DB7F0C">
        <w:t>,</w:t>
      </w:r>
      <w:r w:rsidRPr="0095178F" w:rsidR="0095178F">
        <w:t xml:space="preserve"> at P 118 (2008</w:t>
      </w:r>
      <w:r w:rsidR="0095178F">
        <w:t>)</w:t>
      </w:r>
      <w:r w:rsidRPr="0095178F" w:rsidR="0095178F">
        <w:t xml:space="preserve">; </w:t>
      </w:r>
      <w:r w:rsidRPr="00AD6E5D" w:rsidR="0095178F">
        <w:rPr>
          <w:i/>
          <w:iCs/>
        </w:rPr>
        <w:t>see also Pepco Holdings, Inc.</w:t>
      </w:r>
      <w:r w:rsidRPr="0095178F" w:rsidR="0095178F">
        <w:t xml:space="preserve">, 125 FERC </w:t>
      </w:r>
      <w:r w:rsidR="002C41F7">
        <w:br/>
      </w:r>
      <w:r w:rsidRPr="0095178F" w:rsidR="0095178F">
        <w:t>¶ 61,130</w:t>
      </w:r>
      <w:r w:rsidR="00DB7F0C">
        <w:t>,</w:t>
      </w:r>
      <w:r w:rsidRPr="0095178F" w:rsidR="0095178F">
        <w:t xml:space="preserve"> at P 93 (2008)</w:t>
      </w:r>
      <w:r w:rsidR="00A61320">
        <w:t>)</w:t>
      </w:r>
      <w:r w:rsidR="00F037F5">
        <w:t xml:space="preserve">. </w:t>
      </w:r>
      <w:r w:rsidRPr="0095178F" w:rsidR="0095178F">
        <w:t xml:space="preserve"> </w:t>
      </w:r>
    </w:p>
  </w:footnote>
  <w:footnote w:id="78">
    <w:p w:rsidR="00C8354F" w:rsidRPr="00AD6E5D">
      <w:pPr>
        <w:pStyle w:val="FootnoteText"/>
        <w:rPr>
          <w:highlight w:val="yellow"/>
        </w:rPr>
      </w:pPr>
      <w:r>
        <w:rPr>
          <w:rStyle w:val="FootnoteReference"/>
        </w:rPr>
        <w:footnoteRef/>
      </w:r>
      <w:r>
        <w:t xml:space="preserve"> </w:t>
      </w:r>
      <w:r w:rsidR="00A22DD9">
        <w:rPr>
          <w:i/>
          <w:iCs/>
        </w:rPr>
        <w:t>Id.</w:t>
      </w:r>
      <w:r w:rsidR="00D853CB">
        <w:rPr>
          <w:i/>
          <w:iCs/>
        </w:rPr>
        <w:t xml:space="preserve"> </w:t>
      </w:r>
      <w:r>
        <w:t xml:space="preserve">at 6 </w:t>
      </w:r>
      <w:r w:rsidR="00DB7F0C">
        <w:t>(</w:t>
      </w:r>
      <w:r>
        <w:t xml:space="preserve">citing </w:t>
      </w:r>
      <w:r w:rsidRPr="00A81CA2" w:rsidR="00A81CA2">
        <w:t>Opinion No. 551</w:t>
      </w:r>
      <w:r w:rsidR="00A81CA2">
        <w:t xml:space="preserve">, </w:t>
      </w:r>
      <w:r w:rsidRPr="00AD6E5D" w:rsidR="00B91C00">
        <w:t>156 FERC ¶ 61,234</w:t>
      </w:r>
      <w:r w:rsidRPr="00A81CA2" w:rsidR="00A81CA2">
        <w:t xml:space="preserve"> at P 250</w:t>
      </w:r>
      <w:r w:rsidR="00DB7F0C">
        <w:t>)</w:t>
      </w:r>
      <w:r w:rsidR="00BA3CC3">
        <w:t>.</w:t>
      </w:r>
    </w:p>
  </w:footnote>
  <w:footnote w:id="79">
    <w:p w:rsidR="004D1BB4">
      <w:pPr>
        <w:pStyle w:val="FootnoteText"/>
      </w:pPr>
      <w:r>
        <w:rPr>
          <w:rStyle w:val="FootnoteReference"/>
        </w:rPr>
        <w:footnoteRef/>
      </w:r>
      <w:r>
        <w:t xml:space="preserve"> </w:t>
      </w:r>
      <w:r w:rsidR="005829F9">
        <w:rPr>
          <w:i/>
          <w:iCs/>
        </w:rPr>
        <w:t>Id.</w:t>
      </w:r>
      <w:r w:rsidR="006B7C3D">
        <w:rPr>
          <w:i/>
          <w:iCs/>
        </w:rPr>
        <w:t xml:space="preserve"> </w:t>
      </w:r>
      <w:r>
        <w:t>at 6.</w:t>
      </w:r>
    </w:p>
  </w:footnote>
  <w:footnote w:id="80">
    <w:p w:rsidR="00266E94">
      <w:pPr>
        <w:pStyle w:val="FootnoteText"/>
      </w:pPr>
      <w:r>
        <w:rPr>
          <w:rStyle w:val="FootnoteReference"/>
        </w:rPr>
        <w:footnoteRef/>
      </w:r>
      <w:r>
        <w:t xml:space="preserve"> </w:t>
      </w:r>
      <w:r w:rsidR="005829F9">
        <w:rPr>
          <w:i/>
          <w:iCs/>
        </w:rPr>
        <w:t>Id.</w:t>
      </w:r>
      <w:r w:rsidR="006B7C3D">
        <w:rPr>
          <w:i/>
          <w:iCs/>
        </w:rPr>
        <w:t xml:space="preserve"> </w:t>
      </w:r>
      <w:r>
        <w:t xml:space="preserve">at 6-7. </w:t>
      </w:r>
    </w:p>
  </w:footnote>
  <w:footnote w:id="81">
    <w:p w:rsidR="00137029">
      <w:pPr>
        <w:pStyle w:val="FootnoteText"/>
      </w:pPr>
      <w:r>
        <w:rPr>
          <w:rStyle w:val="FootnoteReference"/>
        </w:rPr>
        <w:footnoteRef/>
      </w:r>
      <w:r>
        <w:t xml:space="preserve"> </w:t>
      </w:r>
      <w:r w:rsidR="005829F9">
        <w:rPr>
          <w:i/>
          <w:iCs/>
        </w:rPr>
        <w:t>Id.</w:t>
      </w:r>
      <w:r>
        <w:t xml:space="preserve"> at </w:t>
      </w:r>
      <w:r w:rsidR="00EB25FF">
        <w:t xml:space="preserve">7. </w:t>
      </w:r>
    </w:p>
  </w:footnote>
  <w:footnote w:id="82">
    <w:p w:rsidR="00D93323">
      <w:pPr>
        <w:pStyle w:val="FootnoteText"/>
      </w:pPr>
      <w:r>
        <w:rPr>
          <w:rStyle w:val="FootnoteReference"/>
        </w:rPr>
        <w:footnoteRef/>
      </w:r>
      <w:r>
        <w:t xml:space="preserve"> </w:t>
      </w:r>
      <w:r w:rsidR="005829F9">
        <w:rPr>
          <w:i/>
          <w:iCs/>
        </w:rPr>
        <w:t>Id.</w:t>
      </w:r>
      <w:r>
        <w:t xml:space="preserve"> at </w:t>
      </w:r>
      <w:r w:rsidR="00870BB5">
        <w:t xml:space="preserve">7-8. </w:t>
      </w:r>
    </w:p>
  </w:footnote>
  <w:footnote w:id="83">
    <w:p w:rsidR="00B903B5" w:rsidP="00B903B5">
      <w:pPr>
        <w:pStyle w:val="FootnoteText"/>
      </w:pPr>
      <w:r>
        <w:rPr>
          <w:rStyle w:val="FootnoteReference"/>
        </w:rPr>
        <w:footnoteRef/>
      </w:r>
      <w:r>
        <w:t xml:space="preserve"> </w:t>
      </w:r>
      <w:r w:rsidR="005829F9">
        <w:rPr>
          <w:i/>
          <w:iCs/>
        </w:rPr>
        <w:t>Id.</w:t>
      </w:r>
      <w:r>
        <w:t xml:space="preserve"> at 4.</w:t>
      </w:r>
    </w:p>
  </w:footnote>
  <w:footnote w:id="84">
    <w:p w:rsidR="00AF0EAA">
      <w:pPr>
        <w:pStyle w:val="FootnoteText"/>
      </w:pPr>
      <w:r>
        <w:rPr>
          <w:rStyle w:val="FootnoteReference"/>
        </w:rPr>
        <w:footnoteRef/>
      </w:r>
      <w:r>
        <w:t xml:space="preserve"> </w:t>
      </w:r>
      <w:r w:rsidR="005829F9">
        <w:rPr>
          <w:i/>
          <w:iCs/>
        </w:rPr>
        <w:t>Id.</w:t>
      </w:r>
      <w:r>
        <w:t xml:space="preserve"> at 8-9. </w:t>
      </w:r>
    </w:p>
  </w:footnote>
  <w:footnote w:id="85">
    <w:p w:rsidR="00243D68">
      <w:pPr>
        <w:pStyle w:val="FootnoteText"/>
      </w:pPr>
      <w:r>
        <w:rPr>
          <w:rStyle w:val="FootnoteReference"/>
        </w:rPr>
        <w:footnoteRef/>
      </w:r>
      <w:r>
        <w:t xml:space="preserve"> </w:t>
      </w:r>
      <w:r w:rsidR="005829F9">
        <w:rPr>
          <w:i/>
          <w:iCs/>
        </w:rPr>
        <w:t>Id.</w:t>
      </w:r>
      <w:r>
        <w:t xml:space="preserve"> at 9.</w:t>
      </w:r>
    </w:p>
  </w:footnote>
  <w:footnote w:id="86">
    <w:p w:rsidR="00877E39">
      <w:pPr>
        <w:pStyle w:val="FootnoteText"/>
      </w:pPr>
      <w:r>
        <w:rPr>
          <w:rStyle w:val="FootnoteReference"/>
        </w:rPr>
        <w:footnoteRef/>
      </w:r>
      <w:r>
        <w:t xml:space="preserve"> </w:t>
      </w:r>
      <w:r w:rsidR="005829F9">
        <w:rPr>
          <w:i/>
          <w:iCs/>
        </w:rPr>
        <w:t>Id.</w:t>
      </w:r>
      <w:r>
        <w:t xml:space="preserve"> at </w:t>
      </w:r>
      <w:r w:rsidR="001D30EE">
        <w:t xml:space="preserve">10. </w:t>
      </w:r>
    </w:p>
  </w:footnote>
  <w:footnote w:id="87">
    <w:p w:rsidR="00810945">
      <w:pPr>
        <w:pStyle w:val="FootnoteText"/>
      </w:pPr>
      <w:r>
        <w:rPr>
          <w:rStyle w:val="FootnoteReference"/>
        </w:rPr>
        <w:footnoteRef/>
      </w:r>
      <w:r>
        <w:t xml:space="preserve"> </w:t>
      </w:r>
      <w:r w:rsidR="005829F9">
        <w:rPr>
          <w:i/>
          <w:iCs/>
        </w:rPr>
        <w:t>Id.</w:t>
      </w:r>
      <w:r w:rsidR="003D16B2">
        <w:t xml:space="preserve"> at </w:t>
      </w:r>
      <w:r w:rsidR="00AF75A5">
        <w:t>10-11</w:t>
      </w:r>
      <w:r w:rsidR="00F00CFE">
        <w:t>.</w:t>
      </w:r>
    </w:p>
  </w:footnote>
  <w:footnote w:id="88">
    <w:p w:rsidR="000B67C6">
      <w:pPr>
        <w:pStyle w:val="FootnoteText"/>
      </w:pPr>
      <w:r>
        <w:rPr>
          <w:rStyle w:val="FootnoteReference"/>
        </w:rPr>
        <w:footnoteRef/>
      </w:r>
      <w:r>
        <w:t xml:space="preserve"> </w:t>
      </w:r>
      <w:r w:rsidR="005829F9">
        <w:rPr>
          <w:i/>
          <w:iCs/>
        </w:rPr>
        <w:t>Id.</w:t>
      </w:r>
      <w:r>
        <w:t xml:space="preserve"> at 11.</w:t>
      </w:r>
    </w:p>
  </w:footnote>
  <w:footnote w:id="89">
    <w:p w:rsidR="00A20B4B">
      <w:pPr>
        <w:pStyle w:val="FootnoteText"/>
      </w:pPr>
      <w:r>
        <w:rPr>
          <w:rStyle w:val="FootnoteReference"/>
        </w:rPr>
        <w:footnoteRef/>
      </w:r>
      <w:r>
        <w:t xml:space="preserve"> </w:t>
      </w:r>
      <w:r w:rsidR="005829F9">
        <w:rPr>
          <w:i/>
          <w:iCs/>
        </w:rPr>
        <w:t>Id.</w:t>
      </w:r>
    </w:p>
  </w:footnote>
  <w:footnote w:id="90">
    <w:p w:rsidR="00DE0072">
      <w:pPr>
        <w:pStyle w:val="FootnoteText"/>
      </w:pPr>
      <w:r>
        <w:rPr>
          <w:rStyle w:val="FootnoteReference"/>
        </w:rPr>
        <w:footnoteRef/>
      </w:r>
      <w:r>
        <w:t xml:space="preserve"> </w:t>
      </w:r>
      <w:r w:rsidR="005829F9">
        <w:rPr>
          <w:i/>
          <w:iCs/>
        </w:rPr>
        <w:t>Id.</w:t>
      </w:r>
      <w:r>
        <w:t xml:space="preserve"> at 12</w:t>
      </w:r>
      <w:r w:rsidR="006E3750">
        <w:t xml:space="preserve"> </w:t>
      </w:r>
      <w:r w:rsidR="007A33C1">
        <w:t>(</w:t>
      </w:r>
      <w:r w:rsidR="006E3750">
        <w:t xml:space="preserve">citing </w:t>
      </w:r>
      <w:r w:rsidR="006F057D">
        <w:t>Order on Remand,</w:t>
      </w:r>
      <w:r w:rsidR="006E3750">
        <w:t xml:space="preserve"> </w:t>
      </w:r>
      <w:r w:rsidRPr="006E3750" w:rsidR="006E3750">
        <w:t>189 FERC ¶ 61,036</w:t>
      </w:r>
      <w:r w:rsidR="00597254">
        <w:t>)</w:t>
      </w:r>
      <w:r>
        <w:t>.</w:t>
      </w:r>
    </w:p>
  </w:footnote>
  <w:footnote w:id="91">
    <w:p w:rsidR="006A2A3A">
      <w:pPr>
        <w:pStyle w:val="FootnoteText"/>
      </w:pPr>
      <w:r>
        <w:rPr>
          <w:rStyle w:val="FootnoteReference"/>
        </w:rPr>
        <w:footnoteRef/>
      </w:r>
      <w:r>
        <w:t xml:space="preserve"> </w:t>
      </w:r>
      <w:r w:rsidR="005829F9">
        <w:rPr>
          <w:i/>
          <w:iCs/>
        </w:rPr>
        <w:t>Id.</w:t>
      </w:r>
      <w:r>
        <w:t xml:space="preserve"> at 13.</w:t>
      </w:r>
    </w:p>
  </w:footnote>
  <w:footnote w:id="92">
    <w:p w:rsidR="00BD7AC4" w:rsidRPr="000F5BEE">
      <w:pPr>
        <w:pStyle w:val="FootnoteText"/>
      </w:pPr>
      <w:r>
        <w:rPr>
          <w:rStyle w:val="FootnoteReference"/>
        </w:rPr>
        <w:footnoteRef/>
      </w:r>
      <w:r>
        <w:t xml:space="preserve"> </w:t>
      </w:r>
      <w:r w:rsidR="005829F9">
        <w:rPr>
          <w:i/>
          <w:iCs/>
        </w:rPr>
        <w:t>Id.</w:t>
      </w:r>
      <w:r w:rsidR="000F5BEE">
        <w:t xml:space="preserve"> at 14 </w:t>
      </w:r>
      <w:r w:rsidR="00597254">
        <w:t>(</w:t>
      </w:r>
      <w:r w:rsidRPr="00AD6E5D" w:rsidR="000F5BEE">
        <w:t>citing</w:t>
      </w:r>
      <w:r w:rsidR="000F5BEE">
        <w:rPr>
          <w:i/>
          <w:iCs/>
        </w:rPr>
        <w:t xml:space="preserve"> </w:t>
      </w:r>
      <w:r w:rsidR="000F5BEE">
        <w:t>McKenzie test. at 3</w:t>
      </w:r>
      <w:r w:rsidR="00597254">
        <w:t>)</w:t>
      </w:r>
      <w:r w:rsidR="000F5BEE">
        <w:t>.</w:t>
      </w:r>
    </w:p>
  </w:footnote>
  <w:footnote w:id="93">
    <w:p w:rsidR="00235CBE" w:rsidRPr="00773BD8" w:rsidP="00235CBE">
      <w:pPr>
        <w:pStyle w:val="FootnoteText"/>
        <w:widowControl/>
      </w:pPr>
      <w:r w:rsidRPr="00424766">
        <w:rPr>
          <w:rStyle w:val="FootnoteReference"/>
        </w:rPr>
        <w:footnoteRef/>
      </w:r>
      <w:r w:rsidRPr="00284808">
        <w:t xml:space="preserve"> </w:t>
      </w:r>
      <w:r w:rsidRPr="00424766">
        <w:t xml:space="preserve">Trial Staff is a participant in the hearing and settlement judge procedures.  </w:t>
      </w:r>
      <w:r w:rsidR="002C41F7">
        <w:br/>
      </w:r>
      <w:r w:rsidRPr="00424766">
        <w:rPr>
          <w:i/>
        </w:rPr>
        <w:t>See</w:t>
      </w:r>
      <w:r w:rsidRPr="00424766">
        <w:t xml:space="preserve"> 18 C.F.R. §</w:t>
      </w:r>
      <w:r>
        <w:t> </w:t>
      </w:r>
      <w:r w:rsidRPr="00424766">
        <w:t>385.102(b</w:t>
      </w:r>
      <w:r w:rsidRPr="000C1E4C">
        <w:t>), (c)</w:t>
      </w:r>
      <w:r w:rsidR="002C41F7">
        <w:t xml:space="preserve"> (2024)</w:t>
      </w:r>
      <w:r w:rsidRPr="008B7CA2">
        <w:t>.</w:t>
      </w:r>
    </w:p>
  </w:footnote>
  <w:footnote w:id="94">
    <w:p w:rsidR="00235CBE" w:rsidRPr="00773BD8" w:rsidP="00235CBE">
      <w:pPr>
        <w:pStyle w:val="FootnoteText"/>
      </w:pPr>
      <w:r w:rsidRPr="00773BD8">
        <w:rPr>
          <w:rStyle w:val="FootnoteReference"/>
        </w:rPr>
        <w:footnoteRef/>
      </w:r>
      <w:r w:rsidRPr="00773BD8">
        <w:t xml:space="preserve"> 18 C.F.R. §</w:t>
      </w:r>
      <w:r>
        <w:t> </w:t>
      </w:r>
      <w:r w:rsidRPr="00773BD8">
        <w:t>385.603</w:t>
      </w:r>
      <w:r w:rsidR="002C41F7">
        <w:t xml:space="preserve"> (2024)</w:t>
      </w:r>
      <w:r w:rsidRPr="00773BD8">
        <w:t>.</w:t>
      </w:r>
    </w:p>
  </w:footnote>
  <w:footnote w:id="95">
    <w:p w:rsidR="00235CBE" w:rsidP="00235CBE">
      <w:pPr>
        <w:pStyle w:val="FootnoteText"/>
      </w:pPr>
      <w:r w:rsidRPr="00773BD8">
        <w:rPr>
          <w:rStyle w:val="FootnoteReference"/>
        </w:rPr>
        <w:footnoteRef/>
      </w:r>
      <w:r w:rsidRPr="00773BD8">
        <w:t xml:space="preserve"> If parties decide to request a specific judge, they must make their joint request </w:t>
      </w:r>
      <w:r w:rsidR="002C41F7">
        <w:br/>
      </w:r>
      <w:r w:rsidRPr="00773BD8">
        <w:t>to the Chief Judge by telephone at (202) 502-8500 within five days of this order.  The Commission’s website contains a list of Commission judges available for settlement proceedings and a summary of their background and experience</w:t>
      </w:r>
      <w:r>
        <w:t xml:space="preserve"> </w:t>
      </w:r>
      <w:r w:rsidRPr="002C41F7">
        <w:t>(</w:t>
      </w:r>
      <w:hyperlink r:id="rId1" w:history="1">
        <w:r w:rsidRPr="002C41F7">
          <w:rPr>
            <w:rStyle w:val="Hyperlink"/>
            <w:color w:val="auto"/>
            <w:u w:val="none"/>
          </w:rPr>
          <w:t>https://www.ferc.gov/available-settlement-judges</w:t>
        </w:r>
      </w:hyperlink>
      <w:r w:rsidRPr="00773BD8">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5E75C3" w:rsidRPr="005E75C3" w:rsidP="005E75C3">
                <w:pPr>
                  <w:rPr>
                    <w:rFonts w:eastAsia="Times New Roman"/>
                    <w:noProof/>
                    <w:color w:val="FF0000"/>
                    <w:szCs w:val="26"/>
                  </w:rPr>
                </w:pPr>
                <w:r w:rsidRPr="005E75C3">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F3FED">
    <w:pPr>
      <w:pStyle w:val="Header"/>
      <w:tabs>
        <w:tab w:val="clear" w:pos="4680"/>
      </w:tabs>
      <w:spacing w:after="240"/>
    </w:pPr>
    <w:r>
      <w:t>Docket No. ER25-885-000</w:t>
      <w:tab/>
    </w:r>
    <w:r>
      <w:fldChar w:fldCharType="begin"/>
    </w:r>
    <w:r>
      <w:instrText xml:space="preserve"> PAGE  \* MERGEFORMAT </w:instrText>
    </w:r>
    <w:r>
      <w:fldChar w:fldCharType="separate"/>
    </w:r>
    <w:r>
      <w:rPr>
        <w:noProof/>
      </w:rPr>
      <w:t>- 19 -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6502FF"/>
    <w:multiLevelType w:val="multilevel"/>
    <w:tmpl w:val="3A2AC59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3"/>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1"/>
  </w:num>
  <w:num w:numId="22">
    <w:abstractNumId w:val="15"/>
  </w:num>
  <w:num w:numId="23">
    <w:abstractNumId w:val="16"/>
  </w:num>
  <w:num w:numId="24">
    <w:abstractNumId w:val="20"/>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4F3FED"/>
    <w:rsid w:val="00003340"/>
    <w:rsid w:val="00003C3A"/>
    <w:rsid w:val="0000417F"/>
    <w:rsid w:val="00004A7A"/>
    <w:rsid w:val="00004BA0"/>
    <w:rsid w:val="00004DB4"/>
    <w:rsid w:val="00005B85"/>
    <w:rsid w:val="00006143"/>
    <w:rsid w:val="0000657C"/>
    <w:rsid w:val="000066B6"/>
    <w:rsid w:val="00006DD4"/>
    <w:rsid w:val="000072E2"/>
    <w:rsid w:val="0000731D"/>
    <w:rsid w:val="00007AEF"/>
    <w:rsid w:val="000103CD"/>
    <w:rsid w:val="00010FA6"/>
    <w:rsid w:val="000111DA"/>
    <w:rsid w:val="0001179E"/>
    <w:rsid w:val="000118C8"/>
    <w:rsid w:val="00011FC2"/>
    <w:rsid w:val="000135C4"/>
    <w:rsid w:val="000137ED"/>
    <w:rsid w:val="00013EB0"/>
    <w:rsid w:val="000143AA"/>
    <w:rsid w:val="00014A61"/>
    <w:rsid w:val="00014EEE"/>
    <w:rsid w:val="000153F5"/>
    <w:rsid w:val="00015A1A"/>
    <w:rsid w:val="00015A94"/>
    <w:rsid w:val="000169F8"/>
    <w:rsid w:val="00016A84"/>
    <w:rsid w:val="0002042F"/>
    <w:rsid w:val="0002086D"/>
    <w:rsid w:val="00020BB3"/>
    <w:rsid w:val="00020F5B"/>
    <w:rsid w:val="00022A33"/>
    <w:rsid w:val="000232FC"/>
    <w:rsid w:val="0002355F"/>
    <w:rsid w:val="00023761"/>
    <w:rsid w:val="00023A17"/>
    <w:rsid w:val="00023DF7"/>
    <w:rsid w:val="00024C83"/>
    <w:rsid w:val="0002539C"/>
    <w:rsid w:val="00025617"/>
    <w:rsid w:val="0002579A"/>
    <w:rsid w:val="000257DD"/>
    <w:rsid w:val="00026101"/>
    <w:rsid w:val="00026815"/>
    <w:rsid w:val="00026B48"/>
    <w:rsid w:val="000276C4"/>
    <w:rsid w:val="00030542"/>
    <w:rsid w:val="0003069C"/>
    <w:rsid w:val="00032D00"/>
    <w:rsid w:val="000331F9"/>
    <w:rsid w:val="000335D4"/>
    <w:rsid w:val="0003365E"/>
    <w:rsid w:val="0003382F"/>
    <w:rsid w:val="00033A3E"/>
    <w:rsid w:val="00034705"/>
    <w:rsid w:val="0003515C"/>
    <w:rsid w:val="00035168"/>
    <w:rsid w:val="00035651"/>
    <w:rsid w:val="00035F08"/>
    <w:rsid w:val="000360A4"/>
    <w:rsid w:val="00036CBD"/>
    <w:rsid w:val="00037044"/>
    <w:rsid w:val="000371EE"/>
    <w:rsid w:val="00037343"/>
    <w:rsid w:val="0004051F"/>
    <w:rsid w:val="000407DD"/>
    <w:rsid w:val="00040BAD"/>
    <w:rsid w:val="00041DFF"/>
    <w:rsid w:val="00041EF2"/>
    <w:rsid w:val="00042891"/>
    <w:rsid w:val="000428C4"/>
    <w:rsid w:val="000428D8"/>
    <w:rsid w:val="00043664"/>
    <w:rsid w:val="00043B73"/>
    <w:rsid w:val="00044DD5"/>
    <w:rsid w:val="000459FD"/>
    <w:rsid w:val="00045D24"/>
    <w:rsid w:val="00046015"/>
    <w:rsid w:val="0004624A"/>
    <w:rsid w:val="00046A7C"/>
    <w:rsid w:val="00046C9F"/>
    <w:rsid w:val="000478D5"/>
    <w:rsid w:val="00047D34"/>
    <w:rsid w:val="00047D38"/>
    <w:rsid w:val="00050B76"/>
    <w:rsid w:val="00050CA0"/>
    <w:rsid w:val="00050DDB"/>
    <w:rsid w:val="00050F33"/>
    <w:rsid w:val="00050F3E"/>
    <w:rsid w:val="0005135D"/>
    <w:rsid w:val="00051FB1"/>
    <w:rsid w:val="0005241F"/>
    <w:rsid w:val="00052CCB"/>
    <w:rsid w:val="0005360B"/>
    <w:rsid w:val="00053EF6"/>
    <w:rsid w:val="00054004"/>
    <w:rsid w:val="000550DC"/>
    <w:rsid w:val="00055DBD"/>
    <w:rsid w:val="00055F5B"/>
    <w:rsid w:val="00055F5F"/>
    <w:rsid w:val="00055FE7"/>
    <w:rsid w:val="00056623"/>
    <w:rsid w:val="00056695"/>
    <w:rsid w:val="00056830"/>
    <w:rsid w:val="00056A19"/>
    <w:rsid w:val="00057171"/>
    <w:rsid w:val="000572DC"/>
    <w:rsid w:val="000575CE"/>
    <w:rsid w:val="0006117F"/>
    <w:rsid w:val="0006137D"/>
    <w:rsid w:val="000613F0"/>
    <w:rsid w:val="00061D57"/>
    <w:rsid w:val="00062732"/>
    <w:rsid w:val="0006288C"/>
    <w:rsid w:val="000634EE"/>
    <w:rsid w:val="0006383D"/>
    <w:rsid w:val="00063E45"/>
    <w:rsid w:val="000640C7"/>
    <w:rsid w:val="0006417C"/>
    <w:rsid w:val="00064C91"/>
    <w:rsid w:val="00064FF9"/>
    <w:rsid w:val="00065A05"/>
    <w:rsid w:val="00065E6F"/>
    <w:rsid w:val="00067AF9"/>
    <w:rsid w:val="00067E1E"/>
    <w:rsid w:val="00067F68"/>
    <w:rsid w:val="00070017"/>
    <w:rsid w:val="00070857"/>
    <w:rsid w:val="00070D19"/>
    <w:rsid w:val="00071504"/>
    <w:rsid w:val="0007196E"/>
    <w:rsid w:val="00072037"/>
    <w:rsid w:val="00072472"/>
    <w:rsid w:val="000727BC"/>
    <w:rsid w:val="0007377C"/>
    <w:rsid w:val="000739EE"/>
    <w:rsid w:val="0007425F"/>
    <w:rsid w:val="00074598"/>
    <w:rsid w:val="000745F2"/>
    <w:rsid w:val="00075010"/>
    <w:rsid w:val="00075C7D"/>
    <w:rsid w:val="0007636C"/>
    <w:rsid w:val="00077B31"/>
    <w:rsid w:val="00077F6A"/>
    <w:rsid w:val="00080677"/>
    <w:rsid w:val="00080B83"/>
    <w:rsid w:val="000810F0"/>
    <w:rsid w:val="00082EFE"/>
    <w:rsid w:val="00082F55"/>
    <w:rsid w:val="00083677"/>
    <w:rsid w:val="000840D3"/>
    <w:rsid w:val="0008478C"/>
    <w:rsid w:val="00084A31"/>
    <w:rsid w:val="00084EC8"/>
    <w:rsid w:val="00085669"/>
    <w:rsid w:val="0008618B"/>
    <w:rsid w:val="00086527"/>
    <w:rsid w:val="000866D0"/>
    <w:rsid w:val="000868B3"/>
    <w:rsid w:val="00086A89"/>
    <w:rsid w:val="00086CD5"/>
    <w:rsid w:val="00086D98"/>
    <w:rsid w:val="00086E28"/>
    <w:rsid w:val="0008778D"/>
    <w:rsid w:val="00087C74"/>
    <w:rsid w:val="00087FF5"/>
    <w:rsid w:val="00090083"/>
    <w:rsid w:val="00090B3C"/>
    <w:rsid w:val="00091930"/>
    <w:rsid w:val="00091D56"/>
    <w:rsid w:val="00091EF8"/>
    <w:rsid w:val="00092502"/>
    <w:rsid w:val="0009260F"/>
    <w:rsid w:val="00092634"/>
    <w:rsid w:val="000927CD"/>
    <w:rsid w:val="00093F0D"/>
    <w:rsid w:val="00094119"/>
    <w:rsid w:val="000944BC"/>
    <w:rsid w:val="00094F01"/>
    <w:rsid w:val="00095064"/>
    <w:rsid w:val="0009514A"/>
    <w:rsid w:val="00095330"/>
    <w:rsid w:val="0009589D"/>
    <w:rsid w:val="0009683B"/>
    <w:rsid w:val="00097468"/>
    <w:rsid w:val="0009767C"/>
    <w:rsid w:val="000979B3"/>
    <w:rsid w:val="00097C05"/>
    <w:rsid w:val="000A0721"/>
    <w:rsid w:val="000A08E6"/>
    <w:rsid w:val="000A08FB"/>
    <w:rsid w:val="000A0C9E"/>
    <w:rsid w:val="000A1AF9"/>
    <w:rsid w:val="000A2718"/>
    <w:rsid w:val="000A3020"/>
    <w:rsid w:val="000A31E2"/>
    <w:rsid w:val="000A3253"/>
    <w:rsid w:val="000A339E"/>
    <w:rsid w:val="000A3790"/>
    <w:rsid w:val="000A37AE"/>
    <w:rsid w:val="000A3D2F"/>
    <w:rsid w:val="000A450F"/>
    <w:rsid w:val="000A46BC"/>
    <w:rsid w:val="000A46ED"/>
    <w:rsid w:val="000A4BAA"/>
    <w:rsid w:val="000A4FD1"/>
    <w:rsid w:val="000A5A3B"/>
    <w:rsid w:val="000A5C98"/>
    <w:rsid w:val="000A6835"/>
    <w:rsid w:val="000A6C08"/>
    <w:rsid w:val="000A75FD"/>
    <w:rsid w:val="000B0183"/>
    <w:rsid w:val="000B01C4"/>
    <w:rsid w:val="000B0265"/>
    <w:rsid w:val="000B05AC"/>
    <w:rsid w:val="000B0E19"/>
    <w:rsid w:val="000B145B"/>
    <w:rsid w:val="000B1DC6"/>
    <w:rsid w:val="000B2062"/>
    <w:rsid w:val="000B21EE"/>
    <w:rsid w:val="000B3669"/>
    <w:rsid w:val="000B3AD4"/>
    <w:rsid w:val="000B3B31"/>
    <w:rsid w:val="000B3B57"/>
    <w:rsid w:val="000B40D9"/>
    <w:rsid w:val="000B4124"/>
    <w:rsid w:val="000B5203"/>
    <w:rsid w:val="000B521E"/>
    <w:rsid w:val="000B549B"/>
    <w:rsid w:val="000B5866"/>
    <w:rsid w:val="000B5FBD"/>
    <w:rsid w:val="000B625A"/>
    <w:rsid w:val="000B67C6"/>
    <w:rsid w:val="000B7248"/>
    <w:rsid w:val="000B7D3F"/>
    <w:rsid w:val="000B7E62"/>
    <w:rsid w:val="000C0253"/>
    <w:rsid w:val="000C0822"/>
    <w:rsid w:val="000C1E4C"/>
    <w:rsid w:val="000C1FCA"/>
    <w:rsid w:val="000C243F"/>
    <w:rsid w:val="000C3B50"/>
    <w:rsid w:val="000C4847"/>
    <w:rsid w:val="000C4A0B"/>
    <w:rsid w:val="000C5274"/>
    <w:rsid w:val="000C5836"/>
    <w:rsid w:val="000C58FF"/>
    <w:rsid w:val="000C5C4E"/>
    <w:rsid w:val="000C5D08"/>
    <w:rsid w:val="000C5D85"/>
    <w:rsid w:val="000C5FA4"/>
    <w:rsid w:val="000C601F"/>
    <w:rsid w:val="000C6869"/>
    <w:rsid w:val="000C7C25"/>
    <w:rsid w:val="000D0109"/>
    <w:rsid w:val="000D0EE6"/>
    <w:rsid w:val="000D1104"/>
    <w:rsid w:val="000D1D4B"/>
    <w:rsid w:val="000D1FB6"/>
    <w:rsid w:val="000D2147"/>
    <w:rsid w:val="000D21C6"/>
    <w:rsid w:val="000D2334"/>
    <w:rsid w:val="000D277F"/>
    <w:rsid w:val="000D4400"/>
    <w:rsid w:val="000D4804"/>
    <w:rsid w:val="000D4E2E"/>
    <w:rsid w:val="000D4E54"/>
    <w:rsid w:val="000D536E"/>
    <w:rsid w:val="000D57DD"/>
    <w:rsid w:val="000D589E"/>
    <w:rsid w:val="000D58EA"/>
    <w:rsid w:val="000D6CA1"/>
    <w:rsid w:val="000D6CC8"/>
    <w:rsid w:val="000D739B"/>
    <w:rsid w:val="000D7534"/>
    <w:rsid w:val="000D7BC6"/>
    <w:rsid w:val="000D7DD4"/>
    <w:rsid w:val="000D7E4E"/>
    <w:rsid w:val="000D7E96"/>
    <w:rsid w:val="000E065C"/>
    <w:rsid w:val="000E0857"/>
    <w:rsid w:val="000E0BB0"/>
    <w:rsid w:val="000E0FB3"/>
    <w:rsid w:val="000E102B"/>
    <w:rsid w:val="000E150B"/>
    <w:rsid w:val="000E16D0"/>
    <w:rsid w:val="000E2BFA"/>
    <w:rsid w:val="000E3F3F"/>
    <w:rsid w:val="000E4520"/>
    <w:rsid w:val="000E5008"/>
    <w:rsid w:val="000E5139"/>
    <w:rsid w:val="000E51E5"/>
    <w:rsid w:val="000E5E81"/>
    <w:rsid w:val="000E63C6"/>
    <w:rsid w:val="000E66B9"/>
    <w:rsid w:val="000E6D6C"/>
    <w:rsid w:val="000E70B4"/>
    <w:rsid w:val="000E74AB"/>
    <w:rsid w:val="000E7823"/>
    <w:rsid w:val="000E7E83"/>
    <w:rsid w:val="000F0676"/>
    <w:rsid w:val="000F09E3"/>
    <w:rsid w:val="000F0C37"/>
    <w:rsid w:val="000F0D1F"/>
    <w:rsid w:val="000F0D43"/>
    <w:rsid w:val="000F155F"/>
    <w:rsid w:val="000F210A"/>
    <w:rsid w:val="000F2331"/>
    <w:rsid w:val="000F28B6"/>
    <w:rsid w:val="000F2C51"/>
    <w:rsid w:val="000F2DC1"/>
    <w:rsid w:val="000F2E0F"/>
    <w:rsid w:val="000F2F5E"/>
    <w:rsid w:val="000F372C"/>
    <w:rsid w:val="000F37ED"/>
    <w:rsid w:val="000F4277"/>
    <w:rsid w:val="000F4A1E"/>
    <w:rsid w:val="000F554E"/>
    <w:rsid w:val="000F5897"/>
    <w:rsid w:val="000F5BEE"/>
    <w:rsid w:val="000F5E79"/>
    <w:rsid w:val="000F5F82"/>
    <w:rsid w:val="000F5FDE"/>
    <w:rsid w:val="000F603B"/>
    <w:rsid w:val="000F6403"/>
    <w:rsid w:val="000F6C7F"/>
    <w:rsid w:val="000F6CC4"/>
    <w:rsid w:val="000F71C0"/>
    <w:rsid w:val="000F7A35"/>
    <w:rsid w:val="00100025"/>
    <w:rsid w:val="00100393"/>
    <w:rsid w:val="00100445"/>
    <w:rsid w:val="00100DE5"/>
    <w:rsid w:val="00100E1B"/>
    <w:rsid w:val="00100E92"/>
    <w:rsid w:val="001010C3"/>
    <w:rsid w:val="00101107"/>
    <w:rsid w:val="0010139A"/>
    <w:rsid w:val="00101954"/>
    <w:rsid w:val="00102736"/>
    <w:rsid w:val="0010290F"/>
    <w:rsid w:val="00102AE4"/>
    <w:rsid w:val="00102BBF"/>
    <w:rsid w:val="00102E8B"/>
    <w:rsid w:val="00103BD2"/>
    <w:rsid w:val="001042D3"/>
    <w:rsid w:val="001042FF"/>
    <w:rsid w:val="00104F5C"/>
    <w:rsid w:val="00104F76"/>
    <w:rsid w:val="00105634"/>
    <w:rsid w:val="00105927"/>
    <w:rsid w:val="00106143"/>
    <w:rsid w:val="00106FF3"/>
    <w:rsid w:val="001071FC"/>
    <w:rsid w:val="00107469"/>
    <w:rsid w:val="00107F0D"/>
    <w:rsid w:val="00110172"/>
    <w:rsid w:val="00110229"/>
    <w:rsid w:val="00110DA1"/>
    <w:rsid w:val="001117C0"/>
    <w:rsid w:val="001121F0"/>
    <w:rsid w:val="00112580"/>
    <w:rsid w:val="00112716"/>
    <w:rsid w:val="001131DF"/>
    <w:rsid w:val="0011425E"/>
    <w:rsid w:val="00114355"/>
    <w:rsid w:val="00114588"/>
    <w:rsid w:val="00115114"/>
    <w:rsid w:val="001154FC"/>
    <w:rsid w:val="00115583"/>
    <w:rsid w:val="00116147"/>
    <w:rsid w:val="00116C29"/>
    <w:rsid w:val="00116D63"/>
    <w:rsid w:val="00116DCF"/>
    <w:rsid w:val="00117651"/>
    <w:rsid w:val="00117DE9"/>
    <w:rsid w:val="00120137"/>
    <w:rsid w:val="00120603"/>
    <w:rsid w:val="001208A2"/>
    <w:rsid w:val="001209EF"/>
    <w:rsid w:val="00120FEE"/>
    <w:rsid w:val="001217C3"/>
    <w:rsid w:val="00121B26"/>
    <w:rsid w:val="00121DC8"/>
    <w:rsid w:val="0012212B"/>
    <w:rsid w:val="00122B26"/>
    <w:rsid w:val="0012353A"/>
    <w:rsid w:val="001236E4"/>
    <w:rsid w:val="0012471B"/>
    <w:rsid w:val="00124B2C"/>
    <w:rsid w:val="00124C66"/>
    <w:rsid w:val="00124CDB"/>
    <w:rsid w:val="00125082"/>
    <w:rsid w:val="001257D6"/>
    <w:rsid w:val="00125E2E"/>
    <w:rsid w:val="00126073"/>
    <w:rsid w:val="001270B4"/>
    <w:rsid w:val="0012713F"/>
    <w:rsid w:val="00127478"/>
    <w:rsid w:val="001279B9"/>
    <w:rsid w:val="00127F45"/>
    <w:rsid w:val="00127FC7"/>
    <w:rsid w:val="00130CCE"/>
    <w:rsid w:val="001310BE"/>
    <w:rsid w:val="0013251D"/>
    <w:rsid w:val="001328D8"/>
    <w:rsid w:val="00132D57"/>
    <w:rsid w:val="001330D2"/>
    <w:rsid w:val="00133229"/>
    <w:rsid w:val="00134B27"/>
    <w:rsid w:val="00134CF4"/>
    <w:rsid w:val="0013560F"/>
    <w:rsid w:val="00135913"/>
    <w:rsid w:val="00135C2A"/>
    <w:rsid w:val="00135CF6"/>
    <w:rsid w:val="00135D39"/>
    <w:rsid w:val="00135E02"/>
    <w:rsid w:val="00136E23"/>
    <w:rsid w:val="00137029"/>
    <w:rsid w:val="00137C4D"/>
    <w:rsid w:val="00140630"/>
    <w:rsid w:val="00140F83"/>
    <w:rsid w:val="001410F7"/>
    <w:rsid w:val="0014162F"/>
    <w:rsid w:val="00141DA7"/>
    <w:rsid w:val="001421AA"/>
    <w:rsid w:val="00142679"/>
    <w:rsid w:val="00143721"/>
    <w:rsid w:val="00144603"/>
    <w:rsid w:val="00145451"/>
    <w:rsid w:val="00145601"/>
    <w:rsid w:val="001459B0"/>
    <w:rsid w:val="00145B78"/>
    <w:rsid w:val="00146074"/>
    <w:rsid w:val="00146334"/>
    <w:rsid w:val="001464A1"/>
    <w:rsid w:val="001464F4"/>
    <w:rsid w:val="001468C9"/>
    <w:rsid w:val="00146957"/>
    <w:rsid w:val="00146A50"/>
    <w:rsid w:val="00146BD3"/>
    <w:rsid w:val="00146D53"/>
    <w:rsid w:val="001470BF"/>
    <w:rsid w:val="001477C3"/>
    <w:rsid w:val="00147C51"/>
    <w:rsid w:val="00147E04"/>
    <w:rsid w:val="001502E2"/>
    <w:rsid w:val="00150787"/>
    <w:rsid w:val="001512A7"/>
    <w:rsid w:val="00151303"/>
    <w:rsid w:val="001520D4"/>
    <w:rsid w:val="00152940"/>
    <w:rsid w:val="00152A23"/>
    <w:rsid w:val="00153521"/>
    <w:rsid w:val="00153848"/>
    <w:rsid w:val="0015458B"/>
    <w:rsid w:val="001549DE"/>
    <w:rsid w:val="00154C7A"/>
    <w:rsid w:val="00154D12"/>
    <w:rsid w:val="00155E84"/>
    <w:rsid w:val="00156AA0"/>
    <w:rsid w:val="00157288"/>
    <w:rsid w:val="001579D5"/>
    <w:rsid w:val="00160627"/>
    <w:rsid w:val="001606A4"/>
    <w:rsid w:val="001618AD"/>
    <w:rsid w:val="00161B56"/>
    <w:rsid w:val="00162944"/>
    <w:rsid w:val="00162F8B"/>
    <w:rsid w:val="00163C1E"/>
    <w:rsid w:val="00164442"/>
    <w:rsid w:val="00164B45"/>
    <w:rsid w:val="0016531B"/>
    <w:rsid w:val="001654FA"/>
    <w:rsid w:val="0016584B"/>
    <w:rsid w:val="001660F6"/>
    <w:rsid w:val="00166907"/>
    <w:rsid w:val="00166C09"/>
    <w:rsid w:val="00166EA3"/>
    <w:rsid w:val="0016732E"/>
    <w:rsid w:val="00167CAC"/>
    <w:rsid w:val="00167EB9"/>
    <w:rsid w:val="0017005F"/>
    <w:rsid w:val="0017100A"/>
    <w:rsid w:val="001716D7"/>
    <w:rsid w:val="001718D2"/>
    <w:rsid w:val="00171AA0"/>
    <w:rsid w:val="00172571"/>
    <w:rsid w:val="0017278D"/>
    <w:rsid w:val="00173AF9"/>
    <w:rsid w:val="00173B99"/>
    <w:rsid w:val="00174172"/>
    <w:rsid w:val="001744C0"/>
    <w:rsid w:val="0017469D"/>
    <w:rsid w:val="00174BE5"/>
    <w:rsid w:val="001757A7"/>
    <w:rsid w:val="0017590F"/>
    <w:rsid w:val="00175BF4"/>
    <w:rsid w:val="0017696A"/>
    <w:rsid w:val="0017701D"/>
    <w:rsid w:val="00180050"/>
    <w:rsid w:val="0018096F"/>
    <w:rsid w:val="0018097A"/>
    <w:rsid w:val="00180D43"/>
    <w:rsid w:val="00180DDF"/>
    <w:rsid w:val="001812E2"/>
    <w:rsid w:val="00181730"/>
    <w:rsid w:val="00182086"/>
    <w:rsid w:val="0018285E"/>
    <w:rsid w:val="001829E4"/>
    <w:rsid w:val="00182B1D"/>
    <w:rsid w:val="00182C50"/>
    <w:rsid w:val="00183445"/>
    <w:rsid w:val="001846D6"/>
    <w:rsid w:val="0018529C"/>
    <w:rsid w:val="0018612D"/>
    <w:rsid w:val="0018722A"/>
    <w:rsid w:val="0018758C"/>
    <w:rsid w:val="0019055C"/>
    <w:rsid w:val="00191617"/>
    <w:rsid w:val="00191A81"/>
    <w:rsid w:val="00191B2A"/>
    <w:rsid w:val="00191FBE"/>
    <w:rsid w:val="00192133"/>
    <w:rsid w:val="00192823"/>
    <w:rsid w:val="0019292E"/>
    <w:rsid w:val="00192C0E"/>
    <w:rsid w:val="0019356D"/>
    <w:rsid w:val="00193CDA"/>
    <w:rsid w:val="00193EAA"/>
    <w:rsid w:val="0019488D"/>
    <w:rsid w:val="00195484"/>
    <w:rsid w:val="001960DD"/>
    <w:rsid w:val="00196A75"/>
    <w:rsid w:val="0019792E"/>
    <w:rsid w:val="00197EEB"/>
    <w:rsid w:val="001A03CE"/>
    <w:rsid w:val="001A15B4"/>
    <w:rsid w:val="001A23D7"/>
    <w:rsid w:val="001A287D"/>
    <w:rsid w:val="001A2AF1"/>
    <w:rsid w:val="001A30D7"/>
    <w:rsid w:val="001A30F0"/>
    <w:rsid w:val="001A3270"/>
    <w:rsid w:val="001A33D6"/>
    <w:rsid w:val="001A346F"/>
    <w:rsid w:val="001A41FA"/>
    <w:rsid w:val="001A4D70"/>
    <w:rsid w:val="001A563A"/>
    <w:rsid w:val="001A58AF"/>
    <w:rsid w:val="001A6530"/>
    <w:rsid w:val="001A7008"/>
    <w:rsid w:val="001A7199"/>
    <w:rsid w:val="001A7F37"/>
    <w:rsid w:val="001B033E"/>
    <w:rsid w:val="001B042B"/>
    <w:rsid w:val="001B0834"/>
    <w:rsid w:val="001B1388"/>
    <w:rsid w:val="001B1668"/>
    <w:rsid w:val="001B1838"/>
    <w:rsid w:val="001B1B98"/>
    <w:rsid w:val="001B1DFC"/>
    <w:rsid w:val="001B1FE9"/>
    <w:rsid w:val="001B2017"/>
    <w:rsid w:val="001B28E4"/>
    <w:rsid w:val="001B2923"/>
    <w:rsid w:val="001B2C6D"/>
    <w:rsid w:val="001B2CDA"/>
    <w:rsid w:val="001B2DF9"/>
    <w:rsid w:val="001B362D"/>
    <w:rsid w:val="001B3E37"/>
    <w:rsid w:val="001B4626"/>
    <w:rsid w:val="001B4FB2"/>
    <w:rsid w:val="001B5E46"/>
    <w:rsid w:val="001B6A6E"/>
    <w:rsid w:val="001B71A4"/>
    <w:rsid w:val="001B769E"/>
    <w:rsid w:val="001B7D97"/>
    <w:rsid w:val="001C0ADA"/>
    <w:rsid w:val="001C1AFD"/>
    <w:rsid w:val="001C1F94"/>
    <w:rsid w:val="001C2199"/>
    <w:rsid w:val="001C2490"/>
    <w:rsid w:val="001C2B39"/>
    <w:rsid w:val="001C2BAD"/>
    <w:rsid w:val="001C2FBB"/>
    <w:rsid w:val="001C3603"/>
    <w:rsid w:val="001C3FC4"/>
    <w:rsid w:val="001C44B2"/>
    <w:rsid w:val="001C4EEA"/>
    <w:rsid w:val="001C5316"/>
    <w:rsid w:val="001C54D0"/>
    <w:rsid w:val="001C5FF2"/>
    <w:rsid w:val="001C60B1"/>
    <w:rsid w:val="001C63EC"/>
    <w:rsid w:val="001C69EB"/>
    <w:rsid w:val="001C6E9D"/>
    <w:rsid w:val="001C7638"/>
    <w:rsid w:val="001D010B"/>
    <w:rsid w:val="001D051B"/>
    <w:rsid w:val="001D06B7"/>
    <w:rsid w:val="001D264B"/>
    <w:rsid w:val="001D28C8"/>
    <w:rsid w:val="001D2B1E"/>
    <w:rsid w:val="001D2BC6"/>
    <w:rsid w:val="001D30EE"/>
    <w:rsid w:val="001D32FC"/>
    <w:rsid w:val="001D38C0"/>
    <w:rsid w:val="001D3B0D"/>
    <w:rsid w:val="001D3E93"/>
    <w:rsid w:val="001D4B9D"/>
    <w:rsid w:val="001D587C"/>
    <w:rsid w:val="001D59AB"/>
    <w:rsid w:val="001D5BA6"/>
    <w:rsid w:val="001D6334"/>
    <w:rsid w:val="001D693E"/>
    <w:rsid w:val="001D7927"/>
    <w:rsid w:val="001D7EDC"/>
    <w:rsid w:val="001E005D"/>
    <w:rsid w:val="001E0606"/>
    <w:rsid w:val="001E0DCB"/>
    <w:rsid w:val="001E1F36"/>
    <w:rsid w:val="001E2F5B"/>
    <w:rsid w:val="001E37BD"/>
    <w:rsid w:val="001E38BC"/>
    <w:rsid w:val="001E38FB"/>
    <w:rsid w:val="001E3DBC"/>
    <w:rsid w:val="001E3E77"/>
    <w:rsid w:val="001E4186"/>
    <w:rsid w:val="001E42EF"/>
    <w:rsid w:val="001E59F9"/>
    <w:rsid w:val="001E623B"/>
    <w:rsid w:val="001E6697"/>
    <w:rsid w:val="001E682A"/>
    <w:rsid w:val="001E7A8F"/>
    <w:rsid w:val="001F0341"/>
    <w:rsid w:val="001F08E0"/>
    <w:rsid w:val="001F10A0"/>
    <w:rsid w:val="001F1103"/>
    <w:rsid w:val="001F120D"/>
    <w:rsid w:val="001F18D6"/>
    <w:rsid w:val="001F243C"/>
    <w:rsid w:val="001F25CB"/>
    <w:rsid w:val="001F2AD9"/>
    <w:rsid w:val="001F2C01"/>
    <w:rsid w:val="001F3109"/>
    <w:rsid w:val="001F4145"/>
    <w:rsid w:val="001F4611"/>
    <w:rsid w:val="001F4870"/>
    <w:rsid w:val="001F49E1"/>
    <w:rsid w:val="001F4DFE"/>
    <w:rsid w:val="001F4E05"/>
    <w:rsid w:val="001F51A0"/>
    <w:rsid w:val="001F5358"/>
    <w:rsid w:val="001F572A"/>
    <w:rsid w:val="001F5C3F"/>
    <w:rsid w:val="001F5CC6"/>
    <w:rsid w:val="001F6D00"/>
    <w:rsid w:val="001F6D44"/>
    <w:rsid w:val="001F73A7"/>
    <w:rsid w:val="001F7744"/>
    <w:rsid w:val="001F7C2F"/>
    <w:rsid w:val="00200A70"/>
    <w:rsid w:val="00200BBB"/>
    <w:rsid w:val="00201395"/>
    <w:rsid w:val="00201642"/>
    <w:rsid w:val="00201A62"/>
    <w:rsid w:val="002025C1"/>
    <w:rsid w:val="00202BC3"/>
    <w:rsid w:val="00202C48"/>
    <w:rsid w:val="0020307A"/>
    <w:rsid w:val="00203911"/>
    <w:rsid w:val="00203AEE"/>
    <w:rsid w:val="00204C24"/>
    <w:rsid w:val="0020545F"/>
    <w:rsid w:val="0020578A"/>
    <w:rsid w:val="002067DF"/>
    <w:rsid w:val="0020681E"/>
    <w:rsid w:val="0020687B"/>
    <w:rsid w:val="00206A3D"/>
    <w:rsid w:val="00206BDA"/>
    <w:rsid w:val="00206DE2"/>
    <w:rsid w:val="00206E43"/>
    <w:rsid w:val="002072CF"/>
    <w:rsid w:val="00207677"/>
    <w:rsid w:val="00207C55"/>
    <w:rsid w:val="00211765"/>
    <w:rsid w:val="0021177E"/>
    <w:rsid w:val="00212895"/>
    <w:rsid w:val="00212ABF"/>
    <w:rsid w:val="002136E7"/>
    <w:rsid w:val="00214685"/>
    <w:rsid w:val="00215099"/>
    <w:rsid w:val="002150DB"/>
    <w:rsid w:val="002154C4"/>
    <w:rsid w:val="00215AA6"/>
    <w:rsid w:val="00215BDA"/>
    <w:rsid w:val="00216912"/>
    <w:rsid w:val="00216F6C"/>
    <w:rsid w:val="00217099"/>
    <w:rsid w:val="00220117"/>
    <w:rsid w:val="00220145"/>
    <w:rsid w:val="002202E2"/>
    <w:rsid w:val="002206DB"/>
    <w:rsid w:val="002208EA"/>
    <w:rsid w:val="00220A2D"/>
    <w:rsid w:val="0022117A"/>
    <w:rsid w:val="0022141E"/>
    <w:rsid w:val="0022182D"/>
    <w:rsid w:val="002220E1"/>
    <w:rsid w:val="002225D2"/>
    <w:rsid w:val="00222A12"/>
    <w:rsid w:val="00222EB2"/>
    <w:rsid w:val="00223F26"/>
    <w:rsid w:val="00224091"/>
    <w:rsid w:val="00224859"/>
    <w:rsid w:val="002251BA"/>
    <w:rsid w:val="00225901"/>
    <w:rsid w:val="00225A12"/>
    <w:rsid w:val="00225C52"/>
    <w:rsid w:val="002261B3"/>
    <w:rsid w:val="002272CA"/>
    <w:rsid w:val="00227A10"/>
    <w:rsid w:val="002318B6"/>
    <w:rsid w:val="00233995"/>
    <w:rsid w:val="00233CBF"/>
    <w:rsid w:val="00233CEF"/>
    <w:rsid w:val="00233F2C"/>
    <w:rsid w:val="00233FD0"/>
    <w:rsid w:val="002341C8"/>
    <w:rsid w:val="0023423B"/>
    <w:rsid w:val="00234B05"/>
    <w:rsid w:val="00234B69"/>
    <w:rsid w:val="002352B0"/>
    <w:rsid w:val="002354E4"/>
    <w:rsid w:val="00235962"/>
    <w:rsid w:val="002359CA"/>
    <w:rsid w:val="00235CBE"/>
    <w:rsid w:val="00235E66"/>
    <w:rsid w:val="00236451"/>
    <w:rsid w:val="002366FD"/>
    <w:rsid w:val="00236D73"/>
    <w:rsid w:val="0023718F"/>
    <w:rsid w:val="00240493"/>
    <w:rsid w:val="002405FB"/>
    <w:rsid w:val="00240A5B"/>
    <w:rsid w:val="00242A09"/>
    <w:rsid w:val="002431B1"/>
    <w:rsid w:val="00243942"/>
    <w:rsid w:val="00243D68"/>
    <w:rsid w:val="00243EB6"/>
    <w:rsid w:val="00243F4E"/>
    <w:rsid w:val="00244068"/>
    <w:rsid w:val="00244C11"/>
    <w:rsid w:val="002455C8"/>
    <w:rsid w:val="0024584D"/>
    <w:rsid w:val="00245A96"/>
    <w:rsid w:val="002464E8"/>
    <w:rsid w:val="00246CAC"/>
    <w:rsid w:val="00246CC5"/>
    <w:rsid w:val="00246EF4"/>
    <w:rsid w:val="0024710C"/>
    <w:rsid w:val="00250127"/>
    <w:rsid w:val="002503F4"/>
    <w:rsid w:val="002506CE"/>
    <w:rsid w:val="00250940"/>
    <w:rsid w:val="00250E42"/>
    <w:rsid w:val="002510F2"/>
    <w:rsid w:val="002513CA"/>
    <w:rsid w:val="00251ADA"/>
    <w:rsid w:val="002525AB"/>
    <w:rsid w:val="00252986"/>
    <w:rsid w:val="00253004"/>
    <w:rsid w:val="002534A0"/>
    <w:rsid w:val="00253776"/>
    <w:rsid w:val="00253EAA"/>
    <w:rsid w:val="0025471B"/>
    <w:rsid w:val="00255417"/>
    <w:rsid w:val="00255EA3"/>
    <w:rsid w:val="00256A31"/>
    <w:rsid w:val="00256CFA"/>
    <w:rsid w:val="00257215"/>
    <w:rsid w:val="00257989"/>
    <w:rsid w:val="00257DC1"/>
    <w:rsid w:val="00260517"/>
    <w:rsid w:val="00260857"/>
    <w:rsid w:val="00260CBC"/>
    <w:rsid w:val="002614DF"/>
    <w:rsid w:val="002622B6"/>
    <w:rsid w:val="00262311"/>
    <w:rsid w:val="0026298C"/>
    <w:rsid w:val="00262B41"/>
    <w:rsid w:val="00262CC8"/>
    <w:rsid w:val="00262EEB"/>
    <w:rsid w:val="00262FC1"/>
    <w:rsid w:val="00262FED"/>
    <w:rsid w:val="002630E1"/>
    <w:rsid w:val="0026319E"/>
    <w:rsid w:val="00263EDD"/>
    <w:rsid w:val="00263FB2"/>
    <w:rsid w:val="0026488C"/>
    <w:rsid w:val="00264EFA"/>
    <w:rsid w:val="002651EE"/>
    <w:rsid w:val="00265378"/>
    <w:rsid w:val="002656E8"/>
    <w:rsid w:val="00265974"/>
    <w:rsid w:val="00265D11"/>
    <w:rsid w:val="00265D9F"/>
    <w:rsid w:val="00266206"/>
    <w:rsid w:val="002662B7"/>
    <w:rsid w:val="00266661"/>
    <w:rsid w:val="00266CE9"/>
    <w:rsid w:val="00266E94"/>
    <w:rsid w:val="00267328"/>
    <w:rsid w:val="00267361"/>
    <w:rsid w:val="002674C1"/>
    <w:rsid w:val="00267AD1"/>
    <w:rsid w:val="00267CDA"/>
    <w:rsid w:val="00270338"/>
    <w:rsid w:val="0027092E"/>
    <w:rsid w:val="002714BA"/>
    <w:rsid w:val="002718AC"/>
    <w:rsid w:val="00271FA7"/>
    <w:rsid w:val="00272054"/>
    <w:rsid w:val="002720F3"/>
    <w:rsid w:val="002728E7"/>
    <w:rsid w:val="00272BE8"/>
    <w:rsid w:val="0027303D"/>
    <w:rsid w:val="0027307F"/>
    <w:rsid w:val="00274963"/>
    <w:rsid w:val="00275492"/>
    <w:rsid w:val="00275BA2"/>
    <w:rsid w:val="0027687E"/>
    <w:rsid w:val="00276AE3"/>
    <w:rsid w:val="00276FFF"/>
    <w:rsid w:val="00277723"/>
    <w:rsid w:val="0028003E"/>
    <w:rsid w:val="002817CE"/>
    <w:rsid w:val="0028180A"/>
    <w:rsid w:val="00281F72"/>
    <w:rsid w:val="0028202D"/>
    <w:rsid w:val="0028268E"/>
    <w:rsid w:val="00283409"/>
    <w:rsid w:val="00283AA4"/>
    <w:rsid w:val="00283AA6"/>
    <w:rsid w:val="00283BE9"/>
    <w:rsid w:val="00283EA4"/>
    <w:rsid w:val="0028430A"/>
    <w:rsid w:val="0028432C"/>
    <w:rsid w:val="002844EE"/>
    <w:rsid w:val="00284808"/>
    <w:rsid w:val="00284E46"/>
    <w:rsid w:val="002857E2"/>
    <w:rsid w:val="0028620A"/>
    <w:rsid w:val="00286CF1"/>
    <w:rsid w:val="00286E23"/>
    <w:rsid w:val="002870A9"/>
    <w:rsid w:val="00287701"/>
    <w:rsid w:val="002877FB"/>
    <w:rsid w:val="002903F8"/>
    <w:rsid w:val="00290ABD"/>
    <w:rsid w:val="00290F47"/>
    <w:rsid w:val="00290FC8"/>
    <w:rsid w:val="00291146"/>
    <w:rsid w:val="00291B4B"/>
    <w:rsid w:val="00291EB3"/>
    <w:rsid w:val="0029209A"/>
    <w:rsid w:val="00292396"/>
    <w:rsid w:val="0029275B"/>
    <w:rsid w:val="00292BB1"/>
    <w:rsid w:val="00292DAB"/>
    <w:rsid w:val="00293084"/>
    <w:rsid w:val="0029334C"/>
    <w:rsid w:val="0029355E"/>
    <w:rsid w:val="002936F9"/>
    <w:rsid w:val="00293C22"/>
    <w:rsid w:val="00293E05"/>
    <w:rsid w:val="002945D5"/>
    <w:rsid w:val="00294D62"/>
    <w:rsid w:val="00294E94"/>
    <w:rsid w:val="00295995"/>
    <w:rsid w:val="00296DC9"/>
    <w:rsid w:val="002A0B4A"/>
    <w:rsid w:val="002A0FC9"/>
    <w:rsid w:val="002A0FD2"/>
    <w:rsid w:val="002A10EA"/>
    <w:rsid w:val="002A1FCA"/>
    <w:rsid w:val="002A34C1"/>
    <w:rsid w:val="002A3738"/>
    <w:rsid w:val="002A4201"/>
    <w:rsid w:val="002A5901"/>
    <w:rsid w:val="002A5BD4"/>
    <w:rsid w:val="002A5C43"/>
    <w:rsid w:val="002A6015"/>
    <w:rsid w:val="002A6980"/>
    <w:rsid w:val="002A7170"/>
    <w:rsid w:val="002A7221"/>
    <w:rsid w:val="002A729E"/>
    <w:rsid w:val="002A774A"/>
    <w:rsid w:val="002A7B45"/>
    <w:rsid w:val="002A7FB5"/>
    <w:rsid w:val="002B08CD"/>
    <w:rsid w:val="002B0A45"/>
    <w:rsid w:val="002B1BA2"/>
    <w:rsid w:val="002B1CCD"/>
    <w:rsid w:val="002B23AA"/>
    <w:rsid w:val="002B262D"/>
    <w:rsid w:val="002B2845"/>
    <w:rsid w:val="002B2FCC"/>
    <w:rsid w:val="002B31AA"/>
    <w:rsid w:val="002B32F4"/>
    <w:rsid w:val="002B35F2"/>
    <w:rsid w:val="002B6015"/>
    <w:rsid w:val="002B60C1"/>
    <w:rsid w:val="002B6125"/>
    <w:rsid w:val="002B613D"/>
    <w:rsid w:val="002B6191"/>
    <w:rsid w:val="002B6335"/>
    <w:rsid w:val="002B6581"/>
    <w:rsid w:val="002B6C48"/>
    <w:rsid w:val="002B798A"/>
    <w:rsid w:val="002B7AA8"/>
    <w:rsid w:val="002B7F5A"/>
    <w:rsid w:val="002C02B6"/>
    <w:rsid w:val="002C1570"/>
    <w:rsid w:val="002C16AD"/>
    <w:rsid w:val="002C1CCD"/>
    <w:rsid w:val="002C200F"/>
    <w:rsid w:val="002C278E"/>
    <w:rsid w:val="002C33E4"/>
    <w:rsid w:val="002C35C1"/>
    <w:rsid w:val="002C37D7"/>
    <w:rsid w:val="002C3AC8"/>
    <w:rsid w:val="002C41F7"/>
    <w:rsid w:val="002C507D"/>
    <w:rsid w:val="002C57E5"/>
    <w:rsid w:val="002C57F4"/>
    <w:rsid w:val="002C592E"/>
    <w:rsid w:val="002C5B69"/>
    <w:rsid w:val="002C6145"/>
    <w:rsid w:val="002C6C2D"/>
    <w:rsid w:val="002C6FAB"/>
    <w:rsid w:val="002C7704"/>
    <w:rsid w:val="002C7B6E"/>
    <w:rsid w:val="002C7F13"/>
    <w:rsid w:val="002D0E37"/>
    <w:rsid w:val="002D0EDF"/>
    <w:rsid w:val="002D1528"/>
    <w:rsid w:val="002D15FD"/>
    <w:rsid w:val="002D1C3E"/>
    <w:rsid w:val="002D1F07"/>
    <w:rsid w:val="002D2004"/>
    <w:rsid w:val="002D206A"/>
    <w:rsid w:val="002D2E58"/>
    <w:rsid w:val="002D350A"/>
    <w:rsid w:val="002D358E"/>
    <w:rsid w:val="002D3BBD"/>
    <w:rsid w:val="002D3F07"/>
    <w:rsid w:val="002D3FF7"/>
    <w:rsid w:val="002D448C"/>
    <w:rsid w:val="002D45AF"/>
    <w:rsid w:val="002D516C"/>
    <w:rsid w:val="002D517A"/>
    <w:rsid w:val="002D65B3"/>
    <w:rsid w:val="002D664B"/>
    <w:rsid w:val="002D695A"/>
    <w:rsid w:val="002D710B"/>
    <w:rsid w:val="002D7D6B"/>
    <w:rsid w:val="002D7E6E"/>
    <w:rsid w:val="002E028B"/>
    <w:rsid w:val="002E048E"/>
    <w:rsid w:val="002E092E"/>
    <w:rsid w:val="002E17D5"/>
    <w:rsid w:val="002E2247"/>
    <w:rsid w:val="002E237F"/>
    <w:rsid w:val="002E2AF2"/>
    <w:rsid w:val="002E31DD"/>
    <w:rsid w:val="002E3213"/>
    <w:rsid w:val="002E32D8"/>
    <w:rsid w:val="002E41CA"/>
    <w:rsid w:val="002E454F"/>
    <w:rsid w:val="002E48E8"/>
    <w:rsid w:val="002E4E8A"/>
    <w:rsid w:val="002E53FC"/>
    <w:rsid w:val="002E581B"/>
    <w:rsid w:val="002E6596"/>
    <w:rsid w:val="002E712E"/>
    <w:rsid w:val="002E71E0"/>
    <w:rsid w:val="002E76D9"/>
    <w:rsid w:val="002E7F23"/>
    <w:rsid w:val="002F029D"/>
    <w:rsid w:val="002F04D8"/>
    <w:rsid w:val="002F0889"/>
    <w:rsid w:val="002F08DF"/>
    <w:rsid w:val="002F119E"/>
    <w:rsid w:val="002F211C"/>
    <w:rsid w:val="002F247C"/>
    <w:rsid w:val="002F2638"/>
    <w:rsid w:val="002F28A7"/>
    <w:rsid w:val="002F3557"/>
    <w:rsid w:val="002F3FFE"/>
    <w:rsid w:val="002F513A"/>
    <w:rsid w:val="002F52A9"/>
    <w:rsid w:val="002F5891"/>
    <w:rsid w:val="002F58BB"/>
    <w:rsid w:val="002F7490"/>
    <w:rsid w:val="002F752F"/>
    <w:rsid w:val="002F7F33"/>
    <w:rsid w:val="0030048E"/>
    <w:rsid w:val="00300A2F"/>
    <w:rsid w:val="00300EE9"/>
    <w:rsid w:val="00301059"/>
    <w:rsid w:val="00301D68"/>
    <w:rsid w:val="003023A2"/>
    <w:rsid w:val="0030287F"/>
    <w:rsid w:val="003030CF"/>
    <w:rsid w:val="003031DA"/>
    <w:rsid w:val="003042EC"/>
    <w:rsid w:val="003045B6"/>
    <w:rsid w:val="003045E5"/>
    <w:rsid w:val="00304D23"/>
    <w:rsid w:val="0030511F"/>
    <w:rsid w:val="0030529C"/>
    <w:rsid w:val="0030537D"/>
    <w:rsid w:val="00305634"/>
    <w:rsid w:val="00305F4D"/>
    <w:rsid w:val="0030616D"/>
    <w:rsid w:val="003063DF"/>
    <w:rsid w:val="00310BA0"/>
    <w:rsid w:val="00310E0A"/>
    <w:rsid w:val="00310F18"/>
    <w:rsid w:val="00310F92"/>
    <w:rsid w:val="003115A1"/>
    <w:rsid w:val="00311746"/>
    <w:rsid w:val="00311868"/>
    <w:rsid w:val="00312579"/>
    <w:rsid w:val="00312651"/>
    <w:rsid w:val="003127BD"/>
    <w:rsid w:val="00312831"/>
    <w:rsid w:val="00312E6C"/>
    <w:rsid w:val="00312E95"/>
    <w:rsid w:val="00312EC7"/>
    <w:rsid w:val="00312F9E"/>
    <w:rsid w:val="003132DD"/>
    <w:rsid w:val="00313634"/>
    <w:rsid w:val="00313645"/>
    <w:rsid w:val="003140A5"/>
    <w:rsid w:val="00314155"/>
    <w:rsid w:val="003142C8"/>
    <w:rsid w:val="00314586"/>
    <w:rsid w:val="0031481E"/>
    <w:rsid w:val="00315016"/>
    <w:rsid w:val="003151F2"/>
    <w:rsid w:val="00315536"/>
    <w:rsid w:val="00315A06"/>
    <w:rsid w:val="00315FDC"/>
    <w:rsid w:val="003164B0"/>
    <w:rsid w:val="003168D2"/>
    <w:rsid w:val="00316D6F"/>
    <w:rsid w:val="00316D83"/>
    <w:rsid w:val="00317A59"/>
    <w:rsid w:val="00317FDC"/>
    <w:rsid w:val="0032078D"/>
    <w:rsid w:val="003221D2"/>
    <w:rsid w:val="0032243D"/>
    <w:rsid w:val="003226E4"/>
    <w:rsid w:val="00322F05"/>
    <w:rsid w:val="00323695"/>
    <w:rsid w:val="00323E33"/>
    <w:rsid w:val="00324169"/>
    <w:rsid w:val="00324F79"/>
    <w:rsid w:val="003260F5"/>
    <w:rsid w:val="00326D20"/>
    <w:rsid w:val="00326FE8"/>
    <w:rsid w:val="00327401"/>
    <w:rsid w:val="003275ED"/>
    <w:rsid w:val="00327AFC"/>
    <w:rsid w:val="00327B26"/>
    <w:rsid w:val="00327F30"/>
    <w:rsid w:val="0033068F"/>
    <w:rsid w:val="00330ABD"/>
    <w:rsid w:val="00330B0E"/>
    <w:rsid w:val="0033288E"/>
    <w:rsid w:val="00332A23"/>
    <w:rsid w:val="0033318E"/>
    <w:rsid w:val="0033343B"/>
    <w:rsid w:val="00333515"/>
    <w:rsid w:val="0033383F"/>
    <w:rsid w:val="00333E7D"/>
    <w:rsid w:val="003346EB"/>
    <w:rsid w:val="00334799"/>
    <w:rsid w:val="003348BA"/>
    <w:rsid w:val="00334EEF"/>
    <w:rsid w:val="00335933"/>
    <w:rsid w:val="00335A6B"/>
    <w:rsid w:val="00335D91"/>
    <w:rsid w:val="00336280"/>
    <w:rsid w:val="00336477"/>
    <w:rsid w:val="00336C13"/>
    <w:rsid w:val="003370E4"/>
    <w:rsid w:val="00337CD6"/>
    <w:rsid w:val="00341BEE"/>
    <w:rsid w:val="00341E9B"/>
    <w:rsid w:val="00341FAD"/>
    <w:rsid w:val="003421D2"/>
    <w:rsid w:val="00343167"/>
    <w:rsid w:val="003437BD"/>
    <w:rsid w:val="00343D67"/>
    <w:rsid w:val="003441FD"/>
    <w:rsid w:val="00344D34"/>
    <w:rsid w:val="00345639"/>
    <w:rsid w:val="00346377"/>
    <w:rsid w:val="00346720"/>
    <w:rsid w:val="00346EB0"/>
    <w:rsid w:val="003472E0"/>
    <w:rsid w:val="003475D8"/>
    <w:rsid w:val="0034781F"/>
    <w:rsid w:val="00347870"/>
    <w:rsid w:val="003478CF"/>
    <w:rsid w:val="00350019"/>
    <w:rsid w:val="00350AC3"/>
    <w:rsid w:val="00350B6A"/>
    <w:rsid w:val="00350E98"/>
    <w:rsid w:val="00350FC8"/>
    <w:rsid w:val="0035134F"/>
    <w:rsid w:val="00351C2E"/>
    <w:rsid w:val="00351D4D"/>
    <w:rsid w:val="00351DD1"/>
    <w:rsid w:val="00351E23"/>
    <w:rsid w:val="00351F05"/>
    <w:rsid w:val="003520AD"/>
    <w:rsid w:val="00352A5A"/>
    <w:rsid w:val="00352DC5"/>
    <w:rsid w:val="00353390"/>
    <w:rsid w:val="0035373C"/>
    <w:rsid w:val="00353F82"/>
    <w:rsid w:val="00354925"/>
    <w:rsid w:val="00354E14"/>
    <w:rsid w:val="003552CF"/>
    <w:rsid w:val="003557A8"/>
    <w:rsid w:val="003558F5"/>
    <w:rsid w:val="00356070"/>
    <w:rsid w:val="00356733"/>
    <w:rsid w:val="0035702B"/>
    <w:rsid w:val="0035705D"/>
    <w:rsid w:val="00360000"/>
    <w:rsid w:val="0036044E"/>
    <w:rsid w:val="003608E7"/>
    <w:rsid w:val="00360AA1"/>
    <w:rsid w:val="00361B78"/>
    <w:rsid w:val="00361E0C"/>
    <w:rsid w:val="00361F86"/>
    <w:rsid w:val="00362071"/>
    <w:rsid w:val="0036337F"/>
    <w:rsid w:val="003633C6"/>
    <w:rsid w:val="0036372D"/>
    <w:rsid w:val="00364274"/>
    <w:rsid w:val="00364325"/>
    <w:rsid w:val="00364E6F"/>
    <w:rsid w:val="0036500A"/>
    <w:rsid w:val="00365333"/>
    <w:rsid w:val="0036562D"/>
    <w:rsid w:val="00370948"/>
    <w:rsid w:val="00370B19"/>
    <w:rsid w:val="00371C6B"/>
    <w:rsid w:val="00371E97"/>
    <w:rsid w:val="00372DD9"/>
    <w:rsid w:val="00373304"/>
    <w:rsid w:val="003743E9"/>
    <w:rsid w:val="00374532"/>
    <w:rsid w:val="00374868"/>
    <w:rsid w:val="00374BEA"/>
    <w:rsid w:val="00374E0E"/>
    <w:rsid w:val="00375689"/>
    <w:rsid w:val="00375DF4"/>
    <w:rsid w:val="00376313"/>
    <w:rsid w:val="00377617"/>
    <w:rsid w:val="0037793F"/>
    <w:rsid w:val="00377966"/>
    <w:rsid w:val="00377EAD"/>
    <w:rsid w:val="0038030F"/>
    <w:rsid w:val="003817E4"/>
    <w:rsid w:val="00381E24"/>
    <w:rsid w:val="00381F83"/>
    <w:rsid w:val="00381FC6"/>
    <w:rsid w:val="0038218B"/>
    <w:rsid w:val="00382C89"/>
    <w:rsid w:val="00383004"/>
    <w:rsid w:val="003830CD"/>
    <w:rsid w:val="003830CE"/>
    <w:rsid w:val="003831F1"/>
    <w:rsid w:val="00383372"/>
    <w:rsid w:val="003835FA"/>
    <w:rsid w:val="00383679"/>
    <w:rsid w:val="00383AED"/>
    <w:rsid w:val="00384266"/>
    <w:rsid w:val="00384774"/>
    <w:rsid w:val="00384B9D"/>
    <w:rsid w:val="00384F5B"/>
    <w:rsid w:val="00384FC2"/>
    <w:rsid w:val="003858D4"/>
    <w:rsid w:val="00385936"/>
    <w:rsid w:val="00385B1F"/>
    <w:rsid w:val="00385E1C"/>
    <w:rsid w:val="00385E2D"/>
    <w:rsid w:val="00386451"/>
    <w:rsid w:val="003869F2"/>
    <w:rsid w:val="00386F34"/>
    <w:rsid w:val="0039008B"/>
    <w:rsid w:val="00390C36"/>
    <w:rsid w:val="0039223A"/>
    <w:rsid w:val="0039262E"/>
    <w:rsid w:val="00392897"/>
    <w:rsid w:val="003929EF"/>
    <w:rsid w:val="003937F3"/>
    <w:rsid w:val="00393D3A"/>
    <w:rsid w:val="0039431C"/>
    <w:rsid w:val="00394CE3"/>
    <w:rsid w:val="003950A3"/>
    <w:rsid w:val="00395CE7"/>
    <w:rsid w:val="00396274"/>
    <w:rsid w:val="00396E58"/>
    <w:rsid w:val="00397275"/>
    <w:rsid w:val="0039728F"/>
    <w:rsid w:val="0039729A"/>
    <w:rsid w:val="003A0016"/>
    <w:rsid w:val="003A0488"/>
    <w:rsid w:val="003A0D21"/>
    <w:rsid w:val="003A15D6"/>
    <w:rsid w:val="003A231D"/>
    <w:rsid w:val="003A29F9"/>
    <w:rsid w:val="003A3B7A"/>
    <w:rsid w:val="003A3BAB"/>
    <w:rsid w:val="003A4543"/>
    <w:rsid w:val="003A473A"/>
    <w:rsid w:val="003A5145"/>
    <w:rsid w:val="003A53DE"/>
    <w:rsid w:val="003A56E7"/>
    <w:rsid w:val="003A5AD7"/>
    <w:rsid w:val="003A6181"/>
    <w:rsid w:val="003A6471"/>
    <w:rsid w:val="003A6D6E"/>
    <w:rsid w:val="003A7456"/>
    <w:rsid w:val="003A7962"/>
    <w:rsid w:val="003A7A64"/>
    <w:rsid w:val="003A7CEF"/>
    <w:rsid w:val="003B02C0"/>
    <w:rsid w:val="003B0498"/>
    <w:rsid w:val="003B08C8"/>
    <w:rsid w:val="003B229C"/>
    <w:rsid w:val="003B2445"/>
    <w:rsid w:val="003B2EF7"/>
    <w:rsid w:val="003B352F"/>
    <w:rsid w:val="003B4287"/>
    <w:rsid w:val="003B455A"/>
    <w:rsid w:val="003B530F"/>
    <w:rsid w:val="003B5535"/>
    <w:rsid w:val="003B575A"/>
    <w:rsid w:val="003B5D5D"/>
    <w:rsid w:val="003B61C6"/>
    <w:rsid w:val="003B6660"/>
    <w:rsid w:val="003B6A5F"/>
    <w:rsid w:val="003B6EF0"/>
    <w:rsid w:val="003B712D"/>
    <w:rsid w:val="003B74F0"/>
    <w:rsid w:val="003B76D2"/>
    <w:rsid w:val="003B7E9A"/>
    <w:rsid w:val="003B7F05"/>
    <w:rsid w:val="003B7F92"/>
    <w:rsid w:val="003C0A52"/>
    <w:rsid w:val="003C0BAE"/>
    <w:rsid w:val="003C0C96"/>
    <w:rsid w:val="003C0CAA"/>
    <w:rsid w:val="003C100C"/>
    <w:rsid w:val="003C1379"/>
    <w:rsid w:val="003C14EC"/>
    <w:rsid w:val="003C26F4"/>
    <w:rsid w:val="003C2DAA"/>
    <w:rsid w:val="003C30F6"/>
    <w:rsid w:val="003C3126"/>
    <w:rsid w:val="003C33AC"/>
    <w:rsid w:val="003C3791"/>
    <w:rsid w:val="003C3A1E"/>
    <w:rsid w:val="003C3F6F"/>
    <w:rsid w:val="003C4EC0"/>
    <w:rsid w:val="003C505B"/>
    <w:rsid w:val="003C53D7"/>
    <w:rsid w:val="003C58BC"/>
    <w:rsid w:val="003C69E6"/>
    <w:rsid w:val="003C6F0F"/>
    <w:rsid w:val="003C71CF"/>
    <w:rsid w:val="003C7832"/>
    <w:rsid w:val="003C789D"/>
    <w:rsid w:val="003C7A75"/>
    <w:rsid w:val="003D16B2"/>
    <w:rsid w:val="003D224D"/>
    <w:rsid w:val="003D33C0"/>
    <w:rsid w:val="003D36D6"/>
    <w:rsid w:val="003D3B27"/>
    <w:rsid w:val="003D480D"/>
    <w:rsid w:val="003D4A56"/>
    <w:rsid w:val="003D5827"/>
    <w:rsid w:val="003D5AD5"/>
    <w:rsid w:val="003D5C76"/>
    <w:rsid w:val="003D61C2"/>
    <w:rsid w:val="003D6552"/>
    <w:rsid w:val="003D6F7F"/>
    <w:rsid w:val="003D74B8"/>
    <w:rsid w:val="003D7709"/>
    <w:rsid w:val="003D7994"/>
    <w:rsid w:val="003D7B2C"/>
    <w:rsid w:val="003E0147"/>
    <w:rsid w:val="003E0498"/>
    <w:rsid w:val="003E0B4E"/>
    <w:rsid w:val="003E132B"/>
    <w:rsid w:val="003E18B0"/>
    <w:rsid w:val="003E1917"/>
    <w:rsid w:val="003E241D"/>
    <w:rsid w:val="003E247B"/>
    <w:rsid w:val="003E259A"/>
    <w:rsid w:val="003E2B53"/>
    <w:rsid w:val="003E2E13"/>
    <w:rsid w:val="003E2F85"/>
    <w:rsid w:val="003E38F8"/>
    <w:rsid w:val="003E3978"/>
    <w:rsid w:val="003E3A0B"/>
    <w:rsid w:val="003E4524"/>
    <w:rsid w:val="003E5211"/>
    <w:rsid w:val="003E5510"/>
    <w:rsid w:val="003E57DA"/>
    <w:rsid w:val="003E651A"/>
    <w:rsid w:val="003E6687"/>
    <w:rsid w:val="003E6F54"/>
    <w:rsid w:val="003E76BE"/>
    <w:rsid w:val="003F02F2"/>
    <w:rsid w:val="003F083A"/>
    <w:rsid w:val="003F0E49"/>
    <w:rsid w:val="003F3193"/>
    <w:rsid w:val="003F31D2"/>
    <w:rsid w:val="003F3716"/>
    <w:rsid w:val="003F3A07"/>
    <w:rsid w:val="003F3C39"/>
    <w:rsid w:val="003F3DC0"/>
    <w:rsid w:val="003F4419"/>
    <w:rsid w:val="003F442C"/>
    <w:rsid w:val="003F4845"/>
    <w:rsid w:val="003F4C47"/>
    <w:rsid w:val="003F4DBE"/>
    <w:rsid w:val="003F4EF1"/>
    <w:rsid w:val="003F4F0F"/>
    <w:rsid w:val="003F5131"/>
    <w:rsid w:val="003F5144"/>
    <w:rsid w:val="003F5319"/>
    <w:rsid w:val="003F535D"/>
    <w:rsid w:val="003F5542"/>
    <w:rsid w:val="003F557E"/>
    <w:rsid w:val="003F57C7"/>
    <w:rsid w:val="003F5F0C"/>
    <w:rsid w:val="003F62BF"/>
    <w:rsid w:val="003F65C2"/>
    <w:rsid w:val="003F6BCD"/>
    <w:rsid w:val="003F6F77"/>
    <w:rsid w:val="003F7385"/>
    <w:rsid w:val="003F78D3"/>
    <w:rsid w:val="003F790B"/>
    <w:rsid w:val="003F7CC5"/>
    <w:rsid w:val="003F7F04"/>
    <w:rsid w:val="004007A0"/>
    <w:rsid w:val="00400D68"/>
    <w:rsid w:val="00401456"/>
    <w:rsid w:val="00401A63"/>
    <w:rsid w:val="00401B41"/>
    <w:rsid w:val="00401DE0"/>
    <w:rsid w:val="00401E07"/>
    <w:rsid w:val="00402E31"/>
    <w:rsid w:val="004033CE"/>
    <w:rsid w:val="00403985"/>
    <w:rsid w:val="00403BF9"/>
    <w:rsid w:val="00405223"/>
    <w:rsid w:val="004054BB"/>
    <w:rsid w:val="0040557B"/>
    <w:rsid w:val="00406652"/>
    <w:rsid w:val="004067AD"/>
    <w:rsid w:val="00407105"/>
    <w:rsid w:val="00407126"/>
    <w:rsid w:val="004076E0"/>
    <w:rsid w:val="00407E8B"/>
    <w:rsid w:val="00407EE0"/>
    <w:rsid w:val="004100E3"/>
    <w:rsid w:val="0041040C"/>
    <w:rsid w:val="00410759"/>
    <w:rsid w:val="004107F5"/>
    <w:rsid w:val="00411962"/>
    <w:rsid w:val="004121F0"/>
    <w:rsid w:val="0041261F"/>
    <w:rsid w:val="004127B0"/>
    <w:rsid w:val="004133E6"/>
    <w:rsid w:val="00413A35"/>
    <w:rsid w:val="00413F05"/>
    <w:rsid w:val="0041432E"/>
    <w:rsid w:val="004144B8"/>
    <w:rsid w:val="00414806"/>
    <w:rsid w:val="0041487C"/>
    <w:rsid w:val="00414F95"/>
    <w:rsid w:val="004150D3"/>
    <w:rsid w:val="00415152"/>
    <w:rsid w:val="00415A5E"/>
    <w:rsid w:val="00416068"/>
    <w:rsid w:val="004166F3"/>
    <w:rsid w:val="00417643"/>
    <w:rsid w:val="00417B71"/>
    <w:rsid w:val="00417DE4"/>
    <w:rsid w:val="00420AB4"/>
    <w:rsid w:val="004211CF"/>
    <w:rsid w:val="00421A3C"/>
    <w:rsid w:val="00421C68"/>
    <w:rsid w:val="00421C89"/>
    <w:rsid w:val="00421D62"/>
    <w:rsid w:val="00421EAF"/>
    <w:rsid w:val="00422F12"/>
    <w:rsid w:val="00422F34"/>
    <w:rsid w:val="004237C7"/>
    <w:rsid w:val="00423C10"/>
    <w:rsid w:val="00424766"/>
    <w:rsid w:val="00424B78"/>
    <w:rsid w:val="00424D7B"/>
    <w:rsid w:val="00424E10"/>
    <w:rsid w:val="00425199"/>
    <w:rsid w:val="00425855"/>
    <w:rsid w:val="00426602"/>
    <w:rsid w:val="00426C38"/>
    <w:rsid w:val="004271E0"/>
    <w:rsid w:val="00427E53"/>
    <w:rsid w:val="0043010F"/>
    <w:rsid w:val="00430401"/>
    <w:rsid w:val="00430935"/>
    <w:rsid w:val="00432DA9"/>
    <w:rsid w:val="004330A1"/>
    <w:rsid w:val="004330C6"/>
    <w:rsid w:val="004335E8"/>
    <w:rsid w:val="00433B37"/>
    <w:rsid w:val="00434B06"/>
    <w:rsid w:val="00435780"/>
    <w:rsid w:val="0043580A"/>
    <w:rsid w:val="00435F03"/>
    <w:rsid w:val="00436A3E"/>
    <w:rsid w:val="00436EDE"/>
    <w:rsid w:val="00436F97"/>
    <w:rsid w:val="00437479"/>
    <w:rsid w:val="00440D78"/>
    <w:rsid w:val="00440FB6"/>
    <w:rsid w:val="00441210"/>
    <w:rsid w:val="0044148B"/>
    <w:rsid w:val="00441A2A"/>
    <w:rsid w:val="00441BD2"/>
    <w:rsid w:val="004420F6"/>
    <w:rsid w:val="004422DB"/>
    <w:rsid w:val="004426E8"/>
    <w:rsid w:val="00442B18"/>
    <w:rsid w:val="0044359A"/>
    <w:rsid w:val="004437E4"/>
    <w:rsid w:val="00443D3E"/>
    <w:rsid w:val="00443E1E"/>
    <w:rsid w:val="0044404E"/>
    <w:rsid w:val="00444061"/>
    <w:rsid w:val="00444A85"/>
    <w:rsid w:val="00444F65"/>
    <w:rsid w:val="0044590A"/>
    <w:rsid w:val="00445D90"/>
    <w:rsid w:val="00446720"/>
    <w:rsid w:val="00446732"/>
    <w:rsid w:val="0044682A"/>
    <w:rsid w:val="0044750C"/>
    <w:rsid w:val="004476C6"/>
    <w:rsid w:val="00447B5F"/>
    <w:rsid w:val="004502D4"/>
    <w:rsid w:val="004505BF"/>
    <w:rsid w:val="004506DA"/>
    <w:rsid w:val="0045130C"/>
    <w:rsid w:val="00451626"/>
    <w:rsid w:val="00452921"/>
    <w:rsid w:val="00452C6E"/>
    <w:rsid w:val="00453578"/>
    <w:rsid w:val="00453B10"/>
    <w:rsid w:val="004540C4"/>
    <w:rsid w:val="00454602"/>
    <w:rsid w:val="0045477A"/>
    <w:rsid w:val="0045499D"/>
    <w:rsid w:val="00454A58"/>
    <w:rsid w:val="00455214"/>
    <w:rsid w:val="00455535"/>
    <w:rsid w:val="004555A8"/>
    <w:rsid w:val="004555FE"/>
    <w:rsid w:val="00456136"/>
    <w:rsid w:val="00456804"/>
    <w:rsid w:val="00456D5A"/>
    <w:rsid w:val="00456E80"/>
    <w:rsid w:val="00456E9D"/>
    <w:rsid w:val="004572F0"/>
    <w:rsid w:val="0045730A"/>
    <w:rsid w:val="00457416"/>
    <w:rsid w:val="0045755F"/>
    <w:rsid w:val="0045763F"/>
    <w:rsid w:val="004577D3"/>
    <w:rsid w:val="00460D6F"/>
    <w:rsid w:val="0046133D"/>
    <w:rsid w:val="00461775"/>
    <w:rsid w:val="00461E6D"/>
    <w:rsid w:val="00462201"/>
    <w:rsid w:val="004629D4"/>
    <w:rsid w:val="00463138"/>
    <w:rsid w:val="004635C0"/>
    <w:rsid w:val="0046391E"/>
    <w:rsid w:val="00463D74"/>
    <w:rsid w:val="00463DEB"/>
    <w:rsid w:val="0046410B"/>
    <w:rsid w:val="00464328"/>
    <w:rsid w:val="00465674"/>
    <w:rsid w:val="00465D6E"/>
    <w:rsid w:val="004672D4"/>
    <w:rsid w:val="00467C83"/>
    <w:rsid w:val="00467CBD"/>
    <w:rsid w:val="00470C46"/>
    <w:rsid w:val="00471202"/>
    <w:rsid w:val="00471467"/>
    <w:rsid w:val="00471A79"/>
    <w:rsid w:val="004722FA"/>
    <w:rsid w:val="00472C87"/>
    <w:rsid w:val="00472C9B"/>
    <w:rsid w:val="00473A5E"/>
    <w:rsid w:val="00474110"/>
    <w:rsid w:val="004745E7"/>
    <w:rsid w:val="004746A0"/>
    <w:rsid w:val="004758A9"/>
    <w:rsid w:val="00476273"/>
    <w:rsid w:val="00476C93"/>
    <w:rsid w:val="00476EE2"/>
    <w:rsid w:val="00477399"/>
    <w:rsid w:val="00477740"/>
    <w:rsid w:val="0047795D"/>
    <w:rsid w:val="0048020B"/>
    <w:rsid w:val="00480425"/>
    <w:rsid w:val="004807D8"/>
    <w:rsid w:val="00480CBE"/>
    <w:rsid w:val="00480E01"/>
    <w:rsid w:val="00481CF3"/>
    <w:rsid w:val="00481FBC"/>
    <w:rsid w:val="00482B00"/>
    <w:rsid w:val="00482EEF"/>
    <w:rsid w:val="00483235"/>
    <w:rsid w:val="00484137"/>
    <w:rsid w:val="00484DC4"/>
    <w:rsid w:val="00485212"/>
    <w:rsid w:val="004853FE"/>
    <w:rsid w:val="00485426"/>
    <w:rsid w:val="0048573C"/>
    <w:rsid w:val="00486127"/>
    <w:rsid w:val="004864DA"/>
    <w:rsid w:val="00486752"/>
    <w:rsid w:val="0048680B"/>
    <w:rsid w:val="00486D73"/>
    <w:rsid w:val="004872BC"/>
    <w:rsid w:val="00487304"/>
    <w:rsid w:val="004874A4"/>
    <w:rsid w:val="00487A7C"/>
    <w:rsid w:val="00487BB5"/>
    <w:rsid w:val="004900B1"/>
    <w:rsid w:val="0049051B"/>
    <w:rsid w:val="00491861"/>
    <w:rsid w:val="00491BD3"/>
    <w:rsid w:val="00491F83"/>
    <w:rsid w:val="0049377E"/>
    <w:rsid w:val="00493CE7"/>
    <w:rsid w:val="00493D15"/>
    <w:rsid w:val="00493E5F"/>
    <w:rsid w:val="00494355"/>
    <w:rsid w:val="004945FF"/>
    <w:rsid w:val="00494945"/>
    <w:rsid w:val="00494972"/>
    <w:rsid w:val="0049565F"/>
    <w:rsid w:val="00495E07"/>
    <w:rsid w:val="00496154"/>
    <w:rsid w:val="00496678"/>
    <w:rsid w:val="004966B5"/>
    <w:rsid w:val="004973FD"/>
    <w:rsid w:val="00497F70"/>
    <w:rsid w:val="004A0169"/>
    <w:rsid w:val="004A03E5"/>
    <w:rsid w:val="004A080B"/>
    <w:rsid w:val="004A091D"/>
    <w:rsid w:val="004A09FB"/>
    <w:rsid w:val="004A11AF"/>
    <w:rsid w:val="004A1636"/>
    <w:rsid w:val="004A45B1"/>
    <w:rsid w:val="004A481C"/>
    <w:rsid w:val="004A4EA0"/>
    <w:rsid w:val="004A4EA2"/>
    <w:rsid w:val="004A503D"/>
    <w:rsid w:val="004A51A5"/>
    <w:rsid w:val="004A52DC"/>
    <w:rsid w:val="004A6269"/>
    <w:rsid w:val="004A69A6"/>
    <w:rsid w:val="004A6A7A"/>
    <w:rsid w:val="004A7032"/>
    <w:rsid w:val="004A73DC"/>
    <w:rsid w:val="004A7DB4"/>
    <w:rsid w:val="004A7DC8"/>
    <w:rsid w:val="004B0795"/>
    <w:rsid w:val="004B08F7"/>
    <w:rsid w:val="004B0C37"/>
    <w:rsid w:val="004B141F"/>
    <w:rsid w:val="004B2A08"/>
    <w:rsid w:val="004B2AD9"/>
    <w:rsid w:val="004B2C50"/>
    <w:rsid w:val="004B2D77"/>
    <w:rsid w:val="004B2D78"/>
    <w:rsid w:val="004B30BA"/>
    <w:rsid w:val="004B317E"/>
    <w:rsid w:val="004B3AD8"/>
    <w:rsid w:val="004B4286"/>
    <w:rsid w:val="004B4394"/>
    <w:rsid w:val="004B4A8D"/>
    <w:rsid w:val="004B4F4F"/>
    <w:rsid w:val="004B50D1"/>
    <w:rsid w:val="004B5960"/>
    <w:rsid w:val="004B5F0B"/>
    <w:rsid w:val="004B60A5"/>
    <w:rsid w:val="004B63A2"/>
    <w:rsid w:val="004B6554"/>
    <w:rsid w:val="004B6BFB"/>
    <w:rsid w:val="004B6C1D"/>
    <w:rsid w:val="004B7748"/>
    <w:rsid w:val="004B79EE"/>
    <w:rsid w:val="004B7EDA"/>
    <w:rsid w:val="004C0E28"/>
    <w:rsid w:val="004C190E"/>
    <w:rsid w:val="004C1C04"/>
    <w:rsid w:val="004C2C92"/>
    <w:rsid w:val="004C31A2"/>
    <w:rsid w:val="004C3661"/>
    <w:rsid w:val="004C3A4D"/>
    <w:rsid w:val="004C3CB3"/>
    <w:rsid w:val="004C418F"/>
    <w:rsid w:val="004C456B"/>
    <w:rsid w:val="004C486B"/>
    <w:rsid w:val="004C4D5F"/>
    <w:rsid w:val="004C516F"/>
    <w:rsid w:val="004C5E34"/>
    <w:rsid w:val="004C6C91"/>
    <w:rsid w:val="004D1BB4"/>
    <w:rsid w:val="004D1D6E"/>
    <w:rsid w:val="004D20C8"/>
    <w:rsid w:val="004D27E3"/>
    <w:rsid w:val="004D3093"/>
    <w:rsid w:val="004D35E8"/>
    <w:rsid w:val="004D37CE"/>
    <w:rsid w:val="004D386D"/>
    <w:rsid w:val="004D3C84"/>
    <w:rsid w:val="004D4914"/>
    <w:rsid w:val="004D4D5D"/>
    <w:rsid w:val="004D52F5"/>
    <w:rsid w:val="004D543F"/>
    <w:rsid w:val="004D614C"/>
    <w:rsid w:val="004D7746"/>
    <w:rsid w:val="004D7AB7"/>
    <w:rsid w:val="004E0522"/>
    <w:rsid w:val="004E0A76"/>
    <w:rsid w:val="004E0AFB"/>
    <w:rsid w:val="004E0BA8"/>
    <w:rsid w:val="004E18DC"/>
    <w:rsid w:val="004E19B9"/>
    <w:rsid w:val="004E1D8A"/>
    <w:rsid w:val="004E1DAE"/>
    <w:rsid w:val="004E25A6"/>
    <w:rsid w:val="004E2D56"/>
    <w:rsid w:val="004E4499"/>
    <w:rsid w:val="004E45E8"/>
    <w:rsid w:val="004E486E"/>
    <w:rsid w:val="004E4A83"/>
    <w:rsid w:val="004E4CFB"/>
    <w:rsid w:val="004E4E51"/>
    <w:rsid w:val="004E4F2C"/>
    <w:rsid w:val="004E548E"/>
    <w:rsid w:val="004E5504"/>
    <w:rsid w:val="004E6082"/>
    <w:rsid w:val="004E67FA"/>
    <w:rsid w:val="004E6D97"/>
    <w:rsid w:val="004F0F24"/>
    <w:rsid w:val="004F10E9"/>
    <w:rsid w:val="004F2101"/>
    <w:rsid w:val="004F2A6C"/>
    <w:rsid w:val="004F2BF3"/>
    <w:rsid w:val="004F2C72"/>
    <w:rsid w:val="004F2C79"/>
    <w:rsid w:val="004F2D37"/>
    <w:rsid w:val="004F2DEA"/>
    <w:rsid w:val="004F36F9"/>
    <w:rsid w:val="004F3FED"/>
    <w:rsid w:val="004F42AC"/>
    <w:rsid w:val="004F5759"/>
    <w:rsid w:val="004F6475"/>
    <w:rsid w:val="004F6A21"/>
    <w:rsid w:val="004F7405"/>
    <w:rsid w:val="004F7A8A"/>
    <w:rsid w:val="0050001C"/>
    <w:rsid w:val="00500491"/>
    <w:rsid w:val="00500850"/>
    <w:rsid w:val="005015E5"/>
    <w:rsid w:val="00501A4C"/>
    <w:rsid w:val="005022D2"/>
    <w:rsid w:val="00502674"/>
    <w:rsid w:val="00502935"/>
    <w:rsid w:val="005029BC"/>
    <w:rsid w:val="00502BBC"/>
    <w:rsid w:val="00502FCE"/>
    <w:rsid w:val="00504424"/>
    <w:rsid w:val="005047DF"/>
    <w:rsid w:val="00504E4B"/>
    <w:rsid w:val="005052DA"/>
    <w:rsid w:val="00505420"/>
    <w:rsid w:val="00506375"/>
    <w:rsid w:val="00506465"/>
    <w:rsid w:val="00506968"/>
    <w:rsid w:val="00506992"/>
    <w:rsid w:val="00507264"/>
    <w:rsid w:val="00507852"/>
    <w:rsid w:val="00510113"/>
    <w:rsid w:val="00510539"/>
    <w:rsid w:val="0051075D"/>
    <w:rsid w:val="00510876"/>
    <w:rsid w:val="0051114A"/>
    <w:rsid w:val="0051126B"/>
    <w:rsid w:val="00511478"/>
    <w:rsid w:val="00511D46"/>
    <w:rsid w:val="00511F7A"/>
    <w:rsid w:val="00512861"/>
    <w:rsid w:val="00512ADA"/>
    <w:rsid w:val="00513C5B"/>
    <w:rsid w:val="00513CD8"/>
    <w:rsid w:val="00513E14"/>
    <w:rsid w:val="00513FA7"/>
    <w:rsid w:val="0051416B"/>
    <w:rsid w:val="0051469E"/>
    <w:rsid w:val="00515230"/>
    <w:rsid w:val="005154C1"/>
    <w:rsid w:val="00515BBA"/>
    <w:rsid w:val="005162AB"/>
    <w:rsid w:val="005202B1"/>
    <w:rsid w:val="00520575"/>
    <w:rsid w:val="00520887"/>
    <w:rsid w:val="00520D73"/>
    <w:rsid w:val="00520F78"/>
    <w:rsid w:val="00521122"/>
    <w:rsid w:val="00522397"/>
    <w:rsid w:val="0052351B"/>
    <w:rsid w:val="00523642"/>
    <w:rsid w:val="00523C8A"/>
    <w:rsid w:val="005252CC"/>
    <w:rsid w:val="0052576D"/>
    <w:rsid w:val="0052640F"/>
    <w:rsid w:val="005268BB"/>
    <w:rsid w:val="00526924"/>
    <w:rsid w:val="005269AB"/>
    <w:rsid w:val="00526CD5"/>
    <w:rsid w:val="00526CEA"/>
    <w:rsid w:val="0052742F"/>
    <w:rsid w:val="00527447"/>
    <w:rsid w:val="005275EF"/>
    <w:rsid w:val="00527AD7"/>
    <w:rsid w:val="00530116"/>
    <w:rsid w:val="0053031F"/>
    <w:rsid w:val="00530985"/>
    <w:rsid w:val="00530E2E"/>
    <w:rsid w:val="0053153A"/>
    <w:rsid w:val="005317B4"/>
    <w:rsid w:val="005323F5"/>
    <w:rsid w:val="005324DA"/>
    <w:rsid w:val="00532776"/>
    <w:rsid w:val="005327BA"/>
    <w:rsid w:val="00532BDE"/>
    <w:rsid w:val="00532DBB"/>
    <w:rsid w:val="0053393A"/>
    <w:rsid w:val="00533952"/>
    <w:rsid w:val="00533EA2"/>
    <w:rsid w:val="0053470D"/>
    <w:rsid w:val="0053541B"/>
    <w:rsid w:val="005356E6"/>
    <w:rsid w:val="0053613C"/>
    <w:rsid w:val="00536A43"/>
    <w:rsid w:val="00536A51"/>
    <w:rsid w:val="00537C8A"/>
    <w:rsid w:val="005400AE"/>
    <w:rsid w:val="00540291"/>
    <w:rsid w:val="0054075E"/>
    <w:rsid w:val="00540AB2"/>
    <w:rsid w:val="00540E5A"/>
    <w:rsid w:val="00541146"/>
    <w:rsid w:val="00541C87"/>
    <w:rsid w:val="00542814"/>
    <w:rsid w:val="00542A65"/>
    <w:rsid w:val="00542D1D"/>
    <w:rsid w:val="00543344"/>
    <w:rsid w:val="0054345B"/>
    <w:rsid w:val="005434D3"/>
    <w:rsid w:val="005437CC"/>
    <w:rsid w:val="005437CD"/>
    <w:rsid w:val="00543BC3"/>
    <w:rsid w:val="00543F95"/>
    <w:rsid w:val="00544279"/>
    <w:rsid w:val="00544662"/>
    <w:rsid w:val="0054499E"/>
    <w:rsid w:val="00544C4A"/>
    <w:rsid w:val="00544DF5"/>
    <w:rsid w:val="00545CB3"/>
    <w:rsid w:val="00545CC2"/>
    <w:rsid w:val="00545D7A"/>
    <w:rsid w:val="00546238"/>
    <w:rsid w:val="0054630F"/>
    <w:rsid w:val="0054631C"/>
    <w:rsid w:val="00546CEB"/>
    <w:rsid w:val="005470F2"/>
    <w:rsid w:val="005473BC"/>
    <w:rsid w:val="00547D3F"/>
    <w:rsid w:val="0055013E"/>
    <w:rsid w:val="00550635"/>
    <w:rsid w:val="00550F0D"/>
    <w:rsid w:val="00551052"/>
    <w:rsid w:val="005510AB"/>
    <w:rsid w:val="0055213A"/>
    <w:rsid w:val="00552271"/>
    <w:rsid w:val="00552520"/>
    <w:rsid w:val="00552731"/>
    <w:rsid w:val="00552A11"/>
    <w:rsid w:val="00552A50"/>
    <w:rsid w:val="00552DE9"/>
    <w:rsid w:val="005538EF"/>
    <w:rsid w:val="00553A0D"/>
    <w:rsid w:val="00553C46"/>
    <w:rsid w:val="00554134"/>
    <w:rsid w:val="0055513B"/>
    <w:rsid w:val="00555A24"/>
    <w:rsid w:val="00555A4B"/>
    <w:rsid w:val="00555B96"/>
    <w:rsid w:val="00555FF6"/>
    <w:rsid w:val="00556312"/>
    <w:rsid w:val="0055647A"/>
    <w:rsid w:val="005577D9"/>
    <w:rsid w:val="00557866"/>
    <w:rsid w:val="005601CB"/>
    <w:rsid w:val="0056054D"/>
    <w:rsid w:val="00561233"/>
    <w:rsid w:val="00561DA8"/>
    <w:rsid w:val="00561EB1"/>
    <w:rsid w:val="00561F2D"/>
    <w:rsid w:val="00562CB2"/>
    <w:rsid w:val="005632BC"/>
    <w:rsid w:val="005633A9"/>
    <w:rsid w:val="00563D87"/>
    <w:rsid w:val="00564FC6"/>
    <w:rsid w:val="0056585C"/>
    <w:rsid w:val="00565D53"/>
    <w:rsid w:val="005666C2"/>
    <w:rsid w:val="005672D2"/>
    <w:rsid w:val="005676C4"/>
    <w:rsid w:val="0057004C"/>
    <w:rsid w:val="00570192"/>
    <w:rsid w:val="005701CF"/>
    <w:rsid w:val="005708D0"/>
    <w:rsid w:val="00571340"/>
    <w:rsid w:val="00571812"/>
    <w:rsid w:val="005718C0"/>
    <w:rsid w:val="00571947"/>
    <w:rsid w:val="00571D15"/>
    <w:rsid w:val="00571D6D"/>
    <w:rsid w:val="00571EBA"/>
    <w:rsid w:val="00572787"/>
    <w:rsid w:val="005727AC"/>
    <w:rsid w:val="005727B0"/>
    <w:rsid w:val="00572BA4"/>
    <w:rsid w:val="00572F46"/>
    <w:rsid w:val="00573263"/>
    <w:rsid w:val="0057329D"/>
    <w:rsid w:val="0057466B"/>
    <w:rsid w:val="00574A02"/>
    <w:rsid w:val="00575514"/>
    <w:rsid w:val="005761DC"/>
    <w:rsid w:val="00576A54"/>
    <w:rsid w:val="00577067"/>
    <w:rsid w:val="00577939"/>
    <w:rsid w:val="00577D55"/>
    <w:rsid w:val="00577DC6"/>
    <w:rsid w:val="005800DF"/>
    <w:rsid w:val="00580389"/>
    <w:rsid w:val="005809EF"/>
    <w:rsid w:val="00580B49"/>
    <w:rsid w:val="005814AF"/>
    <w:rsid w:val="005816F4"/>
    <w:rsid w:val="00581B7A"/>
    <w:rsid w:val="00581BDF"/>
    <w:rsid w:val="005829CC"/>
    <w:rsid w:val="005829F9"/>
    <w:rsid w:val="00583257"/>
    <w:rsid w:val="00583A93"/>
    <w:rsid w:val="00583C85"/>
    <w:rsid w:val="00584B64"/>
    <w:rsid w:val="00584FA4"/>
    <w:rsid w:val="00585174"/>
    <w:rsid w:val="005857E2"/>
    <w:rsid w:val="0058587C"/>
    <w:rsid w:val="00585A32"/>
    <w:rsid w:val="00585A53"/>
    <w:rsid w:val="00587276"/>
    <w:rsid w:val="0058791A"/>
    <w:rsid w:val="00587B48"/>
    <w:rsid w:val="0059038C"/>
    <w:rsid w:val="005903E7"/>
    <w:rsid w:val="00590D85"/>
    <w:rsid w:val="0059187D"/>
    <w:rsid w:val="00591D21"/>
    <w:rsid w:val="00592053"/>
    <w:rsid w:val="005921E2"/>
    <w:rsid w:val="00593A4C"/>
    <w:rsid w:val="00593D97"/>
    <w:rsid w:val="00593E45"/>
    <w:rsid w:val="005946F1"/>
    <w:rsid w:val="0059497C"/>
    <w:rsid w:val="00594D6D"/>
    <w:rsid w:val="00594E87"/>
    <w:rsid w:val="005950E5"/>
    <w:rsid w:val="005953F8"/>
    <w:rsid w:val="00596187"/>
    <w:rsid w:val="00596B16"/>
    <w:rsid w:val="00597254"/>
    <w:rsid w:val="00597309"/>
    <w:rsid w:val="00597515"/>
    <w:rsid w:val="005A0013"/>
    <w:rsid w:val="005A0A65"/>
    <w:rsid w:val="005A0EC5"/>
    <w:rsid w:val="005A1772"/>
    <w:rsid w:val="005A1A38"/>
    <w:rsid w:val="005A237A"/>
    <w:rsid w:val="005A2609"/>
    <w:rsid w:val="005A27B4"/>
    <w:rsid w:val="005A38C6"/>
    <w:rsid w:val="005A3F91"/>
    <w:rsid w:val="005A4096"/>
    <w:rsid w:val="005A4CD3"/>
    <w:rsid w:val="005A4DAA"/>
    <w:rsid w:val="005A4F38"/>
    <w:rsid w:val="005A543A"/>
    <w:rsid w:val="005A559A"/>
    <w:rsid w:val="005A5825"/>
    <w:rsid w:val="005A5866"/>
    <w:rsid w:val="005A5D78"/>
    <w:rsid w:val="005A6F7C"/>
    <w:rsid w:val="005A7666"/>
    <w:rsid w:val="005A78E7"/>
    <w:rsid w:val="005A7AAD"/>
    <w:rsid w:val="005B0682"/>
    <w:rsid w:val="005B09A3"/>
    <w:rsid w:val="005B0AEF"/>
    <w:rsid w:val="005B0F6F"/>
    <w:rsid w:val="005B132F"/>
    <w:rsid w:val="005B15EB"/>
    <w:rsid w:val="005B18B2"/>
    <w:rsid w:val="005B1D63"/>
    <w:rsid w:val="005B28E3"/>
    <w:rsid w:val="005B2E42"/>
    <w:rsid w:val="005B3427"/>
    <w:rsid w:val="005B38E7"/>
    <w:rsid w:val="005B40A6"/>
    <w:rsid w:val="005B5A50"/>
    <w:rsid w:val="005B675A"/>
    <w:rsid w:val="005B6988"/>
    <w:rsid w:val="005B6BBC"/>
    <w:rsid w:val="005B6C01"/>
    <w:rsid w:val="005C0180"/>
    <w:rsid w:val="005C01B7"/>
    <w:rsid w:val="005C0875"/>
    <w:rsid w:val="005C089B"/>
    <w:rsid w:val="005C0C75"/>
    <w:rsid w:val="005C0E99"/>
    <w:rsid w:val="005C220A"/>
    <w:rsid w:val="005C26BA"/>
    <w:rsid w:val="005C3347"/>
    <w:rsid w:val="005C3B38"/>
    <w:rsid w:val="005C46B4"/>
    <w:rsid w:val="005C4976"/>
    <w:rsid w:val="005C49DD"/>
    <w:rsid w:val="005C4BCD"/>
    <w:rsid w:val="005C4FF4"/>
    <w:rsid w:val="005C5BEA"/>
    <w:rsid w:val="005C6D4D"/>
    <w:rsid w:val="005C7F14"/>
    <w:rsid w:val="005D097F"/>
    <w:rsid w:val="005D0E84"/>
    <w:rsid w:val="005D1C6C"/>
    <w:rsid w:val="005D206B"/>
    <w:rsid w:val="005D2A79"/>
    <w:rsid w:val="005D3004"/>
    <w:rsid w:val="005D3A20"/>
    <w:rsid w:val="005D3AB8"/>
    <w:rsid w:val="005D3D39"/>
    <w:rsid w:val="005D410E"/>
    <w:rsid w:val="005D471B"/>
    <w:rsid w:val="005D4A5F"/>
    <w:rsid w:val="005D4E99"/>
    <w:rsid w:val="005D5FA0"/>
    <w:rsid w:val="005D69F8"/>
    <w:rsid w:val="005D7100"/>
    <w:rsid w:val="005D787E"/>
    <w:rsid w:val="005D78CA"/>
    <w:rsid w:val="005D78CC"/>
    <w:rsid w:val="005D7956"/>
    <w:rsid w:val="005D7C39"/>
    <w:rsid w:val="005D7EED"/>
    <w:rsid w:val="005E0B3D"/>
    <w:rsid w:val="005E13DF"/>
    <w:rsid w:val="005E19CA"/>
    <w:rsid w:val="005E1E6A"/>
    <w:rsid w:val="005E1F77"/>
    <w:rsid w:val="005E213B"/>
    <w:rsid w:val="005E28D4"/>
    <w:rsid w:val="005E2FFE"/>
    <w:rsid w:val="005E32D6"/>
    <w:rsid w:val="005E387D"/>
    <w:rsid w:val="005E39A8"/>
    <w:rsid w:val="005E3B75"/>
    <w:rsid w:val="005E3D15"/>
    <w:rsid w:val="005E4930"/>
    <w:rsid w:val="005E49EA"/>
    <w:rsid w:val="005E4C65"/>
    <w:rsid w:val="005E4F1E"/>
    <w:rsid w:val="005E5043"/>
    <w:rsid w:val="005E59BF"/>
    <w:rsid w:val="005E5B5D"/>
    <w:rsid w:val="005E5EA7"/>
    <w:rsid w:val="005E6E2A"/>
    <w:rsid w:val="005E75C3"/>
    <w:rsid w:val="005E774C"/>
    <w:rsid w:val="005E7CA2"/>
    <w:rsid w:val="005E7D6E"/>
    <w:rsid w:val="005F01F9"/>
    <w:rsid w:val="005F0367"/>
    <w:rsid w:val="005F08C1"/>
    <w:rsid w:val="005F1015"/>
    <w:rsid w:val="005F1523"/>
    <w:rsid w:val="005F210A"/>
    <w:rsid w:val="005F2946"/>
    <w:rsid w:val="005F2A31"/>
    <w:rsid w:val="005F34C6"/>
    <w:rsid w:val="005F3D8F"/>
    <w:rsid w:val="005F4318"/>
    <w:rsid w:val="005F46CC"/>
    <w:rsid w:val="005F4BD3"/>
    <w:rsid w:val="005F4F8E"/>
    <w:rsid w:val="005F5040"/>
    <w:rsid w:val="005F53D4"/>
    <w:rsid w:val="005F53DA"/>
    <w:rsid w:val="005F54A4"/>
    <w:rsid w:val="005F5FD4"/>
    <w:rsid w:val="005F68C4"/>
    <w:rsid w:val="005F71D1"/>
    <w:rsid w:val="0060003E"/>
    <w:rsid w:val="006001D0"/>
    <w:rsid w:val="0060035F"/>
    <w:rsid w:val="006005BB"/>
    <w:rsid w:val="00600699"/>
    <w:rsid w:val="006010B1"/>
    <w:rsid w:val="0060110F"/>
    <w:rsid w:val="0060147E"/>
    <w:rsid w:val="006017A8"/>
    <w:rsid w:val="00601B1C"/>
    <w:rsid w:val="00602E4F"/>
    <w:rsid w:val="00603D18"/>
    <w:rsid w:val="00604789"/>
    <w:rsid w:val="00605465"/>
    <w:rsid w:val="00607205"/>
    <w:rsid w:val="006074E4"/>
    <w:rsid w:val="0061031F"/>
    <w:rsid w:val="00610CC0"/>
    <w:rsid w:val="006112D1"/>
    <w:rsid w:val="006112FA"/>
    <w:rsid w:val="006113C6"/>
    <w:rsid w:val="00611E8D"/>
    <w:rsid w:val="00612BC1"/>
    <w:rsid w:val="006147A0"/>
    <w:rsid w:val="00614880"/>
    <w:rsid w:val="00614E94"/>
    <w:rsid w:val="006153E6"/>
    <w:rsid w:val="00615A50"/>
    <w:rsid w:val="00617453"/>
    <w:rsid w:val="006177F8"/>
    <w:rsid w:val="00620205"/>
    <w:rsid w:val="0062052D"/>
    <w:rsid w:val="00620BF7"/>
    <w:rsid w:val="00621517"/>
    <w:rsid w:val="00621763"/>
    <w:rsid w:val="006221D6"/>
    <w:rsid w:val="0062222D"/>
    <w:rsid w:val="006224A5"/>
    <w:rsid w:val="00622D42"/>
    <w:rsid w:val="00622D46"/>
    <w:rsid w:val="00622F63"/>
    <w:rsid w:val="00623272"/>
    <w:rsid w:val="00623402"/>
    <w:rsid w:val="00623AF9"/>
    <w:rsid w:val="0062432F"/>
    <w:rsid w:val="0062490A"/>
    <w:rsid w:val="00624B34"/>
    <w:rsid w:val="00625A35"/>
    <w:rsid w:val="00625B93"/>
    <w:rsid w:val="00625C8E"/>
    <w:rsid w:val="00625E9C"/>
    <w:rsid w:val="0062645C"/>
    <w:rsid w:val="00626AD6"/>
    <w:rsid w:val="0062730E"/>
    <w:rsid w:val="006275B5"/>
    <w:rsid w:val="006276D7"/>
    <w:rsid w:val="00627C86"/>
    <w:rsid w:val="00627C99"/>
    <w:rsid w:val="0063066D"/>
    <w:rsid w:val="006308E9"/>
    <w:rsid w:val="00630B9A"/>
    <w:rsid w:val="00630D00"/>
    <w:rsid w:val="0063293F"/>
    <w:rsid w:val="00632DE7"/>
    <w:rsid w:val="00632E47"/>
    <w:rsid w:val="006334AD"/>
    <w:rsid w:val="00633563"/>
    <w:rsid w:val="006336D5"/>
    <w:rsid w:val="0063392B"/>
    <w:rsid w:val="00633B85"/>
    <w:rsid w:val="0063438A"/>
    <w:rsid w:val="006344A6"/>
    <w:rsid w:val="0063561F"/>
    <w:rsid w:val="00635A70"/>
    <w:rsid w:val="00636271"/>
    <w:rsid w:val="0063640D"/>
    <w:rsid w:val="00637B25"/>
    <w:rsid w:val="00637B2F"/>
    <w:rsid w:val="00637BBC"/>
    <w:rsid w:val="00637DD6"/>
    <w:rsid w:val="00637EA0"/>
    <w:rsid w:val="006407B1"/>
    <w:rsid w:val="006415E8"/>
    <w:rsid w:val="0064189E"/>
    <w:rsid w:val="00641CB6"/>
    <w:rsid w:val="00641D3F"/>
    <w:rsid w:val="00642229"/>
    <w:rsid w:val="0064235A"/>
    <w:rsid w:val="00642A09"/>
    <w:rsid w:val="006433E8"/>
    <w:rsid w:val="00643556"/>
    <w:rsid w:val="006436D8"/>
    <w:rsid w:val="00643C5A"/>
    <w:rsid w:val="00643D3B"/>
    <w:rsid w:val="00644249"/>
    <w:rsid w:val="00645620"/>
    <w:rsid w:val="00645BAF"/>
    <w:rsid w:val="00645C2F"/>
    <w:rsid w:val="00645FCD"/>
    <w:rsid w:val="006460A4"/>
    <w:rsid w:val="00646B1B"/>
    <w:rsid w:val="00646DEA"/>
    <w:rsid w:val="0064798B"/>
    <w:rsid w:val="00647B28"/>
    <w:rsid w:val="00647C9C"/>
    <w:rsid w:val="006502FA"/>
    <w:rsid w:val="00650951"/>
    <w:rsid w:val="00652F36"/>
    <w:rsid w:val="00653059"/>
    <w:rsid w:val="006535D1"/>
    <w:rsid w:val="00653CE3"/>
    <w:rsid w:val="00653D8D"/>
    <w:rsid w:val="006541A5"/>
    <w:rsid w:val="00654A88"/>
    <w:rsid w:val="00654A98"/>
    <w:rsid w:val="00654AD2"/>
    <w:rsid w:val="0065576E"/>
    <w:rsid w:val="00655A79"/>
    <w:rsid w:val="00655A8F"/>
    <w:rsid w:val="00655A9D"/>
    <w:rsid w:val="006568D3"/>
    <w:rsid w:val="006572C9"/>
    <w:rsid w:val="006577E2"/>
    <w:rsid w:val="00660813"/>
    <w:rsid w:val="00661B1E"/>
    <w:rsid w:val="00661E15"/>
    <w:rsid w:val="00662BC9"/>
    <w:rsid w:val="006633CB"/>
    <w:rsid w:val="00663620"/>
    <w:rsid w:val="00664CDC"/>
    <w:rsid w:val="00664D8C"/>
    <w:rsid w:val="00664F08"/>
    <w:rsid w:val="00665C7C"/>
    <w:rsid w:val="006663D4"/>
    <w:rsid w:val="006670C4"/>
    <w:rsid w:val="0066788E"/>
    <w:rsid w:val="00667B22"/>
    <w:rsid w:val="0067033E"/>
    <w:rsid w:val="006705B9"/>
    <w:rsid w:val="00670CC1"/>
    <w:rsid w:val="006710C1"/>
    <w:rsid w:val="006725F3"/>
    <w:rsid w:val="00672BF8"/>
    <w:rsid w:val="0067304E"/>
    <w:rsid w:val="00673180"/>
    <w:rsid w:val="0067392E"/>
    <w:rsid w:val="006745E5"/>
    <w:rsid w:val="006746FF"/>
    <w:rsid w:val="00675316"/>
    <w:rsid w:val="00675E18"/>
    <w:rsid w:val="006765D7"/>
    <w:rsid w:val="00676F45"/>
    <w:rsid w:val="00676F52"/>
    <w:rsid w:val="00677A0E"/>
    <w:rsid w:val="00677BD0"/>
    <w:rsid w:val="00680262"/>
    <w:rsid w:val="00680616"/>
    <w:rsid w:val="00681181"/>
    <w:rsid w:val="00681212"/>
    <w:rsid w:val="006815C0"/>
    <w:rsid w:val="00681BC5"/>
    <w:rsid w:val="00682099"/>
    <w:rsid w:val="006828FC"/>
    <w:rsid w:val="00683124"/>
    <w:rsid w:val="00683B0A"/>
    <w:rsid w:val="00684368"/>
    <w:rsid w:val="006849ED"/>
    <w:rsid w:val="00684BE0"/>
    <w:rsid w:val="00684BE4"/>
    <w:rsid w:val="00684C13"/>
    <w:rsid w:val="00684E82"/>
    <w:rsid w:val="0068502C"/>
    <w:rsid w:val="00685A22"/>
    <w:rsid w:val="00686465"/>
    <w:rsid w:val="00686648"/>
    <w:rsid w:val="006867E3"/>
    <w:rsid w:val="00686868"/>
    <w:rsid w:val="00686C6F"/>
    <w:rsid w:val="00686D7E"/>
    <w:rsid w:val="00687027"/>
    <w:rsid w:val="0068723A"/>
    <w:rsid w:val="00687272"/>
    <w:rsid w:val="0068739C"/>
    <w:rsid w:val="006877BE"/>
    <w:rsid w:val="006878F2"/>
    <w:rsid w:val="00687F78"/>
    <w:rsid w:val="006909CE"/>
    <w:rsid w:val="0069108B"/>
    <w:rsid w:val="00691206"/>
    <w:rsid w:val="00691F0A"/>
    <w:rsid w:val="00692479"/>
    <w:rsid w:val="00692C7B"/>
    <w:rsid w:val="0069376A"/>
    <w:rsid w:val="00694102"/>
    <w:rsid w:val="006945E9"/>
    <w:rsid w:val="00694F3D"/>
    <w:rsid w:val="00695648"/>
    <w:rsid w:val="00695A4A"/>
    <w:rsid w:val="00696A7B"/>
    <w:rsid w:val="0069796C"/>
    <w:rsid w:val="00697E4A"/>
    <w:rsid w:val="006A03A3"/>
    <w:rsid w:val="006A0EA4"/>
    <w:rsid w:val="006A18B6"/>
    <w:rsid w:val="006A1EDC"/>
    <w:rsid w:val="006A2335"/>
    <w:rsid w:val="006A2591"/>
    <w:rsid w:val="006A2A3A"/>
    <w:rsid w:val="006A3580"/>
    <w:rsid w:val="006A3817"/>
    <w:rsid w:val="006A3E27"/>
    <w:rsid w:val="006A420A"/>
    <w:rsid w:val="006A4322"/>
    <w:rsid w:val="006A4342"/>
    <w:rsid w:val="006A46E2"/>
    <w:rsid w:val="006A4759"/>
    <w:rsid w:val="006A4A94"/>
    <w:rsid w:val="006A4DA7"/>
    <w:rsid w:val="006A4E13"/>
    <w:rsid w:val="006A5065"/>
    <w:rsid w:val="006A584D"/>
    <w:rsid w:val="006A5B0F"/>
    <w:rsid w:val="006A5C0D"/>
    <w:rsid w:val="006A5C4B"/>
    <w:rsid w:val="006A5ED6"/>
    <w:rsid w:val="006A5FF3"/>
    <w:rsid w:val="006A6CA4"/>
    <w:rsid w:val="006A6E9D"/>
    <w:rsid w:val="006A72A4"/>
    <w:rsid w:val="006A7498"/>
    <w:rsid w:val="006A77FC"/>
    <w:rsid w:val="006B0084"/>
    <w:rsid w:val="006B0256"/>
    <w:rsid w:val="006B03CC"/>
    <w:rsid w:val="006B06CD"/>
    <w:rsid w:val="006B15CE"/>
    <w:rsid w:val="006B1CC3"/>
    <w:rsid w:val="006B20EE"/>
    <w:rsid w:val="006B2363"/>
    <w:rsid w:val="006B2EB8"/>
    <w:rsid w:val="006B3537"/>
    <w:rsid w:val="006B3975"/>
    <w:rsid w:val="006B3A49"/>
    <w:rsid w:val="006B40D3"/>
    <w:rsid w:val="006B40F4"/>
    <w:rsid w:val="006B4826"/>
    <w:rsid w:val="006B4DED"/>
    <w:rsid w:val="006B5507"/>
    <w:rsid w:val="006B5815"/>
    <w:rsid w:val="006B5869"/>
    <w:rsid w:val="006B5B8D"/>
    <w:rsid w:val="006B5CC2"/>
    <w:rsid w:val="006B6FF3"/>
    <w:rsid w:val="006B721E"/>
    <w:rsid w:val="006B75AB"/>
    <w:rsid w:val="006B7B7D"/>
    <w:rsid w:val="006B7C3D"/>
    <w:rsid w:val="006C01F7"/>
    <w:rsid w:val="006C0B2B"/>
    <w:rsid w:val="006C1290"/>
    <w:rsid w:val="006C1614"/>
    <w:rsid w:val="006C1D8C"/>
    <w:rsid w:val="006C256B"/>
    <w:rsid w:val="006C2C2A"/>
    <w:rsid w:val="006C3491"/>
    <w:rsid w:val="006C3811"/>
    <w:rsid w:val="006C4D7D"/>
    <w:rsid w:val="006C51D5"/>
    <w:rsid w:val="006C51F0"/>
    <w:rsid w:val="006C5414"/>
    <w:rsid w:val="006C6D79"/>
    <w:rsid w:val="006C7530"/>
    <w:rsid w:val="006C784A"/>
    <w:rsid w:val="006D1E49"/>
    <w:rsid w:val="006D2553"/>
    <w:rsid w:val="006D25B2"/>
    <w:rsid w:val="006D283A"/>
    <w:rsid w:val="006D2886"/>
    <w:rsid w:val="006D2A63"/>
    <w:rsid w:val="006D2BC0"/>
    <w:rsid w:val="006D3BCF"/>
    <w:rsid w:val="006D432E"/>
    <w:rsid w:val="006D49CF"/>
    <w:rsid w:val="006D4AE1"/>
    <w:rsid w:val="006D55EC"/>
    <w:rsid w:val="006D58CE"/>
    <w:rsid w:val="006D5B0E"/>
    <w:rsid w:val="006D764B"/>
    <w:rsid w:val="006D7DA7"/>
    <w:rsid w:val="006E0345"/>
    <w:rsid w:val="006E05B0"/>
    <w:rsid w:val="006E0D10"/>
    <w:rsid w:val="006E10F5"/>
    <w:rsid w:val="006E1CF4"/>
    <w:rsid w:val="006E1D30"/>
    <w:rsid w:val="006E1FFD"/>
    <w:rsid w:val="006E20BD"/>
    <w:rsid w:val="006E28A4"/>
    <w:rsid w:val="006E3750"/>
    <w:rsid w:val="006E3817"/>
    <w:rsid w:val="006E3EF1"/>
    <w:rsid w:val="006E4894"/>
    <w:rsid w:val="006E5522"/>
    <w:rsid w:val="006E5B37"/>
    <w:rsid w:val="006E5DB5"/>
    <w:rsid w:val="006E6044"/>
    <w:rsid w:val="006E6092"/>
    <w:rsid w:val="006E6E7F"/>
    <w:rsid w:val="006E6F59"/>
    <w:rsid w:val="006E727F"/>
    <w:rsid w:val="006E7658"/>
    <w:rsid w:val="006E7F35"/>
    <w:rsid w:val="006E7FB2"/>
    <w:rsid w:val="006F032C"/>
    <w:rsid w:val="006F0340"/>
    <w:rsid w:val="006F057D"/>
    <w:rsid w:val="006F0AFA"/>
    <w:rsid w:val="006F1B52"/>
    <w:rsid w:val="006F1FF8"/>
    <w:rsid w:val="006F235F"/>
    <w:rsid w:val="006F27A6"/>
    <w:rsid w:val="006F2E62"/>
    <w:rsid w:val="006F34A4"/>
    <w:rsid w:val="006F39A4"/>
    <w:rsid w:val="006F4204"/>
    <w:rsid w:val="006F42DE"/>
    <w:rsid w:val="006F472F"/>
    <w:rsid w:val="006F5A6B"/>
    <w:rsid w:val="006F6722"/>
    <w:rsid w:val="006F79C1"/>
    <w:rsid w:val="007001BA"/>
    <w:rsid w:val="00701716"/>
    <w:rsid w:val="00701823"/>
    <w:rsid w:val="00701CB0"/>
    <w:rsid w:val="00702518"/>
    <w:rsid w:val="00703600"/>
    <w:rsid w:val="00703807"/>
    <w:rsid w:val="0070490A"/>
    <w:rsid w:val="00704D1D"/>
    <w:rsid w:val="00705441"/>
    <w:rsid w:val="00705AC0"/>
    <w:rsid w:val="00705B33"/>
    <w:rsid w:val="00705B5B"/>
    <w:rsid w:val="0070615E"/>
    <w:rsid w:val="007064B8"/>
    <w:rsid w:val="0070665A"/>
    <w:rsid w:val="007066CF"/>
    <w:rsid w:val="00706C4B"/>
    <w:rsid w:val="0070701D"/>
    <w:rsid w:val="007071FD"/>
    <w:rsid w:val="007072A0"/>
    <w:rsid w:val="0070736A"/>
    <w:rsid w:val="00707D75"/>
    <w:rsid w:val="00710824"/>
    <w:rsid w:val="00710A58"/>
    <w:rsid w:val="00710E52"/>
    <w:rsid w:val="007116AC"/>
    <w:rsid w:val="00711AD4"/>
    <w:rsid w:val="00711CB5"/>
    <w:rsid w:val="00711EDD"/>
    <w:rsid w:val="007124A2"/>
    <w:rsid w:val="007133ED"/>
    <w:rsid w:val="00713E7C"/>
    <w:rsid w:val="00714656"/>
    <w:rsid w:val="0071530E"/>
    <w:rsid w:val="00715852"/>
    <w:rsid w:val="0071604B"/>
    <w:rsid w:val="00716615"/>
    <w:rsid w:val="00716ECB"/>
    <w:rsid w:val="00717099"/>
    <w:rsid w:val="007170C2"/>
    <w:rsid w:val="00717758"/>
    <w:rsid w:val="007177F1"/>
    <w:rsid w:val="007200AA"/>
    <w:rsid w:val="00720AD4"/>
    <w:rsid w:val="00720D4A"/>
    <w:rsid w:val="00720EEF"/>
    <w:rsid w:val="00722F04"/>
    <w:rsid w:val="00722F5F"/>
    <w:rsid w:val="007230D6"/>
    <w:rsid w:val="007239B8"/>
    <w:rsid w:val="00723E4B"/>
    <w:rsid w:val="00723E67"/>
    <w:rsid w:val="00724553"/>
    <w:rsid w:val="0072543F"/>
    <w:rsid w:val="0072563F"/>
    <w:rsid w:val="007261DF"/>
    <w:rsid w:val="00726291"/>
    <w:rsid w:val="007267FE"/>
    <w:rsid w:val="00727E02"/>
    <w:rsid w:val="00730094"/>
    <w:rsid w:val="00730740"/>
    <w:rsid w:val="00730A3D"/>
    <w:rsid w:val="00730D9C"/>
    <w:rsid w:val="00731308"/>
    <w:rsid w:val="007314E1"/>
    <w:rsid w:val="00731729"/>
    <w:rsid w:val="00732194"/>
    <w:rsid w:val="00732641"/>
    <w:rsid w:val="00732CFA"/>
    <w:rsid w:val="00732E2C"/>
    <w:rsid w:val="00732E5B"/>
    <w:rsid w:val="00732F8C"/>
    <w:rsid w:val="00733325"/>
    <w:rsid w:val="00733398"/>
    <w:rsid w:val="0073376C"/>
    <w:rsid w:val="007343FC"/>
    <w:rsid w:val="00734468"/>
    <w:rsid w:val="00735709"/>
    <w:rsid w:val="007359D0"/>
    <w:rsid w:val="00735ADD"/>
    <w:rsid w:val="00735ECF"/>
    <w:rsid w:val="007364C4"/>
    <w:rsid w:val="007368A2"/>
    <w:rsid w:val="00736DE9"/>
    <w:rsid w:val="0073721B"/>
    <w:rsid w:val="007375C4"/>
    <w:rsid w:val="0073761A"/>
    <w:rsid w:val="0073791B"/>
    <w:rsid w:val="00740133"/>
    <w:rsid w:val="00740FAB"/>
    <w:rsid w:val="00742418"/>
    <w:rsid w:val="00742439"/>
    <w:rsid w:val="00742AE6"/>
    <w:rsid w:val="00743471"/>
    <w:rsid w:val="00743552"/>
    <w:rsid w:val="00743A10"/>
    <w:rsid w:val="00743A1C"/>
    <w:rsid w:val="007441CA"/>
    <w:rsid w:val="00744ABE"/>
    <w:rsid w:val="00745488"/>
    <w:rsid w:val="0074569C"/>
    <w:rsid w:val="007457F4"/>
    <w:rsid w:val="00745A5C"/>
    <w:rsid w:val="00745D22"/>
    <w:rsid w:val="00745D92"/>
    <w:rsid w:val="0074601E"/>
    <w:rsid w:val="0074615A"/>
    <w:rsid w:val="00746573"/>
    <w:rsid w:val="007465A9"/>
    <w:rsid w:val="00746AEE"/>
    <w:rsid w:val="00746BB5"/>
    <w:rsid w:val="00746D71"/>
    <w:rsid w:val="007473F9"/>
    <w:rsid w:val="00747C61"/>
    <w:rsid w:val="0075061C"/>
    <w:rsid w:val="0075092D"/>
    <w:rsid w:val="00750DD1"/>
    <w:rsid w:val="00751880"/>
    <w:rsid w:val="00751A7A"/>
    <w:rsid w:val="00751F91"/>
    <w:rsid w:val="0075219F"/>
    <w:rsid w:val="007522E4"/>
    <w:rsid w:val="00752594"/>
    <w:rsid w:val="00752D94"/>
    <w:rsid w:val="00753494"/>
    <w:rsid w:val="00754A0D"/>
    <w:rsid w:val="00754BEC"/>
    <w:rsid w:val="007552C1"/>
    <w:rsid w:val="00755596"/>
    <w:rsid w:val="00755E7A"/>
    <w:rsid w:val="007562E2"/>
    <w:rsid w:val="00757022"/>
    <w:rsid w:val="007577C2"/>
    <w:rsid w:val="00757827"/>
    <w:rsid w:val="0075791E"/>
    <w:rsid w:val="007607A6"/>
    <w:rsid w:val="00760D1D"/>
    <w:rsid w:val="00760E7C"/>
    <w:rsid w:val="00761178"/>
    <w:rsid w:val="007620BF"/>
    <w:rsid w:val="00762814"/>
    <w:rsid w:val="00762AA8"/>
    <w:rsid w:val="00762B32"/>
    <w:rsid w:val="00762E02"/>
    <w:rsid w:val="00762F2B"/>
    <w:rsid w:val="0076311E"/>
    <w:rsid w:val="0076328E"/>
    <w:rsid w:val="00763EA0"/>
    <w:rsid w:val="00764220"/>
    <w:rsid w:val="00764627"/>
    <w:rsid w:val="00764644"/>
    <w:rsid w:val="00764BD8"/>
    <w:rsid w:val="00764CB9"/>
    <w:rsid w:val="0076507B"/>
    <w:rsid w:val="0076561E"/>
    <w:rsid w:val="007661B0"/>
    <w:rsid w:val="007662F3"/>
    <w:rsid w:val="00766691"/>
    <w:rsid w:val="00766799"/>
    <w:rsid w:val="0076776B"/>
    <w:rsid w:val="00767B5A"/>
    <w:rsid w:val="007705EE"/>
    <w:rsid w:val="00770A75"/>
    <w:rsid w:val="00770AA7"/>
    <w:rsid w:val="00771B42"/>
    <w:rsid w:val="00773353"/>
    <w:rsid w:val="0077335E"/>
    <w:rsid w:val="007737A9"/>
    <w:rsid w:val="00773A68"/>
    <w:rsid w:val="00773B38"/>
    <w:rsid w:val="00773BD8"/>
    <w:rsid w:val="00774AE2"/>
    <w:rsid w:val="00774FB0"/>
    <w:rsid w:val="0077540C"/>
    <w:rsid w:val="00775C14"/>
    <w:rsid w:val="0077601F"/>
    <w:rsid w:val="00776411"/>
    <w:rsid w:val="0077644B"/>
    <w:rsid w:val="00776B17"/>
    <w:rsid w:val="00776B84"/>
    <w:rsid w:val="00776E43"/>
    <w:rsid w:val="007774A9"/>
    <w:rsid w:val="0077752C"/>
    <w:rsid w:val="00777628"/>
    <w:rsid w:val="00777E90"/>
    <w:rsid w:val="00780A45"/>
    <w:rsid w:val="00780F7D"/>
    <w:rsid w:val="00781170"/>
    <w:rsid w:val="007816DD"/>
    <w:rsid w:val="00782125"/>
    <w:rsid w:val="00782412"/>
    <w:rsid w:val="007826CE"/>
    <w:rsid w:val="007828D4"/>
    <w:rsid w:val="00782A1F"/>
    <w:rsid w:val="00783548"/>
    <w:rsid w:val="00783842"/>
    <w:rsid w:val="00783CF3"/>
    <w:rsid w:val="007840D8"/>
    <w:rsid w:val="00784116"/>
    <w:rsid w:val="0078431E"/>
    <w:rsid w:val="00784AA1"/>
    <w:rsid w:val="00784BD0"/>
    <w:rsid w:val="00784D1E"/>
    <w:rsid w:val="00784DB7"/>
    <w:rsid w:val="007858A9"/>
    <w:rsid w:val="007865AA"/>
    <w:rsid w:val="00787327"/>
    <w:rsid w:val="007876E3"/>
    <w:rsid w:val="00787AB6"/>
    <w:rsid w:val="00787D2B"/>
    <w:rsid w:val="00787DC4"/>
    <w:rsid w:val="007903E3"/>
    <w:rsid w:val="007907F2"/>
    <w:rsid w:val="00790856"/>
    <w:rsid w:val="00790E05"/>
    <w:rsid w:val="0079128F"/>
    <w:rsid w:val="0079244E"/>
    <w:rsid w:val="007928AD"/>
    <w:rsid w:val="00792C2F"/>
    <w:rsid w:val="007932B4"/>
    <w:rsid w:val="0079384D"/>
    <w:rsid w:val="0079415A"/>
    <w:rsid w:val="00794724"/>
    <w:rsid w:val="00794EA9"/>
    <w:rsid w:val="00795041"/>
    <w:rsid w:val="00795909"/>
    <w:rsid w:val="00796654"/>
    <w:rsid w:val="00796B69"/>
    <w:rsid w:val="00797A59"/>
    <w:rsid w:val="00797A7C"/>
    <w:rsid w:val="00797BEF"/>
    <w:rsid w:val="007A0174"/>
    <w:rsid w:val="007A0424"/>
    <w:rsid w:val="007A05ED"/>
    <w:rsid w:val="007A06E4"/>
    <w:rsid w:val="007A0A3A"/>
    <w:rsid w:val="007A0BB2"/>
    <w:rsid w:val="007A10AC"/>
    <w:rsid w:val="007A1846"/>
    <w:rsid w:val="007A1899"/>
    <w:rsid w:val="007A27B4"/>
    <w:rsid w:val="007A30EA"/>
    <w:rsid w:val="007A33C1"/>
    <w:rsid w:val="007A3662"/>
    <w:rsid w:val="007A5131"/>
    <w:rsid w:val="007A5368"/>
    <w:rsid w:val="007A5933"/>
    <w:rsid w:val="007B00F1"/>
    <w:rsid w:val="007B0702"/>
    <w:rsid w:val="007B0E51"/>
    <w:rsid w:val="007B104D"/>
    <w:rsid w:val="007B1A71"/>
    <w:rsid w:val="007B2695"/>
    <w:rsid w:val="007B3042"/>
    <w:rsid w:val="007B30D6"/>
    <w:rsid w:val="007B3BBB"/>
    <w:rsid w:val="007B4019"/>
    <w:rsid w:val="007B4B0C"/>
    <w:rsid w:val="007B5271"/>
    <w:rsid w:val="007B5316"/>
    <w:rsid w:val="007B553C"/>
    <w:rsid w:val="007B58AD"/>
    <w:rsid w:val="007B5BDF"/>
    <w:rsid w:val="007B66A0"/>
    <w:rsid w:val="007B6A17"/>
    <w:rsid w:val="007B6E4E"/>
    <w:rsid w:val="007B71E8"/>
    <w:rsid w:val="007B71E9"/>
    <w:rsid w:val="007B7392"/>
    <w:rsid w:val="007B7CA2"/>
    <w:rsid w:val="007B7F65"/>
    <w:rsid w:val="007C0CF9"/>
    <w:rsid w:val="007C1702"/>
    <w:rsid w:val="007C1982"/>
    <w:rsid w:val="007C1E1D"/>
    <w:rsid w:val="007C264A"/>
    <w:rsid w:val="007C2860"/>
    <w:rsid w:val="007C3AC2"/>
    <w:rsid w:val="007C3D4C"/>
    <w:rsid w:val="007C41D1"/>
    <w:rsid w:val="007C43D3"/>
    <w:rsid w:val="007C48C7"/>
    <w:rsid w:val="007C4B87"/>
    <w:rsid w:val="007C4C17"/>
    <w:rsid w:val="007C4E4B"/>
    <w:rsid w:val="007C4E96"/>
    <w:rsid w:val="007C5843"/>
    <w:rsid w:val="007C5C28"/>
    <w:rsid w:val="007C64A8"/>
    <w:rsid w:val="007C69D6"/>
    <w:rsid w:val="007C6B29"/>
    <w:rsid w:val="007C6DB4"/>
    <w:rsid w:val="007C70EA"/>
    <w:rsid w:val="007C78B6"/>
    <w:rsid w:val="007D1D39"/>
    <w:rsid w:val="007D1D3F"/>
    <w:rsid w:val="007D2CEB"/>
    <w:rsid w:val="007D2DA0"/>
    <w:rsid w:val="007D31F4"/>
    <w:rsid w:val="007D33A9"/>
    <w:rsid w:val="007D3591"/>
    <w:rsid w:val="007D3849"/>
    <w:rsid w:val="007D3D04"/>
    <w:rsid w:val="007D474D"/>
    <w:rsid w:val="007D5159"/>
    <w:rsid w:val="007D55F6"/>
    <w:rsid w:val="007D6683"/>
    <w:rsid w:val="007D6A11"/>
    <w:rsid w:val="007D6B2C"/>
    <w:rsid w:val="007D724E"/>
    <w:rsid w:val="007D72F0"/>
    <w:rsid w:val="007D79BF"/>
    <w:rsid w:val="007D7D53"/>
    <w:rsid w:val="007E0847"/>
    <w:rsid w:val="007E09A5"/>
    <w:rsid w:val="007E0FC7"/>
    <w:rsid w:val="007E1CBC"/>
    <w:rsid w:val="007E21B2"/>
    <w:rsid w:val="007E378C"/>
    <w:rsid w:val="007E3909"/>
    <w:rsid w:val="007E496B"/>
    <w:rsid w:val="007E4C0F"/>
    <w:rsid w:val="007E5E57"/>
    <w:rsid w:val="007E6167"/>
    <w:rsid w:val="007E69D5"/>
    <w:rsid w:val="007E6D02"/>
    <w:rsid w:val="007E73E9"/>
    <w:rsid w:val="007E74C5"/>
    <w:rsid w:val="007E75FD"/>
    <w:rsid w:val="007E7627"/>
    <w:rsid w:val="007E7715"/>
    <w:rsid w:val="007F0C42"/>
    <w:rsid w:val="007F0E34"/>
    <w:rsid w:val="007F11F7"/>
    <w:rsid w:val="007F120F"/>
    <w:rsid w:val="007F1DC8"/>
    <w:rsid w:val="007F273C"/>
    <w:rsid w:val="007F2932"/>
    <w:rsid w:val="007F2F79"/>
    <w:rsid w:val="007F32C6"/>
    <w:rsid w:val="007F5C33"/>
    <w:rsid w:val="007F6368"/>
    <w:rsid w:val="007F67B5"/>
    <w:rsid w:val="007F6816"/>
    <w:rsid w:val="007F68A1"/>
    <w:rsid w:val="007F698B"/>
    <w:rsid w:val="007F7180"/>
    <w:rsid w:val="007F746D"/>
    <w:rsid w:val="007F7930"/>
    <w:rsid w:val="007F7B7F"/>
    <w:rsid w:val="0080116B"/>
    <w:rsid w:val="00801820"/>
    <w:rsid w:val="00801C18"/>
    <w:rsid w:val="00802217"/>
    <w:rsid w:val="00802D00"/>
    <w:rsid w:val="00803F09"/>
    <w:rsid w:val="008043DE"/>
    <w:rsid w:val="0080498D"/>
    <w:rsid w:val="00805A09"/>
    <w:rsid w:val="00805D5F"/>
    <w:rsid w:val="0080606A"/>
    <w:rsid w:val="008065F0"/>
    <w:rsid w:val="008077CD"/>
    <w:rsid w:val="00807C1C"/>
    <w:rsid w:val="00807C2F"/>
    <w:rsid w:val="00810406"/>
    <w:rsid w:val="0081067A"/>
    <w:rsid w:val="00810945"/>
    <w:rsid w:val="00810B67"/>
    <w:rsid w:val="00810E9B"/>
    <w:rsid w:val="008110F0"/>
    <w:rsid w:val="008118D8"/>
    <w:rsid w:val="008129C6"/>
    <w:rsid w:val="00812E0A"/>
    <w:rsid w:val="0081352B"/>
    <w:rsid w:val="0081374C"/>
    <w:rsid w:val="00813B4B"/>
    <w:rsid w:val="00813F9C"/>
    <w:rsid w:val="0081402F"/>
    <w:rsid w:val="008140C1"/>
    <w:rsid w:val="00814176"/>
    <w:rsid w:val="0081450B"/>
    <w:rsid w:val="00814514"/>
    <w:rsid w:val="00814EFB"/>
    <w:rsid w:val="008153A7"/>
    <w:rsid w:val="00815427"/>
    <w:rsid w:val="00815718"/>
    <w:rsid w:val="0081665A"/>
    <w:rsid w:val="0081695B"/>
    <w:rsid w:val="00816C6E"/>
    <w:rsid w:val="00816F72"/>
    <w:rsid w:val="0081782F"/>
    <w:rsid w:val="008203C7"/>
    <w:rsid w:val="00820465"/>
    <w:rsid w:val="0082087B"/>
    <w:rsid w:val="00820932"/>
    <w:rsid w:val="00820CD3"/>
    <w:rsid w:val="00821478"/>
    <w:rsid w:val="008214A8"/>
    <w:rsid w:val="00821CAD"/>
    <w:rsid w:val="008237E2"/>
    <w:rsid w:val="00825111"/>
    <w:rsid w:val="008254B1"/>
    <w:rsid w:val="008255E4"/>
    <w:rsid w:val="00825F14"/>
    <w:rsid w:val="008260AF"/>
    <w:rsid w:val="00826A07"/>
    <w:rsid w:val="0082751E"/>
    <w:rsid w:val="00827BAD"/>
    <w:rsid w:val="00827C10"/>
    <w:rsid w:val="00830639"/>
    <w:rsid w:val="008309C9"/>
    <w:rsid w:val="00830A8A"/>
    <w:rsid w:val="00830ADA"/>
    <w:rsid w:val="00830BC7"/>
    <w:rsid w:val="0083198B"/>
    <w:rsid w:val="00832466"/>
    <w:rsid w:val="008335E3"/>
    <w:rsid w:val="008338AC"/>
    <w:rsid w:val="00833A35"/>
    <w:rsid w:val="00833A5E"/>
    <w:rsid w:val="00833E94"/>
    <w:rsid w:val="008342BE"/>
    <w:rsid w:val="00834767"/>
    <w:rsid w:val="00834DCB"/>
    <w:rsid w:val="0083580E"/>
    <w:rsid w:val="008358F1"/>
    <w:rsid w:val="00835EE2"/>
    <w:rsid w:val="0083636E"/>
    <w:rsid w:val="008364A5"/>
    <w:rsid w:val="00836553"/>
    <w:rsid w:val="00836673"/>
    <w:rsid w:val="008367E3"/>
    <w:rsid w:val="00836E76"/>
    <w:rsid w:val="00837DAA"/>
    <w:rsid w:val="008407F6"/>
    <w:rsid w:val="00840C01"/>
    <w:rsid w:val="00840C42"/>
    <w:rsid w:val="0084167C"/>
    <w:rsid w:val="00841CD5"/>
    <w:rsid w:val="00842969"/>
    <w:rsid w:val="00842CC7"/>
    <w:rsid w:val="00844033"/>
    <w:rsid w:val="00844453"/>
    <w:rsid w:val="00844585"/>
    <w:rsid w:val="0084481F"/>
    <w:rsid w:val="00844CB7"/>
    <w:rsid w:val="00844E4D"/>
    <w:rsid w:val="00844F10"/>
    <w:rsid w:val="00845186"/>
    <w:rsid w:val="00845535"/>
    <w:rsid w:val="00845728"/>
    <w:rsid w:val="00845A4B"/>
    <w:rsid w:val="00845BBC"/>
    <w:rsid w:val="00845F6A"/>
    <w:rsid w:val="0084607D"/>
    <w:rsid w:val="00846F40"/>
    <w:rsid w:val="00847F2B"/>
    <w:rsid w:val="00850048"/>
    <w:rsid w:val="0085019B"/>
    <w:rsid w:val="0085099F"/>
    <w:rsid w:val="008510C7"/>
    <w:rsid w:val="00851112"/>
    <w:rsid w:val="008513D8"/>
    <w:rsid w:val="008515EA"/>
    <w:rsid w:val="00852895"/>
    <w:rsid w:val="00852A55"/>
    <w:rsid w:val="00852C25"/>
    <w:rsid w:val="00852E18"/>
    <w:rsid w:val="00853479"/>
    <w:rsid w:val="00853FD9"/>
    <w:rsid w:val="00854390"/>
    <w:rsid w:val="00854E63"/>
    <w:rsid w:val="0085583F"/>
    <w:rsid w:val="008558AB"/>
    <w:rsid w:val="00855D43"/>
    <w:rsid w:val="008561D7"/>
    <w:rsid w:val="00856C7A"/>
    <w:rsid w:val="00856DF5"/>
    <w:rsid w:val="0085770C"/>
    <w:rsid w:val="00857D57"/>
    <w:rsid w:val="008600C2"/>
    <w:rsid w:val="00860497"/>
    <w:rsid w:val="008604C2"/>
    <w:rsid w:val="008607B4"/>
    <w:rsid w:val="00860977"/>
    <w:rsid w:val="00860B22"/>
    <w:rsid w:val="00861074"/>
    <w:rsid w:val="0086137B"/>
    <w:rsid w:val="008613C6"/>
    <w:rsid w:val="008620ED"/>
    <w:rsid w:val="00862B44"/>
    <w:rsid w:val="00862E4B"/>
    <w:rsid w:val="008633B4"/>
    <w:rsid w:val="008636FC"/>
    <w:rsid w:val="00863DB6"/>
    <w:rsid w:val="00863DE7"/>
    <w:rsid w:val="00863F4C"/>
    <w:rsid w:val="0086435B"/>
    <w:rsid w:val="008649DF"/>
    <w:rsid w:val="00864A40"/>
    <w:rsid w:val="00864AC5"/>
    <w:rsid w:val="0086519D"/>
    <w:rsid w:val="00865821"/>
    <w:rsid w:val="00865B43"/>
    <w:rsid w:val="00865B86"/>
    <w:rsid w:val="00865DC5"/>
    <w:rsid w:val="00866452"/>
    <w:rsid w:val="00866646"/>
    <w:rsid w:val="00866BE8"/>
    <w:rsid w:val="00867010"/>
    <w:rsid w:val="00867518"/>
    <w:rsid w:val="00867B83"/>
    <w:rsid w:val="00867F8B"/>
    <w:rsid w:val="0087026A"/>
    <w:rsid w:val="00870368"/>
    <w:rsid w:val="00870817"/>
    <w:rsid w:val="00870BB5"/>
    <w:rsid w:val="00871164"/>
    <w:rsid w:val="0087236F"/>
    <w:rsid w:val="008723AF"/>
    <w:rsid w:val="008723EA"/>
    <w:rsid w:val="00872A94"/>
    <w:rsid w:val="00872BA3"/>
    <w:rsid w:val="00872CA9"/>
    <w:rsid w:val="008731C6"/>
    <w:rsid w:val="00873A11"/>
    <w:rsid w:val="00873BC6"/>
    <w:rsid w:val="00873D41"/>
    <w:rsid w:val="00873F41"/>
    <w:rsid w:val="008745CE"/>
    <w:rsid w:val="008747A3"/>
    <w:rsid w:val="00874FB1"/>
    <w:rsid w:val="008758AD"/>
    <w:rsid w:val="008758BD"/>
    <w:rsid w:val="00876CA1"/>
    <w:rsid w:val="008770D4"/>
    <w:rsid w:val="008771F4"/>
    <w:rsid w:val="0087746A"/>
    <w:rsid w:val="00877526"/>
    <w:rsid w:val="00877604"/>
    <w:rsid w:val="0087766D"/>
    <w:rsid w:val="00877E39"/>
    <w:rsid w:val="008800E7"/>
    <w:rsid w:val="00880902"/>
    <w:rsid w:val="00881952"/>
    <w:rsid w:val="00881E3C"/>
    <w:rsid w:val="00881EB8"/>
    <w:rsid w:val="00882038"/>
    <w:rsid w:val="0088214C"/>
    <w:rsid w:val="0088232B"/>
    <w:rsid w:val="0088332A"/>
    <w:rsid w:val="00883474"/>
    <w:rsid w:val="00883568"/>
    <w:rsid w:val="00883881"/>
    <w:rsid w:val="008840C5"/>
    <w:rsid w:val="00884C97"/>
    <w:rsid w:val="008852E4"/>
    <w:rsid w:val="0088642F"/>
    <w:rsid w:val="0088731E"/>
    <w:rsid w:val="0088740E"/>
    <w:rsid w:val="00887B0B"/>
    <w:rsid w:val="00890881"/>
    <w:rsid w:val="00891287"/>
    <w:rsid w:val="008915B3"/>
    <w:rsid w:val="0089171F"/>
    <w:rsid w:val="00892048"/>
    <w:rsid w:val="008922F1"/>
    <w:rsid w:val="008924C6"/>
    <w:rsid w:val="00892A4E"/>
    <w:rsid w:val="008931E4"/>
    <w:rsid w:val="0089348A"/>
    <w:rsid w:val="0089356A"/>
    <w:rsid w:val="008944BC"/>
    <w:rsid w:val="00894664"/>
    <w:rsid w:val="00894A27"/>
    <w:rsid w:val="00894E16"/>
    <w:rsid w:val="008963C9"/>
    <w:rsid w:val="008964FA"/>
    <w:rsid w:val="00896A4C"/>
    <w:rsid w:val="00896EBA"/>
    <w:rsid w:val="0089727F"/>
    <w:rsid w:val="00897430"/>
    <w:rsid w:val="0089797F"/>
    <w:rsid w:val="008A022D"/>
    <w:rsid w:val="008A03D6"/>
    <w:rsid w:val="008A198F"/>
    <w:rsid w:val="008A1FD0"/>
    <w:rsid w:val="008A2218"/>
    <w:rsid w:val="008A23C9"/>
    <w:rsid w:val="008A26D7"/>
    <w:rsid w:val="008A2ED9"/>
    <w:rsid w:val="008A342A"/>
    <w:rsid w:val="008A3716"/>
    <w:rsid w:val="008A3855"/>
    <w:rsid w:val="008A38E4"/>
    <w:rsid w:val="008A3924"/>
    <w:rsid w:val="008A39F8"/>
    <w:rsid w:val="008A44AE"/>
    <w:rsid w:val="008A45A7"/>
    <w:rsid w:val="008A54DB"/>
    <w:rsid w:val="008A5541"/>
    <w:rsid w:val="008A6DCB"/>
    <w:rsid w:val="008B0249"/>
    <w:rsid w:val="008B0B3A"/>
    <w:rsid w:val="008B1632"/>
    <w:rsid w:val="008B32A9"/>
    <w:rsid w:val="008B4157"/>
    <w:rsid w:val="008B45DC"/>
    <w:rsid w:val="008B47CA"/>
    <w:rsid w:val="008B61EC"/>
    <w:rsid w:val="008B6804"/>
    <w:rsid w:val="008B6A23"/>
    <w:rsid w:val="008B6CD8"/>
    <w:rsid w:val="008B7B6B"/>
    <w:rsid w:val="008B7CA2"/>
    <w:rsid w:val="008C0083"/>
    <w:rsid w:val="008C01C4"/>
    <w:rsid w:val="008C08E7"/>
    <w:rsid w:val="008C091E"/>
    <w:rsid w:val="008C0B32"/>
    <w:rsid w:val="008C1B21"/>
    <w:rsid w:val="008C2717"/>
    <w:rsid w:val="008C28E7"/>
    <w:rsid w:val="008C2EDB"/>
    <w:rsid w:val="008C33D0"/>
    <w:rsid w:val="008C3A93"/>
    <w:rsid w:val="008C3E8A"/>
    <w:rsid w:val="008C4757"/>
    <w:rsid w:val="008C513F"/>
    <w:rsid w:val="008C52FF"/>
    <w:rsid w:val="008C5668"/>
    <w:rsid w:val="008C5C18"/>
    <w:rsid w:val="008C6530"/>
    <w:rsid w:val="008C6C9A"/>
    <w:rsid w:val="008C700D"/>
    <w:rsid w:val="008C701E"/>
    <w:rsid w:val="008C7390"/>
    <w:rsid w:val="008C752B"/>
    <w:rsid w:val="008C7915"/>
    <w:rsid w:val="008C7D6C"/>
    <w:rsid w:val="008D071E"/>
    <w:rsid w:val="008D0B32"/>
    <w:rsid w:val="008D0CB8"/>
    <w:rsid w:val="008D0F2B"/>
    <w:rsid w:val="008D1B64"/>
    <w:rsid w:val="008D206C"/>
    <w:rsid w:val="008D29FC"/>
    <w:rsid w:val="008D2D6B"/>
    <w:rsid w:val="008D3A50"/>
    <w:rsid w:val="008D3EDC"/>
    <w:rsid w:val="008D3F58"/>
    <w:rsid w:val="008D4162"/>
    <w:rsid w:val="008D4E54"/>
    <w:rsid w:val="008D50F6"/>
    <w:rsid w:val="008D5BD3"/>
    <w:rsid w:val="008D5CD3"/>
    <w:rsid w:val="008D6219"/>
    <w:rsid w:val="008D63F8"/>
    <w:rsid w:val="008D6A37"/>
    <w:rsid w:val="008D6FF2"/>
    <w:rsid w:val="008D7B79"/>
    <w:rsid w:val="008D7F71"/>
    <w:rsid w:val="008E03E9"/>
    <w:rsid w:val="008E04C7"/>
    <w:rsid w:val="008E0808"/>
    <w:rsid w:val="008E0B11"/>
    <w:rsid w:val="008E0B6C"/>
    <w:rsid w:val="008E13DE"/>
    <w:rsid w:val="008E1A8F"/>
    <w:rsid w:val="008E1D50"/>
    <w:rsid w:val="008E24D4"/>
    <w:rsid w:val="008E2597"/>
    <w:rsid w:val="008E2B9B"/>
    <w:rsid w:val="008E39A7"/>
    <w:rsid w:val="008E4589"/>
    <w:rsid w:val="008E4C89"/>
    <w:rsid w:val="008E51AF"/>
    <w:rsid w:val="008E543E"/>
    <w:rsid w:val="008E548A"/>
    <w:rsid w:val="008E5EB7"/>
    <w:rsid w:val="008E612F"/>
    <w:rsid w:val="008E6F6F"/>
    <w:rsid w:val="008E7029"/>
    <w:rsid w:val="008E74A2"/>
    <w:rsid w:val="008E756F"/>
    <w:rsid w:val="008E79D6"/>
    <w:rsid w:val="008E7DB9"/>
    <w:rsid w:val="008F0651"/>
    <w:rsid w:val="008F0CBD"/>
    <w:rsid w:val="008F1466"/>
    <w:rsid w:val="008F1601"/>
    <w:rsid w:val="008F1A57"/>
    <w:rsid w:val="008F2534"/>
    <w:rsid w:val="008F2C75"/>
    <w:rsid w:val="008F3876"/>
    <w:rsid w:val="008F4404"/>
    <w:rsid w:val="008F47DF"/>
    <w:rsid w:val="008F48CC"/>
    <w:rsid w:val="008F4B82"/>
    <w:rsid w:val="008F4FC8"/>
    <w:rsid w:val="008F5519"/>
    <w:rsid w:val="008F67E3"/>
    <w:rsid w:val="008F6AD4"/>
    <w:rsid w:val="008F6BD7"/>
    <w:rsid w:val="008F6D1B"/>
    <w:rsid w:val="008F7B2C"/>
    <w:rsid w:val="008F7F2E"/>
    <w:rsid w:val="009002B2"/>
    <w:rsid w:val="009006A6"/>
    <w:rsid w:val="00900E25"/>
    <w:rsid w:val="0090130B"/>
    <w:rsid w:val="009016D7"/>
    <w:rsid w:val="00902590"/>
    <w:rsid w:val="0090270B"/>
    <w:rsid w:val="00902A90"/>
    <w:rsid w:val="00902B5F"/>
    <w:rsid w:val="00902C62"/>
    <w:rsid w:val="0090384E"/>
    <w:rsid w:val="00903AC3"/>
    <w:rsid w:val="0090412E"/>
    <w:rsid w:val="00904536"/>
    <w:rsid w:val="0090478A"/>
    <w:rsid w:val="00905688"/>
    <w:rsid w:val="009056BC"/>
    <w:rsid w:val="00906244"/>
    <w:rsid w:val="00906798"/>
    <w:rsid w:val="00906F87"/>
    <w:rsid w:val="00907136"/>
    <w:rsid w:val="009102A7"/>
    <w:rsid w:val="0091066E"/>
    <w:rsid w:val="009111F6"/>
    <w:rsid w:val="0091145D"/>
    <w:rsid w:val="0091159C"/>
    <w:rsid w:val="00911D86"/>
    <w:rsid w:val="00912535"/>
    <w:rsid w:val="009137CE"/>
    <w:rsid w:val="009144B5"/>
    <w:rsid w:val="009146F6"/>
    <w:rsid w:val="00914AD6"/>
    <w:rsid w:val="00914BDA"/>
    <w:rsid w:val="009155FB"/>
    <w:rsid w:val="00915863"/>
    <w:rsid w:val="00915CDD"/>
    <w:rsid w:val="00916593"/>
    <w:rsid w:val="00916640"/>
    <w:rsid w:val="00916ED7"/>
    <w:rsid w:val="00917946"/>
    <w:rsid w:val="00917CD3"/>
    <w:rsid w:val="00917F28"/>
    <w:rsid w:val="00917FA5"/>
    <w:rsid w:val="00920942"/>
    <w:rsid w:val="00920B47"/>
    <w:rsid w:val="00920C50"/>
    <w:rsid w:val="00920CE6"/>
    <w:rsid w:val="009216DB"/>
    <w:rsid w:val="00921A86"/>
    <w:rsid w:val="00921D6C"/>
    <w:rsid w:val="00922198"/>
    <w:rsid w:val="00922643"/>
    <w:rsid w:val="00922C0E"/>
    <w:rsid w:val="00922E70"/>
    <w:rsid w:val="0092302F"/>
    <w:rsid w:val="009236A9"/>
    <w:rsid w:val="009237B9"/>
    <w:rsid w:val="009239BA"/>
    <w:rsid w:val="00923C22"/>
    <w:rsid w:val="00923DA6"/>
    <w:rsid w:val="00924FD7"/>
    <w:rsid w:val="009252F6"/>
    <w:rsid w:val="00925665"/>
    <w:rsid w:val="00925BF0"/>
    <w:rsid w:val="00926021"/>
    <w:rsid w:val="00926176"/>
    <w:rsid w:val="009269E6"/>
    <w:rsid w:val="00926D78"/>
    <w:rsid w:val="00926E43"/>
    <w:rsid w:val="00926E69"/>
    <w:rsid w:val="0092729B"/>
    <w:rsid w:val="00927E6E"/>
    <w:rsid w:val="009303B6"/>
    <w:rsid w:val="00930658"/>
    <w:rsid w:val="009306E5"/>
    <w:rsid w:val="00930908"/>
    <w:rsid w:val="00930EF7"/>
    <w:rsid w:val="00930F81"/>
    <w:rsid w:val="0093125C"/>
    <w:rsid w:val="00931409"/>
    <w:rsid w:val="009317B8"/>
    <w:rsid w:val="009317F1"/>
    <w:rsid w:val="0093192B"/>
    <w:rsid w:val="00931AEF"/>
    <w:rsid w:val="00931E3C"/>
    <w:rsid w:val="009330DD"/>
    <w:rsid w:val="00933632"/>
    <w:rsid w:val="00933BEF"/>
    <w:rsid w:val="00933CB8"/>
    <w:rsid w:val="00934026"/>
    <w:rsid w:val="009342B3"/>
    <w:rsid w:val="00934E97"/>
    <w:rsid w:val="0093521F"/>
    <w:rsid w:val="009360D6"/>
    <w:rsid w:val="00936282"/>
    <w:rsid w:val="00936510"/>
    <w:rsid w:val="00936FC5"/>
    <w:rsid w:val="0093773D"/>
    <w:rsid w:val="009400C9"/>
    <w:rsid w:val="00940A94"/>
    <w:rsid w:val="0094112C"/>
    <w:rsid w:val="00941336"/>
    <w:rsid w:val="009415F6"/>
    <w:rsid w:val="00941D49"/>
    <w:rsid w:val="00942D6A"/>
    <w:rsid w:val="009436EA"/>
    <w:rsid w:val="00943D40"/>
    <w:rsid w:val="00944159"/>
    <w:rsid w:val="00945476"/>
    <w:rsid w:val="00945876"/>
    <w:rsid w:val="00945E92"/>
    <w:rsid w:val="00946342"/>
    <w:rsid w:val="0094660D"/>
    <w:rsid w:val="009466EE"/>
    <w:rsid w:val="0094698E"/>
    <w:rsid w:val="00946D1A"/>
    <w:rsid w:val="00947729"/>
    <w:rsid w:val="00947A2A"/>
    <w:rsid w:val="00947D3F"/>
    <w:rsid w:val="00950769"/>
    <w:rsid w:val="00950D22"/>
    <w:rsid w:val="009515DB"/>
    <w:rsid w:val="0095178F"/>
    <w:rsid w:val="00952A44"/>
    <w:rsid w:val="00952B51"/>
    <w:rsid w:val="00952CA7"/>
    <w:rsid w:val="00953BB8"/>
    <w:rsid w:val="009541A2"/>
    <w:rsid w:val="009542DD"/>
    <w:rsid w:val="00954DFD"/>
    <w:rsid w:val="00954E0B"/>
    <w:rsid w:val="00955123"/>
    <w:rsid w:val="00955960"/>
    <w:rsid w:val="00955B9E"/>
    <w:rsid w:val="009568B7"/>
    <w:rsid w:val="009575E1"/>
    <w:rsid w:val="00957BAC"/>
    <w:rsid w:val="00957F6D"/>
    <w:rsid w:val="00960BC7"/>
    <w:rsid w:val="009615CF"/>
    <w:rsid w:val="00961883"/>
    <w:rsid w:val="00961AE4"/>
    <w:rsid w:val="0096205B"/>
    <w:rsid w:val="00962129"/>
    <w:rsid w:val="0096213F"/>
    <w:rsid w:val="0096229A"/>
    <w:rsid w:val="009632C9"/>
    <w:rsid w:val="009632F3"/>
    <w:rsid w:val="0096334B"/>
    <w:rsid w:val="009637F2"/>
    <w:rsid w:val="009638C8"/>
    <w:rsid w:val="00963C66"/>
    <w:rsid w:val="00963D39"/>
    <w:rsid w:val="00964625"/>
    <w:rsid w:val="00964AAF"/>
    <w:rsid w:val="00965B85"/>
    <w:rsid w:val="009667EE"/>
    <w:rsid w:val="0096724D"/>
    <w:rsid w:val="00970900"/>
    <w:rsid w:val="00970A8B"/>
    <w:rsid w:val="00970BFF"/>
    <w:rsid w:val="00970FE9"/>
    <w:rsid w:val="0097109C"/>
    <w:rsid w:val="00971A2F"/>
    <w:rsid w:val="00972088"/>
    <w:rsid w:val="009720B6"/>
    <w:rsid w:val="00972656"/>
    <w:rsid w:val="009729EE"/>
    <w:rsid w:val="00972A25"/>
    <w:rsid w:val="00972B35"/>
    <w:rsid w:val="00972CBF"/>
    <w:rsid w:val="00972FB2"/>
    <w:rsid w:val="00972FEB"/>
    <w:rsid w:val="0097316B"/>
    <w:rsid w:val="0097354A"/>
    <w:rsid w:val="009744CD"/>
    <w:rsid w:val="00974FAA"/>
    <w:rsid w:val="0097544D"/>
    <w:rsid w:val="009761F1"/>
    <w:rsid w:val="00977184"/>
    <w:rsid w:val="0097718F"/>
    <w:rsid w:val="00977321"/>
    <w:rsid w:val="00977886"/>
    <w:rsid w:val="00977D25"/>
    <w:rsid w:val="009802C9"/>
    <w:rsid w:val="009807C0"/>
    <w:rsid w:val="00980A24"/>
    <w:rsid w:val="00981027"/>
    <w:rsid w:val="00981034"/>
    <w:rsid w:val="0098155B"/>
    <w:rsid w:val="00981DA8"/>
    <w:rsid w:val="00982902"/>
    <w:rsid w:val="0098297B"/>
    <w:rsid w:val="00982B99"/>
    <w:rsid w:val="00982D67"/>
    <w:rsid w:val="00983436"/>
    <w:rsid w:val="009836DF"/>
    <w:rsid w:val="0098418D"/>
    <w:rsid w:val="009841B9"/>
    <w:rsid w:val="00984233"/>
    <w:rsid w:val="009842C3"/>
    <w:rsid w:val="00984330"/>
    <w:rsid w:val="00984B91"/>
    <w:rsid w:val="00985251"/>
    <w:rsid w:val="00985ABF"/>
    <w:rsid w:val="0098625E"/>
    <w:rsid w:val="00986AE2"/>
    <w:rsid w:val="00987755"/>
    <w:rsid w:val="0098792E"/>
    <w:rsid w:val="00987AF2"/>
    <w:rsid w:val="00990A96"/>
    <w:rsid w:val="00990FD0"/>
    <w:rsid w:val="0099100F"/>
    <w:rsid w:val="009915DB"/>
    <w:rsid w:val="00991685"/>
    <w:rsid w:val="00991879"/>
    <w:rsid w:val="0099273D"/>
    <w:rsid w:val="009927FA"/>
    <w:rsid w:val="00992BD9"/>
    <w:rsid w:val="00993085"/>
    <w:rsid w:val="00993713"/>
    <w:rsid w:val="0099409A"/>
    <w:rsid w:val="009946E1"/>
    <w:rsid w:val="009949C8"/>
    <w:rsid w:val="00994B87"/>
    <w:rsid w:val="00994ED1"/>
    <w:rsid w:val="00995446"/>
    <w:rsid w:val="009958D4"/>
    <w:rsid w:val="00995C2C"/>
    <w:rsid w:val="0099640E"/>
    <w:rsid w:val="009967F2"/>
    <w:rsid w:val="009971A3"/>
    <w:rsid w:val="00997790"/>
    <w:rsid w:val="00997796"/>
    <w:rsid w:val="009A03F8"/>
    <w:rsid w:val="009A0CC7"/>
    <w:rsid w:val="009A0E23"/>
    <w:rsid w:val="009A1456"/>
    <w:rsid w:val="009A19ED"/>
    <w:rsid w:val="009A20D9"/>
    <w:rsid w:val="009A2169"/>
    <w:rsid w:val="009A2FDA"/>
    <w:rsid w:val="009A3216"/>
    <w:rsid w:val="009A331E"/>
    <w:rsid w:val="009A39E0"/>
    <w:rsid w:val="009A3C9A"/>
    <w:rsid w:val="009A3CE5"/>
    <w:rsid w:val="009A42B0"/>
    <w:rsid w:val="009A4932"/>
    <w:rsid w:val="009A4B00"/>
    <w:rsid w:val="009A5306"/>
    <w:rsid w:val="009A53E9"/>
    <w:rsid w:val="009A5526"/>
    <w:rsid w:val="009A5C88"/>
    <w:rsid w:val="009A66D0"/>
    <w:rsid w:val="009A7AE1"/>
    <w:rsid w:val="009A7E69"/>
    <w:rsid w:val="009B01FC"/>
    <w:rsid w:val="009B026D"/>
    <w:rsid w:val="009B1041"/>
    <w:rsid w:val="009B10FA"/>
    <w:rsid w:val="009B168C"/>
    <w:rsid w:val="009B1BFE"/>
    <w:rsid w:val="009B4363"/>
    <w:rsid w:val="009B4F0D"/>
    <w:rsid w:val="009B5483"/>
    <w:rsid w:val="009B5AE2"/>
    <w:rsid w:val="009B5D4A"/>
    <w:rsid w:val="009B63A8"/>
    <w:rsid w:val="009B7367"/>
    <w:rsid w:val="009B7BE2"/>
    <w:rsid w:val="009C02E1"/>
    <w:rsid w:val="009C053A"/>
    <w:rsid w:val="009C06C1"/>
    <w:rsid w:val="009C0A8C"/>
    <w:rsid w:val="009C10C6"/>
    <w:rsid w:val="009C1DDF"/>
    <w:rsid w:val="009C24C3"/>
    <w:rsid w:val="009C2678"/>
    <w:rsid w:val="009C281D"/>
    <w:rsid w:val="009C2987"/>
    <w:rsid w:val="009C2DFC"/>
    <w:rsid w:val="009C320C"/>
    <w:rsid w:val="009C35B5"/>
    <w:rsid w:val="009C3724"/>
    <w:rsid w:val="009C3D31"/>
    <w:rsid w:val="009C58C3"/>
    <w:rsid w:val="009C5E4B"/>
    <w:rsid w:val="009C63D1"/>
    <w:rsid w:val="009C65E1"/>
    <w:rsid w:val="009C7108"/>
    <w:rsid w:val="009C72D7"/>
    <w:rsid w:val="009C7532"/>
    <w:rsid w:val="009C7AB6"/>
    <w:rsid w:val="009C7EFF"/>
    <w:rsid w:val="009D01A2"/>
    <w:rsid w:val="009D307E"/>
    <w:rsid w:val="009D3181"/>
    <w:rsid w:val="009D338B"/>
    <w:rsid w:val="009D3411"/>
    <w:rsid w:val="009D3E1E"/>
    <w:rsid w:val="009D3EB8"/>
    <w:rsid w:val="009D3F76"/>
    <w:rsid w:val="009D3FED"/>
    <w:rsid w:val="009D41F0"/>
    <w:rsid w:val="009D4858"/>
    <w:rsid w:val="009D48EC"/>
    <w:rsid w:val="009D4A9A"/>
    <w:rsid w:val="009D4E09"/>
    <w:rsid w:val="009D5440"/>
    <w:rsid w:val="009D56C2"/>
    <w:rsid w:val="009D5BDC"/>
    <w:rsid w:val="009D655F"/>
    <w:rsid w:val="009D6A5F"/>
    <w:rsid w:val="009D6D89"/>
    <w:rsid w:val="009D6E8F"/>
    <w:rsid w:val="009D7239"/>
    <w:rsid w:val="009D730E"/>
    <w:rsid w:val="009D765E"/>
    <w:rsid w:val="009D767D"/>
    <w:rsid w:val="009D76F4"/>
    <w:rsid w:val="009D7C76"/>
    <w:rsid w:val="009E0521"/>
    <w:rsid w:val="009E0AEC"/>
    <w:rsid w:val="009E0EA2"/>
    <w:rsid w:val="009E1BB1"/>
    <w:rsid w:val="009E1BC2"/>
    <w:rsid w:val="009E1BC4"/>
    <w:rsid w:val="009E1CAC"/>
    <w:rsid w:val="009E1F09"/>
    <w:rsid w:val="009E214D"/>
    <w:rsid w:val="009E28EC"/>
    <w:rsid w:val="009E2B3F"/>
    <w:rsid w:val="009E315A"/>
    <w:rsid w:val="009E3C5E"/>
    <w:rsid w:val="009E46C8"/>
    <w:rsid w:val="009E4841"/>
    <w:rsid w:val="009E5B37"/>
    <w:rsid w:val="009E5BC9"/>
    <w:rsid w:val="009E61B1"/>
    <w:rsid w:val="009E66D3"/>
    <w:rsid w:val="009E6DE9"/>
    <w:rsid w:val="009E750D"/>
    <w:rsid w:val="009E7795"/>
    <w:rsid w:val="009E78E7"/>
    <w:rsid w:val="009E7983"/>
    <w:rsid w:val="009F02E4"/>
    <w:rsid w:val="009F114B"/>
    <w:rsid w:val="009F1196"/>
    <w:rsid w:val="009F17DD"/>
    <w:rsid w:val="009F1CD4"/>
    <w:rsid w:val="009F1DBB"/>
    <w:rsid w:val="009F1E85"/>
    <w:rsid w:val="009F2E31"/>
    <w:rsid w:val="009F3F1F"/>
    <w:rsid w:val="009F4FB3"/>
    <w:rsid w:val="009F5B34"/>
    <w:rsid w:val="009F5E79"/>
    <w:rsid w:val="009F6693"/>
    <w:rsid w:val="009F698E"/>
    <w:rsid w:val="009F6DED"/>
    <w:rsid w:val="009F6E67"/>
    <w:rsid w:val="009F71D1"/>
    <w:rsid w:val="009F735A"/>
    <w:rsid w:val="009F79EB"/>
    <w:rsid w:val="009F7E9E"/>
    <w:rsid w:val="00A00730"/>
    <w:rsid w:val="00A0077D"/>
    <w:rsid w:val="00A00C19"/>
    <w:rsid w:val="00A00DD6"/>
    <w:rsid w:val="00A017BA"/>
    <w:rsid w:val="00A019FF"/>
    <w:rsid w:val="00A01EFD"/>
    <w:rsid w:val="00A02075"/>
    <w:rsid w:val="00A02374"/>
    <w:rsid w:val="00A026DF"/>
    <w:rsid w:val="00A02A38"/>
    <w:rsid w:val="00A02A97"/>
    <w:rsid w:val="00A03A5F"/>
    <w:rsid w:val="00A04100"/>
    <w:rsid w:val="00A051A7"/>
    <w:rsid w:val="00A0561A"/>
    <w:rsid w:val="00A0659D"/>
    <w:rsid w:val="00A066DE"/>
    <w:rsid w:val="00A06BB6"/>
    <w:rsid w:val="00A06CC4"/>
    <w:rsid w:val="00A070CF"/>
    <w:rsid w:val="00A073F5"/>
    <w:rsid w:val="00A07534"/>
    <w:rsid w:val="00A075C8"/>
    <w:rsid w:val="00A10746"/>
    <w:rsid w:val="00A10B65"/>
    <w:rsid w:val="00A10C12"/>
    <w:rsid w:val="00A12066"/>
    <w:rsid w:val="00A12B82"/>
    <w:rsid w:val="00A13181"/>
    <w:rsid w:val="00A141E5"/>
    <w:rsid w:val="00A145DA"/>
    <w:rsid w:val="00A1471C"/>
    <w:rsid w:val="00A15581"/>
    <w:rsid w:val="00A1593F"/>
    <w:rsid w:val="00A15B57"/>
    <w:rsid w:val="00A167A6"/>
    <w:rsid w:val="00A16A3B"/>
    <w:rsid w:val="00A16E34"/>
    <w:rsid w:val="00A17084"/>
    <w:rsid w:val="00A17211"/>
    <w:rsid w:val="00A17DEE"/>
    <w:rsid w:val="00A207FE"/>
    <w:rsid w:val="00A209C0"/>
    <w:rsid w:val="00A20B4B"/>
    <w:rsid w:val="00A214A4"/>
    <w:rsid w:val="00A21D5A"/>
    <w:rsid w:val="00A21F92"/>
    <w:rsid w:val="00A22B80"/>
    <w:rsid w:val="00A22DD9"/>
    <w:rsid w:val="00A2338F"/>
    <w:rsid w:val="00A23D8A"/>
    <w:rsid w:val="00A24460"/>
    <w:rsid w:val="00A24921"/>
    <w:rsid w:val="00A24DA3"/>
    <w:rsid w:val="00A2536F"/>
    <w:rsid w:val="00A263F4"/>
    <w:rsid w:val="00A26880"/>
    <w:rsid w:val="00A26AF6"/>
    <w:rsid w:val="00A26FCB"/>
    <w:rsid w:val="00A27792"/>
    <w:rsid w:val="00A30AF9"/>
    <w:rsid w:val="00A30CBC"/>
    <w:rsid w:val="00A30DB3"/>
    <w:rsid w:val="00A30FBD"/>
    <w:rsid w:val="00A30FC4"/>
    <w:rsid w:val="00A31445"/>
    <w:rsid w:val="00A31446"/>
    <w:rsid w:val="00A3196E"/>
    <w:rsid w:val="00A3254F"/>
    <w:rsid w:val="00A329B1"/>
    <w:rsid w:val="00A335F2"/>
    <w:rsid w:val="00A3374C"/>
    <w:rsid w:val="00A33C51"/>
    <w:rsid w:val="00A344A6"/>
    <w:rsid w:val="00A3488A"/>
    <w:rsid w:val="00A34F01"/>
    <w:rsid w:val="00A35B83"/>
    <w:rsid w:val="00A35FC2"/>
    <w:rsid w:val="00A36F90"/>
    <w:rsid w:val="00A37244"/>
    <w:rsid w:val="00A374D0"/>
    <w:rsid w:val="00A377BD"/>
    <w:rsid w:val="00A379C2"/>
    <w:rsid w:val="00A37C17"/>
    <w:rsid w:val="00A403E9"/>
    <w:rsid w:val="00A4054C"/>
    <w:rsid w:val="00A4063D"/>
    <w:rsid w:val="00A406DC"/>
    <w:rsid w:val="00A406E4"/>
    <w:rsid w:val="00A40A37"/>
    <w:rsid w:val="00A41119"/>
    <w:rsid w:val="00A420AC"/>
    <w:rsid w:val="00A42498"/>
    <w:rsid w:val="00A42809"/>
    <w:rsid w:val="00A42F70"/>
    <w:rsid w:val="00A4347E"/>
    <w:rsid w:val="00A4381E"/>
    <w:rsid w:val="00A4517D"/>
    <w:rsid w:val="00A46207"/>
    <w:rsid w:val="00A4630E"/>
    <w:rsid w:val="00A465AA"/>
    <w:rsid w:val="00A47D72"/>
    <w:rsid w:val="00A47DE3"/>
    <w:rsid w:val="00A50970"/>
    <w:rsid w:val="00A50ABA"/>
    <w:rsid w:val="00A51189"/>
    <w:rsid w:val="00A516BB"/>
    <w:rsid w:val="00A51BB8"/>
    <w:rsid w:val="00A5202C"/>
    <w:rsid w:val="00A5227A"/>
    <w:rsid w:val="00A52345"/>
    <w:rsid w:val="00A5303A"/>
    <w:rsid w:val="00A531F0"/>
    <w:rsid w:val="00A5461E"/>
    <w:rsid w:val="00A54F76"/>
    <w:rsid w:val="00A55A52"/>
    <w:rsid w:val="00A55AC7"/>
    <w:rsid w:val="00A55D42"/>
    <w:rsid w:val="00A55DE0"/>
    <w:rsid w:val="00A569AE"/>
    <w:rsid w:val="00A56CFD"/>
    <w:rsid w:val="00A57D42"/>
    <w:rsid w:val="00A6008F"/>
    <w:rsid w:val="00A60401"/>
    <w:rsid w:val="00A604CB"/>
    <w:rsid w:val="00A6057E"/>
    <w:rsid w:val="00A60A31"/>
    <w:rsid w:val="00A60BBB"/>
    <w:rsid w:val="00A60C83"/>
    <w:rsid w:val="00A61320"/>
    <w:rsid w:val="00A614CB"/>
    <w:rsid w:val="00A61F85"/>
    <w:rsid w:val="00A61FE2"/>
    <w:rsid w:val="00A631B9"/>
    <w:rsid w:val="00A63A99"/>
    <w:rsid w:val="00A652FB"/>
    <w:rsid w:val="00A657B9"/>
    <w:rsid w:val="00A65C17"/>
    <w:rsid w:val="00A65F1E"/>
    <w:rsid w:val="00A66003"/>
    <w:rsid w:val="00A66634"/>
    <w:rsid w:val="00A6689D"/>
    <w:rsid w:val="00A67643"/>
    <w:rsid w:val="00A67D31"/>
    <w:rsid w:val="00A67F49"/>
    <w:rsid w:val="00A7039B"/>
    <w:rsid w:val="00A707C0"/>
    <w:rsid w:val="00A7130C"/>
    <w:rsid w:val="00A71690"/>
    <w:rsid w:val="00A71B58"/>
    <w:rsid w:val="00A72A9A"/>
    <w:rsid w:val="00A73075"/>
    <w:rsid w:val="00A73947"/>
    <w:rsid w:val="00A739AD"/>
    <w:rsid w:val="00A74301"/>
    <w:rsid w:val="00A74E4C"/>
    <w:rsid w:val="00A757FE"/>
    <w:rsid w:val="00A75AF3"/>
    <w:rsid w:val="00A7678A"/>
    <w:rsid w:val="00A77021"/>
    <w:rsid w:val="00A777A2"/>
    <w:rsid w:val="00A77CAA"/>
    <w:rsid w:val="00A77F60"/>
    <w:rsid w:val="00A77F7E"/>
    <w:rsid w:val="00A77FCF"/>
    <w:rsid w:val="00A80637"/>
    <w:rsid w:val="00A80793"/>
    <w:rsid w:val="00A80964"/>
    <w:rsid w:val="00A80B68"/>
    <w:rsid w:val="00A8120A"/>
    <w:rsid w:val="00A81A53"/>
    <w:rsid w:val="00A81CA2"/>
    <w:rsid w:val="00A81DEB"/>
    <w:rsid w:val="00A830D3"/>
    <w:rsid w:val="00A83111"/>
    <w:rsid w:val="00A83AC3"/>
    <w:rsid w:val="00A83D2A"/>
    <w:rsid w:val="00A84047"/>
    <w:rsid w:val="00A842EB"/>
    <w:rsid w:val="00A84B0A"/>
    <w:rsid w:val="00A84D4B"/>
    <w:rsid w:val="00A84E00"/>
    <w:rsid w:val="00A84F8A"/>
    <w:rsid w:val="00A85479"/>
    <w:rsid w:val="00A855AA"/>
    <w:rsid w:val="00A85982"/>
    <w:rsid w:val="00A85CC9"/>
    <w:rsid w:val="00A86129"/>
    <w:rsid w:val="00A865E7"/>
    <w:rsid w:val="00A86B5A"/>
    <w:rsid w:val="00A86B94"/>
    <w:rsid w:val="00A87358"/>
    <w:rsid w:val="00A87381"/>
    <w:rsid w:val="00A8783A"/>
    <w:rsid w:val="00A87EF0"/>
    <w:rsid w:val="00A90123"/>
    <w:rsid w:val="00A91E8E"/>
    <w:rsid w:val="00A9277F"/>
    <w:rsid w:val="00A934C1"/>
    <w:rsid w:val="00A93630"/>
    <w:rsid w:val="00A936A5"/>
    <w:rsid w:val="00A938B0"/>
    <w:rsid w:val="00A94562"/>
    <w:rsid w:val="00A9489D"/>
    <w:rsid w:val="00A94B15"/>
    <w:rsid w:val="00A94BFE"/>
    <w:rsid w:val="00A94D37"/>
    <w:rsid w:val="00A95C33"/>
    <w:rsid w:val="00A95E4B"/>
    <w:rsid w:val="00A95E69"/>
    <w:rsid w:val="00A96580"/>
    <w:rsid w:val="00A96B22"/>
    <w:rsid w:val="00A972FF"/>
    <w:rsid w:val="00A97680"/>
    <w:rsid w:val="00AA1ECA"/>
    <w:rsid w:val="00AA22FC"/>
    <w:rsid w:val="00AA31E9"/>
    <w:rsid w:val="00AA34E6"/>
    <w:rsid w:val="00AA3F40"/>
    <w:rsid w:val="00AA4857"/>
    <w:rsid w:val="00AA4A16"/>
    <w:rsid w:val="00AA5743"/>
    <w:rsid w:val="00AA5A12"/>
    <w:rsid w:val="00AA5C2F"/>
    <w:rsid w:val="00AA69EB"/>
    <w:rsid w:val="00AB0142"/>
    <w:rsid w:val="00AB0683"/>
    <w:rsid w:val="00AB0A87"/>
    <w:rsid w:val="00AB1020"/>
    <w:rsid w:val="00AB179B"/>
    <w:rsid w:val="00AB17B5"/>
    <w:rsid w:val="00AB197C"/>
    <w:rsid w:val="00AB199E"/>
    <w:rsid w:val="00AB25EB"/>
    <w:rsid w:val="00AB27E6"/>
    <w:rsid w:val="00AB2AD4"/>
    <w:rsid w:val="00AB2DA9"/>
    <w:rsid w:val="00AB32A8"/>
    <w:rsid w:val="00AB355A"/>
    <w:rsid w:val="00AB35C6"/>
    <w:rsid w:val="00AB409E"/>
    <w:rsid w:val="00AB412E"/>
    <w:rsid w:val="00AB429F"/>
    <w:rsid w:val="00AB4396"/>
    <w:rsid w:val="00AB46D1"/>
    <w:rsid w:val="00AB5052"/>
    <w:rsid w:val="00AB5560"/>
    <w:rsid w:val="00AB55A1"/>
    <w:rsid w:val="00AB5795"/>
    <w:rsid w:val="00AB663D"/>
    <w:rsid w:val="00AB6686"/>
    <w:rsid w:val="00AB7691"/>
    <w:rsid w:val="00AB7BCA"/>
    <w:rsid w:val="00AB7D78"/>
    <w:rsid w:val="00AB7F67"/>
    <w:rsid w:val="00AC00B1"/>
    <w:rsid w:val="00AC0A73"/>
    <w:rsid w:val="00AC0B8E"/>
    <w:rsid w:val="00AC1040"/>
    <w:rsid w:val="00AC2237"/>
    <w:rsid w:val="00AC246C"/>
    <w:rsid w:val="00AC2F1A"/>
    <w:rsid w:val="00AC2FA6"/>
    <w:rsid w:val="00AC3CF0"/>
    <w:rsid w:val="00AC3F38"/>
    <w:rsid w:val="00AC4158"/>
    <w:rsid w:val="00AC506C"/>
    <w:rsid w:val="00AC5261"/>
    <w:rsid w:val="00AC58FC"/>
    <w:rsid w:val="00AC5F8B"/>
    <w:rsid w:val="00AC60DB"/>
    <w:rsid w:val="00AC641D"/>
    <w:rsid w:val="00AC760F"/>
    <w:rsid w:val="00AC7D76"/>
    <w:rsid w:val="00AD0D27"/>
    <w:rsid w:val="00AD1234"/>
    <w:rsid w:val="00AD1938"/>
    <w:rsid w:val="00AD1A29"/>
    <w:rsid w:val="00AD27FE"/>
    <w:rsid w:val="00AD3602"/>
    <w:rsid w:val="00AD36CD"/>
    <w:rsid w:val="00AD3B76"/>
    <w:rsid w:val="00AD4255"/>
    <w:rsid w:val="00AD45F1"/>
    <w:rsid w:val="00AD48BE"/>
    <w:rsid w:val="00AD55C3"/>
    <w:rsid w:val="00AD5E69"/>
    <w:rsid w:val="00AD6573"/>
    <w:rsid w:val="00AD6E5D"/>
    <w:rsid w:val="00AD6EEF"/>
    <w:rsid w:val="00AD7AA1"/>
    <w:rsid w:val="00AD7C2A"/>
    <w:rsid w:val="00AD7F92"/>
    <w:rsid w:val="00AE0072"/>
    <w:rsid w:val="00AE086A"/>
    <w:rsid w:val="00AE0CB2"/>
    <w:rsid w:val="00AE0D75"/>
    <w:rsid w:val="00AE0FE5"/>
    <w:rsid w:val="00AE16EC"/>
    <w:rsid w:val="00AE1923"/>
    <w:rsid w:val="00AE2C93"/>
    <w:rsid w:val="00AE2FF0"/>
    <w:rsid w:val="00AE4DB6"/>
    <w:rsid w:val="00AE53A7"/>
    <w:rsid w:val="00AE550A"/>
    <w:rsid w:val="00AE5543"/>
    <w:rsid w:val="00AE56EA"/>
    <w:rsid w:val="00AE5716"/>
    <w:rsid w:val="00AE6FD8"/>
    <w:rsid w:val="00AE7802"/>
    <w:rsid w:val="00AE797A"/>
    <w:rsid w:val="00AE7B86"/>
    <w:rsid w:val="00AF05F6"/>
    <w:rsid w:val="00AF0EAA"/>
    <w:rsid w:val="00AF1268"/>
    <w:rsid w:val="00AF1D1F"/>
    <w:rsid w:val="00AF1F82"/>
    <w:rsid w:val="00AF2305"/>
    <w:rsid w:val="00AF23EC"/>
    <w:rsid w:val="00AF24AE"/>
    <w:rsid w:val="00AF272A"/>
    <w:rsid w:val="00AF2A93"/>
    <w:rsid w:val="00AF34E5"/>
    <w:rsid w:val="00AF395C"/>
    <w:rsid w:val="00AF41E7"/>
    <w:rsid w:val="00AF46AA"/>
    <w:rsid w:val="00AF4869"/>
    <w:rsid w:val="00AF5ADB"/>
    <w:rsid w:val="00AF5D98"/>
    <w:rsid w:val="00AF6016"/>
    <w:rsid w:val="00AF6323"/>
    <w:rsid w:val="00AF632A"/>
    <w:rsid w:val="00AF68B9"/>
    <w:rsid w:val="00AF6F65"/>
    <w:rsid w:val="00AF7307"/>
    <w:rsid w:val="00AF75A5"/>
    <w:rsid w:val="00AF75C1"/>
    <w:rsid w:val="00B001F3"/>
    <w:rsid w:val="00B00308"/>
    <w:rsid w:val="00B0047F"/>
    <w:rsid w:val="00B009E5"/>
    <w:rsid w:val="00B00B6B"/>
    <w:rsid w:val="00B01D16"/>
    <w:rsid w:val="00B01FD4"/>
    <w:rsid w:val="00B02BA3"/>
    <w:rsid w:val="00B03060"/>
    <w:rsid w:val="00B03A57"/>
    <w:rsid w:val="00B03C36"/>
    <w:rsid w:val="00B044A9"/>
    <w:rsid w:val="00B044C6"/>
    <w:rsid w:val="00B04889"/>
    <w:rsid w:val="00B04E7C"/>
    <w:rsid w:val="00B05898"/>
    <w:rsid w:val="00B05AA1"/>
    <w:rsid w:val="00B05AE6"/>
    <w:rsid w:val="00B06253"/>
    <w:rsid w:val="00B07270"/>
    <w:rsid w:val="00B07FF5"/>
    <w:rsid w:val="00B10487"/>
    <w:rsid w:val="00B10703"/>
    <w:rsid w:val="00B11020"/>
    <w:rsid w:val="00B11AFA"/>
    <w:rsid w:val="00B11FF2"/>
    <w:rsid w:val="00B1258C"/>
    <w:rsid w:val="00B12D1D"/>
    <w:rsid w:val="00B144C1"/>
    <w:rsid w:val="00B147B1"/>
    <w:rsid w:val="00B14BF2"/>
    <w:rsid w:val="00B14CE8"/>
    <w:rsid w:val="00B154A9"/>
    <w:rsid w:val="00B1561B"/>
    <w:rsid w:val="00B15DAD"/>
    <w:rsid w:val="00B16A0F"/>
    <w:rsid w:val="00B16F47"/>
    <w:rsid w:val="00B17042"/>
    <w:rsid w:val="00B172FD"/>
    <w:rsid w:val="00B17903"/>
    <w:rsid w:val="00B2000B"/>
    <w:rsid w:val="00B201CE"/>
    <w:rsid w:val="00B207BA"/>
    <w:rsid w:val="00B21164"/>
    <w:rsid w:val="00B2187A"/>
    <w:rsid w:val="00B2194D"/>
    <w:rsid w:val="00B2222C"/>
    <w:rsid w:val="00B2289C"/>
    <w:rsid w:val="00B238B6"/>
    <w:rsid w:val="00B23EBD"/>
    <w:rsid w:val="00B24015"/>
    <w:rsid w:val="00B2413A"/>
    <w:rsid w:val="00B24391"/>
    <w:rsid w:val="00B24E16"/>
    <w:rsid w:val="00B25118"/>
    <w:rsid w:val="00B259F9"/>
    <w:rsid w:val="00B26092"/>
    <w:rsid w:val="00B2615C"/>
    <w:rsid w:val="00B26221"/>
    <w:rsid w:val="00B263BB"/>
    <w:rsid w:val="00B27262"/>
    <w:rsid w:val="00B277A0"/>
    <w:rsid w:val="00B27A34"/>
    <w:rsid w:val="00B30310"/>
    <w:rsid w:val="00B30800"/>
    <w:rsid w:val="00B3118D"/>
    <w:rsid w:val="00B31B15"/>
    <w:rsid w:val="00B31E59"/>
    <w:rsid w:val="00B32C0D"/>
    <w:rsid w:val="00B33C5D"/>
    <w:rsid w:val="00B33D8C"/>
    <w:rsid w:val="00B345F3"/>
    <w:rsid w:val="00B34791"/>
    <w:rsid w:val="00B34CB7"/>
    <w:rsid w:val="00B34D7B"/>
    <w:rsid w:val="00B34DC3"/>
    <w:rsid w:val="00B34F63"/>
    <w:rsid w:val="00B35670"/>
    <w:rsid w:val="00B35BE3"/>
    <w:rsid w:val="00B3744A"/>
    <w:rsid w:val="00B37A29"/>
    <w:rsid w:val="00B37FBA"/>
    <w:rsid w:val="00B4012B"/>
    <w:rsid w:val="00B4057A"/>
    <w:rsid w:val="00B40D43"/>
    <w:rsid w:val="00B40EDB"/>
    <w:rsid w:val="00B416F9"/>
    <w:rsid w:val="00B4254F"/>
    <w:rsid w:val="00B42D39"/>
    <w:rsid w:val="00B43126"/>
    <w:rsid w:val="00B441C5"/>
    <w:rsid w:val="00B447CB"/>
    <w:rsid w:val="00B456D5"/>
    <w:rsid w:val="00B457F6"/>
    <w:rsid w:val="00B45A49"/>
    <w:rsid w:val="00B45BB2"/>
    <w:rsid w:val="00B45BB3"/>
    <w:rsid w:val="00B45D6B"/>
    <w:rsid w:val="00B46412"/>
    <w:rsid w:val="00B46D74"/>
    <w:rsid w:val="00B47563"/>
    <w:rsid w:val="00B5060F"/>
    <w:rsid w:val="00B50813"/>
    <w:rsid w:val="00B50852"/>
    <w:rsid w:val="00B5146C"/>
    <w:rsid w:val="00B514EC"/>
    <w:rsid w:val="00B51A9C"/>
    <w:rsid w:val="00B5215E"/>
    <w:rsid w:val="00B524A1"/>
    <w:rsid w:val="00B5275C"/>
    <w:rsid w:val="00B52D12"/>
    <w:rsid w:val="00B52D2F"/>
    <w:rsid w:val="00B52E89"/>
    <w:rsid w:val="00B53015"/>
    <w:rsid w:val="00B539F0"/>
    <w:rsid w:val="00B53A21"/>
    <w:rsid w:val="00B53B49"/>
    <w:rsid w:val="00B53C8A"/>
    <w:rsid w:val="00B53CD8"/>
    <w:rsid w:val="00B53D3C"/>
    <w:rsid w:val="00B548FA"/>
    <w:rsid w:val="00B54A0A"/>
    <w:rsid w:val="00B55700"/>
    <w:rsid w:val="00B55A61"/>
    <w:rsid w:val="00B56A5D"/>
    <w:rsid w:val="00B56FF3"/>
    <w:rsid w:val="00B57700"/>
    <w:rsid w:val="00B57AFD"/>
    <w:rsid w:val="00B57E3A"/>
    <w:rsid w:val="00B57EA9"/>
    <w:rsid w:val="00B607AB"/>
    <w:rsid w:val="00B60DE6"/>
    <w:rsid w:val="00B61384"/>
    <w:rsid w:val="00B620DC"/>
    <w:rsid w:val="00B627B2"/>
    <w:rsid w:val="00B62C45"/>
    <w:rsid w:val="00B636CE"/>
    <w:rsid w:val="00B639E2"/>
    <w:rsid w:val="00B641F8"/>
    <w:rsid w:val="00B64399"/>
    <w:rsid w:val="00B64425"/>
    <w:rsid w:val="00B64B02"/>
    <w:rsid w:val="00B6523B"/>
    <w:rsid w:val="00B66071"/>
    <w:rsid w:val="00B66C5B"/>
    <w:rsid w:val="00B66DBD"/>
    <w:rsid w:val="00B675EB"/>
    <w:rsid w:val="00B70273"/>
    <w:rsid w:val="00B70F82"/>
    <w:rsid w:val="00B70FC9"/>
    <w:rsid w:val="00B71C15"/>
    <w:rsid w:val="00B71CF3"/>
    <w:rsid w:val="00B721DD"/>
    <w:rsid w:val="00B7228A"/>
    <w:rsid w:val="00B72EBE"/>
    <w:rsid w:val="00B73065"/>
    <w:rsid w:val="00B732CA"/>
    <w:rsid w:val="00B734D2"/>
    <w:rsid w:val="00B736C3"/>
    <w:rsid w:val="00B73BCE"/>
    <w:rsid w:val="00B75CDF"/>
    <w:rsid w:val="00B7662E"/>
    <w:rsid w:val="00B768BE"/>
    <w:rsid w:val="00B76F5B"/>
    <w:rsid w:val="00B773F8"/>
    <w:rsid w:val="00B77F08"/>
    <w:rsid w:val="00B802C9"/>
    <w:rsid w:val="00B80D1C"/>
    <w:rsid w:val="00B813C5"/>
    <w:rsid w:val="00B82086"/>
    <w:rsid w:val="00B82926"/>
    <w:rsid w:val="00B82A20"/>
    <w:rsid w:val="00B82B55"/>
    <w:rsid w:val="00B831D3"/>
    <w:rsid w:val="00B84673"/>
    <w:rsid w:val="00B84BEF"/>
    <w:rsid w:val="00B85272"/>
    <w:rsid w:val="00B8591B"/>
    <w:rsid w:val="00B864E1"/>
    <w:rsid w:val="00B86834"/>
    <w:rsid w:val="00B87162"/>
    <w:rsid w:val="00B87E18"/>
    <w:rsid w:val="00B903B5"/>
    <w:rsid w:val="00B90F02"/>
    <w:rsid w:val="00B90FB9"/>
    <w:rsid w:val="00B91004"/>
    <w:rsid w:val="00B91263"/>
    <w:rsid w:val="00B918A0"/>
    <w:rsid w:val="00B91BE9"/>
    <w:rsid w:val="00B91C00"/>
    <w:rsid w:val="00B927E5"/>
    <w:rsid w:val="00B92BD5"/>
    <w:rsid w:val="00B93AFB"/>
    <w:rsid w:val="00B93F90"/>
    <w:rsid w:val="00B94A1D"/>
    <w:rsid w:val="00B951B9"/>
    <w:rsid w:val="00B9569D"/>
    <w:rsid w:val="00B9599E"/>
    <w:rsid w:val="00B95F34"/>
    <w:rsid w:val="00B96590"/>
    <w:rsid w:val="00B96D01"/>
    <w:rsid w:val="00B97322"/>
    <w:rsid w:val="00B975F3"/>
    <w:rsid w:val="00B976D6"/>
    <w:rsid w:val="00B977ED"/>
    <w:rsid w:val="00B97998"/>
    <w:rsid w:val="00B97E17"/>
    <w:rsid w:val="00B97F64"/>
    <w:rsid w:val="00BA060E"/>
    <w:rsid w:val="00BA12D8"/>
    <w:rsid w:val="00BA181B"/>
    <w:rsid w:val="00BA1A87"/>
    <w:rsid w:val="00BA1DC9"/>
    <w:rsid w:val="00BA1E11"/>
    <w:rsid w:val="00BA1F23"/>
    <w:rsid w:val="00BA1F93"/>
    <w:rsid w:val="00BA2AA6"/>
    <w:rsid w:val="00BA2D68"/>
    <w:rsid w:val="00BA3CC3"/>
    <w:rsid w:val="00BA3DAA"/>
    <w:rsid w:val="00BA3E2F"/>
    <w:rsid w:val="00BA4B37"/>
    <w:rsid w:val="00BA5019"/>
    <w:rsid w:val="00BA5B0E"/>
    <w:rsid w:val="00BA7521"/>
    <w:rsid w:val="00BA7AAC"/>
    <w:rsid w:val="00BA7D74"/>
    <w:rsid w:val="00BA7F21"/>
    <w:rsid w:val="00BB0A99"/>
    <w:rsid w:val="00BB1127"/>
    <w:rsid w:val="00BB1CB3"/>
    <w:rsid w:val="00BB206D"/>
    <w:rsid w:val="00BB231C"/>
    <w:rsid w:val="00BB2388"/>
    <w:rsid w:val="00BB3205"/>
    <w:rsid w:val="00BB343F"/>
    <w:rsid w:val="00BB3B42"/>
    <w:rsid w:val="00BB3FB3"/>
    <w:rsid w:val="00BB43F8"/>
    <w:rsid w:val="00BB4604"/>
    <w:rsid w:val="00BB4720"/>
    <w:rsid w:val="00BB4B8C"/>
    <w:rsid w:val="00BB546A"/>
    <w:rsid w:val="00BB69A5"/>
    <w:rsid w:val="00BB78E3"/>
    <w:rsid w:val="00BB78F5"/>
    <w:rsid w:val="00BB7D48"/>
    <w:rsid w:val="00BB7E88"/>
    <w:rsid w:val="00BC008A"/>
    <w:rsid w:val="00BC05C5"/>
    <w:rsid w:val="00BC0EFB"/>
    <w:rsid w:val="00BC0FDE"/>
    <w:rsid w:val="00BC14E8"/>
    <w:rsid w:val="00BC1CF5"/>
    <w:rsid w:val="00BC1D18"/>
    <w:rsid w:val="00BC1F99"/>
    <w:rsid w:val="00BC1FEB"/>
    <w:rsid w:val="00BC21EE"/>
    <w:rsid w:val="00BC24E7"/>
    <w:rsid w:val="00BC2BB4"/>
    <w:rsid w:val="00BC336A"/>
    <w:rsid w:val="00BC46F2"/>
    <w:rsid w:val="00BC531E"/>
    <w:rsid w:val="00BC5EF2"/>
    <w:rsid w:val="00BC65D8"/>
    <w:rsid w:val="00BC7463"/>
    <w:rsid w:val="00BC7AD9"/>
    <w:rsid w:val="00BD0169"/>
    <w:rsid w:val="00BD04B9"/>
    <w:rsid w:val="00BD0911"/>
    <w:rsid w:val="00BD0E48"/>
    <w:rsid w:val="00BD11DF"/>
    <w:rsid w:val="00BD1415"/>
    <w:rsid w:val="00BD1582"/>
    <w:rsid w:val="00BD2228"/>
    <w:rsid w:val="00BD2A78"/>
    <w:rsid w:val="00BD3135"/>
    <w:rsid w:val="00BD316B"/>
    <w:rsid w:val="00BD3560"/>
    <w:rsid w:val="00BD38D1"/>
    <w:rsid w:val="00BD39CA"/>
    <w:rsid w:val="00BD4653"/>
    <w:rsid w:val="00BD560B"/>
    <w:rsid w:val="00BD5818"/>
    <w:rsid w:val="00BD5F4F"/>
    <w:rsid w:val="00BD6475"/>
    <w:rsid w:val="00BD6602"/>
    <w:rsid w:val="00BD7A4E"/>
    <w:rsid w:val="00BD7AC4"/>
    <w:rsid w:val="00BD7CC8"/>
    <w:rsid w:val="00BD7DE5"/>
    <w:rsid w:val="00BE0A97"/>
    <w:rsid w:val="00BE110F"/>
    <w:rsid w:val="00BE169D"/>
    <w:rsid w:val="00BE2259"/>
    <w:rsid w:val="00BE2499"/>
    <w:rsid w:val="00BE26CB"/>
    <w:rsid w:val="00BE2FDC"/>
    <w:rsid w:val="00BE3E3E"/>
    <w:rsid w:val="00BE48AF"/>
    <w:rsid w:val="00BE4F4F"/>
    <w:rsid w:val="00BE5C95"/>
    <w:rsid w:val="00BE6721"/>
    <w:rsid w:val="00BE6B27"/>
    <w:rsid w:val="00BE6E12"/>
    <w:rsid w:val="00BF0271"/>
    <w:rsid w:val="00BF054C"/>
    <w:rsid w:val="00BF05D5"/>
    <w:rsid w:val="00BF06DD"/>
    <w:rsid w:val="00BF123F"/>
    <w:rsid w:val="00BF12C4"/>
    <w:rsid w:val="00BF19E3"/>
    <w:rsid w:val="00BF1A68"/>
    <w:rsid w:val="00BF2C0E"/>
    <w:rsid w:val="00BF33E5"/>
    <w:rsid w:val="00BF37AF"/>
    <w:rsid w:val="00BF3A96"/>
    <w:rsid w:val="00BF3BEA"/>
    <w:rsid w:val="00BF3EFF"/>
    <w:rsid w:val="00BF400A"/>
    <w:rsid w:val="00BF4705"/>
    <w:rsid w:val="00BF4BF6"/>
    <w:rsid w:val="00BF4EBA"/>
    <w:rsid w:val="00BF53F5"/>
    <w:rsid w:val="00BF5570"/>
    <w:rsid w:val="00BF581F"/>
    <w:rsid w:val="00BF590E"/>
    <w:rsid w:val="00BF5B1C"/>
    <w:rsid w:val="00BF5E81"/>
    <w:rsid w:val="00BF607E"/>
    <w:rsid w:val="00BF63EE"/>
    <w:rsid w:val="00BF65CA"/>
    <w:rsid w:val="00BF6E94"/>
    <w:rsid w:val="00BF75F3"/>
    <w:rsid w:val="00C0090F"/>
    <w:rsid w:val="00C00E90"/>
    <w:rsid w:val="00C01123"/>
    <w:rsid w:val="00C014B8"/>
    <w:rsid w:val="00C01790"/>
    <w:rsid w:val="00C01AC6"/>
    <w:rsid w:val="00C03057"/>
    <w:rsid w:val="00C032FF"/>
    <w:rsid w:val="00C034B5"/>
    <w:rsid w:val="00C03554"/>
    <w:rsid w:val="00C03733"/>
    <w:rsid w:val="00C03A44"/>
    <w:rsid w:val="00C03EB8"/>
    <w:rsid w:val="00C04011"/>
    <w:rsid w:val="00C042E0"/>
    <w:rsid w:val="00C046AE"/>
    <w:rsid w:val="00C04AB8"/>
    <w:rsid w:val="00C04F81"/>
    <w:rsid w:val="00C05D28"/>
    <w:rsid w:val="00C05F72"/>
    <w:rsid w:val="00C06803"/>
    <w:rsid w:val="00C0697B"/>
    <w:rsid w:val="00C07280"/>
    <w:rsid w:val="00C07888"/>
    <w:rsid w:val="00C10803"/>
    <w:rsid w:val="00C10C8D"/>
    <w:rsid w:val="00C1110D"/>
    <w:rsid w:val="00C11991"/>
    <w:rsid w:val="00C11A50"/>
    <w:rsid w:val="00C12029"/>
    <w:rsid w:val="00C121E2"/>
    <w:rsid w:val="00C127B1"/>
    <w:rsid w:val="00C127B9"/>
    <w:rsid w:val="00C12955"/>
    <w:rsid w:val="00C134B7"/>
    <w:rsid w:val="00C145D5"/>
    <w:rsid w:val="00C1461D"/>
    <w:rsid w:val="00C146D3"/>
    <w:rsid w:val="00C15343"/>
    <w:rsid w:val="00C15E87"/>
    <w:rsid w:val="00C15EB8"/>
    <w:rsid w:val="00C16311"/>
    <w:rsid w:val="00C16398"/>
    <w:rsid w:val="00C16696"/>
    <w:rsid w:val="00C16AC9"/>
    <w:rsid w:val="00C175D0"/>
    <w:rsid w:val="00C17D41"/>
    <w:rsid w:val="00C202DF"/>
    <w:rsid w:val="00C2075A"/>
    <w:rsid w:val="00C2096B"/>
    <w:rsid w:val="00C20E5D"/>
    <w:rsid w:val="00C20E82"/>
    <w:rsid w:val="00C21A8D"/>
    <w:rsid w:val="00C21C17"/>
    <w:rsid w:val="00C21E2C"/>
    <w:rsid w:val="00C21FDE"/>
    <w:rsid w:val="00C22460"/>
    <w:rsid w:val="00C226F9"/>
    <w:rsid w:val="00C22D8B"/>
    <w:rsid w:val="00C22E3D"/>
    <w:rsid w:val="00C238C9"/>
    <w:rsid w:val="00C23C3E"/>
    <w:rsid w:val="00C24DB0"/>
    <w:rsid w:val="00C25610"/>
    <w:rsid w:val="00C263DA"/>
    <w:rsid w:val="00C26B1C"/>
    <w:rsid w:val="00C26C3F"/>
    <w:rsid w:val="00C26CDF"/>
    <w:rsid w:val="00C274AA"/>
    <w:rsid w:val="00C279F3"/>
    <w:rsid w:val="00C27D4D"/>
    <w:rsid w:val="00C301B8"/>
    <w:rsid w:val="00C30666"/>
    <w:rsid w:val="00C3130B"/>
    <w:rsid w:val="00C32965"/>
    <w:rsid w:val="00C32B72"/>
    <w:rsid w:val="00C32CB1"/>
    <w:rsid w:val="00C335A9"/>
    <w:rsid w:val="00C33812"/>
    <w:rsid w:val="00C3422C"/>
    <w:rsid w:val="00C3426D"/>
    <w:rsid w:val="00C343DB"/>
    <w:rsid w:val="00C34899"/>
    <w:rsid w:val="00C3489B"/>
    <w:rsid w:val="00C34E3A"/>
    <w:rsid w:val="00C357CA"/>
    <w:rsid w:val="00C36421"/>
    <w:rsid w:val="00C366DF"/>
    <w:rsid w:val="00C36826"/>
    <w:rsid w:val="00C3698A"/>
    <w:rsid w:val="00C36BF0"/>
    <w:rsid w:val="00C36D90"/>
    <w:rsid w:val="00C37982"/>
    <w:rsid w:val="00C37A13"/>
    <w:rsid w:val="00C37C54"/>
    <w:rsid w:val="00C37D13"/>
    <w:rsid w:val="00C37D2A"/>
    <w:rsid w:val="00C40A35"/>
    <w:rsid w:val="00C40FF3"/>
    <w:rsid w:val="00C41EB1"/>
    <w:rsid w:val="00C429DC"/>
    <w:rsid w:val="00C42D4C"/>
    <w:rsid w:val="00C43348"/>
    <w:rsid w:val="00C435D2"/>
    <w:rsid w:val="00C437AD"/>
    <w:rsid w:val="00C44ADA"/>
    <w:rsid w:val="00C46060"/>
    <w:rsid w:val="00C4612D"/>
    <w:rsid w:val="00C47748"/>
    <w:rsid w:val="00C47B1B"/>
    <w:rsid w:val="00C47F55"/>
    <w:rsid w:val="00C47FE2"/>
    <w:rsid w:val="00C50193"/>
    <w:rsid w:val="00C50711"/>
    <w:rsid w:val="00C50B19"/>
    <w:rsid w:val="00C50EEA"/>
    <w:rsid w:val="00C51D02"/>
    <w:rsid w:val="00C51EE4"/>
    <w:rsid w:val="00C51FEF"/>
    <w:rsid w:val="00C523C6"/>
    <w:rsid w:val="00C52480"/>
    <w:rsid w:val="00C525BA"/>
    <w:rsid w:val="00C53065"/>
    <w:rsid w:val="00C53482"/>
    <w:rsid w:val="00C53C2A"/>
    <w:rsid w:val="00C53D62"/>
    <w:rsid w:val="00C54204"/>
    <w:rsid w:val="00C54AF5"/>
    <w:rsid w:val="00C555F7"/>
    <w:rsid w:val="00C55EF8"/>
    <w:rsid w:val="00C56446"/>
    <w:rsid w:val="00C565DA"/>
    <w:rsid w:val="00C57812"/>
    <w:rsid w:val="00C5797C"/>
    <w:rsid w:val="00C605B6"/>
    <w:rsid w:val="00C60863"/>
    <w:rsid w:val="00C611C5"/>
    <w:rsid w:val="00C625E4"/>
    <w:rsid w:val="00C6285D"/>
    <w:rsid w:val="00C639E3"/>
    <w:rsid w:val="00C6401C"/>
    <w:rsid w:val="00C640E3"/>
    <w:rsid w:val="00C64988"/>
    <w:rsid w:val="00C64B02"/>
    <w:rsid w:val="00C65BEA"/>
    <w:rsid w:val="00C66083"/>
    <w:rsid w:val="00C700D6"/>
    <w:rsid w:val="00C70563"/>
    <w:rsid w:val="00C70C48"/>
    <w:rsid w:val="00C70F8C"/>
    <w:rsid w:val="00C71292"/>
    <w:rsid w:val="00C71484"/>
    <w:rsid w:val="00C715A6"/>
    <w:rsid w:val="00C71632"/>
    <w:rsid w:val="00C716CA"/>
    <w:rsid w:val="00C7176A"/>
    <w:rsid w:val="00C7195A"/>
    <w:rsid w:val="00C71C88"/>
    <w:rsid w:val="00C72305"/>
    <w:rsid w:val="00C72DB0"/>
    <w:rsid w:val="00C73077"/>
    <w:rsid w:val="00C735A7"/>
    <w:rsid w:val="00C736B4"/>
    <w:rsid w:val="00C73965"/>
    <w:rsid w:val="00C745CD"/>
    <w:rsid w:val="00C749B5"/>
    <w:rsid w:val="00C75E6D"/>
    <w:rsid w:val="00C761F0"/>
    <w:rsid w:val="00C7679C"/>
    <w:rsid w:val="00C76AFD"/>
    <w:rsid w:val="00C76E5A"/>
    <w:rsid w:val="00C76FAC"/>
    <w:rsid w:val="00C77119"/>
    <w:rsid w:val="00C77280"/>
    <w:rsid w:val="00C77788"/>
    <w:rsid w:val="00C77AC4"/>
    <w:rsid w:val="00C80D96"/>
    <w:rsid w:val="00C8119F"/>
    <w:rsid w:val="00C818D8"/>
    <w:rsid w:val="00C822C2"/>
    <w:rsid w:val="00C82983"/>
    <w:rsid w:val="00C82F77"/>
    <w:rsid w:val="00C83386"/>
    <w:rsid w:val="00C8353A"/>
    <w:rsid w:val="00C8354F"/>
    <w:rsid w:val="00C8393C"/>
    <w:rsid w:val="00C839D7"/>
    <w:rsid w:val="00C8490B"/>
    <w:rsid w:val="00C84ED9"/>
    <w:rsid w:val="00C8566F"/>
    <w:rsid w:val="00C859AE"/>
    <w:rsid w:val="00C859B0"/>
    <w:rsid w:val="00C85EBA"/>
    <w:rsid w:val="00C86911"/>
    <w:rsid w:val="00C872A8"/>
    <w:rsid w:val="00C872F2"/>
    <w:rsid w:val="00C87370"/>
    <w:rsid w:val="00C87C43"/>
    <w:rsid w:val="00C9015A"/>
    <w:rsid w:val="00C9032F"/>
    <w:rsid w:val="00C90574"/>
    <w:rsid w:val="00C90A26"/>
    <w:rsid w:val="00C90CB5"/>
    <w:rsid w:val="00C92133"/>
    <w:rsid w:val="00C922F7"/>
    <w:rsid w:val="00C924ED"/>
    <w:rsid w:val="00C92EAC"/>
    <w:rsid w:val="00C92EC6"/>
    <w:rsid w:val="00C93231"/>
    <w:rsid w:val="00C935EC"/>
    <w:rsid w:val="00C939DD"/>
    <w:rsid w:val="00C93AD2"/>
    <w:rsid w:val="00C93B0E"/>
    <w:rsid w:val="00C9429A"/>
    <w:rsid w:val="00C946C9"/>
    <w:rsid w:val="00C94B54"/>
    <w:rsid w:val="00C95DAC"/>
    <w:rsid w:val="00C96498"/>
    <w:rsid w:val="00C96777"/>
    <w:rsid w:val="00C979D0"/>
    <w:rsid w:val="00C97E99"/>
    <w:rsid w:val="00C97EF1"/>
    <w:rsid w:val="00C97F75"/>
    <w:rsid w:val="00C97FF1"/>
    <w:rsid w:val="00CA13AD"/>
    <w:rsid w:val="00CA1629"/>
    <w:rsid w:val="00CA2836"/>
    <w:rsid w:val="00CA2A45"/>
    <w:rsid w:val="00CA2EC3"/>
    <w:rsid w:val="00CA3646"/>
    <w:rsid w:val="00CA410E"/>
    <w:rsid w:val="00CA447E"/>
    <w:rsid w:val="00CA49D6"/>
    <w:rsid w:val="00CA52F3"/>
    <w:rsid w:val="00CA5EA3"/>
    <w:rsid w:val="00CA5FE8"/>
    <w:rsid w:val="00CA61CD"/>
    <w:rsid w:val="00CA61FA"/>
    <w:rsid w:val="00CA64CC"/>
    <w:rsid w:val="00CA6BC6"/>
    <w:rsid w:val="00CA7CBB"/>
    <w:rsid w:val="00CB0CDF"/>
    <w:rsid w:val="00CB0FE7"/>
    <w:rsid w:val="00CB1DDE"/>
    <w:rsid w:val="00CB1FF1"/>
    <w:rsid w:val="00CB27FD"/>
    <w:rsid w:val="00CB28E6"/>
    <w:rsid w:val="00CB2C7C"/>
    <w:rsid w:val="00CB3DA3"/>
    <w:rsid w:val="00CB4BFE"/>
    <w:rsid w:val="00CB4C38"/>
    <w:rsid w:val="00CB518A"/>
    <w:rsid w:val="00CB528D"/>
    <w:rsid w:val="00CB5A6E"/>
    <w:rsid w:val="00CB5C43"/>
    <w:rsid w:val="00CB618E"/>
    <w:rsid w:val="00CB635C"/>
    <w:rsid w:val="00CB722C"/>
    <w:rsid w:val="00CB727B"/>
    <w:rsid w:val="00CB7321"/>
    <w:rsid w:val="00CB7E0A"/>
    <w:rsid w:val="00CC00CD"/>
    <w:rsid w:val="00CC028D"/>
    <w:rsid w:val="00CC1806"/>
    <w:rsid w:val="00CC194F"/>
    <w:rsid w:val="00CC2394"/>
    <w:rsid w:val="00CC3027"/>
    <w:rsid w:val="00CC3B49"/>
    <w:rsid w:val="00CC421B"/>
    <w:rsid w:val="00CC4364"/>
    <w:rsid w:val="00CC4AD8"/>
    <w:rsid w:val="00CC5433"/>
    <w:rsid w:val="00CC57BE"/>
    <w:rsid w:val="00CC59A2"/>
    <w:rsid w:val="00CC66F1"/>
    <w:rsid w:val="00CC6BF6"/>
    <w:rsid w:val="00CC7307"/>
    <w:rsid w:val="00CC7C61"/>
    <w:rsid w:val="00CC7E2D"/>
    <w:rsid w:val="00CD0395"/>
    <w:rsid w:val="00CD0B38"/>
    <w:rsid w:val="00CD0D01"/>
    <w:rsid w:val="00CD1BC6"/>
    <w:rsid w:val="00CD2325"/>
    <w:rsid w:val="00CD27EE"/>
    <w:rsid w:val="00CD3085"/>
    <w:rsid w:val="00CD356E"/>
    <w:rsid w:val="00CD45F0"/>
    <w:rsid w:val="00CD5800"/>
    <w:rsid w:val="00CD59F9"/>
    <w:rsid w:val="00CD5C2B"/>
    <w:rsid w:val="00CD7C14"/>
    <w:rsid w:val="00CE04BF"/>
    <w:rsid w:val="00CE10BD"/>
    <w:rsid w:val="00CE1B2C"/>
    <w:rsid w:val="00CE1EB9"/>
    <w:rsid w:val="00CE1F17"/>
    <w:rsid w:val="00CE2360"/>
    <w:rsid w:val="00CE2A9E"/>
    <w:rsid w:val="00CE3172"/>
    <w:rsid w:val="00CE31CE"/>
    <w:rsid w:val="00CE3268"/>
    <w:rsid w:val="00CE3295"/>
    <w:rsid w:val="00CE34ED"/>
    <w:rsid w:val="00CE3B7B"/>
    <w:rsid w:val="00CE405A"/>
    <w:rsid w:val="00CE4300"/>
    <w:rsid w:val="00CE4474"/>
    <w:rsid w:val="00CE561C"/>
    <w:rsid w:val="00CE57C6"/>
    <w:rsid w:val="00CE6B44"/>
    <w:rsid w:val="00CE7596"/>
    <w:rsid w:val="00CE7718"/>
    <w:rsid w:val="00CE79E1"/>
    <w:rsid w:val="00CE7E47"/>
    <w:rsid w:val="00CE7F13"/>
    <w:rsid w:val="00CF044D"/>
    <w:rsid w:val="00CF10EA"/>
    <w:rsid w:val="00CF1283"/>
    <w:rsid w:val="00CF1780"/>
    <w:rsid w:val="00CF2322"/>
    <w:rsid w:val="00CF26BF"/>
    <w:rsid w:val="00CF2CE9"/>
    <w:rsid w:val="00CF3FB2"/>
    <w:rsid w:val="00CF4635"/>
    <w:rsid w:val="00CF47B5"/>
    <w:rsid w:val="00CF66A7"/>
    <w:rsid w:val="00CF69EE"/>
    <w:rsid w:val="00CF71CD"/>
    <w:rsid w:val="00CF7D02"/>
    <w:rsid w:val="00D00376"/>
    <w:rsid w:val="00D004BE"/>
    <w:rsid w:val="00D0068A"/>
    <w:rsid w:val="00D0084B"/>
    <w:rsid w:val="00D00B5A"/>
    <w:rsid w:val="00D00DBC"/>
    <w:rsid w:val="00D012C5"/>
    <w:rsid w:val="00D0131D"/>
    <w:rsid w:val="00D01905"/>
    <w:rsid w:val="00D01BA3"/>
    <w:rsid w:val="00D02DFA"/>
    <w:rsid w:val="00D03058"/>
    <w:rsid w:val="00D033F0"/>
    <w:rsid w:val="00D03586"/>
    <w:rsid w:val="00D03827"/>
    <w:rsid w:val="00D03889"/>
    <w:rsid w:val="00D03B28"/>
    <w:rsid w:val="00D03BC2"/>
    <w:rsid w:val="00D05726"/>
    <w:rsid w:val="00D05CAE"/>
    <w:rsid w:val="00D062B8"/>
    <w:rsid w:val="00D062CE"/>
    <w:rsid w:val="00D0657F"/>
    <w:rsid w:val="00D06951"/>
    <w:rsid w:val="00D06FDC"/>
    <w:rsid w:val="00D075C6"/>
    <w:rsid w:val="00D07644"/>
    <w:rsid w:val="00D07B99"/>
    <w:rsid w:val="00D10F2C"/>
    <w:rsid w:val="00D10F43"/>
    <w:rsid w:val="00D11FC4"/>
    <w:rsid w:val="00D12C07"/>
    <w:rsid w:val="00D134E0"/>
    <w:rsid w:val="00D139FC"/>
    <w:rsid w:val="00D13DCF"/>
    <w:rsid w:val="00D13F03"/>
    <w:rsid w:val="00D146E3"/>
    <w:rsid w:val="00D14A19"/>
    <w:rsid w:val="00D14DF0"/>
    <w:rsid w:val="00D14FB9"/>
    <w:rsid w:val="00D15B12"/>
    <w:rsid w:val="00D15F6C"/>
    <w:rsid w:val="00D16857"/>
    <w:rsid w:val="00D16B9C"/>
    <w:rsid w:val="00D20165"/>
    <w:rsid w:val="00D201EA"/>
    <w:rsid w:val="00D20337"/>
    <w:rsid w:val="00D20993"/>
    <w:rsid w:val="00D21095"/>
    <w:rsid w:val="00D213E9"/>
    <w:rsid w:val="00D22112"/>
    <w:rsid w:val="00D227F3"/>
    <w:rsid w:val="00D22B9A"/>
    <w:rsid w:val="00D22C67"/>
    <w:rsid w:val="00D233B9"/>
    <w:rsid w:val="00D23FC1"/>
    <w:rsid w:val="00D2411E"/>
    <w:rsid w:val="00D2413B"/>
    <w:rsid w:val="00D242E5"/>
    <w:rsid w:val="00D245E6"/>
    <w:rsid w:val="00D256B3"/>
    <w:rsid w:val="00D25F15"/>
    <w:rsid w:val="00D26EED"/>
    <w:rsid w:val="00D27554"/>
    <w:rsid w:val="00D279D0"/>
    <w:rsid w:val="00D27FEB"/>
    <w:rsid w:val="00D3007D"/>
    <w:rsid w:val="00D303D1"/>
    <w:rsid w:val="00D30BB1"/>
    <w:rsid w:val="00D30E72"/>
    <w:rsid w:val="00D30FF5"/>
    <w:rsid w:val="00D3147F"/>
    <w:rsid w:val="00D31653"/>
    <w:rsid w:val="00D3185B"/>
    <w:rsid w:val="00D31BAB"/>
    <w:rsid w:val="00D31D3E"/>
    <w:rsid w:val="00D3259C"/>
    <w:rsid w:val="00D33B6C"/>
    <w:rsid w:val="00D33F19"/>
    <w:rsid w:val="00D342F6"/>
    <w:rsid w:val="00D3454C"/>
    <w:rsid w:val="00D34995"/>
    <w:rsid w:val="00D35DF8"/>
    <w:rsid w:val="00D35F76"/>
    <w:rsid w:val="00D370AB"/>
    <w:rsid w:val="00D37CD1"/>
    <w:rsid w:val="00D37F45"/>
    <w:rsid w:val="00D4015B"/>
    <w:rsid w:val="00D40ABF"/>
    <w:rsid w:val="00D4105E"/>
    <w:rsid w:val="00D41429"/>
    <w:rsid w:val="00D41504"/>
    <w:rsid w:val="00D41829"/>
    <w:rsid w:val="00D41DAD"/>
    <w:rsid w:val="00D4217E"/>
    <w:rsid w:val="00D42477"/>
    <w:rsid w:val="00D4270E"/>
    <w:rsid w:val="00D42AE1"/>
    <w:rsid w:val="00D42BDB"/>
    <w:rsid w:val="00D42E24"/>
    <w:rsid w:val="00D435FB"/>
    <w:rsid w:val="00D43D1A"/>
    <w:rsid w:val="00D43DC8"/>
    <w:rsid w:val="00D440E3"/>
    <w:rsid w:val="00D444A2"/>
    <w:rsid w:val="00D44A7C"/>
    <w:rsid w:val="00D451A7"/>
    <w:rsid w:val="00D46107"/>
    <w:rsid w:val="00D46803"/>
    <w:rsid w:val="00D46F9A"/>
    <w:rsid w:val="00D47EBA"/>
    <w:rsid w:val="00D50854"/>
    <w:rsid w:val="00D50899"/>
    <w:rsid w:val="00D52C1D"/>
    <w:rsid w:val="00D53511"/>
    <w:rsid w:val="00D53D79"/>
    <w:rsid w:val="00D53DFC"/>
    <w:rsid w:val="00D54158"/>
    <w:rsid w:val="00D54A6E"/>
    <w:rsid w:val="00D552D3"/>
    <w:rsid w:val="00D556C1"/>
    <w:rsid w:val="00D55E97"/>
    <w:rsid w:val="00D566A3"/>
    <w:rsid w:val="00D5688B"/>
    <w:rsid w:val="00D56BDD"/>
    <w:rsid w:val="00D56FD5"/>
    <w:rsid w:val="00D572C5"/>
    <w:rsid w:val="00D57BE8"/>
    <w:rsid w:val="00D57D1A"/>
    <w:rsid w:val="00D60142"/>
    <w:rsid w:val="00D601F2"/>
    <w:rsid w:val="00D60424"/>
    <w:rsid w:val="00D60DAA"/>
    <w:rsid w:val="00D619D3"/>
    <w:rsid w:val="00D61D07"/>
    <w:rsid w:val="00D6324D"/>
    <w:rsid w:val="00D636DE"/>
    <w:rsid w:val="00D639F7"/>
    <w:rsid w:val="00D63D02"/>
    <w:rsid w:val="00D63D53"/>
    <w:rsid w:val="00D63EE3"/>
    <w:rsid w:val="00D63FB9"/>
    <w:rsid w:val="00D640B2"/>
    <w:rsid w:val="00D6472D"/>
    <w:rsid w:val="00D64B38"/>
    <w:rsid w:val="00D65A3C"/>
    <w:rsid w:val="00D662BA"/>
    <w:rsid w:val="00D67692"/>
    <w:rsid w:val="00D70155"/>
    <w:rsid w:val="00D702BC"/>
    <w:rsid w:val="00D70AA8"/>
    <w:rsid w:val="00D7159A"/>
    <w:rsid w:val="00D71F86"/>
    <w:rsid w:val="00D72181"/>
    <w:rsid w:val="00D726F9"/>
    <w:rsid w:val="00D72826"/>
    <w:rsid w:val="00D72A90"/>
    <w:rsid w:val="00D72C12"/>
    <w:rsid w:val="00D73650"/>
    <w:rsid w:val="00D7396F"/>
    <w:rsid w:val="00D7443C"/>
    <w:rsid w:val="00D74523"/>
    <w:rsid w:val="00D7474D"/>
    <w:rsid w:val="00D74BC7"/>
    <w:rsid w:val="00D7523E"/>
    <w:rsid w:val="00D75B73"/>
    <w:rsid w:val="00D76156"/>
    <w:rsid w:val="00D76488"/>
    <w:rsid w:val="00D76A33"/>
    <w:rsid w:val="00D76B24"/>
    <w:rsid w:val="00D7768D"/>
    <w:rsid w:val="00D776AD"/>
    <w:rsid w:val="00D801BD"/>
    <w:rsid w:val="00D8030D"/>
    <w:rsid w:val="00D80DA6"/>
    <w:rsid w:val="00D8182D"/>
    <w:rsid w:val="00D81AF1"/>
    <w:rsid w:val="00D82F67"/>
    <w:rsid w:val="00D83556"/>
    <w:rsid w:val="00D83EA7"/>
    <w:rsid w:val="00D843D7"/>
    <w:rsid w:val="00D8456B"/>
    <w:rsid w:val="00D846C2"/>
    <w:rsid w:val="00D84E4B"/>
    <w:rsid w:val="00D853CB"/>
    <w:rsid w:val="00D85574"/>
    <w:rsid w:val="00D85ADC"/>
    <w:rsid w:val="00D85DB5"/>
    <w:rsid w:val="00D86DDE"/>
    <w:rsid w:val="00D872AF"/>
    <w:rsid w:val="00D8790F"/>
    <w:rsid w:val="00D9010E"/>
    <w:rsid w:val="00D90345"/>
    <w:rsid w:val="00D90391"/>
    <w:rsid w:val="00D906AD"/>
    <w:rsid w:val="00D9087D"/>
    <w:rsid w:val="00D90BE0"/>
    <w:rsid w:val="00D91CEC"/>
    <w:rsid w:val="00D92603"/>
    <w:rsid w:val="00D92A4E"/>
    <w:rsid w:val="00D93296"/>
    <w:rsid w:val="00D93323"/>
    <w:rsid w:val="00D93457"/>
    <w:rsid w:val="00D93465"/>
    <w:rsid w:val="00D93A0D"/>
    <w:rsid w:val="00D93FEC"/>
    <w:rsid w:val="00D94992"/>
    <w:rsid w:val="00D95BB2"/>
    <w:rsid w:val="00D960FB"/>
    <w:rsid w:val="00D97D5E"/>
    <w:rsid w:val="00DA0999"/>
    <w:rsid w:val="00DA232F"/>
    <w:rsid w:val="00DA2EA0"/>
    <w:rsid w:val="00DA37EC"/>
    <w:rsid w:val="00DA4017"/>
    <w:rsid w:val="00DA436D"/>
    <w:rsid w:val="00DA4893"/>
    <w:rsid w:val="00DA57F4"/>
    <w:rsid w:val="00DA5B94"/>
    <w:rsid w:val="00DA5C24"/>
    <w:rsid w:val="00DA7203"/>
    <w:rsid w:val="00DA72DC"/>
    <w:rsid w:val="00DA7321"/>
    <w:rsid w:val="00DA7785"/>
    <w:rsid w:val="00DA77A7"/>
    <w:rsid w:val="00DA7FA8"/>
    <w:rsid w:val="00DB04DD"/>
    <w:rsid w:val="00DB0C95"/>
    <w:rsid w:val="00DB16ED"/>
    <w:rsid w:val="00DB1980"/>
    <w:rsid w:val="00DB1BAA"/>
    <w:rsid w:val="00DB1F41"/>
    <w:rsid w:val="00DB2A8E"/>
    <w:rsid w:val="00DB3305"/>
    <w:rsid w:val="00DB361A"/>
    <w:rsid w:val="00DB3AD3"/>
    <w:rsid w:val="00DB3E58"/>
    <w:rsid w:val="00DB4160"/>
    <w:rsid w:val="00DB5C76"/>
    <w:rsid w:val="00DB605D"/>
    <w:rsid w:val="00DB62B2"/>
    <w:rsid w:val="00DB6332"/>
    <w:rsid w:val="00DB68B3"/>
    <w:rsid w:val="00DB6C5A"/>
    <w:rsid w:val="00DB6CCB"/>
    <w:rsid w:val="00DB7979"/>
    <w:rsid w:val="00DB7D66"/>
    <w:rsid w:val="00DB7F0C"/>
    <w:rsid w:val="00DB7F49"/>
    <w:rsid w:val="00DC0159"/>
    <w:rsid w:val="00DC022E"/>
    <w:rsid w:val="00DC0315"/>
    <w:rsid w:val="00DC0500"/>
    <w:rsid w:val="00DC169C"/>
    <w:rsid w:val="00DC1D04"/>
    <w:rsid w:val="00DC23AD"/>
    <w:rsid w:val="00DC30B7"/>
    <w:rsid w:val="00DC340F"/>
    <w:rsid w:val="00DC3C89"/>
    <w:rsid w:val="00DC48BF"/>
    <w:rsid w:val="00DC5090"/>
    <w:rsid w:val="00DC5336"/>
    <w:rsid w:val="00DC55C4"/>
    <w:rsid w:val="00DC5F35"/>
    <w:rsid w:val="00DC5F66"/>
    <w:rsid w:val="00DC6BAD"/>
    <w:rsid w:val="00DC6FAD"/>
    <w:rsid w:val="00DC7F5D"/>
    <w:rsid w:val="00DD03DF"/>
    <w:rsid w:val="00DD0ED9"/>
    <w:rsid w:val="00DD113A"/>
    <w:rsid w:val="00DD14DA"/>
    <w:rsid w:val="00DD1675"/>
    <w:rsid w:val="00DD1854"/>
    <w:rsid w:val="00DD18A7"/>
    <w:rsid w:val="00DD1D1A"/>
    <w:rsid w:val="00DD1D8D"/>
    <w:rsid w:val="00DD2100"/>
    <w:rsid w:val="00DD2B27"/>
    <w:rsid w:val="00DD2E9E"/>
    <w:rsid w:val="00DD2F32"/>
    <w:rsid w:val="00DD3125"/>
    <w:rsid w:val="00DD31A7"/>
    <w:rsid w:val="00DD36FA"/>
    <w:rsid w:val="00DD40A3"/>
    <w:rsid w:val="00DD46EB"/>
    <w:rsid w:val="00DD56EA"/>
    <w:rsid w:val="00DD575B"/>
    <w:rsid w:val="00DD65B4"/>
    <w:rsid w:val="00DD69DD"/>
    <w:rsid w:val="00DD6D90"/>
    <w:rsid w:val="00DD776A"/>
    <w:rsid w:val="00DE0072"/>
    <w:rsid w:val="00DE0DCD"/>
    <w:rsid w:val="00DE1658"/>
    <w:rsid w:val="00DE18F9"/>
    <w:rsid w:val="00DE2336"/>
    <w:rsid w:val="00DE261E"/>
    <w:rsid w:val="00DE26B7"/>
    <w:rsid w:val="00DE30F5"/>
    <w:rsid w:val="00DE35DB"/>
    <w:rsid w:val="00DE3C97"/>
    <w:rsid w:val="00DE3E8B"/>
    <w:rsid w:val="00DE3F96"/>
    <w:rsid w:val="00DE409F"/>
    <w:rsid w:val="00DE5297"/>
    <w:rsid w:val="00DE60F3"/>
    <w:rsid w:val="00DE642D"/>
    <w:rsid w:val="00DE7144"/>
    <w:rsid w:val="00DE723D"/>
    <w:rsid w:val="00DF05BA"/>
    <w:rsid w:val="00DF05F9"/>
    <w:rsid w:val="00DF0867"/>
    <w:rsid w:val="00DF0D83"/>
    <w:rsid w:val="00DF28CB"/>
    <w:rsid w:val="00DF3569"/>
    <w:rsid w:val="00DF3693"/>
    <w:rsid w:val="00DF4600"/>
    <w:rsid w:val="00DF495B"/>
    <w:rsid w:val="00DF5321"/>
    <w:rsid w:val="00DF5CEF"/>
    <w:rsid w:val="00DF60D1"/>
    <w:rsid w:val="00DF6777"/>
    <w:rsid w:val="00DF6C81"/>
    <w:rsid w:val="00DF6E8D"/>
    <w:rsid w:val="00DF7225"/>
    <w:rsid w:val="00DF7936"/>
    <w:rsid w:val="00E00781"/>
    <w:rsid w:val="00E0222E"/>
    <w:rsid w:val="00E02AE9"/>
    <w:rsid w:val="00E03BFC"/>
    <w:rsid w:val="00E04376"/>
    <w:rsid w:val="00E0462B"/>
    <w:rsid w:val="00E04EA2"/>
    <w:rsid w:val="00E0590C"/>
    <w:rsid w:val="00E05E84"/>
    <w:rsid w:val="00E06910"/>
    <w:rsid w:val="00E07100"/>
    <w:rsid w:val="00E07D7D"/>
    <w:rsid w:val="00E109A4"/>
    <w:rsid w:val="00E129BF"/>
    <w:rsid w:val="00E129C7"/>
    <w:rsid w:val="00E12A3F"/>
    <w:rsid w:val="00E12AAC"/>
    <w:rsid w:val="00E13B23"/>
    <w:rsid w:val="00E15D8D"/>
    <w:rsid w:val="00E1655A"/>
    <w:rsid w:val="00E16599"/>
    <w:rsid w:val="00E169B8"/>
    <w:rsid w:val="00E16AF3"/>
    <w:rsid w:val="00E172A6"/>
    <w:rsid w:val="00E17A3D"/>
    <w:rsid w:val="00E206A0"/>
    <w:rsid w:val="00E20BC0"/>
    <w:rsid w:val="00E21556"/>
    <w:rsid w:val="00E216A6"/>
    <w:rsid w:val="00E217C5"/>
    <w:rsid w:val="00E21A67"/>
    <w:rsid w:val="00E21A9D"/>
    <w:rsid w:val="00E22128"/>
    <w:rsid w:val="00E2251A"/>
    <w:rsid w:val="00E22902"/>
    <w:rsid w:val="00E23573"/>
    <w:rsid w:val="00E23C1D"/>
    <w:rsid w:val="00E23F2F"/>
    <w:rsid w:val="00E2409A"/>
    <w:rsid w:val="00E241F1"/>
    <w:rsid w:val="00E247B9"/>
    <w:rsid w:val="00E24C8D"/>
    <w:rsid w:val="00E252CD"/>
    <w:rsid w:val="00E255B2"/>
    <w:rsid w:val="00E258CC"/>
    <w:rsid w:val="00E26388"/>
    <w:rsid w:val="00E263FE"/>
    <w:rsid w:val="00E2693A"/>
    <w:rsid w:val="00E2749E"/>
    <w:rsid w:val="00E30A30"/>
    <w:rsid w:val="00E30BDF"/>
    <w:rsid w:val="00E3266F"/>
    <w:rsid w:val="00E332F7"/>
    <w:rsid w:val="00E337EF"/>
    <w:rsid w:val="00E35359"/>
    <w:rsid w:val="00E3587E"/>
    <w:rsid w:val="00E35B18"/>
    <w:rsid w:val="00E35B7A"/>
    <w:rsid w:val="00E35BC5"/>
    <w:rsid w:val="00E35FAB"/>
    <w:rsid w:val="00E3605C"/>
    <w:rsid w:val="00E366C1"/>
    <w:rsid w:val="00E366FC"/>
    <w:rsid w:val="00E36884"/>
    <w:rsid w:val="00E36901"/>
    <w:rsid w:val="00E36F79"/>
    <w:rsid w:val="00E3744B"/>
    <w:rsid w:val="00E374E0"/>
    <w:rsid w:val="00E379F4"/>
    <w:rsid w:val="00E403C7"/>
    <w:rsid w:val="00E40C6C"/>
    <w:rsid w:val="00E40F41"/>
    <w:rsid w:val="00E41698"/>
    <w:rsid w:val="00E416AE"/>
    <w:rsid w:val="00E41A15"/>
    <w:rsid w:val="00E42C69"/>
    <w:rsid w:val="00E43035"/>
    <w:rsid w:val="00E4323C"/>
    <w:rsid w:val="00E43E6A"/>
    <w:rsid w:val="00E448C0"/>
    <w:rsid w:val="00E44AA0"/>
    <w:rsid w:val="00E44C68"/>
    <w:rsid w:val="00E451A0"/>
    <w:rsid w:val="00E4563C"/>
    <w:rsid w:val="00E4585A"/>
    <w:rsid w:val="00E45AC9"/>
    <w:rsid w:val="00E462BB"/>
    <w:rsid w:val="00E46F48"/>
    <w:rsid w:val="00E47424"/>
    <w:rsid w:val="00E47430"/>
    <w:rsid w:val="00E4775F"/>
    <w:rsid w:val="00E50484"/>
    <w:rsid w:val="00E50755"/>
    <w:rsid w:val="00E512E7"/>
    <w:rsid w:val="00E51564"/>
    <w:rsid w:val="00E51EA0"/>
    <w:rsid w:val="00E520B3"/>
    <w:rsid w:val="00E522D5"/>
    <w:rsid w:val="00E522FD"/>
    <w:rsid w:val="00E523F8"/>
    <w:rsid w:val="00E5353C"/>
    <w:rsid w:val="00E541C7"/>
    <w:rsid w:val="00E543A8"/>
    <w:rsid w:val="00E54B6B"/>
    <w:rsid w:val="00E54B8A"/>
    <w:rsid w:val="00E554A6"/>
    <w:rsid w:val="00E5550C"/>
    <w:rsid w:val="00E558C9"/>
    <w:rsid w:val="00E559D9"/>
    <w:rsid w:val="00E55D9B"/>
    <w:rsid w:val="00E56AEF"/>
    <w:rsid w:val="00E56FCC"/>
    <w:rsid w:val="00E5723C"/>
    <w:rsid w:val="00E57273"/>
    <w:rsid w:val="00E572DA"/>
    <w:rsid w:val="00E57900"/>
    <w:rsid w:val="00E57D37"/>
    <w:rsid w:val="00E6025F"/>
    <w:rsid w:val="00E60ACB"/>
    <w:rsid w:val="00E61AA2"/>
    <w:rsid w:val="00E61F2A"/>
    <w:rsid w:val="00E6233B"/>
    <w:rsid w:val="00E625AE"/>
    <w:rsid w:val="00E628DE"/>
    <w:rsid w:val="00E6293D"/>
    <w:rsid w:val="00E630B4"/>
    <w:rsid w:val="00E635E4"/>
    <w:rsid w:val="00E63DB1"/>
    <w:rsid w:val="00E63ECF"/>
    <w:rsid w:val="00E64C5A"/>
    <w:rsid w:val="00E64F41"/>
    <w:rsid w:val="00E653E6"/>
    <w:rsid w:val="00E65E84"/>
    <w:rsid w:val="00E669E2"/>
    <w:rsid w:val="00E70168"/>
    <w:rsid w:val="00E70609"/>
    <w:rsid w:val="00E7070A"/>
    <w:rsid w:val="00E7130C"/>
    <w:rsid w:val="00E71875"/>
    <w:rsid w:val="00E71B52"/>
    <w:rsid w:val="00E71C6C"/>
    <w:rsid w:val="00E71F71"/>
    <w:rsid w:val="00E744BB"/>
    <w:rsid w:val="00E745A4"/>
    <w:rsid w:val="00E76079"/>
    <w:rsid w:val="00E763E8"/>
    <w:rsid w:val="00E76D54"/>
    <w:rsid w:val="00E77F77"/>
    <w:rsid w:val="00E77FC8"/>
    <w:rsid w:val="00E80139"/>
    <w:rsid w:val="00E814AC"/>
    <w:rsid w:val="00E814C8"/>
    <w:rsid w:val="00E81A89"/>
    <w:rsid w:val="00E81C52"/>
    <w:rsid w:val="00E8218B"/>
    <w:rsid w:val="00E82220"/>
    <w:rsid w:val="00E82A7A"/>
    <w:rsid w:val="00E82FEC"/>
    <w:rsid w:val="00E83732"/>
    <w:rsid w:val="00E84DD0"/>
    <w:rsid w:val="00E84F23"/>
    <w:rsid w:val="00E86022"/>
    <w:rsid w:val="00E867B4"/>
    <w:rsid w:val="00E86EE3"/>
    <w:rsid w:val="00E86EFD"/>
    <w:rsid w:val="00E873F4"/>
    <w:rsid w:val="00E87623"/>
    <w:rsid w:val="00E8782E"/>
    <w:rsid w:val="00E87F29"/>
    <w:rsid w:val="00E906F9"/>
    <w:rsid w:val="00E90801"/>
    <w:rsid w:val="00E90893"/>
    <w:rsid w:val="00E9130E"/>
    <w:rsid w:val="00E917E1"/>
    <w:rsid w:val="00E91B7F"/>
    <w:rsid w:val="00E91CB9"/>
    <w:rsid w:val="00E91E99"/>
    <w:rsid w:val="00E92390"/>
    <w:rsid w:val="00E9253B"/>
    <w:rsid w:val="00E9272E"/>
    <w:rsid w:val="00E929C6"/>
    <w:rsid w:val="00E92C22"/>
    <w:rsid w:val="00E92F00"/>
    <w:rsid w:val="00E93364"/>
    <w:rsid w:val="00E9406F"/>
    <w:rsid w:val="00E9464D"/>
    <w:rsid w:val="00E9493C"/>
    <w:rsid w:val="00E950E7"/>
    <w:rsid w:val="00E960DD"/>
    <w:rsid w:val="00E962F5"/>
    <w:rsid w:val="00E971CE"/>
    <w:rsid w:val="00E9758C"/>
    <w:rsid w:val="00E97592"/>
    <w:rsid w:val="00E97754"/>
    <w:rsid w:val="00E97F1D"/>
    <w:rsid w:val="00E97F4A"/>
    <w:rsid w:val="00E97FD5"/>
    <w:rsid w:val="00EA0AE7"/>
    <w:rsid w:val="00EA1473"/>
    <w:rsid w:val="00EA1B31"/>
    <w:rsid w:val="00EA2400"/>
    <w:rsid w:val="00EA2433"/>
    <w:rsid w:val="00EA2A81"/>
    <w:rsid w:val="00EA3498"/>
    <w:rsid w:val="00EA35D6"/>
    <w:rsid w:val="00EA4C3C"/>
    <w:rsid w:val="00EA4F19"/>
    <w:rsid w:val="00EA539A"/>
    <w:rsid w:val="00EA57FA"/>
    <w:rsid w:val="00EA5899"/>
    <w:rsid w:val="00EA62FF"/>
    <w:rsid w:val="00EA657D"/>
    <w:rsid w:val="00EA6929"/>
    <w:rsid w:val="00EA71BA"/>
    <w:rsid w:val="00EA7477"/>
    <w:rsid w:val="00EA7520"/>
    <w:rsid w:val="00EA7701"/>
    <w:rsid w:val="00EA77F3"/>
    <w:rsid w:val="00EA7C0E"/>
    <w:rsid w:val="00EA7D56"/>
    <w:rsid w:val="00EB0DA6"/>
    <w:rsid w:val="00EB1901"/>
    <w:rsid w:val="00EB25FF"/>
    <w:rsid w:val="00EB28BD"/>
    <w:rsid w:val="00EB3491"/>
    <w:rsid w:val="00EB38A9"/>
    <w:rsid w:val="00EB4374"/>
    <w:rsid w:val="00EB50EE"/>
    <w:rsid w:val="00EB535C"/>
    <w:rsid w:val="00EB544B"/>
    <w:rsid w:val="00EB5868"/>
    <w:rsid w:val="00EB5CBA"/>
    <w:rsid w:val="00EB5D6A"/>
    <w:rsid w:val="00EB659F"/>
    <w:rsid w:val="00EB6A77"/>
    <w:rsid w:val="00EB7CDE"/>
    <w:rsid w:val="00EC06AE"/>
    <w:rsid w:val="00EC125D"/>
    <w:rsid w:val="00EC1638"/>
    <w:rsid w:val="00EC18EE"/>
    <w:rsid w:val="00EC1B1B"/>
    <w:rsid w:val="00EC20B7"/>
    <w:rsid w:val="00EC2130"/>
    <w:rsid w:val="00EC2504"/>
    <w:rsid w:val="00EC31A1"/>
    <w:rsid w:val="00EC331B"/>
    <w:rsid w:val="00EC3601"/>
    <w:rsid w:val="00EC3788"/>
    <w:rsid w:val="00EC3F55"/>
    <w:rsid w:val="00EC4093"/>
    <w:rsid w:val="00EC4523"/>
    <w:rsid w:val="00EC47B9"/>
    <w:rsid w:val="00EC4A57"/>
    <w:rsid w:val="00EC532B"/>
    <w:rsid w:val="00EC53C5"/>
    <w:rsid w:val="00EC5D8C"/>
    <w:rsid w:val="00EC65DE"/>
    <w:rsid w:val="00EC6E0B"/>
    <w:rsid w:val="00EC76F7"/>
    <w:rsid w:val="00EC7A7C"/>
    <w:rsid w:val="00ED0125"/>
    <w:rsid w:val="00ED03B3"/>
    <w:rsid w:val="00ED17A9"/>
    <w:rsid w:val="00ED200E"/>
    <w:rsid w:val="00ED2868"/>
    <w:rsid w:val="00ED376E"/>
    <w:rsid w:val="00ED4548"/>
    <w:rsid w:val="00ED46DB"/>
    <w:rsid w:val="00ED488F"/>
    <w:rsid w:val="00ED5950"/>
    <w:rsid w:val="00ED6499"/>
    <w:rsid w:val="00ED68C9"/>
    <w:rsid w:val="00ED6A04"/>
    <w:rsid w:val="00ED6FF3"/>
    <w:rsid w:val="00ED7215"/>
    <w:rsid w:val="00ED7245"/>
    <w:rsid w:val="00ED7998"/>
    <w:rsid w:val="00EE00AB"/>
    <w:rsid w:val="00EE1BE4"/>
    <w:rsid w:val="00EE24FA"/>
    <w:rsid w:val="00EE35D3"/>
    <w:rsid w:val="00EE386F"/>
    <w:rsid w:val="00EE3AF1"/>
    <w:rsid w:val="00EE50AF"/>
    <w:rsid w:val="00EE532F"/>
    <w:rsid w:val="00EE68F9"/>
    <w:rsid w:val="00EE7426"/>
    <w:rsid w:val="00EE79C9"/>
    <w:rsid w:val="00EF0487"/>
    <w:rsid w:val="00EF2790"/>
    <w:rsid w:val="00EF2A9E"/>
    <w:rsid w:val="00EF3182"/>
    <w:rsid w:val="00EF411E"/>
    <w:rsid w:val="00EF4FEB"/>
    <w:rsid w:val="00EF5187"/>
    <w:rsid w:val="00EF5A73"/>
    <w:rsid w:val="00EF5BCE"/>
    <w:rsid w:val="00EF5DB7"/>
    <w:rsid w:val="00EF6E86"/>
    <w:rsid w:val="00EF6F94"/>
    <w:rsid w:val="00EF755F"/>
    <w:rsid w:val="00EF7CBA"/>
    <w:rsid w:val="00EF7E7A"/>
    <w:rsid w:val="00F0000F"/>
    <w:rsid w:val="00F00AF7"/>
    <w:rsid w:val="00F00CFE"/>
    <w:rsid w:val="00F01066"/>
    <w:rsid w:val="00F01290"/>
    <w:rsid w:val="00F017DF"/>
    <w:rsid w:val="00F02265"/>
    <w:rsid w:val="00F03159"/>
    <w:rsid w:val="00F033E6"/>
    <w:rsid w:val="00F037F5"/>
    <w:rsid w:val="00F040A0"/>
    <w:rsid w:val="00F05E64"/>
    <w:rsid w:val="00F05F9A"/>
    <w:rsid w:val="00F07694"/>
    <w:rsid w:val="00F07BDD"/>
    <w:rsid w:val="00F1003B"/>
    <w:rsid w:val="00F1045A"/>
    <w:rsid w:val="00F10CB8"/>
    <w:rsid w:val="00F1161C"/>
    <w:rsid w:val="00F1183A"/>
    <w:rsid w:val="00F1185F"/>
    <w:rsid w:val="00F11B17"/>
    <w:rsid w:val="00F12794"/>
    <w:rsid w:val="00F12D19"/>
    <w:rsid w:val="00F13C4D"/>
    <w:rsid w:val="00F1412A"/>
    <w:rsid w:val="00F14136"/>
    <w:rsid w:val="00F14F5B"/>
    <w:rsid w:val="00F1531F"/>
    <w:rsid w:val="00F1585B"/>
    <w:rsid w:val="00F1588F"/>
    <w:rsid w:val="00F158A7"/>
    <w:rsid w:val="00F15ED9"/>
    <w:rsid w:val="00F16238"/>
    <w:rsid w:val="00F16575"/>
    <w:rsid w:val="00F1664D"/>
    <w:rsid w:val="00F16D33"/>
    <w:rsid w:val="00F171EE"/>
    <w:rsid w:val="00F17FB0"/>
    <w:rsid w:val="00F203E7"/>
    <w:rsid w:val="00F21FFF"/>
    <w:rsid w:val="00F22080"/>
    <w:rsid w:val="00F2213E"/>
    <w:rsid w:val="00F22506"/>
    <w:rsid w:val="00F22F96"/>
    <w:rsid w:val="00F23279"/>
    <w:rsid w:val="00F243A8"/>
    <w:rsid w:val="00F24E1D"/>
    <w:rsid w:val="00F25640"/>
    <w:rsid w:val="00F25889"/>
    <w:rsid w:val="00F26889"/>
    <w:rsid w:val="00F27D4F"/>
    <w:rsid w:val="00F303DD"/>
    <w:rsid w:val="00F3095F"/>
    <w:rsid w:val="00F3158D"/>
    <w:rsid w:val="00F32135"/>
    <w:rsid w:val="00F322D4"/>
    <w:rsid w:val="00F3294C"/>
    <w:rsid w:val="00F33005"/>
    <w:rsid w:val="00F3371B"/>
    <w:rsid w:val="00F337F7"/>
    <w:rsid w:val="00F3385A"/>
    <w:rsid w:val="00F338E1"/>
    <w:rsid w:val="00F33E49"/>
    <w:rsid w:val="00F33E7B"/>
    <w:rsid w:val="00F340FF"/>
    <w:rsid w:val="00F36E4A"/>
    <w:rsid w:val="00F36FC8"/>
    <w:rsid w:val="00F370B2"/>
    <w:rsid w:val="00F37140"/>
    <w:rsid w:val="00F372D4"/>
    <w:rsid w:val="00F37702"/>
    <w:rsid w:val="00F37A9C"/>
    <w:rsid w:val="00F37F9E"/>
    <w:rsid w:val="00F40197"/>
    <w:rsid w:val="00F40946"/>
    <w:rsid w:val="00F41350"/>
    <w:rsid w:val="00F418C3"/>
    <w:rsid w:val="00F41AAC"/>
    <w:rsid w:val="00F41AB3"/>
    <w:rsid w:val="00F41CA6"/>
    <w:rsid w:val="00F42328"/>
    <w:rsid w:val="00F42671"/>
    <w:rsid w:val="00F430A3"/>
    <w:rsid w:val="00F432BB"/>
    <w:rsid w:val="00F43786"/>
    <w:rsid w:val="00F43BE0"/>
    <w:rsid w:val="00F44A0B"/>
    <w:rsid w:val="00F44A59"/>
    <w:rsid w:val="00F451A2"/>
    <w:rsid w:val="00F45354"/>
    <w:rsid w:val="00F45497"/>
    <w:rsid w:val="00F45E74"/>
    <w:rsid w:val="00F4620E"/>
    <w:rsid w:val="00F468E5"/>
    <w:rsid w:val="00F46A60"/>
    <w:rsid w:val="00F46B67"/>
    <w:rsid w:val="00F46F06"/>
    <w:rsid w:val="00F508A0"/>
    <w:rsid w:val="00F50B7B"/>
    <w:rsid w:val="00F50CB0"/>
    <w:rsid w:val="00F50E49"/>
    <w:rsid w:val="00F5195E"/>
    <w:rsid w:val="00F52015"/>
    <w:rsid w:val="00F5344A"/>
    <w:rsid w:val="00F54455"/>
    <w:rsid w:val="00F5448E"/>
    <w:rsid w:val="00F54657"/>
    <w:rsid w:val="00F558E9"/>
    <w:rsid w:val="00F55C70"/>
    <w:rsid w:val="00F55F64"/>
    <w:rsid w:val="00F5624C"/>
    <w:rsid w:val="00F563C6"/>
    <w:rsid w:val="00F5669E"/>
    <w:rsid w:val="00F56DC0"/>
    <w:rsid w:val="00F57293"/>
    <w:rsid w:val="00F5784B"/>
    <w:rsid w:val="00F578F3"/>
    <w:rsid w:val="00F57AC0"/>
    <w:rsid w:val="00F60452"/>
    <w:rsid w:val="00F607D9"/>
    <w:rsid w:val="00F60958"/>
    <w:rsid w:val="00F6096E"/>
    <w:rsid w:val="00F612C8"/>
    <w:rsid w:val="00F61DE6"/>
    <w:rsid w:val="00F61EBD"/>
    <w:rsid w:val="00F635C9"/>
    <w:rsid w:val="00F64555"/>
    <w:rsid w:val="00F655D0"/>
    <w:rsid w:val="00F66BDC"/>
    <w:rsid w:val="00F66FE7"/>
    <w:rsid w:val="00F67120"/>
    <w:rsid w:val="00F67D38"/>
    <w:rsid w:val="00F67FC3"/>
    <w:rsid w:val="00F7000C"/>
    <w:rsid w:val="00F7082E"/>
    <w:rsid w:val="00F70E84"/>
    <w:rsid w:val="00F71008"/>
    <w:rsid w:val="00F7136A"/>
    <w:rsid w:val="00F715BC"/>
    <w:rsid w:val="00F719B4"/>
    <w:rsid w:val="00F71E6F"/>
    <w:rsid w:val="00F72B41"/>
    <w:rsid w:val="00F72E40"/>
    <w:rsid w:val="00F732E1"/>
    <w:rsid w:val="00F733FA"/>
    <w:rsid w:val="00F73C50"/>
    <w:rsid w:val="00F73D6A"/>
    <w:rsid w:val="00F74484"/>
    <w:rsid w:val="00F74528"/>
    <w:rsid w:val="00F74A9F"/>
    <w:rsid w:val="00F74FB8"/>
    <w:rsid w:val="00F75086"/>
    <w:rsid w:val="00F75623"/>
    <w:rsid w:val="00F75823"/>
    <w:rsid w:val="00F7597C"/>
    <w:rsid w:val="00F75B57"/>
    <w:rsid w:val="00F76245"/>
    <w:rsid w:val="00F7636C"/>
    <w:rsid w:val="00F763EA"/>
    <w:rsid w:val="00F7679B"/>
    <w:rsid w:val="00F76BB2"/>
    <w:rsid w:val="00F77360"/>
    <w:rsid w:val="00F774DE"/>
    <w:rsid w:val="00F77861"/>
    <w:rsid w:val="00F77DC4"/>
    <w:rsid w:val="00F80D29"/>
    <w:rsid w:val="00F80E07"/>
    <w:rsid w:val="00F80FF8"/>
    <w:rsid w:val="00F81978"/>
    <w:rsid w:val="00F81CBA"/>
    <w:rsid w:val="00F82116"/>
    <w:rsid w:val="00F828B3"/>
    <w:rsid w:val="00F83023"/>
    <w:rsid w:val="00F830E0"/>
    <w:rsid w:val="00F83B1E"/>
    <w:rsid w:val="00F8421B"/>
    <w:rsid w:val="00F84A29"/>
    <w:rsid w:val="00F84F12"/>
    <w:rsid w:val="00F85440"/>
    <w:rsid w:val="00F85B4A"/>
    <w:rsid w:val="00F8690C"/>
    <w:rsid w:val="00F8735E"/>
    <w:rsid w:val="00F87603"/>
    <w:rsid w:val="00F87AA5"/>
    <w:rsid w:val="00F87AE0"/>
    <w:rsid w:val="00F87F7B"/>
    <w:rsid w:val="00F90C5B"/>
    <w:rsid w:val="00F913C1"/>
    <w:rsid w:val="00F91475"/>
    <w:rsid w:val="00F914D2"/>
    <w:rsid w:val="00F91867"/>
    <w:rsid w:val="00F92048"/>
    <w:rsid w:val="00F9226D"/>
    <w:rsid w:val="00F929E1"/>
    <w:rsid w:val="00F931C4"/>
    <w:rsid w:val="00F93E9B"/>
    <w:rsid w:val="00F95579"/>
    <w:rsid w:val="00F958CF"/>
    <w:rsid w:val="00F95FE0"/>
    <w:rsid w:val="00F963E5"/>
    <w:rsid w:val="00F964CB"/>
    <w:rsid w:val="00F969FC"/>
    <w:rsid w:val="00F96CAE"/>
    <w:rsid w:val="00F96D54"/>
    <w:rsid w:val="00F97966"/>
    <w:rsid w:val="00F97D84"/>
    <w:rsid w:val="00F97EB4"/>
    <w:rsid w:val="00FA023C"/>
    <w:rsid w:val="00FA0945"/>
    <w:rsid w:val="00FA113C"/>
    <w:rsid w:val="00FA154A"/>
    <w:rsid w:val="00FA1550"/>
    <w:rsid w:val="00FA1A0E"/>
    <w:rsid w:val="00FA1DB5"/>
    <w:rsid w:val="00FA2CA2"/>
    <w:rsid w:val="00FA2FE7"/>
    <w:rsid w:val="00FA30CB"/>
    <w:rsid w:val="00FA40D5"/>
    <w:rsid w:val="00FA4A13"/>
    <w:rsid w:val="00FA4EA0"/>
    <w:rsid w:val="00FA5090"/>
    <w:rsid w:val="00FA5147"/>
    <w:rsid w:val="00FA5517"/>
    <w:rsid w:val="00FA5A84"/>
    <w:rsid w:val="00FA5C40"/>
    <w:rsid w:val="00FA6835"/>
    <w:rsid w:val="00FA688C"/>
    <w:rsid w:val="00FA6B77"/>
    <w:rsid w:val="00FA72A2"/>
    <w:rsid w:val="00FA7549"/>
    <w:rsid w:val="00FA7560"/>
    <w:rsid w:val="00FA7C75"/>
    <w:rsid w:val="00FB01FF"/>
    <w:rsid w:val="00FB0852"/>
    <w:rsid w:val="00FB191A"/>
    <w:rsid w:val="00FB2369"/>
    <w:rsid w:val="00FB2539"/>
    <w:rsid w:val="00FB328E"/>
    <w:rsid w:val="00FB334E"/>
    <w:rsid w:val="00FB3582"/>
    <w:rsid w:val="00FB393B"/>
    <w:rsid w:val="00FB3B8B"/>
    <w:rsid w:val="00FB3E43"/>
    <w:rsid w:val="00FB44C6"/>
    <w:rsid w:val="00FB48D4"/>
    <w:rsid w:val="00FB49F8"/>
    <w:rsid w:val="00FB4B6E"/>
    <w:rsid w:val="00FB5321"/>
    <w:rsid w:val="00FB53C6"/>
    <w:rsid w:val="00FB54DE"/>
    <w:rsid w:val="00FB65C9"/>
    <w:rsid w:val="00FB69CB"/>
    <w:rsid w:val="00FB6F4B"/>
    <w:rsid w:val="00FB6FAB"/>
    <w:rsid w:val="00FB6FC8"/>
    <w:rsid w:val="00FB7168"/>
    <w:rsid w:val="00FB724D"/>
    <w:rsid w:val="00FB748A"/>
    <w:rsid w:val="00FB7717"/>
    <w:rsid w:val="00FC0871"/>
    <w:rsid w:val="00FC0879"/>
    <w:rsid w:val="00FC0EAE"/>
    <w:rsid w:val="00FC1243"/>
    <w:rsid w:val="00FC13CF"/>
    <w:rsid w:val="00FC2012"/>
    <w:rsid w:val="00FC25A9"/>
    <w:rsid w:val="00FC27B2"/>
    <w:rsid w:val="00FC284B"/>
    <w:rsid w:val="00FC28C2"/>
    <w:rsid w:val="00FC2EE7"/>
    <w:rsid w:val="00FC3212"/>
    <w:rsid w:val="00FC329B"/>
    <w:rsid w:val="00FC351C"/>
    <w:rsid w:val="00FC3C40"/>
    <w:rsid w:val="00FC43D3"/>
    <w:rsid w:val="00FC4F13"/>
    <w:rsid w:val="00FC5373"/>
    <w:rsid w:val="00FC63A7"/>
    <w:rsid w:val="00FC64C6"/>
    <w:rsid w:val="00FC6572"/>
    <w:rsid w:val="00FC65FD"/>
    <w:rsid w:val="00FC6BF0"/>
    <w:rsid w:val="00FC782B"/>
    <w:rsid w:val="00FC7F98"/>
    <w:rsid w:val="00FD05C2"/>
    <w:rsid w:val="00FD062D"/>
    <w:rsid w:val="00FD17A7"/>
    <w:rsid w:val="00FD1CED"/>
    <w:rsid w:val="00FD3265"/>
    <w:rsid w:val="00FD3681"/>
    <w:rsid w:val="00FD3D3B"/>
    <w:rsid w:val="00FD4046"/>
    <w:rsid w:val="00FD44EE"/>
    <w:rsid w:val="00FD4E53"/>
    <w:rsid w:val="00FD5701"/>
    <w:rsid w:val="00FD5802"/>
    <w:rsid w:val="00FD5E6C"/>
    <w:rsid w:val="00FD6022"/>
    <w:rsid w:val="00FD680E"/>
    <w:rsid w:val="00FD6C09"/>
    <w:rsid w:val="00FD7D35"/>
    <w:rsid w:val="00FE0118"/>
    <w:rsid w:val="00FE04AD"/>
    <w:rsid w:val="00FE04C3"/>
    <w:rsid w:val="00FE1282"/>
    <w:rsid w:val="00FE2319"/>
    <w:rsid w:val="00FE2436"/>
    <w:rsid w:val="00FE3014"/>
    <w:rsid w:val="00FE31C0"/>
    <w:rsid w:val="00FE3609"/>
    <w:rsid w:val="00FE3A14"/>
    <w:rsid w:val="00FE3EA2"/>
    <w:rsid w:val="00FE4A29"/>
    <w:rsid w:val="00FE4CF3"/>
    <w:rsid w:val="00FE519C"/>
    <w:rsid w:val="00FE57C2"/>
    <w:rsid w:val="00FE5F0F"/>
    <w:rsid w:val="00FE6255"/>
    <w:rsid w:val="00FE655B"/>
    <w:rsid w:val="00FE657E"/>
    <w:rsid w:val="00FE6A55"/>
    <w:rsid w:val="00FE6C93"/>
    <w:rsid w:val="00FE700A"/>
    <w:rsid w:val="00FE7170"/>
    <w:rsid w:val="00FE7BD7"/>
    <w:rsid w:val="00FF00BE"/>
    <w:rsid w:val="00FF027A"/>
    <w:rsid w:val="00FF03AF"/>
    <w:rsid w:val="00FF0BCC"/>
    <w:rsid w:val="00FF1896"/>
    <w:rsid w:val="00FF1C46"/>
    <w:rsid w:val="00FF1DA8"/>
    <w:rsid w:val="00FF1EA3"/>
    <w:rsid w:val="00FF2436"/>
    <w:rsid w:val="00FF27CA"/>
    <w:rsid w:val="00FF2C04"/>
    <w:rsid w:val="00FF2DF6"/>
    <w:rsid w:val="00FF32A1"/>
    <w:rsid w:val="00FF32E0"/>
    <w:rsid w:val="00FF386D"/>
    <w:rsid w:val="00FF39A6"/>
    <w:rsid w:val="00FF41BA"/>
    <w:rsid w:val="00FF4272"/>
    <w:rsid w:val="00FF4D2D"/>
    <w:rsid w:val="00FF4E89"/>
    <w:rsid w:val="00FF4FCC"/>
    <w:rsid w:val="00FF5503"/>
    <w:rsid w:val="00FF60E9"/>
    <w:rsid w:val="1E93E028"/>
    <w:rsid w:val="65D2C807"/>
    <w:rsid w:val="6BADA020"/>
    <w:rsid w:val="7EE66877"/>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4F3FED"/>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4F3FED"/>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4F3FED"/>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4F3FED"/>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unhideWhenUsed/>
    <w:qFormat/>
    <w:rsid w:val="004F3FED"/>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unhideWhenUsed/>
    <w:qFormat/>
    <w:rsid w:val="004F3FED"/>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unhideWhenUsed/>
    <w:qFormat/>
    <w:rsid w:val="004F3FED"/>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4F3FED"/>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4F3FED"/>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 Char,fn Char Char,Footnote Text Char1 Char1 Char,Footnote Text Char Char Char1 Char,Footnote Text Char1 Char Char Char,Footnote Text Char Char Char Char Char,Footnote Text Char Char1,ft,fn,fn Char,f,c,Footnote Text Char1"/>
    <w:basedOn w:val="Normal"/>
    <w:link w:val="FootnoteTextChar"/>
    <w:unhideWhenUsed/>
    <w:qFormat/>
    <w:rsid w:val="00DD46EB"/>
    <w:pPr>
      <w:spacing w:after="260"/>
      <w:ind w:firstLine="720"/>
    </w:pPr>
    <w:rPr>
      <w:szCs w:val="20"/>
    </w:rPr>
  </w:style>
  <w:style w:type="character" w:styleId="FootnoteReference">
    <w:name w:val="footnote reference"/>
    <w:aliases w:val="o,fr,Style 17,Style 13,Style 12,Style 15,Style 9,o1,fr1,o2,fr2,o3,fr3,Style 18,(NECG) Footnote Reference,Style 20,Style 7,Style 8,Style 28,Style 19,Styl,Style 11,Style 16,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Mention">
    <w:name w:val="Mention"/>
    <w:basedOn w:val="DefaultParagraphFont"/>
    <w:uiPriority w:val="99"/>
    <w:unhideWhenUsed/>
    <w:rsid w:val="0059187D"/>
    <w:rPr>
      <w:color w:val="2B579A"/>
      <w:shd w:val="clear" w:color="auto" w:fill="E1DFDD"/>
    </w:rPr>
  </w:style>
  <w:style w:type="character" w:customStyle="1" w:styleId="FootnoteTextChar">
    <w:name w:val="Footnote Text Char"/>
    <w:aliases w:val="Footnote Text Char Char Char,fn Char Char Char,Footnote Text Char1 Char1 Char Char,Footnote Text Char Char Char1 Char Char,Footnote Text Char1 Char Char Char Char,Footnote Text Char Char Char Char Char Char,ft Char,fn Char1,f Char"/>
    <w:basedOn w:val="DefaultParagraphFont"/>
    <w:link w:val="FootnoteText"/>
    <w:rsid w:val="00110172"/>
    <w:rPr>
      <w:rFonts w:ascii="Times New Roman" w:hAnsi="Times New Roman" w:cs="Times New Roman"/>
      <w:sz w:val="26"/>
      <w:szCs w:val="20"/>
    </w:rPr>
  </w:style>
  <w:style w:type="paragraph" w:styleId="Revision">
    <w:name w:val="Revision"/>
    <w:hidden/>
    <w:uiPriority w:val="99"/>
    <w:semiHidden/>
    <w:rsid w:val="00F337F7"/>
    <w:pPr>
      <w:spacing w:after="0" w:line="240" w:lineRule="auto"/>
    </w:pPr>
    <w:rPr>
      <w:rFonts w:ascii="Times New Roman" w:hAnsi="Times New Roman" w:cs="Times New Roman"/>
      <w:sz w:val="26"/>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rc.gov/available-settlement-judg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C6317-0FBF-47A6-BC24-0464685D3489}">
  <ds:schemaRefs>
    <ds:schemaRef ds:uri="Microsoft.SharePoint.Taxonomy.ContentTypeSync"/>
  </ds:schemaRefs>
</ds:datastoreItem>
</file>

<file path=customXml/itemProps2.xml><?xml version="1.0" encoding="utf-8"?>
<ds:datastoreItem xmlns:ds="http://schemas.openxmlformats.org/officeDocument/2006/customXml" ds:itemID="{32039B22-0FAD-4B3C-A6D0-AD9B02DE7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1F40C-20B4-4938-8162-9F2A9E9D57AD}">
  <ds:schemaRef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78A4C8D0-8BBE-4C3F-BADF-2E54B2B30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5466</Words>
  <Characters>31158</Characters>
  <Application>Microsoft Office Word</Application>
  <DocSecurity>0</DocSecurity>
  <Lines>259</Lines>
  <Paragraphs>73</Paragraphs>
  <ScaleCrop>false</ScaleCrop>
  <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2025-03-12T15:00:11Z</cp:lastPrinted>
  <dcterms:created xsi:type="dcterms:W3CDTF">2025-03-12T13:21:00Z</dcterms:created>
  <dcterms:modified xsi:type="dcterms:W3CDTF">2025-03-12T13:21:00Z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d55449f0-2cdd-458c-a7ef-5ac1793944dd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2025-03-12T13:21:28Z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