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B71352">
      <w:pPr>
        <w:jc w:val="center"/>
      </w:pPr>
      <w:r>
        <w:t>190 FERC ¶ 61,073</w:t>
      </w:r>
    </w:p>
    <w:p w:rsidR="00C1732B" w:rsidRPr="009F3F1F" w:rsidP="00716CF4">
      <w:pPr>
        <w:jc w:val="center"/>
      </w:pPr>
      <w:r w:rsidRPr="009F3F1F">
        <w:t>FEDERAL ENERGY REGULATORY COMMISSION</w:t>
      </w:r>
    </w:p>
    <w:p w:rsidR="00C1732B" w:rsidRPr="009F3F1F" w:rsidP="00716CF4">
      <w:pPr>
        <w:jc w:val="center"/>
      </w:pPr>
      <w:r w:rsidRPr="009F3F1F">
        <w:t>WASHINGTON, DC 20426</w:t>
      </w:r>
    </w:p>
    <w:p w:rsidR="00C1732B" w:rsidRPr="009F3F1F" w:rsidP="00716CF4">
      <w:pPr>
        <w:jc w:val="center"/>
      </w:pPr>
    </w:p>
    <w:p w:rsidR="00C1732B" w:rsidP="001A5ABC">
      <w:pPr>
        <w:widowControl/>
        <w:jc w:val="center"/>
      </w:pPr>
      <w:r w:rsidRPr="001A5ABC">
        <w:t>February 4, 2025</w:t>
      </w:r>
    </w:p>
    <w:p w:rsidR="00C1732B" w:rsidRPr="009F3F1F" w:rsidP="00716CF4"/>
    <w:p w:rsidR="00764534" w:rsidRPr="009F3F1F" w:rsidP="00716CF4">
      <w:r w:rsidRPr="009F3F1F">
        <w:tab/>
        <w:tab/>
        <w:tab/>
        <w:tab/>
        <w:tab/>
      </w:r>
      <w:r w:rsidR="001A5ABC">
        <w:tab/>
      </w:r>
      <w:r w:rsidRPr="009F3F1F">
        <w:t>In Reply Refer To:</w:t>
      </w:r>
    </w:p>
    <w:p w:rsidR="00C1732B" w:rsidP="001A5ABC">
      <w:pPr>
        <w:ind w:left="3600" w:firstLine="720"/>
      </w:pPr>
      <w:bookmarkStart w:id="0" w:name="Company"/>
      <w:bookmarkEnd w:id="0"/>
      <w:r>
        <w:t>New York Power Authority</w:t>
      </w:r>
    </w:p>
    <w:p w:rsidR="004E411D" w:rsidRPr="009F3F1F" w:rsidP="001A5ABC">
      <w:pPr>
        <w:ind w:left="3600" w:firstLine="720"/>
      </w:pPr>
      <w:r w:rsidRPr="006E6BA4">
        <w:t>New York Independent System Operator, Inc</w:t>
      </w:r>
      <w:r>
        <w:t>.</w:t>
      </w:r>
    </w:p>
    <w:p w:rsidR="00C1732B" w:rsidRPr="009F3F1F" w:rsidP="001A5ABC">
      <w:pPr>
        <w:ind w:left="3600" w:firstLine="720"/>
      </w:pPr>
      <w:bookmarkStart w:id="1" w:name="Docket_Number"/>
      <w:bookmarkEnd w:id="1"/>
      <w:r>
        <w:t>Docket No.</w:t>
      </w:r>
      <w:r w:rsidR="00864F70">
        <w:t xml:space="preserve"> </w:t>
      </w:r>
      <w:r>
        <w:t>ER25-676-000</w:t>
      </w:r>
    </w:p>
    <w:p w:rsidR="00C1732B" w:rsidRPr="009F3F1F" w:rsidP="00716CF4">
      <w:r w:rsidRPr="009F3F1F">
        <w:tab/>
        <w:tab/>
        <w:tab/>
        <w:tab/>
        <w:tab/>
      </w:r>
    </w:p>
    <w:p w:rsidR="00C1732B" w:rsidP="00716CF4">
      <w:bookmarkStart w:id="2" w:name="Address"/>
      <w:bookmarkEnd w:id="2"/>
      <w:r>
        <w:t>New York Power Authority</w:t>
      </w:r>
    </w:p>
    <w:p w:rsidR="00C1732B" w:rsidP="00716CF4">
      <w:r>
        <w:t>123 Main Street</w:t>
      </w:r>
    </w:p>
    <w:p w:rsidR="00C1732B" w:rsidP="00716CF4">
      <w:r>
        <w:t>White Plains</w:t>
      </w:r>
      <w:r>
        <w:t xml:space="preserve">, NY </w:t>
      </w:r>
      <w:r w:rsidR="001A5ABC">
        <w:t xml:space="preserve"> </w:t>
      </w:r>
      <w:r>
        <w:t>10601</w:t>
      </w:r>
    </w:p>
    <w:p w:rsidR="00C1732B" w:rsidP="00716CF4"/>
    <w:p w:rsidR="00C1732B" w:rsidP="00716CF4">
      <w:r>
        <w:t>Attention:</w:t>
      </w:r>
      <w:r w:rsidR="001A5ABC">
        <w:t xml:space="preserve"> </w:t>
      </w:r>
      <w:r>
        <w:t xml:space="preserve"> Gary D. Levenson</w:t>
      </w:r>
    </w:p>
    <w:p w:rsidR="00C1732B" w:rsidRPr="009F3F1F" w:rsidP="00716CF4"/>
    <w:p w:rsidR="00C1732B" w:rsidRPr="009F3F1F" w:rsidP="00716CF4">
      <w:bookmarkStart w:id="3" w:name="Name"/>
      <w:bookmarkEnd w:id="3"/>
      <w:r w:rsidRPr="009F3F1F">
        <w:t xml:space="preserve">Dear </w:t>
      </w:r>
      <w:bookmarkStart w:id="4" w:name="Name2"/>
      <w:bookmarkEnd w:id="4"/>
      <w:r>
        <w:t>Mr. Levenson</w:t>
      </w:r>
      <w:r w:rsidRPr="009F3F1F">
        <w:t>:</w:t>
      </w:r>
    </w:p>
    <w:p w:rsidR="00C1732B" w:rsidRPr="009F3F1F" w:rsidP="00716CF4"/>
    <w:p w:rsidR="00C1732B" w:rsidP="001A5ABC">
      <w:pPr>
        <w:pStyle w:val="FERCparanumber"/>
        <w:ind w:right="-180"/>
      </w:pPr>
      <w:r>
        <w:t xml:space="preserve">On December 6, 2024, </w:t>
      </w:r>
      <w:r w:rsidRPr="001A05B9" w:rsidR="001A05B9">
        <w:t>pursuant to section 205 of the Federal Power Act (FPA)</w:t>
      </w:r>
      <w:r>
        <w:rPr>
          <w:b/>
          <w:vertAlign w:val="superscript"/>
        </w:rPr>
        <w:footnoteReference w:id="3"/>
      </w:r>
      <w:r w:rsidRPr="001A05B9" w:rsidR="001A05B9">
        <w:t xml:space="preserve"> </w:t>
      </w:r>
      <w:r w:rsidR="001A5ABC">
        <w:t xml:space="preserve"> </w:t>
      </w:r>
      <w:r w:rsidRPr="001A05B9" w:rsidR="001A05B9">
        <w:t>and Part 35 of the Commission’s regulations,</w:t>
      </w:r>
      <w:r>
        <w:rPr>
          <w:b/>
          <w:vertAlign w:val="superscript"/>
        </w:rPr>
        <w:footnoteReference w:id="4"/>
      </w:r>
      <w:r w:rsidR="006E6BA4">
        <w:t xml:space="preserve"> </w:t>
      </w:r>
      <w:r w:rsidRPr="006E6BA4" w:rsidR="006E6BA4">
        <w:t>New York Independent System Operator, Inc. (NYISO) filed, on behalf of New York Power Authority (NYPA),</w:t>
      </w:r>
      <w:r w:rsidR="00DF73FC">
        <w:t xml:space="preserve"> </w:t>
      </w:r>
      <w:r w:rsidR="005557E2">
        <w:t xml:space="preserve">revisions to </w:t>
      </w:r>
      <w:r w:rsidRPr="00DF73FC" w:rsidR="00DF73FC">
        <w:t>its transmission formula rate template (</w:t>
      </w:r>
      <w:r w:rsidR="00DF73FC">
        <w:t>Template</w:t>
      </w:r>
      <w:r w:rsidRPr="00DF73FC" w:rsidR="00DF73FC">
        <w:t xml:space="preserve">) and implementation protocols (Protocols, and together with the Template, Formula Rate) found at Section 14.2.3 of Attachment H </w:t>
      </w:r>
      <w:r w:rsidR="00A3361B">
        <w:t xml:space="preserve">to </w:t>
      </w:r>
      <w:r w:rsidRPr="00DF73FC" w:rsidR="00DF73FC">
        <w:t>the NYISO Open Access Transmission Tariff (OATT)</w:t>
      </w:r>
      <w:r w:rsidR="00BC54B0">
        <w:t>,</w:t>
      </w:r>
      <w:r w:rsidRPr="00DF73FC" w:rsidR="00DF73FC">
        <w:t xml:space="preserve"> consistent with </w:t>
      </w:r>
      <w:r w:rsidR="0040487E">
        <w:t>a</w:t>
      </w:r>
      <w:r w:rsidRPr="00DF73FC" w:rsidR="00DF73FC">
        <w:t xml:space="preserve"> declaratory order granting NYPA’s requests related to the development of the Propel NY Energy Alternate Solution 5 Project (Propel NY).</w:t>
      </w:r>
      <w:r>
        <w:rPr>
          <w:rStyle w:val="FootnoteReference"/>
        </w:rPr>
        <w:footnoteReference w:id="5"/>
      </w:r>
      <w:r w:rsidRPr="00DF73FC" w:rsidR="00DF73FC">
        <w:t xml:space="preserve">  </w:t>
      </w:r>
      <w:r w:rsidR="005B5FBE">
        <w:t xml:space="preserve">NYPA also proposes revisions to </w:t>
      </w:r>
      <w:r w:rsidRPr="005B5FBE" w:rsidR="005B5FBE">
        <w:t xml:space="preserve">Attachment 2 to Rate Schedule 10 </w:t>
      </w:r>
      <w:r w:rsidR="005B5FBE">
        <w:t>s</w:t>
      </w:r>
      <w:r w:rsidRPr="005B5FBE" w:rsidR="005B5FBE">
        <w:t>ection 6.10.8 of the NYISO OATT to establish the Regulated Transmission Facilities Charge</w:t>
      </w:r>
      <w:r w:rsidR="005B5FBE">
        <w:t xml:space="preserve"> </w:t>
      </w:r>
      <w:r w:rsidRPr="005B5FBE" w:rsidR="005B5FBE">
        <w:t>for NYPA’s portion of</w:t>
      </w:r>
      <w:r w:rsidR="008F0956">
        <w:t xml:space="preserve"> </w:t>
      </w:r>
      <w:r w:rsidRPr="005B5FBE" w:rsidR="005B5FBE">
        <w:t>Propel NY</w:t>
      </w:r>
      <w:r w:rsidR="005B5FBE">
        <w:t xml:space="preserve">.  </w:t>
      </w:r>
      <w:r w:rsidRPr="005C331F" w:rsidR="005C331F">
        <w:t xml:space="preserve">For the reasons stated below, </w:t>
      </w:r>
      <w:r w:rsidR="001A5ABC">
        <w:t xml:space="preserve">         </w:t>
      </w:r>
      <w:r w:rsidR="000B73C4">
        <w:t>we</w:t>
      </w:r>
      <w:r w:rsidRPr="005C331F" w:rsidR="005C331F">
        <w:t xml:space="preserve"> accept NYPA</w:t>
      </w:r>
      <w:r w:rsidR="00873205">
        <w:t xml:space="preserve">’s </w:t>
      </w:r>
      <w:r w:rsidRPr="005C331F" w:rsidR="005C331F">
        <w:t xml:space="preserve">proposed revisions to </w:t>
      </w:r>
      <w:r w:rsidR="00594342">
        <w:t xml:space="preserve">the </w:t>
      </w:r>
      <w:r w:rsidR="00256E2E">
        <w:t>Formula Rate</w:t>
      </w:r>
      <w:r w:rsidR="00530C4E">
        <w:t xml:space="preserve"> and Attachment 2 of Rate Schedule 10 of the NYISO OATT</w:t>
      </w:r>
      <w:r w:rsidRPr="005C331F" w:rsidR="005C331F">
        <w:t xml:space="preserve">, effective </w:t>
      </w:r>
      <w:r w:rsidR="00256E2E">
        <w:t>February 4, 2025</w:t>
      </w:r>
      <w:r w:rsidR="00F951A8">
        <w:t>, as requested</w:t>
      </w:r>
      <w:r w:rsidR="00256E2E">
        <w:t>.</w:t>
      </w:r>
    </w:p>
    <w:p w:rsidR="00BF3F7E" w:rsidP="001905E3">
      <w:pPr>
        <w:pStyle w:val="FERCparanumber"/>
      </w:pPr>
      <w:r w:rsidRPr="005A422C">
        <w:t xml:space="preserve">NYPA </w:t>
      </w:r>
      <w:r w:rsidR="00091051">
        <w:t xml:space="preserve">states that it </w:t>
      </w:r>
      <w:r w:rsidRPr="005A422C">
        <w:t xml:space="preserve">is a corporate municipal instrumentality and a political subdivision of the State of New York, organized under the laws of the </w:t>
      </w:r>
      <w:r w:rsidR="006A64DC">
        <w:t>s</w:t>
      </w:r>
      <w:r w:rsidRPr="005A422C">
        <w:t>tate, and operating pursuant to Title 1 of Article 5 of the New York Public Authorities Law.</w:t>
      </w:r>
      <w:r>
        <w:rPr>
          <w:rStyle w:val="FootnoteReference"/>
        </w:rPr>
        <w:footnoteReference w:id="6"/>
      </w:r>
      <w:r w:rsidRPr="005A422C">
        <w:t xml:space="preserve">  NYPA</w:t>
      </w:r>
      <w:r w:rsidR="00A57E1E">
        <w:t xml:space="preserve"> states that it</w:t>
      </w:r>
      <w:r w:rsidRPr="005A422C">
        <w:t xml:space="preserve"> is a “municipality” within the meaning of section 3(7) of the FPA </w:t>
      </w:r>
      <w:r w:rsidR="001A5ABC">
        <w:t xml:space="preserve"> </w:t>
      </w:r>
      <w:r w:rsidRPr="005A422C">
        <w:t>and is a “state instrumentality” within the meaning of FPA section 201(f).</w:t>
      </w:r>
      <w:r>
        <w:rPr>
          <w:b/>
          <w:vertAlign w:val="superscript"/>
        </w:rPr>
        <w:footnoteReference w:id="7"/>
      </w:r>
      <w:r w:rsidRPr="005A422C">
        <w:t xml:space="preserve">  </w:t>
      </w:r>
      <w:r w:rsidRPr="00096B41">
        <w:t>NYPA</w:t>
      </w:r>
      <w:r w:rsidR="003C06FB">
        <w:t xml:space="preserve"> states </w:t>
      </w:r>
      <w:r w:rsidR="004F6D42">
        <w:t xml:space="preserve">that </w:t>
      </w:r>
      <w:r w:rsidR="003C06FB">
        <w:t>it</w:t>
      </w:r>
      <w:r w:rsidRPr="00096B41">
        <w:t xml:space="preserve"> generates, transmits, and sells electric power and energy at wholesale and retail throughout New York.</w:t>
      </w:r>
      <w:r>
        <w:rPr>
          <w:b/>
          <w:bCs/>
          <w:vertAlign w:val="superscript"/>
        </w:rPr>
        <w:footnoteReference w:id="8"/>
      </w:r>
      <w:r w:rsidRPr="00096B41">
        <w:t xml:space="preserve">  </w:t>
      </w:r>
      <w:r w:rsidRPr="005A422C" w:rsidR="001905E3">
        <w:t xml:space="preserve">NYPA </w:t>
      </w:r>
      <w:r w:rsidR="003C06FB">
        <w:t xml:space="preserve">states </w:t>
      </w:r>
      <w:r w:rsidR="004F6D42">
        <w:t xml:space="preserve">that </w:t>
      </w:r>
      <w:r w:rsidR="003C06FB">
        <w:t xml:space="preserve">it </w:t>
      </w:r>
      <w:r w:rsidRPr="005A422C" w:rsidR="001905E3">
        <w:t>has no distribution facilities or defined geographical service territory of its own, and since the inception of NYISO, has recovered its cost of owning and maintaining its backbone transmission facilities primarily through the NYPA Transmission Adjustment Charge, a charge assessed to virtually all loads in NYISO on a load-ratio share basis.</w:t>
      </w:r>
    </w:p>
    <w:p w:rsidR="00725EEB" w:rsidP="00F86F4C">
      <w:pPr>
        <w:pStyle w:val="FERCparanumber"/>
      </w:pPr>
      <w:r>
        <w:t xml:space="preserve">NYPA states that it and New York Transco LLC (NY Transco) </w:t>
      </w:r>
      <w:r w:rsidR="009D31BD">
        <w:t>are</w:t>
      </w:r>
      <w:r>
        <w:t xml:space="preserve"> project developers of Propel NY</w:t>
      </w:r>
      <w:r w:rsidR="009842A9">
        <w:t xml:space="preserve">, </w:t>
      </w:r>
      <w:r w:rsidRPr="009842A9" w:rsidR="009842A9">
        <w:t>a $2.8 billion electric transmission project that will establish</w:t>
      </w:r>
      <w:r w:rsidR="001A5ABC">
        <w:t xml:space="preserve">    </w:t>
      </w:r>
      <w:r w:rsidRPr="009842A9" w:rsidR="009842A9">
        <w:t xml:space="preserve"> a continuous 345 kV path that expands the deliverability of generation from offshore </w:t>
      </w:r>
      <w:r w:rsidR="001A5ABC">
        <w:t xml:space="preserve">      </w:t>
      </w:r>
      <w:r w:rsidRPr="009842A9" w:rsidR="009842A9">
        <w:t>to New York load centers.</w:t>
      </w:r>
      <w:r>
        <w:rPr>
          <w:rStyle w:val="FootnoteReference"/>
        </w:rPr>
        <w:footnoteReference w:id="9"/>
      </w:r>
      <w:r w:rsidR="00461525">
        <w:t xml:space="preserve">  </w:t>
      </w:r>
      <w:r w:rsidR="00122703">
        <w:t>According to NYP</w:t>
      </w:r>
      <w:r w:rsidR="00657580">
        <w:t>A</w:t>
      </w:r>
      <w:r w:rsidR="00122703">
        <w:t xml:space="preserve">, the July </w:t>
      </w:r>
      <w:r w:rsidR="002447DC">
        <w:t>O</w:t>
      </w:r>
      <w:r w:rsidR="00657580">
        <w:t xml:space="preserve">rder conditionally granted NYPA’s requested </w:t>
      </w:r>
      <w:r w:rsidR="00B35B27">
        <w:t xml:space="preserve">75-basis </w:t>
      </w:r>
      <w:r w:rsidRPr="00B87E08" w:rsidR="00B87E08">
        <w:t>point return on equity (ROE) adder (ROE Risk Incentive)</w:t>
      </w:r>
      <w:r w:rsidR="001A5ABC">
        <w:t xml:space="preserve">    </w:t>
      </w:r>
      <w:r w:rsidRPr="00B87E08" w:rsidR="00B87E08">
        <w:t xml:space="preserve"> to recognize the significant risks and challenges associated with NYPA’s investment </w:t>
      </w:r>
      <w:r w:rsidR="00E9106B">
        <w:t xml:space="preserve">      </w:t>
      </w:r>
      <w:r w:rsidRPr="00B87E08" w:rsidR="00B87E08">
        <w:t>in Propel NY.</w:t>
      </w:r>
      <w:r>
        <w:rPr>
          <w:rStyle w:val="FootnoteReference"/>
        </w:rPr>
        <w:footnoteReference w:id="10"/>
      </w:r>
      <w:r w:rsidRPr="00B87E08" w:rsidR="00B87E08">
        <w:t xml:space="preserve">  </w:t>
      </w:r>
      <w:r>
        <w:t>NYPA states</w:t>
      </w:r>
      <w:r w:rsidRPr="00725EEB">
        <w:t xml:space="preserve"> </w:t>
      </w:r>
      <w:r w:rsidR="00762D1A">
        <w:t xml:space="preserve">that the </w:t>
      </w:r>
      <w:r w:rsidRPr="00725EEB">
        <w:t xml:space="preserve">ROE Risk Incentive was conditioned upon </w:t>
      </w:r>
      <w:r w:rsidR="00E9106B">
        <w:t xml:space="preserve">     </w:t>
      </w:r>
      <w:r w:rsidRPr="00725EEB">
        <w:t>NYPA proposing</w:t>
      </w:r>
      <w:r w:rsidR="00CC4715">
        <w:t>,</w:t>
      </w:r>
      <w:r w:rsidRPr="00725EEB">
        <w:t xml:space="preserve"> and the Commission accepting</w:t>
      </w:r>
      <w:r w:rsidR="00CC4715">
        <w:t>,</w:t>
      </w:r>
      <w:r w:rsidRPr="00725EEB">
        <w:t xml:space="preserve"> NYPA’s filing to implement its </w:t>
      </w:r>
      <w:r w:rsidR="00E9106B">
        <w:t xml:space="preserve">       </w:t>
      </w:r>
      <w:r w:rsidRPr="00725EEB">
        <w:t>cost containment mechanism</w:t>
      </w:r>
      <w:r w:rsidR="00762D1A">
        <w:t>, which would “</w:t>
      </w:r>
      <w:r w:rsidRPr="00620F87" w:rsidR="00762D1A">
        <w:t xml:space="preserve">prohibit[] NYPA from recovering 20% of the Propel NY Project costs that exceed the project cost estimate (except for amounts attributable to certain </w:t>
      </w:r>
      <w:r w:rsidR="00435487">
        <w:t>‘</w:t>
      </w:r>
      <w:r w:rsidRPr="00620F87" w:rsidR="00762D1A">
        <w:t>excusing conditions</w:t>
      </w:r>
      <w:r w:rsidR="00435487">
        <w:t>’</w:t>
      </w:r>
      <w:r w:rsidRPr="00620F87" w:rsidR="00762D1A">
        <w:t xml:space="preserve"> in NYISO OATT section 6.10.6.2), thereby limiting application of the ROE Risk Incentive and reducing total recovery of Propel NY Project costs</w:t>
      </w:r>
      <w:r w:rsidR="00762D1A">
        <w:t>.”</w:t>
      </w:r>
      <w:r>
        <w:rPr>
          <w:rStyle w:val="FootnoteReference"/>
        </w:rPr>
        <w:footnoteReference w:id="11"/>
      </w:r>
    </w:p>
    <w:p w:rsidR="00F23DDD" w:rsidP="006B4B08">
      <w:pPr>
        <w:pStyle w:val="FERCparanumber"/>
      </w:pPr>
      <w:r>
        <w:t xml:space="preserve">To effectuate the July Order, NYPA requests the addition of </w:t>
      </w:r>
      <w:r w:rsidR="004E2716">
        <w:t>f</w:t>
      </w:r>
      <w:r w:rsidRPr="004E2716" w:rsidR="004E2716">
        <w:t>ootnote #6 to Schedule D2 (Project Specific Capital Structure and Cost of Capital) of the Template</w:t>
      </w:r>
      <w:r w:rsidR="00E9106B">
        <w:t xml:space="preserve">     </w:t>
      </w:r>
      <w:r w:rsidRPr="004E2716" w:rsidR="004E2716">
        <w:t xml:space="preserve"> to indicate that the “cost rate” used to calculate the Propel NY revenue requirement </w:t>
      </w:r>
      <w:r w:rsidR="00E9106B">
        <w:t xml:space="preserve">     </w:t>
      </w:r>
      <w:r w:rsidRPr="004E2716" w:rsidR="004E2716">
        <w:t xml:space="preserve">will include the 75-basis point ROE Risk Incentive approved in </w:t>
      </w:r>
      <w:r w:rsidR="004E2716">
        <w:t>the July Order</w:t>
      </w:r>
      <w:r w:rsidR="00D42348">
        <w:t>, which commits NYPA to calculating the impacts of the cost containment mechanism</w:t>
      </w:r>
      <w:r w:rsidR="00AE7E67">
        <w:t>.</w:t>
      </w:r>
      <w:r>
        <w:rPr>
          <w:rStyle w:val="FootnoteReference"/>
        </w:rPr>
        <w:footnoteReference w:id="12"/>
      </w:r>
      <w:r w:rsidR="006B4B08">
        <w:t xml:space="preserve">  </w:t>
      </w:r>
      <w:r w:rsidRPr="006B4B08" w:rsidR="006B4B08">
        <w:t>NYPA states that Schedule D2 would also include new rows to accommodate the Propel NY capital structure.</w:t>
      </w:r>
      <w:r>
        <w:rPr>
          <w:rStyle w:val="FootnoteReference"/>
        </w:rPr>
        <w:footnoteReference w:id="13"/>
      </w:r>
      <w:r w:rsidRPr="006B4B08" w:rsidR="006B4B08">
        <w:t xml:space="preserve">  NYPA also proposes Template modifications to include Propel NY on the Transmission Revenue Requirement Summary tab, Schedule F1 (Project Revenue Requirement Worksheet), Schedule F3 (Project True-Up), Workpaper BJ (Individual Projects - Plant in Service and Depreciation) and Workpaper BJ (Support).  NYPA </w:t>
      </w:r>
      <w:r w:rsidR="00E9106B">
        <w:t xml:space="preserve">      </w:t>
      </w:r>
      <w:r w:rsidR="000E093A">
        <w:t xml:space="preserve">also </w:t>
      </w:r>
      <w:r w:rsidRPr="006B4B08" w:rsidR="006B4B08">
        <w:t>proposes to add the Smart Path Connect project to Schedule F3 to separately show its True-Up amount and to consistently identify the Smart Path Connect project on Schedule F1, which currently shows that project’s revenue requirement.</w:t>
      </w:r>
    </w:p>
    <w:p w:rsidR="00C1732B" w:rsidP="00E9106B">
      <w:pPr>
        <w:pStyle w:val="FERCparanumber"/>
        <w:ind w:right="-270"/>
      </w:pPr>
      <w:r>
        <w:t>NYPA also propose</w:t>
      </w:r>
      <w:r w:rsidR="000E093A">
        <w:t xml:space="preserve">s a </w:t>
      </w:r>
      <w:r>
        <w:t xml:space="preserve">new </w:t>
      </w:r>
      <w:r w:rsidR="00A30361">
        <w:t>section</w:t>
      </w:r>
      <w:r w:rsidR="000E093A">
        <w:t xml:space="preserve"> </w:t>
      </w:r>
      <w:r w:rsidRPr="00A30361" w:rsidR="00A30361">
        <w:t>14.2.3.2.11 of the Protocols to effectuate the cost containment mechanism for Propel NY</w:t>
      </w:r>
      <w:r w:rsidR="00A30361">
        <w:t>.</w:t>
      </w:r>
      <w:r>
        <w:rPr>
          <w:rStyle w:val="FootnoteReference"/>
        </w:rPr>
        <w:footnoteReference w:id="14"/>
      </w:r>
      <w:r w:rsidRPr="00A30361" w:rsidR="00A30361">
        <w:t xml:space="preserve">  </w:t>
      </w:r>
      <w:r w:rsidR="00E04368">
        <w:t xml:space="preserve">NYPA </w:t>
      </w:r>
      <w:r w:rsidR="00E47D6B">
        <w:t xml:space="preserve">states </w:t>
      </w:r>
      <w:r w:rsidR="00E04368">
        <w:t>that</w:t>
      </w:r>
      <w:r w:rsidR="00E47D6B">
        <w:t xml:space="preserve"> </w:t>
      </w:r>
      <w:r w:rsidR="00E04368">
        <w:t xml:space="preserve">proposed section </w:t>
      </w:r>
      <w:r w:rsidRPr="00A30361" w:rsidR="00E04368">
        <w:t xml:space="preserve">14.2.3.2.11 </w:t>
      </w:r>
      <w:r w:rsidR="00E9106B">
        <w:t xml:space="preserve">  </w:t>
      </w:r>
      <w:r w:rsidRPr="00A30361" w:rsidR="00E04368">
        <w:t xml:space="preserve">of the Protocols </w:t>
      </w:r>
      <w:r w:rsidR="00E04368">
        <w:t>e</w:t>
      </w:r>
      <w:r w:rsidRPr="00E04368" w:rsidR="00E04368">
        <w:t xml:space="preserve">nsures that NYPA shall not recover 20% of any amount of its financial ownership share of the “Included Capital Costs” that exceed NYPA’s financial ownership share of the cost cap, except for amounts attributable to certain excusing conditions permitted by </w:t>
      </w:r>
      <w:r w:rsidR="00D006D6">
        <w:t>s</w:t>
      </w:r>
      <w:r w:rsidRPr="00E04368" w:rsidR="00D006D6">
        <w:t>ection</w:t>
      </w:r>
      <w:r w:rsidRPr="00E04368" w:rsidR="00E04368">
        <w:t xml:space="preserve"> 6.10.6.2 of Rate Schedule 10 to the NYISO OATT.</w:t>
      </w:r>
      <w:r w:rsidR="00B9736B">
        <w:t xml:space="preserve">  Additionally, NYPA states </w:t>
      </w:r>
      <w:r w:rsidR="00FD683C">
        <w:t xml:space="preserve">that </w:t>
      </w:r>
      <w:r w:rsidR="00B9736B">
        <w:t>the proposed new section</w:t>
      </w:r>
      <w:r w:rsidRPr="00B9736B" w:rsidR="00B9736B">
        <w:t xml:space="preserve"> contains definitions to administer the cost containment for NYPA’s share of Propel NY, a description of the applicable incentive adders</w:t>
      </w:r>
      <w:r w:rsidR="00904C17">
        <w:t>,</w:t>
      </w:r>
      <w:r w:rsidRPr="00B9736B" w:rsidR="00B9736B">
        <w:t xml:space="preserve"> and a commitment that the total ROE inclusive of adders is bounded by the upper zone of reasonableness of NYPA’s base ROE</w:t>
      </w:r>
      <w:r w:rsidR="00B9736B">
        <w:t>.</w:t>
      </w:r>
    </w:p>
    <w:p w:rsidR="002E0E9A" w:rsidP="00E9106B">
      <w:pPr>
        <w:pStyle w:val="FERCparanumber"/>
        <w:ind w:right="-90"/>
      </w:pPr>
      <w:r>
        <w:t>NYPA also proposes to revise Attachment 2 of Rate Schedule 10 of the NYISO OATT to accommodate the facilities charge applicable to NYPA’s portion of Propel NY.</w:t>
      </w:r>
      <w:r>
        <w:rPr>
          <w:rStyle w:val="FootnoteReference"/>
        </w:rPr>
        <w:footnoteReference w:id="15"/>
      </w:r>
      <w:r w:rsidR="00013A6A">
        <w:t xml:space="preserve">  </w:t>
      </w:r>
      <w:r w:rsidR="00F0068C">
        <w:t>Further, NYPA propose</w:t>
      </w:r>
      <w:r w:rsidR="00667BA9">
        <w:t>s</w:t>
      </w:r>
      <w:r w:rsidR="00F0068C">
        <w:t xml:space="preserve"> to revise Attachment 2 of Rate Schedule 10 so it will apply to any </w:t>
      </w:r>
      <w:r w:rsidR="00595D97">
        <w:t>NYPA project subject to a Regulated Transmission Facilities Charge rate mechanism.</w:t>
      </w:r>
      <w:r w:rsidR="00AB0AD2">
        <w:t xml:space="preserve">  NYPA also proposes to include new language to</w:t>
      </w:r>
      <w:r w:rsidR="00FD683C">
        <w:t xml:space="preserve">: </w:t>
      </w:r>
      <w:r w:rsidR="00AB0AD2">
        <w:t xml:space="preserve"> (</w:t>
      </w:r>
      <w:r w:rsidR="00FD683C">
        <w:t>1</w:t>
      </w:r>
      <w:r w:rsidR="00AB0AD2">
        <w:t>) provide background on the Propel NY selection; (</w:t>
      </w:r>
      <w:r w:rsidR="00FD683C">
        <w:t>2</w:t>
      </w:r>
      <w:r w:rsidR="00AB0AD2">
        <w:t>)</w:t>
      </w:r>
      <w:r w:rsidRPr="0023591A" w:rsidR="0023591A">
        <w:t xml:space="preserve"> indicate where the Propel NY revenue requirement for NYPA is stated in the Template</w:t>
      </w:r>
      <w:r w:rsidR="00404208">
        <w:t>,</w:t>
      </w:r>
      <w:r w:rsidRPr="0023591A" w:rsidR="0023591A">
        <w:t xml:space="preserve"> including the stipulation that there is no duplicative recovery of costs as between the Propel NY revenue requirement and any other NYPA revenue requirement recovered under the NYISO OATT; and (</w:t>
      </w:r>
      <w:r w:rsidR="00FD683C">
        <w:t>3</w:t>
      </w:r>
      <w:r w:rsidRPr="0023591A" w:rsidR="0023591A">
        <w:t>) indicate that NYPA’s cost allocation for Propel NY is on a load-ratio share basis</w:t>
      </w:r>
      <w:r w:rsidR="002F7B1C">
        <w:t xml:space="preserve"> </w:t>
      </w:r>
      <w:r w:rsidRPr="002F7B1C" w:rsidR="002F7B1C">
        <w:t xml:space="preserve">in accordance with </w:t>
      </w:r>
      <w:r w:rsidR="002F7B1C">
        <w:t>s</w:t>
      </w:r>
      <w:r w:rsidRPr="002F7B1C" w:rsidR="002F7B1C">
        <w:t xml:space="preserve">ection 31.5.5.4.3 of Attachment Y to the </w:t>
      </w:r>
      <w:r w:rsidR="002F7B1C">
        <w:t>NYISO</w:t>
      </w:r>
      <w:r w:rsidRPr="002F7B1C" w:rsidR="002F7B1C">
        <w:t xml:space="preserve"> OATT</w:t>
      </w:r>
      <w:r w:rsidR="002F7B1C">
        <w:t>.</w:t>
      </w:r>
      <w:r>
        <w:rPr>
          <w:rStyle w:val="FootnoteReference"/>
        </w:rPr>
        <w:footnoteReference w:id="16"/>
      </w:r>
      <w:r w:rsidR="00BE43A1">
        <w:t xml:space="preserve"> </w:t>
      </w:r>
      <w:r w:rsidR="00B94741">
        <w:t xml:space="preserve"> </w:t>
      </w:r>
      <w:r w:rsidR="00BE43A1">
        <w:t>NYPA argues that</w:t>
      </w:r>
      <w:r w:rsidR="00FD683C">
        <w:t>,</w:t>
      </w:r>
      <w:r w:rsidR="00BE43A1">
        <w:t xml:space="preserve"> </w:t>
      </w:r>
      <w:r w:rsidR="000B5A20">
        <w:t>because the revisions</w:t>
      </w:r>
      <w:r w:rsidR="00E9106B">
        <w:t xml:space="preserve">      </w:t>
      </w:r>
      <w:r w:rsidR="000B5A20">
        <w:t xml:space="preserve"> explain the pertinent information about the Propel NY facilities charge in an orderly manner, they should be accepted by the Commission as just and reasonable.</w:t>
      </w:r>
    </w:p>
    <w:p w:rsidR="009E302C" w:rsidP="00C566DB">
      <w:pPr>
        <w:pStyle w:val="FERCparanumber"/>
      </w:pPr>
      <w:r>
        <w:t xml:space="preserve">NYPA contends that </w:t>
      </w:r>
      <w:r w:rsidRPr="009E302C">
        <w:t>Commission</w:t>
      </w:r>
      <w:r>
        <w:t xml:space="preserve">’s practice is </w:t>
      </w:r>
      <w:r w:rsidRPr="009E302C">
        <w:t>to exempt non-jurisdictional municipal utilities such as NYPA from paying applicable filing fees and from compliance</w:t>
      </w:r>
      <w:r>
        <w:t xml:space="preserve"> </w:t>
      </w:r>
      <w:r w:rsidR="008E6E09">
        <w:t xml:space="preserve">with </w:t>
      </w:r>
      <w:r>
        <w:t>s</w:t>
      </w:r>
      <w:r w:rsidRPr="008F6BB3">
        <w:t>ection 35.13 of the Commission’s regulatio</w:t>
      </w:r>
      <w:r>
        <w:t>n and therefore request</w:t>
      </w:r>
      <w:r w:rsidR="00E62511">
        <w:t>s</w:t>
      </w:r>
      <w:r>
        <w:t xml:space="preserve"> wa</w:t>
      </w:r>
      <w:r w:rsidR="00C50C3F">
        <w:t>i</w:t>
      </w:r>
      <w:r>
        <w:t>ver</w:t>
      </w:r>
      <w:r w:rsidR="0072789B">
        <w:t xml:space="preserve"> of s</w:t>
      </w:r>
      <w:r w:rsidRPr="008F6BB3" w:rsidR="0072789B">
        <w:t>ection 35.13</w:t>
      </w:r>
      <w:r>
        <w:t>.</w:t>
      </w:r>
      <w:r>
        <w:rPr>
          <w:rStyle w:val="FootnoteReference"/>
        </w:rPr>
        <w:footnoteReference w:id="17"/>
      </w:r>
      <w:r w:rsidR="0061249A">
        <w:t xml:space="preserve">  </w:t>
      </w:r>
      <w:r w:rsidRPr="00A74EB1" w:rsidR="00A74EB1">
        <w:t>NYPA also requests clarification that</w:t>
      </w:r>
      <w:r w:rsidR="00620368">
        <w:t>,</w:t>
      </w:r>
      <w:r w:rsidRPr="00A74EB1" w:rsidR="00A74EB1">
        <w:t xml:space="preserve"> as a non-jurisdictional utility</w:t>
      </w:r>
      <w:r w:rsidR="00620368">
        <w:t>,</w:t>
      </w:r>
      <w:r w:rsidRPr="00A74EB1" w:rsidR="00A74EB1">
        <w:t xml:space="preserve"> it</w:t>
      </w:r>
      <w:r w:rsidR="00E9106B">
        <w:t xml:space="preserve">   </w:t>
      </w:r>
      <w:r w:rsidRPr="00A74EB1" w:rsidR="00A74EB1">
        <w:t xml:space="preserve"> is exempt from filing FERC-730 annual reports that pertain to “public utilities that have been granted incentive rate treatment for specific transmission projects.”</w:t>
      </w:r>
      <w:r>
        <w:rPr>
          <w:rStyle w:val="FootnoteReference"/>
        </w:rPr>
        <w:footnoteReference w:id="18"/>
      </w:r>
      <w:r w:rsidR="00140100">
        <w:t xml:space="preserve">  </w:t>
      </w:r>
      <w:r w:rsidRPr="00557845" w:rsidR="00140100">
        <w:t xml:space="preserve">Additionally, NYPA states that subpart (3) of Section 35.35(h) states that the Commission may waive the FERC-730 </w:t>
      </w:r>
      <w:r w:rsidR="001C57B0">
        <w:t xml:space="preserve">annual reporting </w:t>
      </w:r>
      <w:r w:rsidRPr="00557845" w:rsidR="00140100">
        <w:t>requirement for good cause.  NYPA requests</w:t>
      </w:r>
      <w:r w:rsidR="00DA10B6">
        <w:t xml:space="preserve">, </w:t>
      </w:r>
      <w:r w:rsidRPr="00557845" w:rsidR="00140100">
        <w:t xml:space="preserve">if necessary, waiver of this provision </w:t>
      </w:r>
      <w:r w:rsidR="00DA10B6">
        <w:t>because</w:t>
      </w:r>
      <w:r w:rsidRPr="00557845" w:rsidR="00DA10B6">
        <w:t xml:space="preserve"> </w:t>
      </w:r>
      <w:r w:rsidRPr="00557845" w:rsidR="00140100">
        <w:t xml:space="preserve">it is a state instrumentality within the definition of section 201(f) of the FPA, and thus exempt from the requirements of </w:t>
      </w:r>
      <w:r w:rsidR="00E9106B">
        <w:t xml:space="preserve">  </w:t>
      </w:r>
      <w:r w:rsidRPr="00557845" w:rsidR="00140100">
        <w:t>Section 35.35(h)</w:t>
      </w:r>
      <w:r w:rsidR="003F4B2D">
        <w:t>,</w:t>
      </w:r>
      <w:r w:rsidRPr="00557845" w:rsidR="00140100">
        <w:t xml:space="preserve"> which also resides under Part II of the FPA.</w:t>
      </w:r>
      <w:r w:rsidR="007F528A">
        <w:t xml:space="preserve">  </w:t>
      </w:r>
      <w:r w:rsidRPr="007F528A" w:rsidR="007F528A">
        <w:t>NYPA also requests</w:t>
      </w:r>
      <w:r w:rsidR="00E9106B">
        <w:t xml:space="preserve">     </w:t>
      </w:r>
      <w:r w:rsidRPr="007F528A" w:rsidR="007F528A">
        <w:t xml:space="preserve"> that the Commission grant waiver of any other requirements of its regulations </w:t>
      </w:r>
      <w:r w:rsidR="002C5E51">
        <w:t>to the extent necessary to permit the proposed tariff modifications to become effective</w:t>
      </w:r>
      <w:r w:rsidRPr="007F528A" w:rsidR="007F528A">
        <w:t>.</w:t>
      </w:r>
      <w:r>
        <w:rPr>
          <w:rStyle w:val="FootnoteReference"/>
        </w:rPr>
        <w:footnoteReference w:id="19"/>
      </w:r>
    </w:p>
    <w:p w:rsidR="00557845" w:rsidRPr="00557845" w:rsidP="00557845">
      <w:pPr>
        <w:pStyle w:val="FERCparanumber"/>
      </w:pPr>
      <w:r w:rsidRPr="002E0E9A">
        <w:t>NYPA requests that the Commission accept the proposed changes without suspension or hearing, so that they may become effective after the end of the 60-day statutory notice period, or February 4, 2025</w:t>
      </w:r>
      <w:r>
        <w:t>.</w:t>
      </w:r>
      <w:r>
        <w:rPr>
          <w:rStyle w:val="FootnoteReference"/>
        </w:rPr>
        <w:footnoteReference w:id="20"/>
      </w:r>
    </w:p>
    <w:p w:rsidR="000B5A20" w:rsidP="00E9106B">
      <w:pPr>
        <w:pStyle w:val="FERCparanumber"/>
        <w:ind w:right="-270"/>
      </w:pPr>
      <w:r w:rsidRPr="009E0881">
        <w:t>Notice of NYPA’s filing was published in the </w:t>
      </w:r>
      <w:r w:rsidRPr="009E0881">
        <w:rPr>
          <w:i/>
        </w:rPr>
        <w:t>Federal Register</w:t>
      </w:r>
      <w:r w:rsidRPr="009E0881">
        <w:t xml:space="preserve">, 89 Fed. Reg. </w:t>
      </w:r>
      <w:r w:rsidR="00587612">
        <w:t>100477</w:t>
      </w:r>
      <w:r w:rsidRPr="009E0881">
        <w:t xml:space="preserve"> (</w:t>
      </w:r>
      <w:r w:rsidR="004B007A">
        <w:t>Dec</w:t>
      </w:r>
      <w:r w:rsidR="006F2F23">
        <w:t>.</w:t>
      </w:r>
      <w:r w:rsidR="004B007A">
        <w:t xml:space="preserve"> 12</w:t>
      </w:r>
      <w:r w:rsidRPr="009E0881">
        <w:t xml:space="preserve">, 2024), with interventions and protests due on or before </w:t>
      </w:r>
      <w:r w:rsidR="007F6B46">
        <w:t>December 27</w:t>
      </w:r>
      <w:r w:rsidRPr="009E0881">
        <w:t xml:space="preserve">, 2024.  </w:t>
      </w:r>
      <w:r w:rsidR="002511A3">
        <w:t>Consolidated Edison Company of New York, Inc.</w:t>
      </w:r>
      <w:r w:rsidR="003A3AD1">
        <w:t xml:space="preserve">, Orange and Rockland Utilities, Inc., and </w:t>
      </w:r>
      <w:r w:rsidR="000F6A40">
        <w:t>NY</w:t>
      </w:r>
      <w:r w:rsidR="003A3AD1">
        <w:t xml:space="preserve"> Transco</w:t>
      </w:r>
      <w:r w:rsidR="002511A3">
        <w:t xml:space="preserve"> </w:t>
      </w:r>
      <w:r w:rsidR="00727D72">
        <w:t xml:space="preserve">each </w:t>
      </w:r>
      <w:r w:rsidR="002511A3">
        <w:t xml:space="preserve">filed </w:t>
      </w:r>
      <w:r w:rsidR="00D95B75">
        <w:t>timely motions of intervention.</w:t>
      </w:r>
      <w:r w:rsidRPr="009E0881">
        <w:t xml:space="preserve">  No protests or comments were filed.</w:t>
      </w:r>
    </w:p>
    <w:p w:rsidR="002B311D" w:rsidRPr="00CE425C" w:rsidP="007F1F85">
      <w:pPr>
        <w:pStyle w:val="FERCparanumber"/>
      </w:pPr>
      <w:r>
        <w:t xml:space="preserve">We </w:t>
      </w:r>
      <w:r w:rsidR="00BB7162">
        <w:t xml:space="preserve">accept </w:t>
      </w:r>
      <w:r>
        <w:t xml:space="preserve">NYPA’s revisions to </w:t>
      </w:r>
      <w:r w:rsidR="00142A61">
        <w:t>its Formula Rate</w:t>
      </w:r>
      <w:r w:rsidR="007733A1">
        <w:t>,</w:t>
      </w:r>
      <w:r w:rsidR="00142A61">
        <w:t xml:space="preserve"> </w:t>
      </w:r>
      <w:r w:rsidR="00BB7162">
        <w:t>effective February 4, 2025</w:t>
      </w:r>
      <w:r w:rsidR="007733A1">
        <w:t>, as requested</w:t>
      </w:r>
      <w:r>
        <w:t xml:space="preserve">.  </w:t>
      </w:r>
      <w:r w:rsidR="00AB5055">
        <w:t xml:space="preserve">In the July Order, the Commission </w:t>
      </w:r>
      <w:r w:rsidRPr="00B9299F" w:rsidR="00B9299F">
        <w:t>conditionally grant</w:t>
      </w:r>
      <w:r w:rsidR="007733A1">
        <w:t>ed</w:t>
      </w:r>
      <w:r w:rsidRPr="00B9299F" w:rsidR="00B9299F">
        <w:t xml:space="preserve"> NYPA’s request for a 75-basis point ROE Risk Incentive for its investments in Propel NY</w:t>
      </w:r>
      <w:r w:rsidR="00455474">
        <w:t xml:space="preserve">, subject to </w:t>
      </w:r>
      <w:r w:rsidR="00B73AC3">
        <w:t xml:space="preserve">NYPA </w:t>
      </w:r>
      <w:r w:rsidR="001762D0">
        <w:t>filing its proposed</w:t>
      </w:r>
      <w:r w:rsidR="00B9299F">
        <w:t xml:space="preserve"> </w:t>
      </w:r>
      <w:r w:rsidRPr="00BF5EDC" w:rsidR="00BF5EDC">
        <w:rPr>
          <w:bCs/>
        </w:rPr>
        <w:t>cost containment mechanism in its rates.</w:t>
      </w:r>
      <w:r>
        <w:rPr>
          <w:rStyle w:val="FootnoteReference"/>
          <w:bCs/>
        </w:rPr>
        <w:footnoteReference w:id="21"/>
      </w:r>
      <w:r w:rsidR="00AB6A9C">
        <w:rPr>
          <w:bCs/>
        </w:rPr>
        <w:t xml:space="preserve">  Here, NYPA </w:t>
      </w:r>
      <w:r w:rsidR="00A018AE">
        <w:rPr>
          <w:bCs/>
        </w:rPr>
        <w:t>implements</w:t>
      </w:r>
      <w:r w:rsidR="00AB6A9C">
        <w:rPr>
          <w:bCs/>
        </w:rPr>
        <w:t xml:space="preserve"> </w:t>
      </w:r>
      <w:r w:rsidR="00AF0BDF">
        <w:rPr>
          <w:bCs/>
        </w:rPr>
        <w:t xml:space="preserve">that </w:t>
      </w:r>
      <w:r w:rsidR="00AB6A9C">
        <w:rPr>
          <w:bCs/>
        </w:rPr>
        <w:t>cost containment mechanism, which is consistent with the NYISO Tariff.</w:t>
      </w:r>
      <w:r>
        <w:rPr>
          <w:rStyle w:val="FootnoteReference"/>
          <w:bCs/>
        </w:rPr>
        <w:footnoteReference w:id="22"/>
      </w:r>
      <w:r w:rsidR="00AB6A9C">
        <w:rPr>
          <w:bCs/>
        </w:rPr>
        <w:t xml:space="preserve">  </w:t>
      </w:r>
      <w:r w:rsidR="00A018AE">
        <w:rPr>
          <w:bCs/>
        </w:rPr>
        <w:t xml:space="preserve">We also note that </w:t>
      </w:r>
      <w:r w:rsidR="00CE425C">
        <w:t>NYPA commits</w:t>
      </w:r>
      <w:r w:rsidRPr="00B9736B" w:rsidR="00CE425C">
        <w:t xml:space="preserve"> that the total ROE inclusive of adders is bounded by the upper zone of reasonableness of NYPA’s base ROE</w:t>
      </w:r>
      <w:r w:rsidR="00D91D66">
        <w:t xml:space="preserve">.  We therefore find </w:t>
      </w:r>
      <w:r w:rsidR="003D55C6">
        <w:t>that</w:t>
      </w:r>
      <w:r w:rsidR="00D91D66">
        <w:t xml:space="preserve"> NYPA’s revisions to its Formula Rate </w:t>
      </w:r>
      <w:r w:rsidR="003D55C6">
        <w:t xml:space="preserve">are </w:t>
      </w:r>
      <w:r w:rsidR="00D91D66">
        <w:t>just and reasonabl</w:t>
      </w:r>
      <w:r w:rsidR="00D77E17">
        <w:t>e.</w:t>
      </w:r>
      <w:r w:rsidR="004862D0">
        <w:t xml:space="preserve">  We also </w:t>
      </w:r>
      <w:r w:rsidR="002B6A42">
        <w:t xml:space="preserve">accept </w:t>
      </w:r>
      <w:r w:rsidR="004862D0">
        <w:t>the propose</w:t>
      </w:r>
      <w:r w:rsidR="003703BD">
        <w:t>d</w:t>
      </w:r>
      <w:r w:rsidR="004862D0">
        <w:t xml:space="preserve"> </w:t>
      </w:r>
      <w:r w:rsidR="003703BD">
        <w:t>revisions to</w:t>
      </w:r>
      <w:r w:rsidR="004862D0">
        <w:t xml:space="preserve"> Attachment 2 of Rate Schedule 10 of the NYISO OATT</w:t>
      </w:r>
      <w:r w:rsidR="002B6A42">
        <w:t xml:space="preserve">.  We find them to be just and reasonable </w:t>
      </w:r>
      <w:r w:rsidR="007D6297">
        <w:t>because</w:t>
      </w:r>
      <w:r w:rsidR="007E03CB">
        <w:t xml:space="preserve"> they explain the pertinent information about the Propel NY facilities charge.</w:t>
      </w:r>
    </w:p>
    <w:p w:rsidR="00032366" w:rsidP="000A69B3">
      <w:pPr>
        <w:pStyle w:val="FERCparanumber"/>
      </w:pPr>
      <w:r w:rsidRPr="00032366">
        <w:t>We grant NYPA’s requested waiver of section 35.13 of the Commission’s regulations</w:t>
      </w:r>
      <w:r w:rsidR="00A26AC0">
        <w:t>.</w:t>
      </w:r>
    </w:p>
    <w:p w:rsidR="00223E9B" w:rsidP="00D80971">
      <w:pPr>
        <w:pStyle w:val="FERCparanumber"/>
      </w:pPr>
      <w:r>
        <w:t xml:space="preserve">We also </w:t>
      </w:r>
      <w:r w:rsidR="00DD71C4">
        <w:t>clarify that</w:t>
      </w:r>
      <w:r>
        <w:t xml:space="preserve"> </w:t>
      </w:r>
      <w:r w:rsidR="00DD71C4">
        <w:t>NYPA is not subject to</w:t>
      </w:r>
      <w:r>
        <w:t xml:space="preserve"> the </w:t>
      </w:r>
      <w:r w:rsidRPr="00557845" w:rsidR="001C57B0">
        <w:t xml:space="preserve">FERC-730 </w:t>
      </w:r>
      <w:r w:rsidR="001C57B0">
        <w:t xml:space="preserve">annual reporting </w:t>
      </w:r>
      <w:r>
        <w:t>requirements of section 35.35(h) of the Commission’s regulations.</w:t>
      </w:r>
      <w:r>
        <w:rPr>
          <w:rStyle w:val="FootnoteReference"/>
        </w:rPr>
        <w:footnoteReference w:id="23"/>
      </w:r>
    </w:p>
    <w:p w:rsidR="00C1732B" w:rsidRPr="009F3F1F" w:rsidP="00E9106B">
      <w:pPr>
        <w:ind w:firstLine="720"/>
      </w:pPr>
      <w:r w:rsidRPr="009F3F1F">
        <w:t>By direction of the Commission</w:t>
      </w:r>
      <w:r w:rsidR="001A5ABC">
        <w:t>.</w:t>
      </w:r>
    </w:p>
    <w:p w:rsidR="00C1732B" w:rsidP="00E9106B">
      <w:pPr>
        <w:widowControl/>
      </w:pPr>
      <w:r w:rsidRPr="009F3F1F">
        <w:tab/>
        <w:tab/>
        <w:tab/>
        <w:tab/>
        <w:tab/>
        <w:tab/>
        <w:tab/>
        <w:tab/>
        <w:tab/>
      </w:r>
    </w:p>
    <w:p w:rsidR="00E9106B" w:rsidP="00E9106B">
      <w:pPr>
        <w:widowControl/>
      </w:pPr>
    </w:p>
    <w:p w:rsidR="00E9106B" w:rsidP="00E9106B">
      <w:pPr>
        <w:widowControl/>
      </w:pPr>
    </w:p>
    <w:p w:rsidR="00E9106B" w:rsidP="00E9106B">
      <w:pPr>
        <w:widowControl/>
      </w:pPr>
    </w:p>
    <w:p w:rsidR="00E9106B" w:rsidRPr="00E9106B" w:rsidP="00E9106B">
      <w:pPr>
        <w:widowControl/>
        <w:ind w:firstLine="2174"/>
        <w:jc w:val="center"/>
      </w:pPr>
      <w:r w:rsidRPr="00E9106B">
        <w:t>Carlos D. Clay,</w:t>
      </w:r>
    </w:p>
    <w:p w:rsidR="00E9106B" w:rsidRPr="00E9106B" w:rsidP="00E9106B">
      <w:pPr>
        <w:widowControl/>
        <w:ind w:firstLine="2174"/>
        <w:jc w:val="center"/>
      </w:pPr>
      <w:r w:rsidRPr="00E9106B">
        <w:t>Deputy Secretary.</w:t>
      </w:r>
    </w:p>
    <w:p w:rsidR="00E9106B" w:rsidRPr="009F3F1F" w:rsidP="00E9106B">
      <w:pPr>
        <w:widowControl/>
      </w:pPr>
    </w:p>
    <w:p w:rsidR="00C1732B" w:rsidRPr="0003382F" w:rsidP="00716CF4"/>
    <w:p w:rsidR="00FF32A1" w:rsidRPr="0003382F" w:rsidP="000D7E4E">
      <w:pPr>
        <w:pStyle w:val="FootnoteText"/>
        <w:ind w:firstLine="0"/>
      </w:pPr>
    </w:p>
    <w:sectPr w:rsidSect="00C1732B">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BEB" w:rsidP="0048020B">
      <w:r>
        <w:separator/>
      </w:r>
    </w:p>
  </w:endnote>
  <w:endnote w:type="continuationSeparator" w:id="1">
    <w:p w:rsidR="00817BEB" w:rsidP="0048020B">
      <w:r>
        <w:continuationSeparator/>
      </w:r>
    </w:p>
  </w:endnote>
  <w:endnote w:type="continuationNotice" w:id="2">
    <w:p w:rsidR="00817B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BEB" w:rsidP="0048020B">
      <w:r>
        <w:separator/>
      </w:r>
    </w:p>
  </w:footnote>
  <w:footnote w:type="continuationSeparator" w:id="1">
    <w:p w:rsidR="00817BEB" w:rsidP="0048020B">
      <w:r>
        <w:continuationSeparator/>
      </w:r>
    </w:p>
  </w:footnote>
  <w:footnote w:type="continuationNotice" w:id="2">
    <w:p w:rsidR="00817BEB" w:rsidRPr="00125572">
      <w:pPr>
        <w:spacing w:line="14" w:lineRule="exact"/>
        <w:rPr>
          <w:sz w:val="2"/>
        </w:rPr>
      </w:pPr>
    </w:p>
  </w:footnote>
  <w:footnote w:id="3">
    <w:p w:rsidR="001A05B9" w:rsidRPr="00904C28" w:rsidP="001A05B9">
      <w:pPr>
        <w:pStyle w:val="FootnoteText"/>
      </w:pPr>
      <w:r w:rsidRPr="00904C28">
        <w:rPr>
          <w:rStyle w:val="FootnoteReference"/>
        </w:rPr>
        <w:footnoteRef/>
      </w:r>
      <w:r w:rsidRPr="00904C28">
        <w:t xml:space="preserve"> 16 U.S.C. § 824d.</w:t>
      </w:r>
    </w:p>
  </w:footnote>
  <w:footnote w:id="4">
    <w:p w:rsidR="001A05B9" w:rsidRPr="00904C28" w:rsidP="001A05B9">
      <w:pPr>
        <w:pStyle w:val="FootnoteText"/>
      </w:pPr>
      <w:r w:rsidRPr="00904C28">
        <w:rPr>
          <w:rStyle w:val="FootnoteReference"/>
        </w:rPr>
        <w:footnoteRef/>
      </w:r>
      <w:r w:rsidRPr="00904C28">
        <w:t xml:space="preserve"> 18 C.F.R. pt. 35 (202</w:t>
      </w:r>
      <w:r w:rsidR="002343E5">
        <w:t>4</w:t>
      </w:r>
      <w:r w:rsidRPr="00904C28">
        <w:t>).</w:t>
      </w:r>
    </w:p>
  </w:footnote>
  <w:footnote w:id="5">
    <w:p w:rsidR="00DC419A">
      <w:pPr>
        <w:pStyle w:val="FootnoteText"/>
      </w:pPr>
      <w:r>
        <w:rPr>
          <w:rStyle w:val="FootnoteReference"/>
        </w:rPr>
        <w:footnoteRef/>
      </w:r>
      <w:r>
        <w:t xml:space="preserve"> </w:t>
      </w:r>
      <w:r w:rsidR="002343E5">
        <w:t xml:space="preserve">Filing, </w:t>
      </w:r>
      <w:r>
        <w:t xml:space="preserve">Transmittal Letter at 1 (citing </w:t>
      </w:r>
      <w:r w:rsidRPr="00564C84" w:rsidR="00564C84">
        <w:rPr>
          <w:i/>
          <w:iCs/>
        </w:rPr>
        <w:t>N</w:t>
      </w:r>
      <w:r w:rsidR="002343E5">
        <w:rPr>
          <w:i/>
          <w:iCs/>
        </w:rPr>
        <w:t xml:space="preserve">. </w:t>
      </w:r>
      <w:r w:rsidRPr="00564C84" w:rsidR="00564C84">
        <w:rPr>
          <w:i/>
          <w:iCs/>
        </w:rPr>
        <w:t>Y</w:t>
      </w:r>
      <w:r w:rsidR="002343E5">
        <w:rPr>
          <w:i/>
          <w:iCs/>
        </w:rPr>
        <w:t>.</w:t>
      </w:r>
      <w:r w:rsidRPr="00564C84" w:rsidR="00564C84">
        <w:rPr>
          <w:i/>
          <w:iCs/>
        </w:rPr>
        <w:t xml:space="preserve"> Power Auth.</w:t>
      </w:r>
      <w:r w:rsidRPr="00564C84" w:rsidR="00564C84">
        <w:t>, 188 FERC ¶ 61,022 (2024) (July Order)</w:t>
      </w:r>
      <w:r w:rsidR="00564C84">
        <w:t>).</w:t>
      </w:r>
    </w:p>
  </w:footnote>
  <w:footnote w:id="6">
    <w:p w:rsidR="007B5527">
      <w:pPr>
        <w:pStyle w:val="FootnoteText"/>
      </w:pPr>
      <w:r>
        <w:rPr>
          <w:rStyle w:val="FootnoteReference"/>
        </w:rPr>
        <w:footnoteRef/>
      </w:r>
      <w:r>
        <w:t xml:space="preserve"> </w:t>
      </w:r>
      <w:r w:rsidRPr="00404459" w:rsidR="00365A64">
        <w:rPr>
          <w:i/>
          <w:iCs/>
        </w:rPr>
        <w:t>Id.</w:t>
      </w:r>
      <w:r w:rsidR="002017B1">
        <w:t xml:space="preserve"> at 2.</w:t>
      </w:r>
    </w:p>
  </w:footnote>
  <w:footnote w:id="7">
    <w:p w:rsidR="00BF3F7E" w:rsidRPr="00AE0D75" w:rsidP="00BF3F7E">
      <w:pPr>
        <w:pStyle w:val="FootnoteText"/>
        <w:rPr>
          <w:szCs w:val="26"/>
        </w:rPr>
      </w:pPr>
      <w:r w:rsidRPr="00AE0D75">
        <w:rPr>
          <w:rStyle w:val="FootnoteReference"/>
          <w:szCs w:val="26"/>
        </w:rPr>
        <w:footnoteRef/>
      </w:r>
      <w:r w:rsidRPr="00AE0D75">
        <w:rPr>
          <w:szCs w:val="26"/>
        </w:rPr>
        <w:t xml:space="preserve"> </w:t>
      </w:r>
      <w:r w:rsidRPr="00100EAE">
        <w:rPr>
          <w:szCs w:val="26"/>
        </w:rPr>
        <w:t>16 U.S.C. §§ 796(7)</w:t>
      </w:r>
      <w:r>
        <w:rPr>
          <w:szCs w:val="26"/>
        </w:rPr>
        <w:t>,</w:t>
      </w:r>
      <w:r w:rsidRPr="00100EAE">
        <w:rPr>
          <w:szCs w:val="26"/>
        </w:rPr>
        <w:t xml:space="preserve"> 824(f).</w:t>
      </w:r>
    </w:p>
  </w:footnote>
  <w:footnote w:id="8">
    <w:p w:rsidR="003C06FB" w:rsidP="003C06FB">
      <w:pPr>
        <w:pStyle w:val="FootnoteText"/>
      </w:pPr>
      <w:r>
        <w:rPr>
          <w:rStyle w:val="FootnoteReference"/>
        </w:rPr>
        <w:footnoteRef/>
      </w:r>
      <w:r>
        <w:t xml:space="preserve"> </w:t>
      </w:r>
      <w:r w:rsidR="00404459">
        <w:t xml:space="preserve">Filing, </w:t>
      </w:r>
      <w:r>
        <w:t>Transmittal Letter at 2.</w:t>
      </w:r>
    </w:p>
  </w:footnote>
  <w:footnote w:id="9">
    <w:p w:rsidR="00BB4F1A">
      <w:pPr>
        <w:pStyle w:val="FootnoteText"/>
      </w:pPr>
      <w:r>
        <w:rPr>
          <w:rStyle w:val="FootnoteReference"/>
        </w:rPr>
        <w:footnoteRef/>
      </w:r>
      <w:r>
        <w:t xml:space="preserve"> </w:t>
      </w:r>
      <w:r w:rsidRPr="00404459" w:rsidR="00404459">
        <w:rPr>
          <w:i/>
          <w:iCs/>
        </w:rPr>
        <w:t>Id.</w:t>
      </w:r>
      <w:r w:rsidR="00404459">
        <w:rPr>
          <w:i/>
          <w:iCs/>
        </w:rPr>
        <w:t xml:space="preserve"> </w:t>
      </w:r>
      <w:r>
        <w:t>at 3.</w:t>
      </w:r>
    </w:p>
  </w:footnote>
  <w:footnote w:id="10">
    <w:p w:rsidR="00306758">
      <w:pPr>
        <w:pStyle w:val="FootnoteText"/>
      </w:pPr>
      <w:r>
        <w:rPr>
          <w:rStyle w:val="FootnoteReference"/>
        </w:rPr>
        <w:footnoteRef/>
      </w:r>
      <w:r>
        <w:t xml:space="preserve"> </w:t>
      </w:r>
      <w:r w:rsidRPr="00404459" w:rsidR="00404459">
        <w:rPr>
          <w:i/>
          <w:iCs/>
        </w:rPr>
        <w:t>Id.</w:t>
      </w:r>
      <w:r w:rsidR="00404459">
        <w:rPr>
          <w:i/>
          <w:iCs/>
        </w:rPr>
        <w:t xml:space="preserve"> </w:t>
      </w:r>
      <w:r>
        <w:t>at 3-4 (citing</w:t>
      </w:r>
      <w:r w:rsidR="0046130B">
        <w:t xml:space="preserve"> </w:t>
      </w:r>
      <w:r w:rsidRPr="0046130B" w:rsidR="0046130B">
        <w:t>July Order</w:t>
      </w:r>
      <w:r w:rsidR="0046130B">
        <w:t xml:space="preserve">, </w:t>
      </w:r>
      <w:r w:rsidRPr="00564C84" w:rsidR="0046130B">
        <w:t>188 FERC ¶ 61,022</w:t>
      </w:r>
      <w:r w:rsidR="0046130B">
        <w:t xml:space="preserve"> at </w:t>
      </w:r>
      <w:r w:rsidR="009A7D40">
        <w:t>PP 33-39)</w:t>
      </w:r>
      <w:r w:rsidR="00404459">
        <w:t>.</w:t>
      </w:r>
    </w:p>
  </w:footnote>
  <w:footnote w:id="11">
    <w:p w:rsidR="00B33267">
      <w:pPr>
        <w:pStyle w:val="FootnoteText"/>
      </w:pPr>
      <w:r>
        <w:rPr>
          <w:rStyle w:val="FootnoteReference"/>
        </w:rPr>
        <w:footnoteRef/>
      </w:r>
      <w:r>
        <w:t xml:space="preserve"> </w:t>
      </w:r>
      <w:r w:rsidRPr="00404459" w:rsidR="00435487">
        <w:rPr>
          <w:i/>
          <w:iCs/>
        </w:rPr>
        <w:t>Id.</w:t>
      </w:r>
      <w:r w:rsidR="00435487">
        <w:rPr>
          <w:i/>
          <w:iCs/>
        </w:rPr>
        <w:t xml:space="preserve"> </w:t>
      </w:r>
      <w:r>
        <w:t xml:space="preserve">at </w:t>
      </w:r>
      <w:r w:rsidR="00611EDE">
        <w:t>5</w:t>
      </w:r>
      <w:r>
        <w:t xml:space="preserve"> (citing </w:t>
      </w:r>
      <w:r w:rsidRPr="0046130B">
        <w:t>July Order</w:t>
      </w:r>
      <w:r w:rsidR="00435487">
        <w:t xml:space="preserve">, </w:t>
      </w:r>
      <w:r w:rsidRPr="00564C84" w:rsidR="00435487">
        <w:t>188 FERC ¶ 61,022</w:t>
      </w:r>
      <w:r w:rsidR="004E2D38">
        <w:t xml:space="preserve"> </w:t>
      </w:r>
      <w:r>
        <w:t>at P 3</w:t>
      </w:r>
      <w:r w:rsidR="00CD0CFB">
        <w:t>7</w:t>
      </w:r>
      <w:r>
        <w:t>)</w:t>
      </w:r>
      <w:r w:rsidR="00CD0CFB">
        <w:t xml:space="preserve"> (</w:t>
      </w:r>
      <w:r w:rsidR="007D2BA2">
        <w:t>“</w:t>
      </w:r>
      <w:r w:rsidRPr="00CD0CFB" w:rsidR="00CD0CFB">
        <w:t xml:space="preserve">While we grant the requested ROE Risk Incentive, we note NYPA’s commitment to propose in a future filing its cost containment mechanism for the Propel NY Project </w:t>
      </w:r>
      <w:r w:rsidR="00667BA9">
        <w:t>…</w:t>
      </w:r>
      <w:r w:rsidRPr="00CD0CFB" w:rsidR="00CD0CFB">
        <w:t xml:space="preserve"> NYPA should propose such changes pursuant to FPA section 205.</w:t>
      </w:r>
      <w:r w:rsidR="007D2BA2">
        <w:t>”</w:t>
      </w:r>
      <w:r w:rsidR="00181ABA">
        <w:t xml:space="preserve"> </w:t>
      </w:r>
      <w:r w:rsidR="00181ABA">
        <w:rPr>
          <w:i/>
          <w:iCs/>
        </w:rPr>
        <w:t>Id.</w:t>
      </w:r>
      <w:r w:rsidR="00181ABA">
        <w:t xml:space="preserve"> P 37 n.</w:t>
      </w:r>
      <w:r w:rsidR="00591EDE">
        <w:t>63</w:t>
      </w:r>
      <w:r w:rsidRPr="00CD0CFB" w:rsidR="00CD0CFB">
        <w:t>)</w:t>
      </w:r>
      <w:r w:rsidR="00435487">
        <w:t>.</w:t>
      </w:r>
    </w:p>
  </w:footnote>
  <w:footnote w:id="12">
    <w:p w:rsidR="00AE7E67">
      <w:pPr>
        <w:pStyle w:val="FootnoteText"/>
      </w:pPr>
      <w:r>
        <w:rPr>
          <w:rStyle w:val="FootnoteReference"/>
        </w:rPr>
        <w:footnoteRef/>
      </w:r>
      <w:r>
        <w:t xml:space="preserve"> </w:t>
      </w:r>
      <w:r w:rsidRPr="00404459" w:rsidR="00435487">
        <w:rPr>
          <w:i/>
          <w:iCs/>
        </w:rPr>
        <w:t>Id.</w:t>
      </w:r>
      <w:r w:rsidR="00435487">
        <w:rPr>
          <w:i/>
          <w:iCs/>
        </w:rPr>
        <w:t xml:space="preserve"> </w:t>
      </w:r>
      <w:r>
        <w:t xml:space="preserve">at </w:t>
      </w:r>
      <w:r w:rsidR="00D42348">
        <w:t>4.</w:t>
      </w:r>
    </w:p>
  </w:footnote>
  <w:footnote w:id="13">
    <w:p w:rsidR="006B4B08">
      <w:pPr>
        <w:pStyle w:val="FootnoteText"/>
      </w:pPr>
      <w:r>
        <w:rPr>
          <w:rStyle w:val="FootnoteReference"/>
        </w:rPr>
        <w:footnoteRef/>
      </w:r>
      <w:r>
        <w:t xml:space="preserve"> </w:t>
      </w:r>
      <w:r w:rsidRPr="00404459" w:rsidR="00435487">
        <w:rPr>
          <w:i/>
          <w:iCs/>
        </w:rPr>
        <w:t>Id.</w:t>
      </w:r>
      <w:r w:rsidR="00435487">
        <w:rPr>
          <w:i/>
          <w:iCs/>
        </w:rPr>
        <w:t xml:space="preserve"> </w:t>
      </w:r>
      <w:r>
        <w:t>at 4 n</w:t>
      </w:r>
      <w:r w:rsidR="00F918FD">
        <w:t>.</w:t>
      </w:r>
      <w:r w:rsidR="00346475">
        <w:t>18.</w:t>
      </w:r>
    </w:p>
  </w:footnote>
  <w:footnote w:id="14">
    <w:p w:rsidR="00A30361">
      <w:pPr>
        <w:pStyle w:val="FootnoteText"/>
      </w:pPr>
      <w:r>
        <w:rPr>
          <w:rStyle w:val="FootnoteReference"/>
        </w:rPr>
        <w:footnoteRef/>
      </w:r>
      <w:r>
        <w:t xml:space="preserve"> </w:t>
      </w:r>
      <w:r w:rsidRPr="00404459" w:rsidR="00435487">
        <w:rPr>
          <w:i/>
          <w:iCs/>
        </w:rPr>
        <w:t>Id.</w:t>
      </w:r>
      <w:r w:rsidR="00435487">
        <w:rPr>
          <w:i/>
          <w:iCs/>
        </w:rPr>
        <w:t xml:space="preserve"> </w:t>
      </w:r>
      <w:r>
        <w:t xml:space="preserve">at 5. </w:t>
      </w:r>
    </w:p>
  </w:footnote>
  <w:footnote w:id="15">
    <w:p w:rsidR="00DE620F">
      <w:pPr>
        <w:pStyle w:val="FootnoteText"/>
      </w:pPr>
      <w:r>
        <w:rPr>
          <w:rStyle w:val="FootnoteReference"/>
        </w:rPr>
        <w:footnoteRef/>
      </w:r>
      <w:r>
        <w:t xml:space="preserve"> </w:t>
      </w:r>
      <w:r w:rsidRPr="00404459" w:rsidR="00FD683C">
        <w:rPr>
          <w:i/>
          <w:iCs/>
        </w:rPr>
        <w:t>Id.</w:t>
      </w:r>
      <w:r w:rsidR="00FD683C">
        <w:rPr>
          <w:i/>
          <w:iCs/>
        </w:rPr>
        <w:t xml:space="preserve"> </w:t>
      </w:r>
      <w:r>
        <w:t xml:space="preserve">at 6. </w:t>
      </w:r>
    </w:p>
  </w:footnote>
  <w:footnote w:id="16">
    <w:p w:rsidR="00E128E3">
      <w:pPr>
        <w:pStyle w:val="FootnoteText"/>
      </w:pPr>
      <w:r>
        <w:rPr>
          <w:rStyle w:val="FootnoteReference"/>
        </w:rPr>
        <w:footnoteRef/>
      </w:r>
      <w:r>
        <w:t xml:space="preserve"> </w:t>
      </w:r>
      <w:r w:rsidRPr="00404459" w:rsidR="00E2368A">
        <w:rPr>
          <w:i/>
          <w:iCs/>
        </w:rPr>
        <w:t>Id.</w:t>
      </w:r>
      <w:r w:rsidR="00E2368A">
        <w:t xml:space="preserve"> </w:t>
      </w:r>
      <w:r>
        <w:t>(citing</w:t>
      </w:r>
      <w:r w:rsidRPr="00E128E3">
        <w:t xml:space="preserve"> </w:t>
      </w:r>
      <w:r w:rsidRPr="00E128E3">
        <w:rPr>
          <w:i/>
          <w:iCs/>
        </w:rPr>
        <w:t>N</w:t>
      </w:r>
      <w:r w:rsidR="00E2368A">
        <w:rPr>
          <w:i/>
          <w:iCs/>
        </w:rPr>
        <w:t>.</w:t>
      </w:r>
      <w:r w:rsidRPr="00E128E3">
        <w:rPr>
          <w:i/>
          <w:iCs/>
        </w:rPr>
        <w:t xml:space="preserve"> Y</w:t>
      </w:r>
      <w:r w:rsidR="00E2368A">
        <w:rPr>
          <w:i/>
          <w:iCs/>
        </w:rPr>
        <w:t>.</w:t>
      </w:r>
      <w:r w:rsidRPr="00E128E3">
        <w:rPr>
          <w:i/>
          <w:iCs/>
        </w:rPr>
        <w:t xml:space="preserve"> Transco LLC</w:t>
      </w:r>
      <w:r w:rsidRPr="00E128E3">
        <w:t>, 185 FERC ¶ 61,222</w:t>
      </w:r>
      <w:r w:rsidR="00E2368A">
        <w:t>,</w:t>
      </w:r>
      <w:r w:rsidRPr="00E128E3">
        <w:t xml:space="preserve"> at PP 9, 20 (2023)</w:t>
      </w:r>
      <w:r w:rsidR="00E2368A">
        <w:t>)</w:t>
      </w:r>
      <w:r w:rsidR="006A551C">
        <w:t>.</w:t>
      </w:r>
    </w:p>
  </w:footnote>
  <w:footnote w:id="17">
    <w:p w:rsidR="003E33D1" w:rsidP="00A74EB1">
      <w:pPr>
        <w:pStyle w:val="FootnoteText"/>
      </w:pPr>
      <w:r>
        <w:rPr>
          <w:rStyle w:val="FootnoteReference"/>
        </w:rPr>
        <w:footnoteRef/>
      </w:r>
      <w:r>
        <w:t xml:space="preserve"> </w:t>
      </w:r>
      <w:r w:rsidRPr="00404459" w:rsidR="00E2368A">
        <w:rPr>
          <w:i/>
          <w:iCs/>
        </w:rPr>
        <w:t>Id.</w:t>
      </w:r>
      <w:r w:rsidR="00E2368A">
        <w:rPr>
          <w:i/>
          <w:iCs/>
        </w:rPr>
        <w:t xml:space="preserve"> </w:t>
      </w:r>
      <w:r>
        <w:t xml:space="preserve">at </w:t>
      </w:r>
      <w:r w:rsidR="008A1451">
        <w:t xml:space="preserve">6-7 (citing </w:t>
      </w:r>
      <w:r w:rsidRPr="001C3A21" w:rsidR="001C3A21">
        <w:rPr>
          <w:i/>
          <w:iCs/>
        </w:rPr>
        <w:t>N.Y. Indep. Sys. Operator, Inc.</w:t>
      </w:r>
      <w:r w:rsidRPr="00F86F4C" w:rsidR="001C3A21">
        <w:t>,</w:t>
      </w:r>
      <w:r w:rsidRPr="001C3A21" w:rsidR="001C3A21">
        <w:rPr>
          <w:i/>
          <w:iCs/>
        </w:rPr>
        <w:t xml:space="preserve"> N.Y. Power Auth.</w:t>
      </w:r>
      <w:r w:rsidRPr="001C3A21" w:rsidR="001C3A21">
        <w:t>,</w:t>
      </w:r>
      <w:r w:rsidR="00E9106B">
        <w:t xml:space="preserve">                 </w:t>
      </w:r>
      <w:r w:rsidRPr="001C3A21" w:rsidR="001C3A21">
        <w:t xml:space="preserve"> 180 FERC ¶ 61,004</w:t>
      </w:r>
      <w:r w:rsidR="00A97994">
        <w:t>,</w:t>
      </w:r>
      <w:r w:rsidRPr="001C3A21" w:rsidR="001C3A21">
        <w:t xml:space="preserve"> at P 55 (2022); </w:t>
      </w:r>
      <w:r w:rsidRPr="001C3A21" w:rsidR="001C3A21">
        <w:rPr>
          <w:i/>
          <w:iCs/>
        </w:rPr>
        <w:t>N.Y. Indep. Sys. Operator, Inc.</w:t>
      </w:r>
      <w:r w:rsidRPr="00F86F4C" w:rsidR="001C3A21">
        <w:t>,</w:t>
      </w:r>
      <w:r w:rsidRPr="00560059" w:rsidR="001C3A21">
        <w:t xml:space="preserve"> </w:t>
      </w:r>
      <w:r w:rsidRPr="001C3A21" w:rsidR="001C3A21">
        <w:t>154 FERC ¶ 61,268</w:t>
      </w:r>
      <w:r w:rsidR="00560059">
        <w:t>,</w:t>
      </w:r>
      <w:r w:rsidRPr="001C3A21" w:rsidR="001C3A21">
        <w:t xml:space="preserve"> at PP 69-70 (2016); </w:t>
      </w:r>
      <w:r w:rsidRPr="001C3A21" w:rsidR="001C3A21">
        <w:rPr>
          <w:i/>
          <w:iCs/>
        </w:rPr>
        <w:t>N.Y. Indep. Sys. Operator, Inc.</w:t>
      </w:r>
      <w:r w:rsidRPr="001C3A21" w:rsidR="001C3A21">
        <w:t>, 140 FERC ¶ 61,240</w:t>
      </w:r>
      <w:r w:rsidR="00560059">
        <w:t>,</w:t>
      </w:r>
      <w:r w:rsidRPr="001C3A21" w:rsidR="001C3A21">
        <w:t xml:space="preserve"> at PP 36-37 (2012)</w:t>
      </w:r>
      <w:r w:rsidR="00560059">
        <w:t>)</w:t>
      </w:r>
      <w:r w:rsidRPr="001C3A21" w:rsidR="001C3A21">
        <w:t>.</w:t>
      </w:r>
    </w:p>
  </w:footnote>
  <w:footnote w:id="18">
    <w:p w:rsidR="00A74EB1">
      <w:pPr>
        <w:pStyle w:val="FootnoteText"/>
      </w:pPr>
      <w:r>
        <w:rPr>
          <w:rStyle w:val="FootnoteReference"/>
        </w:rPr>
        <w:footnoteRef/>
      </w:r>
      <w:r>
        <w:t xml:space="preserve"> </w:t>
      </w:r>
      <w:r w:rsidRPr="00404459" w:rsidR="00C4190A">
        <w:rPr>
          <w:i/>
          <w:iCs/>
        </w:rPr>
        <w:t>Id.</w:t>
      </w:r>
      <w:r w:rsidR="00C4190A">
        <w:rPr>
          <w:i/>
          <w:iCs/>
        </w:rPr>
        <w:t xml:space="preserve"> </w:t>
      </w:r>
      <w:r>
        <w:t>at</w:t>
      </w:r>
      <w:r w:rsidR="000E63E9">
        <w:t xml:space="preserve"> 7 </w:t>
      </w:r>
      <w:r w:rsidR="00C4190A">
        <w:t>(</w:t>
      </w:r>
      <w:r w:rsidR="000E63E9">
        <w:t xml:space="preserve">citing </w:t>
      </w:r>
      <w:r w:rsidRPr="000E63E9" w:rsidR="000E63E9">
        <w:t>18 C.F.R. § 35.35(h)</w:t>
      </w:r>
      <w:r w:rsidR="00C4190A">
        <w:t>)</w:t>
      </w:r>
      <w:r w:rsidR="00867F4F">
        <w:t>.</w:t>
      </w:r>
    </w:p>
  </w:footnote>
  <w:footnote w:id="19">
    <w:p w:rsidR="002C5E51">
      <w:pPr>
        <w:pStyle w:val="FootnoteText"/>
      </w:pPr>
      <w:r>
        <w:rPr>
          <w:rStyle w:val="FootnoteReference"/>
        </w:rPr>
        <w:footnoteRef/>
      </w:r>
      <w:r>
        <w:t xml:space="preserve"> </w:t>
      </w:r>
      <w:r w:rsidRPr="00404459" w:rsidR="00147050">
        <w:rPr>
          <w:i/>
          <w:iCs/>
        </w:rPr>
        <w:t>Id.</w:t>
      </w:r>
      <w:r w:rsidR="00147050">
        <w:rPr>
          <w:i/>
          <w:iCs/>
        </w:rPr>
        <w:t xml:space="preserve"> </w:t>
      </w:r>
      <w:r>
        <w:t>at 6.</w:t>
      </w:r>
    </w:p>
  </w:footnote>
  <w:footnote w:id="20">
    <w:p w:rsidR="002E0E9A">
      <w:pPr>
        <w:pStyle w:val="FootnoteText"/>
      </w:pPr>
      <w:r>
        <w:rPr>
          <w:rStyle w:val="FootnoteReference"/>
        </w:rPr>
        <w:footnoteRef/>
      </w:r>
      <w:r>
        <w:t xml:space="preserve"> </w:t>
      </w:r>
      <w:r w:rsidRPr="00404459" w:rsidR="00147050">
        <w:rPr>
          <w:i/>
          <w:iCs/>
        </w:rPr>
        <w:t>Id.</w:t>
      </w:r>
      <w:r w:rsidR="00147050">
        <w:rPr>
          <w:i/>
          <w:iCs/>
        </w:rPr>
        <w:t xml:space="preserve"> </w:t>
      </w:r>
      <w:r>
        <w:t>at 2.</w:t>
      </w:r>
    </w:p>
  </w:footnote>
  <w:footnote w:id="21">
    <w:p w:rsidR="00BF5EDC">
      <w:pPr>
        <w:pStyle w:val="FootnoteText"/>
      </w:pPr>
      <w:r>
        <w:rPr>
          <w:rStyle w:val="FootnoteReference"/>
        </w:rPr>
        <w:footnoteRef/>
      </w:r>
      <w:r>
        <w:t xml:space="preserve"> July Order</w:t>
      </w:r>
      <w:r w:rsidR="00596801">
        <w:t xml:space="preserve">, </w:t>
      </w:r>
      <w:r w:rsidRPr="00564C84" w:rsidR="00596801">
        <w:t>188 FERC ¶ 61,022</w:t>
      </w:r>
      <w:r w:rsidR="00596801">
        <w:t xml:space="preserve"> </w:t>
      </w:r>
      <w:r>
        <w:t>at P</w:t>
      </w:r>
      <w:r w:rsidR="001762D0">
        <w:t xml:space="preserve"> </w:t>
      </w:r>
      <w:r>
        <w:t>36</w:t>
      </w:r>
      <w:r w:rsidR="001762D0">
        <w:t>.</w:t>
      </w:r>
    </w:p>
  </w:footnote>
  <w:footnote w:id="22">
    <w:p w:rsidR="00832DE0">
      <w:pPr>
        <w:pStyle w:val="FootnoteText"/>
      </w:pPr>
      <w:r>
        <w:rPr>
          <w:rStyle w:val="FootnoteReference"/>
        </w:rPr>
        <w:footnoteRef/>
      </w:r>
      <w:r>
        <w:t xml:space="preserve"> </w:t>
      </w:r>
      <w:r w:rsidR="001A5ABC">
        <w:t xml:space="preserve">NYISO, NYISO Tariffs, NYISO OATT, </w:t>
      </w:r>
      <w:r w:rsidRPr="00832DE0" w:rsidR="001A5ABC">
        <w:t xml:space="preserve">Rate Schedule 10 </w:t>
      </w:r>
      <w:r w:rsidR="001A5ABC">
        <w:t>(</w:t>
      </w:r>
      <w:r w:rsidRPr="00691923" w:rsidR="001A5ABC">
        <w:t>Rate Mechanism for the Recovery of the Regulated Transmission Facilities Charge</w:t>
      </w:r>
      <w:r w:rsidR="001A5ABC">
        <w:rPr>
          <w:b/>
          <w:bCs/>
        </w:rPr>
        <w:t xml:space="preserve">) </w:t>
      </w:r>
      <w:r w:rsidRPr="000E63E9" w:rsidR="001A5ABC">
        <w:t>§</w:t>
      </w:r>
      <w:r w:rsidRPr="00832DE0" w:rsidR="001A5ABC">
        <w:t>6.10</w:t>
      </w:r>
      <w:r w:rsidR="001A5ABC">
        <w:t xml:space="preserve"> (19.0.0), </w:t>
      </w:r>
      <w:r w:rsidRPr="000E63E9" w:rsidR="001A5ABC">
        <w:t>§</w:t>
      </w:r>
      <w:r w:rsidRPr="00832DE0" w:rsidR="001A5ABC">
        <w:t>6.10.6.3</w:t>
      </w:r>
      <w:r w:rsidR="001A5ABC">
        <w:t>.</w:t>
      </w:r>
    </w:p>
  </w:footnote>
  <w:footnote w:id="23">
    <w:p w:rsidR="00EE049A" w:rsidP="00EE049A">
      <w:pPr>
        <w:pStyle w:val="FootnoteText"/>
      </w:pPr>
      <w:r>
        <w:rPr>
          <w:rStyle w:val="FootnoteReference"/>
        </w:rPr>
        <w:footnoteRef/>
      </w:r>
      <w:r>
        <w:t xml:space="preserve"> </w:t>
      </w:r>
      <w:r w:rsidRPr="00780165">
        <w:rPr>
          <w:i/>
          <w:iCs/>
        </w:rPr>
        <w:t>Promoting Transmission Inv. through Pricing Reform</w:t>
      </w:r>
      <w:r w:rsidRPr="00780165">
        <w:t>, Order No. 679, 116 FERC ¶ 61,057</w:t>
      </w:r>
      <w:r>
        <w:t>, at P 372</w:t>
      </w:r>
      <w:r w:rsidRPr="00780165">
        <w:t xml:space="preserve">, </w:t>
      </w:r>
      <w:r w:rsidRPr="00780165">
        <w:rPr>
          <w:i/>
          <w:iCs/>
        </w:rPr>
        <w:t>order on reh’g</w:t>
      </w:r>
      <w:r w:rsidRPr="00780165">
        <w:t xml:space="preserve">, Order No. 679-A, 117 FERC ¶ 61,345 (2006), </w:t>
      </w:r>
      <w:r w:rsidRPr="00780165">
        <w:rPr>
          <w:i/>
          <w:iCs/>
        </w:rPr>
        <w:t>order on reh’g</w:t>
      </w:r>
      <w:r w:rsidRPr="00780165">
        <w:t>, 119 FERC ¶ 61,062 (2007)</w:t>
      </w:r>
      <w:r>
        <w:t xml:space="preserve"> (“</w:t>
      </w:r>
      <w:r w:rsidRPr="00F0008A">
        <w:t>Since this</w:t>
      </w:r>
      <w:r>
        <w:t xml:space="preserve"> </w:t>
      </w:r>
      <w:r w:rsidRPr="00F0008A">
        <w:t>rulemaking applies to public utilities and incentives are being permitted pursuant to</w:t>
      </w:r>
      <w:r>
        <w:t xml:space="preserve"> </w:t>
      </w:r>
      <w:r w:rsidR="00D004E8">
        <w:t xml:space="preserve">[FPA] </w:t>
      </w:r>
      <w:r w:rsidRPr="00F0008A">
        <w:t>sections 219 and 205, which pertain to public utilities, we will not require information</w:t>
      </w:r>
      <w:r>
        <w:t xml:space="preserve"> </w:t>
      </w:r>
      <w:r w:rsidRPr="00F0008A">
        <w:t xml:space="preserve">from entities that are </w:t>
      </w:r>
      <w:r w:rsidR="00E9106B">
        <w:t xml:space="preserve">   </w:t>
      </w:r>
      <w:r w:rsidRPr="00F0008A">
        <w:t>not jurisdictional under section 205, although such entities are</w:t>
      </w:r>
      <w:r>
        <w:t xml:space="preserve"> </w:t>
      </w:r>
      <w:r w:rsidRPr="00F0008A">
        <w:t>encouraged to voluntarily provide this information.</w:t>
      </w:r>
      <w:r>
        <w:t>”)</w:t>
      </w:r>
      <w:r w:rsidRPr="0078016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1732B">
    <w:pPr>
      <w:pStyle w:val="Header"/>
      <w:tabs>
        <w:tab w:val="clear" w:pos="4680"/>
      </w:tabs>
      <w:spacing w:after="240"/>
    </w:pPr>
    <w:r>
      <w:t xml:space="preserve">Docket No. ER25-676-000 </w:t>
      <w:tab/>
    </w:r>
    <w:r>
      <w:fldChar w:fldCharType="begin"/>
    </w:r>
    <w:r>
      <w:instrText xml:space="preserve"> PAGE  \* MERGEFORMAT </w:instrText>
    </w:r>
    <w:r>
      <w:fldChar w:fldCharType="separate"/>
    </w:r>
    <w:r>
      <w:rPr>
        <w:noProof/>
      </w:rPr>
      <w:t>- 5 -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EA86BCF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footnotePr>
    <w:footnote w:id="0"/>
    <w:footnote w:id="1"/>
    <w:footnote w:id="2"/>
  </w:footnotePr>
  <w:endnotePr>
    <w:endnote w:id="0"/>
    <w:endnote w:id="1"/>
    <w:endnote w:id="2"/>
  </w:endnotePr>
  <w:compat/>
  <w:rsids>
    <w:rsidRoot w:val="00C1732B"/>
    <w:rsid w:val="00003340"/>
    <w:rsid w:val="0000557A"/>
    <w:rsid w:val="0000731D"/>
    <w:rsid w:val="00010D97"/>
    <w:rsid w:val="00010FA6"/>
    <w:rsid w:val="000118C8"/>
    <w:rsid w:val="00013A6A"/>
    <w:rsid w:val="000143AA"/>
    <w:rsid w:val="000162E6"/>
    <w:rsid w:val="0002042F"/>
    <w:rsid w:val="00022A33"/>
    <w:rsid w:val="0002355F"/>
    <w:rsid w:val="00025DD3"/>
    <w:rsid w:val="00026815"/>
    <w:rsid w:val="00032366"/>
    <w:rsid w:val="00032995"/>
    <w:rsid w:val="0003382F"/>
    <w:rsid w:val="00036224"/>
    <w:rsid w:val="00036F83"/>
    <w:rsid w:val="0003765A"/>
    <w:rsid w:val="000428C4"/>
    <w:rsid w:val="00043268"/>
    <w:rsid w:val="00043694"/>
    <w:rsid w:val="0004540E"/>
    <w:rsid w:val="0004624A"/>
    <w:rsid w:val="0005135D"/>
    <w:rsid w:val="000550DC"/>
    <w:rsid w:val="00055F5F"/>
    <w:rsid w:val="0006117F"/>
    <w:rsid w:val="00062732"/>
    <w:rsid w:val="00062A83"/>
    <w:rsid w:val="00066FC7"/>
    <w:rsid w:val="00070857"/>
    <w:rsid w:val="00071FC8"/>
    <w:rsid w:val="0007351E"/>
    <w:rsid w:val="0007377C"/>
    <w:rsid w:val="0007636C"/>
    <w:rsid w:val="00076E01"/>
    <w:rsid w:val="0008478C"/>
    <w:rsid w:val="00084A31"/>
    <w:rsid w:val="00085240"/>
    <w:rsid w:val="00086D98"/>
    <w:rsid w:val="0008778D"/>
    <w:rsid w:val="00091051"/>
    <w:rsid w:val="00092634"/>
    <w:rsid w:val="000933F4"/>
    <w:rsid w:val="000934ED"/>
    <w:rsid w:val="00096B41"/>
    <w:rsid w:val="00097C05"/>
    <w:rsid w:val="000A3D2F"/>
    <w:rsid w:val="000A401E"/>
    <w:rsid w:val="000A6835"/>
    <w:rsid w:val="000A69B3"/>
    <w:rsid w:val="000A6C08"/>
    <w:rsid w:val="000A75FD"/>
    <w:rsid w:val="000B4124"/>
    <w:rsid w:val="000B5A20"/>
    <w:rsid w:val="000B5B33"/>
    <w:rsid w:val="000B73C4"/>
    <w:rsid w:val="000B7BAC"/>
    <w:rsid w:val="000B7CFF"/>
    <w:rsid w:val="000B7E62"/>
    <w:rsid w:val="000C0253"/>
    <w:rsid w:val="000C1FCA"/>
    <w:rsid w:val="000C4A0B"/>
    <w:rsid w:val="000C61E3"/>
    <w:rsid w:val="000C6866"/>
    <w:rsid w:val="000C6869"/>
    <w:rsid w:val="000D02BB"/>
    <w:rsid w:val="000D0EE6"/>
    <w:rsid w:val="000D1D4B"/>
    <w:rsid w:val="000D1FB6"/>
    <w:rsid w:val="000D5FD3"/>
    <w:rsid w:val="000D6770"/>
    <w:rsid w:val="000D739B"/>
    <w:rsid w:val="000D7DD4"/>
    <w:rsid w:val="000D7E4E"/>
    <w:rsid w:val="000D7E96"/>
    <w:rsid w:val="000E065C"/>
    <w:rsid w:val="000E0857"/>
    <w:rsid w:val="000E093A"/>
    <w:rsid w:val="000E0FB3"/>
    <w:rsid w:val="000E2BFA"/>
    <w:rsid w:val="000E2FAF"/>
    <w:rsid w:val="000E4AAE"/>
    <w:rsid w:val="000E63E9"/>
    <w:rsid w:val="000F2C1F"/>
    <w:rsid w:val="000F2DC1"/>
    <w:rsid w:val="000F372C"/>
    <w:rsid w:val="000F589C"/>
    <w:rsid w:val="000F603B"/>
    <w:rsid w:val="000F6403"/>
    <w:rsid w:val="000F6A40"/>
    <w:rsid w:val="000F6C7F"/>
    <w:rsid w:val="00100E1B"/>
    <w:rsid w:val="00100EAE"/>
    <w:rsid w:val="00101107"/>
    <w:rsid w:val="00101654"/>
    <w:rsid w:val="00102736"/>
    <w:rsid w:val="0010290F"/>
    <w:rsid w:val="00104F76"/>
    <w:rsid w:val="001101F0"/>
    <w:rsid w:val="00112467"/>
    <w:rsid w:val="0011248C"/>
    <w:rsid w:val="001140BE"/>
    <w:rsid w:val="0011560D"/>
    <w:rsid w:val="00120603"/>
    <w:rsid w:val="001208A2"/>
    <w:rsid w:val="001209EF"/>
    <w:rsid w:val="00122703"/>
    <w:rsid w:val="001236E4"/>
    <w:rsid w:val="00124C66"/>
    <w:rsid w:val="00125572"/>
    <w:rsid w:val="0012713F"/>
    <w:rsid w:val="00127478"/>
    <w:rsid w:val="001279B9"/>
    <w:rsid w:val="00130CCE"/>
    <w:rsid w:val="001313A6"/>
    <w:rsid w:val="0013260B"/>
    <w:rsid w:val="00132D57"/>
    <w:rsid w:val="00140100"/>
    <w:rsid w:val="001421AA"/>
    <w:rsid w:val="00142355"/>
    <w:rsid w:val="00142A61"/>
    <w:rsid w:val="00143420"/>
    <w:rsid w:val="00146074"/>
    <w:rsid w:val="00146A50"/>
    <w:rsid w:val="00147050"/>
    <w:rsid w:val="00147AFB"/>
    <w:rsid w:val="00150849"/>
    <w:rsid w:val="001512A7"/>
    <w:rsid w:val="00151890"/>
    <w:rsid w:val="001520D4"/>
    <w:rsid w:val="001549DE"/>
    <w:rsid w:val="00154C7A"/>
    <w:rsid w:val="00156019"/>
    <w:rsid w:val="00161759"/>
    <w:rsid w:val="0016531B"/>
    <w:rsid w:val="00167277"/>
    <w:rsid w:val="001703B0"/>
    <w:rsid w:val="001762D0"/>
    <w:rsid w:val="0017696A"/>
    <w:rsid w:val="0017701D"/>
    <w:rsid w:val="00180332"/>
    <w:rsid w:val="00181ABA"/>
    <w:rsid w:val="00184E30"/>
    <w:rsid w:val="0018758C"/>
    <w:rsid w:val="001905E3"/>
    <w:rsid w:val="001911B3"/>
    <w:rsid w:val="00191617"/>
    <w:rsid w:val="0019292E"/>
    <w:rsid w:val="00193390"/>
    <w:rsid w:val="00194708"/>
    <w:rsid w:val="001960DD"/>
    <w:rsid w:val="0019723A"/>
    <w:rsid w:val="001A05B9"/>
    <w:rsid w:val="001A2AF1"/>
    <w:rsid w:val="001A33D6"/>
    <w:rsid w:val="001A563A"/>
    <w:rsid w:val="001A5ABC"/>
    <w:rsid w:val="001B0151"/>
    <w:rsid w:val="001B042B"/>
    <w:rsid w:val="001B1FE9"/>
    <w:rsid w:val="001B2BFA"/>
    <w:rsid w:val="001B2C6D"/>
    <w:rsid w:val="001B2DF9"/>
    <w:rsid w:val="001B362D"/>
    <w:rsid w:val="001B4C2E"/>
    <w:rsid w:val="001B4FB2"/>
    <w:rsid w:val="001C0B7E"/>
    <w:rsid w:val="001C2FBB"/>
    <w:rsid w:val="001C3A21"/>
    <w:rsid w:val="001C57B0"/>
    <w:rsid w:val="001C770B"/>
    <w:rsid w:val="001D264B"/>
    <w:rsid w:val="001D3B0D"/>
    <w:rsid w:val="001D7927"/>
    <w:rsid w:val="001E4BEF"/>
    <w:rsid w:val="001E59F9"/>
    <w:rsid w:val="001E7248"/>
    <w:rsid w:val="001E7A8F"/>
    <w:rsid w:val="001F1A56"/>
    <w:rsid w:val="001F4CEA"/>
    <w:rsid w:val="001F51A0"/>
    <w:rsid w:val="001F5CC6"/>
    <w:rsid w:val="001F68FD"/>
    <w:rsid w:val="001F7BD0"/>
    <w:rsid w:val="002006EF"/>
    <w:rsid w:val="002017B1"/>
    <w:rsid w:val="00202BC3"/>
    <w:rsid w:val="00202F11"/>
    <w:rsid w:val="00203911"/>
    <w:rsid w:val="00205F81"/>
    <w:rsid w:val="002072CF"/>
    <w:rsid w:val="00210544"/>
    <w:rsid w:val="00210620"/>
    <w:rsid w:val="00211765"/>
    <w:rsid w:val="002136E7"/>
    <w:rsid w:val="002206DB"/>
    <w:rsid w:val="0022182D"/>
    <w:rsid w:val="00223E9B"/>
    <w:rsid w:val="002242AC"/>
    <w:rsid w:val="002243B1"/>
    <w:rsid w:val="00224859"/>
    <w:rsid w:val="00225A12"/>
    <w:rsid w:val="002261B3"/>
    <w:rsid w:val="002276B9"/>
    <w:rsid w:val="00227D9E"/>
    <w:rsid w:val="002318B6"/>
    <w:rsid w:val="00233CEF"/>
    <w:rsid w:val="00233FD0"/>
    <w:rsid w:val="002343E5"/>
    <w:rsid w:val="002352B0"/>
    <w:rsid w:val="002354E4"/>
    <w:rsid w:val="0023591A"/>
    <w:rsid w:val="00236D99"/>
    <w:rsid w:val="00240493"/>
    <w:rsid w:val="00243942"/>
    <w:rsid w:val="00244256"/>
    <w:rsid w:val="002445C5"/>
    <w:rsid w:val="002445F3"/>
    <w:rsid w:val="002447DC"/>
    <w:rsid w:val="0024552F"/>
    <w:rsid w:val="0024571D"/>
    <w:rsid w:val="002464E8"/>
    <w:rsid w:val="0024710C"/>
    <w:rsid w:val="0024729A"/>
    <w:rsid w:val="002511A3"/>
    <w:rsid w:val="00251BB8"/>
    <w:rsid w:val="00253776"/>
    <w:rsid w:val="00253E8B"/>
    <w:rsid w:val="00255417"/>
    <w:rsid w:val="00256E2E"/>
    <w:rsid w:val="00257989"/>
    <w:rsid w:val="00260517"/>
    <w:rsid w:val="00262FED"/>
    <w:rsid w:val="002654A7"/>
    <w:rsid w:val="00267328"/>
    <w:rsid w:val="0027473F"/>
    <w:rsid w:val="00274963"/>
    <w:rsid w:val="0027600A"/>
    <w:rsid w:val="00276793"/>
    <w:rsid w:val="00280FDF"/>
    <w:rsid w:val="002817CE"/>
    <w:rsid w:val="00282AAD"/>
    <w:rsid w:val="00282C03"/>
    <w:rsid w:val="00283AA6"/>
    <w:rsid w:val="0028432C"/>
    <w:rsid w:val="00284E46"/>
    <w:rsid w:val="002857E2"/>
    <w:rsid w:val="00286189"/>
    <w:rsid w:val="002870A9"/>
    <w:rsid w:val="00290ABD"/>
    <w:rsid w:val="00292DAB"/>
    <w:rsid w:val="00293E05"/>
    <w:rsid w:val="00294819"/>
    <w:rsid w:val="002979D1"/>
    <w:rsid w:val="002A0B4A"/>
    <w:rsid w:val="002A34C1"/>
    <w:rsid w:val="002A5C43"/>
    <w:rsid w:val="002A729E"/>
    <w:rsid w:val="002A7FB5"/>
    <w:rsid w:val="002B262D"/>
    <w:rsid w:val="002B311D"/>
    <w:rsid w:val="002B35F2"/>
    <w:rsid w:val="002B4EA7"/>
    <w:rsid w:val="002B6125"/>
    <w:rsid w:val="002B613D"/>
    <w:rsid w:val="002B6A42"/>
    <w:rsid w:val="002C00A8"/>
    <w:rsid w:val="002C03AC"/>
    <w:rsid w:val="002C331D"/>
    <w:rsid w:val="002C57E5"/>
    <w:rsid w:val="002C5E51"/>
    <w:rsid w:val="002C7704"/>
    <w:rsid w:val="002C7F13"/>
    <w:rsid w:val="002D1528"/>
    <w:rsid w:val="002D19FC"/>
    <w:rsid w:val="002D206A"/>
    <w:rsid w:val="002D2702"/>
    <w:rsid w:val="002D358E"/>
    <w:rsid w:val="002D479D"/>
    <w:rsid w:val="002D65B3"/>
    <w:rsid w:val="002D738A"/>
    <w:rsid w:val="002D7D6A"/>
    <w:rsid w:val="002D7D6B"/>
    <w:rsid w:val="002E0E9A"/>
    <w:rsid w:val="002E1CE2"/>
    <w:rsid w:val="002E2247"/>
    <w:rsid w:val="002E2AAD"/>
    <w:rsid w:val="002E3F08"/>
    <w:rsid w:val="002E4C1A"/>
    <w:rsid w:val="002E4E8A"/>
    <w:rsid w:val="002E5247"/>
    <w:rsid w:val="002E7B14"/>
    <w:rsid w:val="002F08DF"/>
    <w:rsid w:val="002F2DCA"/>
    <w:rsid w:val="002F4460"/>
    <w:rsid w:val="002F4AE8"/>
    <w:rsid w:val="002F4B56"/>
    <w:rsid w:val="002F52A9"/>
    <w:rsid w:val="002F547B"/>
    <w:rsid w:val="002F7B1C"/>
    <w:rsid w:val="00301D68"/>
    <w:rsid w:val="003031DA"/>
    <w:rsid w:val="00306758"/>
    <w:rsid w:val="003114C3"/>
    <w:rsid w:val="00311FA7"/>
    <w:rsid w:val="00312651"/>
    <w:rsid w:val="00313634"/>
    <w:rsid w:val="003162C8"/>
    <w:rsid w:val="00316DA7"/>
    <w:rsid w:val="00322092"/>
    <w:rsid w:val="00322F05"/>
    <w:rsid w:val="003243BC"/>
    <w:rsid w:val="00324F79"/>
    <w:rsid w:val="00326D98"/>
    <w:rsid w:val="00327401"/>
    <w:rsid w:val="003346EB"/>
    <w:rsid w:val="00335933"/>
    <w:rsid w:val="003370E4"/>
    <w:rsid w:val="003437BD"/>
    <w:rsid w:val="00343D67"/>
    <w:rsid w:val="00343EA9"/>
    <w:rsid w:val="00346475"/>
    <w:rsid w:val="003478CF"/>
    <w:rsid w:val="00350E98"/>
    <w:rsid w:val="00350FC8"/>
    <w:rsid w:val="003520AD"/>
    <w:rsid w:val="00356733"/>
    <w:rsid w:val="00357140"/>
    <w:rsid w:val="00357579"/>
    <w:rsid w:val="003608E7"/>
    <w:rsid w:val="00360AA1"/>
    <w:rsid w:val="0036409A"/>
    <w:rsid w:val="00364E6F"/>
    <w:rsid w:val="0036500A"/>
    <w:rsid w:val="00365A64"/>
    <w:rsid w:val="003703BD"/>
    <w:rsid w:val="00374532"/>
    <w:rsid w:val="00374868"/>
    <w:rsid w:val="00375DF4"/>
    <w:rsid w:val="00376313"/>
    <w:rsid w:val="00380BEF"/>
    <w:rsid w:val="00383004"/>
    <w:rsid w:val="003830CE"/>
    <w:rsid w:val="00385E2D"/>
    <w:rsid w:val="0039262E"/>
    <w:rsid w:val="003937F3"/>
    <w:rsid w:val="00393B75"/>
    <w:rsid w:val="003A122B"/>
    <w:rsid w:val="003A15D6"/>
    <w:rsid w:val="003A3AD1"/>
    <w:rsid w:val="003A5145"/>
    <w:rsid w:val="003A549B"/>
    <w:rsid w:val="003B2445"/>
    <w:rsid w:val="003B5CBA"/>
    <w:rsid w:val="003B5CD6"/>
    <w:rsid w:val="003B6A5F"/>
    <w:rsid w:val="003B7E9A"/>
    <w:rsid w:val="003B7F05"/>
    <w:rsid w:val="003C06FB"/>
    <w:rsid w:val="003C3A1E"/>
    <w:rsid w:val="003C501A"/>
    <w:rsid w:val="003C505B"/>
    <w:rsid w:val="003C6F0F"/>
    <w:rsid w:val="003C71CF"/>
    <w:rsid w:val="003C789D"/>
    <w:rsid w:val="003D0F35"/>
    <w:rsid w:val="003D4A56"/>
    <w:rsid w:val="003D4B7D"/>
    <w:rsid w:val="003D55C6"/>
    <w:rsid w:val="003D5827"/>
    <w:rsid w:val="003D6552"/>
    <w:rsid w:val="003D7B2C"/>
    <w:rsid w:val="003E1917"/>
    <w:rsid w:val="003E259A"/>
    <w:rsid w:val="003E33D1"/>
    <w:rsid w:val="003E369A"/>
    <w:rsid w:val="003E5211"/>
    <w:rsid w:val="003F0C6A"/>
    <w:rsid w:val="003F31D2"/>
    <w:rsid w:val="003F33FA"/>
    <w:rsid w:val="003F3716"/>
    <w:rsid w:val="003F3DC0"/>
    <w:rsid w:val="003F436C"/>
    <w:rsid w:val="003F4845"/>
    <w:rsid w:val="003F4B2D"/>
    <w:rsid w:val="003F4DBE"/>
    <w:rsid w:val="003F557E"/>
    <w:rsid w:val="003F7CC5"/>
    <w:rsid w:val="00400D68"/>
    <w:rsid w:val="00401A63"/>
    <w:rsid w:val="00404208"/>
    <w:rsid w:val="00404459"/>
    <w:rsid w:val="0040487E"/>
    <w:rsid w:val="004067AD"/>
    <w:rsid w:val="00407EE0"/>
    <w:rsid w:val="00414806"/>
    <w:rsid w:val="004156D4"/>
    <w:rsid w:val="0041621C"/>
    <w:rsid w:val="00423CB7"/>
    <w:rsid w:val="00424B78"/>
    <w:rsid w:val="00424DD2"/>
    <w:rsid w:val="0042515D"/>
    <w:rsid w:val="00427810"/>
    <w:rsid w:val="0043347C"/>
    <w:rsid w:val="004335E8"/>
    <w:rsid w:val="00433D3F"/>
    <w:rsid w:val="00435487"/>
    <w:rsid w:val="00436A3E"/>
    <w:rsid w:val="00440D78"/>
    <w:rsid w:val="00441A2A"/>
    <w:rsid w:val="004420F6"/>
    <w:rsid w:val="0044297B"/>
    <w:rsid w:val="0044359A"/>
    <w:rsid w:val="00444F65"/>
    <w:rsid w:val="00445CA1"/>
    <w:rsid w:val="00446720"/>
    <w:rsid w:val="004476C6"/>
    <w:rsid w:val="0045130C"/>
    <w:rsid w:val="004520E2"/>
    <w:rsid w:val="00453578"/>
    <w:rsid w:val="00454A58"/>
    <w:rsid w:val="00455214"/>
    <w:rsid w:val="00455474"/>
    <w:rsid w:val="00456136"/>
    <w:rsid w:val="00456D5A"/>
    <w:rsid w:val="0046130B"/>
    <w:rsid w:val="0046133D"/>
    <w:rsid w:val="00461525"/>
    <w:rsid w:val="00464328"/>
    <w:rsid w:val="004662A9"/>
    <w:rsid w:val="00466F2F"/>
    <w:rsid w:val="00466F91"/>
    <w:rsid w:val="00472C9B"/>
    <w:rsid w:val="00473A5E"/>
    <w:rsid w:val="004758A9"/>
    <w:rsid w:val="00476273"/>
    <w:rsid w:val="00477399"/>
    <w:rsid w:val="004776D8"/>
    <w:rsid w:val="0048020B"/>
    <w:rsid w:val="00484B9D"/>
    <w:rsid w:val="004862D0"/>
    <w:rsid w:val="004864DA"/>
    <w:rsid w:val="004872BC"/>
    <w:rsid w:val="004874A4"/>
    <w:rsid w:val="00494355"/>
    <w:rsid w:val="00494945"/>
    <w:rsid w:val="00495E07"/>
    <w:rsid w:val="00496D2B"/>
    <w:rsid w:val="00497D54"/>
    <w:rsid w:val="00497F70"/>
    <w:rsid w:val="004A0332"/>
    <w:rsid w:val="004A03E5"/>
    <w:rsid w:val="004A2D00"/>
    <w:rsid w:val="004A4E65"/>
    <w:rsid w:val="004A503D"/>
    <w:rsid w:val="004B007A"/>
    <w:rsid w:val="004B141F"/>
    <w:rsid w:val="004B3D34"/>
    <w:rsid w:val="004B4A8D"/>
    <w:rsid w:val="004C0E28"/>
    <w:rsid w:val="004C190E"/>
    <w:rsid w:val="004C2816"/>
    <w:rsid w:val="004C3888"/>
    <w:rsid w:val="004C456B"/>
    <w:rsid w:val="004C4D5F"/>
    <w:rsid w:val="004C4F16"/>
    <w:rsid w:val="004D311A"/>
    <w:rsid w:val="004D35E8"/>
    <w:rsid w:val="004D614C"/>
    <w:rsid w:val="004D7CE6"/>
    <w:rsid w:val="004E1DAE"/>
    <w:rsid w:val="004E25A6"/>
    <w:rsid w:val="004E2716"/>
    <w:rsid w:val="004E2D38"/>
    <w:rsid w:val="004E411D"/>
    <w:rsid w:val="004F40C2"/>
    <w:rsid w:val="004F5759"/>
    <w:rsid w:val="004F6475"/>
    <w:rsid w:val="004F6D42"/>
    <w:rsid w:val="004F7405"/>
    <w:rsid w:val="0050001C"/>
    <w:rsid w:val="00500A5B"/>
    <w:rsid w:val="005047DF"/>
    <w:rsid w:val="005075D2"/>
    <w:rsid w:val="00513E14"/>
    <w:rsid w:val="00513EBE"/>
    <w:rsid w:val="005154C1"/>
    <w:rsid w:val="005162AB"/>
    <w:rsid w:val="00521122"/>
    <w:rsid w:val="0052229C"/>
    <w:rsid w:val="0052351B"/>
    <w:rsid w:val="005276FC"/>
    <w:rsid w:val="00530C4E"/>
    <w:rsid w:val="00534A23"/>
    <w:rsid w:val="00541146"/>
    <w:rsid w:val="00542814"/>
    <w:rsid w:val="00545CC2"/>
    <w:rsid w:val="00546238"/>
    <w:rsid w:val="00547AAA"/>
    <w:rsid w:val="00547D3F"/>
    <w:rsid w:val="00552271"/>
    <w:rsid w:val="00552A11"/>
    <w:rsid w:val="005557E2"/>
    <w:rsid w:val="0055726C"/>
    <w:rsid w:val="005577D9"/>
    <w:rsid w:val="00557845"/>
    <w:rsid w:val="00560059"/>
    <w:rsid w:val="00561DA8"/>
    <w:rsid w:val="00562CB2"/>
    <w:rsid w:val="00564C84"/>
    <w:rsid w:val="00564E78"/>
    <w:rsid w:val="00565D03"/>
    <w:rsid w:val="0056629D"/>
    <w:rsid w:val="00571D6D"/>
    <w:rsid w:val="00571E93"/>
    <w:rsid w:val="00572F46"/>
    <w:rsid w:val="00574A02"/>
    <w:rsid w:val="00576887"/>
    <w:rsid w:val="00576A54"/>
    <w:rsid w:val="00577DC6"/>
    <w:rsid w:val="005816F4"/>
    <w:rsid w:val="00581BDF"/>
    <w:rsid w:val="00581E0B"/>
    <w:rsid w:val="00583257"/>
    <w:rsid w:val="00583C3C"/>
    <w:rsid w:val="0058506E"/>
    <w:rsid w:val="00585174"/>
    <w:rsid w:val="00587612"/>
    <w:rsid w:val="00587B48"/>
    <w:rsid w:val="0059038C"/>
    <w:rsid w:val="005914E2"/>
    <w:rsid w:val="00591EDE"/>
    <w:rsid w:val="005921E2"/>
    <w:rsid w:val="00594342"/>
    <w:rsid w:val="00594E87"/>
    <w:rsid w:val="005950E5"/>
    <w:rsid w:val="00595D97"/>
    <w:rsid w:val="00596801"/>
    <w:rsid w:val="00597205"/>
    <w:rsid w:val="00597309"/>
    <w:rsid w:val="005A1772"/>
    <w:rsid w:val="005A422C"/>
    <w:rsid w:val="005A4407"/>
    <w:rsid w:val="005A4CD3"/>
    <w:rsid w:val="005A6F7C"/>
    <w:rsid w:val="005B0196"/>
    <w:rsid w:val="005B132F"/>
    <w:rsid w:val="005B15EB"/>
    <w:rsid w:val="005B18B2"/>
    <w:rsid w:val="005B1B44"/>
    <w:rsid w:val="005B38E7"/>
    <w:rsid w:val="005B40A6"/>
    <w:rsid w:val="005B5FBE"/>
    <w:rsid w:val="005B6726"/>
    <w:rsid w:val="005C0180"/>
    <w:rsid w:val="005C01B7"/>
    <w:rsid w:val="005C331F"/>
    <w:rsid w:val="005C4A29"/>
    <w:rsid w:val="005C6F9D"/>
    <w:rsid w:val="005C7B62"/>
    <w:rsid w:val="005D2A79"/>
    <w:rsid w:val="005D3004"/>
    <w:rsid w:val="005D3D39"/>
    <w:rsid w:val="005D54C7"/>
    <w:rsid w:val="005D787E"/>
    <w:rsid w:val="005D792A"/>
    <w:rsid w:val="005D7C39"/>
    <w:rsid w:val="005E13DF"/>
    <w:rsid w:val="005E387D"/>
    <w:rsid w:val="005E3B75"/>
    <w:rsid w:val="005E3D15"/>
    <w:rsid w:val="005E4C65"/>
    <w:rsid w:val="005F2946"/>
    <w:rsid w:val="005F34C6"/>
    <w:rsid w:val="005F4318"/>
    <w:rsid w:val="005F4F8E"/>
    <w:rsid w:val="005F54A4"/>
    <w:rsid w:val="005F71D1"/>
    <w:rsid w:val="005F7443"/>
    <w:rsid w:val="0060035F"/>
    <w:rsid w:val="0060283B"/>
    <w:rsid w:val="00607205"/>
    <w:rsid w:val="006074E4"/>
    <w:rsid w:val="006112D1"/>
    <w:rsid w:val="006112FA"/>
    <w:rsid w:val="00611EDE"/>
    <w:rsid w:val="0061249A"/>
    <w:rsid w:val="006133D5"/>
    <w:rsid w:val="00616C82"/>
    <w:rsid w:val="006177F8"/>
    <w:rsid w:val="00620205"/>
    <w:rsid w:val="00620368"/>
    <w:rsid w:val="00620F87"/>
    <w:rsid w:val="00622D42"/>
    <w:rsid w:val="00622F63"/>
    <w:rsid w:val="00623402"/>
    <w:rsid w:val="00624B34"/>
    <w:rsid w:val="00625B93"/>
    <w:rsid w:val="00626AD6"/>
    <w:rsid w:val="006308E9"/>
    <w:rsid w:val="00633563"/>
    <w:rsid w:val="0063522B"/>
    <w:rsid w:val="00636271"/>
    <w:rsid w:val="00641669"/>
    <w:rsid w:val="006431A4"/>
    <w:rsid w:val="006434B5"/>
    <w:rsid w:val="00643C5A"/>
    <w:rsid w:val="00644CB4"/>
    <w:rsid w:val="006502FA"/>
    <w:rsid w:val="00653D8D"/>
    <w:rsid w:val="00654A91"/>
    <w:rsid w:val="00655A79"/>
    <w:rsid w:val="00657580"/>
    <w:rsid w:val="00662BC9"/>
    <w:rsid w:val="00663D48"/>
    <w:rsid w:val="006666FF"/>
    <w:rsid w:val="00666CC4"/>
    <w:rsid w:val="00667B22"/>
    <w:rsid w:val="00667BA9"/>
    <w:rsid w:val="006710C1"/>
    <w:rsid w:val="006721D8"/>
    <w:rsid w:val="0067304E"/>
    <w:rsid w:val="006745E5"/>
    <w:rsid w:val="00677A0E"/>
    <w:rsid w:val="00681181"/>
    <w:rsid w:val="00682099"/>
    <w:rsid w:val="00683DA6"/>
    <w:rsid w:val="006849ED"/>
    <w:rsid w:val="00685A22"/>
    <w:rsid w:val="00686648"/>
    <w:rsid w:val="00686DD1"/>
    <w:rsid w:val="00687BA6"/>
    <w:rsid w:val="00691923"/>
    <w:rsid w:val="00692B7A"/>
    <w:rsid w:val="0069376A"/>
    <w:rsid w:val="006949A2"/>
    <w:rsid w:val="00694F3D"/>
    <w:rsid w:val="006958FE"/>
    <w:rsid w:val="00696E92"/>
    <w:rsid w:val="006A18B6"/>
    <w:rsid w:val="006A1EDC"/>
    <w:rsid w:val="006A2426"/>
    <w:rsid w:val="006A4342"/>
    <w:rsid w:val="006A551C"/>
    <w:rsid w:val="006A5B0F"/>
    <w:rsid w:val="006A5ED6"/>
    <w:rsid w:val="006A5FF3"/>
    <w:rsid w:val="006A64DC"/>
    <w:rsid w:val="006B20EE"/>
    <w:rsid w:val="006B4826"/>
    <w:rsid w:val="006B4B08"/>
    <w:rsid w:val="006B4ED7"/>
    <w:rsid w:val="006B5B8D"/>
    <w:rsid w:val="006B6276"/>
    <w:rsid w:val="006C138A"/>
    <w:rsid w:val="006C1614"/>
    <w:rsid w:val="006C1D8C"/>
    <w:rsid w:val="006C34F6"/>
    <w:rsid w:val="006C51D5"/>
    <w:rsid w:val="006D1E49"/>
    <w:rsid w:val="006D2553"/>
    <w:rsid w:val="006D39AA"/>
    <w:rsid w:val="006D432E"/>
    <w:rsid w:val="006D5B0E"/>
    <w:rsid w:val="006D6B33"/>
    <w:rsid w:val="006E0119"/>
    <w:rsid w:val="006E1818"/>
    <w:rsid w:val="006E1CF4"/>
    <w:rsid w:val="006E4894"/>
    <w:rsid w:val="006E6044"/>
    <w:rsid w:val="006E6BA4"/>
    <w:rsid w:val="006F0AFA"/>
    <w:rsid w:val="006F1B52"/>
    <w:rsid w:val="006F27A6"/>
    <w:rsid w:val="006F2F23"/>
    <w:rsid w:val="006F39A4"/>
    <w:rsid w:val="006F42DE"/>
    <w:rsid w:val="00701705"/>
    <w:rsid w:val="00705B33"/>
    <w:rsid w:val="0070615E"/>
    <w:rsid w:val="0070652A"/>
    <w:rsid w:val="00706C4B"/>
    <w:rsid w:val="00707F8B"/>
    <w:rsid w:val="0071021B"/>
    <w:rsid w:val="00710A58"/>
    <w:rsid w:val="007116AC"/>
    <w:rsid w:val="007124A2"/>
    <w:rsid w:val="007133ED"/>
    <w:rsid w:val="00716CF4"/>
    <w:rsid w:val="007223FD"/>
    <w:rsid w:val="007230D6"/>
    <w:rsid w:val="00723E4B"/>
    <w:rsid w:val="00724553"/>
    <w:rsid w:val="0072563F"/>
    <w:rsid w:val="00725EEB"/>
    <w:rsid w:val="0072789B"/>
    <w:rsid w:val="00727D72"/>
    <w:rsid w:val="00731A53"/>
    <w:rsid w:val="00732CFA"/>
    <w:rsid w:val="00732E2C"/>
    <w:rsid w:val="00733398"/>
    <w:rsid w:val="00734468"/>
    <w:rsid w:val="00735ECF"/>
    <w:rsid w:val="007368A2"/>
    <w:rsid w:val="00736DE9"/>
    <w:rsid w:val="0073711B"/>
    <w:rsid w:val="00742439"/>
    <w:rsid w:val="00743A10"/>
    <w:rsid w:val="00745C82"/>
    <w:rsid w:val="00745EFE"/>
    <w:rsid w:val="007465A9"/>
    <w:rsid w:val="00754A0D"/>
    <w:rsid w:val="0075501C"/>
    <w:rsid w:val="007552C1"/>
    <w:rsid w:val="00755B53"/>
    <w:rsid w:val="007562E2"/>
    <w:rsid w:val="007577C2"/>
    <w:rsid w:val="00757AE5"/>
    <w:rsid w:val="00762D1A"/>
    <w:rsid w:val="00762F2B"/>
    <w:rsid w:val="0076328E"/>
    <w:rsid w:val="00764534"/>
    <w:rsid w:val="00764B0A"/>
    <w:rsid w:val="0076561E"/>
    <w:rsid w:val="007661B0"/>
    <w:rsid w:val="00773353"/>
    <w:rsid w:val="007733A1"/>
    <w:rsid w:val="00773C73"/>
    <w:rsid w:val="00773E0B"/>
    <w:rsid w:val="00780165"/>
    <w:rsid w:val="00780A45"/>
    <w:rsid w:val="00783842"/>
    <w:rsid w:val="007854BB"/>
    <w:rsid w:val="00785F01"/>
    <w:rsid w:val="00786FF6"/>
    <w:rsid w:val="007876E3"/>
    <w:rsid w:val="0079240E"/>
    <w:rsid w:val="007928AD"/>
    <w:rsid w:val="007935A4"/>
    <w:rsid w:val="00794724"/>
    <w:rsid w:val="007959C2"/>
    <w:rsid w:val="007A0174"/>
    <w:rsid w:val="007A0BB2"/>
    <w:rsid w:val="007A28F8"/>
    <w:rsid w:val="007A3AF2"/>
    <w:rsid w:val="007A45FF"/>
    <w:rsid w:val="007A5131"/>
    <w:rsid w:val="007A71CC"/>
    <w:rsid w:val="007B4019"/>
    <w:rsid w:val="007B5527"/>
    <w:rsid w:val="007B60FA"/>
    <w:rsid w:val="007B66A0"/>
    <w:rsid w:val="007B6E4E"/>
    <w:rsid w:val="007B71E9"/>
    <w:rsid w:val="007B74C9"/>
    <w:rsid w:val="007C1702"/>
    <w:rsid w:val="007C41D1"/>
    <w:rsid w:val="007C48C7"/>
    <w:rsid w:val="007C5F65"/>
    <w:rsid w:val="007C69D6"/>
    <w:rsid w:val="007D11F5"/>
    <w:rsid w:val="007D1E62"/>
    <w:rsid w:val="007D2BA2"/>
    <w:rsid w:val="007D2CEB"/>
    <w:rsid w:val="007D3591"/>
    <w:rsid w:val="007D6297"/>
    <w:rsid w:val="007D6683"/>
    <w:rsid w:val="007E03CB"/>
    <w:rsid w:val="007E22B8"/>
    <w:rsid w:val="007E2DA9"/>
    <w:rsid w:val="007E6167"/>
    <w:rsid w:val="007E7004"/>
    <w:rsid w:val="007E74C5"/>
    <w:rsid w:val="007F0E34"/>
    <w:rsid w:val="007F1F85"/>
    <w:rsid w:val="007F32C6"/>
    <w:rsid w:val="007F3469"/>
    <w:rsid w:val="007F528A"/>
    <w:rsid w:val="007F6368"/>
    <w:rsid w:val="007F6B46"/>
    <w:rsid w:val="007F7B7F"/>
    <w:rsid w:val="00802B85"/>
    <w:rsid w:val="008043DE"/>
    <w:rsid w:val="0080498D"/>
    <w:rsid w:val="008050EC"/>
    <w:rsid w:val="0080606A"/>
    <w:rsid w:val="008065F0"/>
    <w:rsid w:val="00807C2F"/>
    <w:rsid w:val="00810B67"/>
    <w:rsid w:val="008129C6"/>
    <w:rsid w:val="00812E0A"/>
    <w:rsid w:val="0081352B"/>
    <w:rsid w:val="008140C1"/>
    <w:rsid w:val="008142D4"/>
    <w:rsid w:val="00814514"/>
    <w:rsid w:val="00817BEB"/>
    <w:rsid w:val="008221CF"/>
    <w:rsid w:val="00823273"/>
    <w:rsid w:val="008237E2"/>
    <w:rsid w:val="008238CD"/>
    <w:rsid w:val="008255E4"/>
    <w:rsid w:val="0082741C"/>
    <w:rsid w:val="00827BAD"/>
    <w:rsid w:val="00830639"/>
    <w:rsid w:val="008309C9"/>
    <w:rsid w:val="00830BC7"/>
    <w:rsid w:val="00832DE0"/>
    <w:rsid w:val="008335E3"/>
    <w:rsid w:val="00834DCB"/>
    <w:rsid w:val="008361BD"/>
    <w:rsid w:val="00836673"/>
    <w:rsid w:val="00840C01"/>
    <w:rsid w:val="00840C42"/>
    <w:rsid w:val="0084167C"/>
    <w:rsid w:val="00841F3A"/>
    <w:rsid w:val="0084255A"/>
    <w:rsid w:val="00844F10"/>
    <w:rsid w:val="00845186"/>
    <w:rsid w:val="00845A5D"/>
    <w:rsid w:val="00845BBC"/>
    <w:rsid w:val="00847F2B"/>
    <w:rsid w:val="00850048"/>
    <w:rsid w:val="008513D8"/>
    <w:rsid w:val="00852C25"/>
    <w:rsid w:val="00855D43"/>
    <w:rsid w:val="008561D7"/>
    <w:rsid w:val="008607B4"/>
    <w:rsid w:val="00860B22"/>
    <w:rsid w:val="00861074"/>
    <w:rsid w:val="008636FC"/>
    <w:rsid w:val="00863DB6"/>
    <w:rsid w:val="00864F70"/>
    <w:rsid w:val="00865B86"/>
    <w:rsid w:val="00867F4F"/>
    <w:rsid w:val="00870368"/>
    <w:rsid w:val="00871164"/>
    <w:rsid w:val="008729D4"/>
    <w:rsid w:val="00873205"/>
    <w:rsid w:val="00873BC6"/>
    <w:rsid w:val="00874FB1"/>
    <w:rsid w:val="00875325"/>
    <w:rsid w:val="0087699E"/>
    <w:rsid w:val="008771F4"/>
    <w:rsid w:val="00880902"/>
    <w:rsid w:val="00881E3C"/>
    <w:rsid w:val="008822CB"/>
    <w:rsid w:val="00883D3B"/>
    <w:rsid w:val="0088740E"/>
    <w:rsid w:val="0089035F"/>
    <w:rsid w:val="00892A4E"/>
    <w:rsid w:val="00894A27"/>
    <w:rsid w:val="00896A4C"/>
    <w:rsid w:val="00896BDC"/>
    <w:rsid w:val="00896EBA"/>
    <w:rsid w:val="0089797F"/>
    <w:rsid w:val="008A1451"/>
    <w:rsid w:val="008A1985"/>
    <w:rsid w:val="008A23C9"/>
    <w:rsid w:val="008A39F8"/>
    <w:rsid w:val="008B0B3A"/>
    <w:rsid w:val="008B32A9"/>
    <w:rsid w:val="008B44E7"/>
    <w:rsid w:val="008C0083"/>
    <w:rsid w:val="008C2EDB"/>
    <w:rsid w:val="008C3BE6"/>
    <w:rsid w:val="008C531C"/>
    <w:rsid w:val="008C6C9A"/>
    <w:rsid w:val="008C6E14"/>
    <w:rsid w:val="008C701E"/>
    <w:rsid w:val="008D1B64"/>
    <w:rsid w:val="008D4162"/>
    <w:rsid w:val="008D4E54"/>
    <w:rsid w:val="008D7DA5"/>
    <w:rsid w:val="008E4C89"/>
    <w:rsid w:val="008E51AF"/>
    <w:rsid w:val="008E548A"/>
    <w:rsid w:val="008E6E09"/>
    <w:rsid w:val="008E74A2"/>
    <w:rsid w:val="008F0956"/>
    <w:rsid w:val="008F38C5"/>
    <w:rsid w:val="008F4B82"/>
    <w:rsid w:val="008F6BB3"/>
    <w:rsid w:val="009006A6"/>
    <w:rsid w:val="009016D7"/>
    <w:rsid w:val="009022CC"/>
    <w:rsid w:val="00903237"/>
    <w:rsid w:val="00903AC3"/>
    <w:rsid w:val="0090412E"/>
    <w:rsid w:val="00904536"/>
    <w:rsid w:val="0090478A"/>
    <w:rsid w:val="00904C17"/>
    <w:rsid w:val="00904C28"/>
    <w:rsid w:val="00906312"/>
    <w:rsid w:val="009102A7"/>
    <w:rsid w:val="0091105E"/>
    <w:rsid w:val="00911D86"/>
    <w:rsid w:val="009144B5"/>
    <w:rsid w:val="009146F6"/>
    <w:rsid w:val="00915863"/>
    <w:rsid w:val="00916ED7"/>
    <w:rsid w:val="00922E70"/>
    <w:rsid w:val="00923542"/>
    <w:rsid w:val="00925126"/>
    <w:rsid w:val="00926796"/>
    <w:rsid w:val="00926E69"/>
    <w:rsid w:val="00930EF7"/>
    <w:rsid w:val="0093125C"/>
    <w:rsid w:val="009317B8"/>
    <w:rsid w:val="00934031"/>
    <w:rsid w:val="00935EF2"/>
    <w:rsid w:val="009360D6"/>
    <w:rsid w:val="00936282"/>
    <w:rsid w:val="00936510"/>
    <w:rsid w:val="00936BCA"/>
    <w:rsid w:val="00941336"/>
    <w:rsid w:val="00945476"/>
    <w:rsid w:val="00945E92"/>
    <w:rsid w:val="00946405"/>
    <w:rsid w:val="009466EE"/>
    <w:rsid w:val="0094698E"/>
    <w:rsid w:val="009562F2"/>
    <w:rsid w:val="009575E1"/>
    <w:rsid w:val="00960585"/>
    <w:rsid w:val="00960BC7"/>
    <w:rsid w:val="00962129"/>
    <w:rsid w:val="009632C9"/>
    <w:rsid w:val="00964625"/>
    <w:rsid w:val="009667EE"/>
    <w:rsid w:val="009677CA"/>
    <w:rsid w:val="009720B6"/>
    <w:rsid w:val="0097316B"/>
    <w:rsid w:val="0097354A"/>
    <w:rsid w:val="00974FAA"/>
    <w:rsid w:val="00977184"/>
    <w:rsid w:val="0097718F"/>
    <w:rsid w:val="009802C9"/>
    <w:rsid w:val="009831F0"/>
    <w:rsid w:val="009842A9"/>
    <w:rsid w:val="00985ABF"/>
    <w:rsid w:val="00986B45"/>
    <w:rsid w:val="00991685"/>
    <w:rsid w:val="009927FA"/>
    <w:rsid w:val="009967F2"/>
    <w:rsid w:val="00996F3E"/>
    <w:rsid w:val="00997790"/>
    <w:rsid w:val="009A2169"/>
    <w:rsid w:val="009A3C9A"/>
    <w:rsid w:val="009A66D0"/>
    <w:rsid w:val="009A7D40"/>
    <w:rsid w:val="009B01FC"/>
    <w:rsid w:val="009B1BFE"/>
    <w:rsid w:val="009B7367"/>
    <w:rsid w:val="009C1BB1"/>
    <w:rsid w:val="009D2524"/>
    <w:rsid w:val="009D31BD"/>
    <w:rsid w:val="009D3F76"/>
    <w:rsid w:val="009D525A"/>
    <w:rsid w:val="009D6907"/>
    <w:rsid w:val="009E0881"/>
    <w:rsid w:val="009E0EA2"/>
    <w:rsid w:val="009E214D"/>
    <w:rsid w:val="009E28EC"/>
    <w:rsid w:val="009E302C"/>
    <w:rsid w:val="009E315A"/>
    <w:rsid w:val="009E4841"/>
    <w:rsid w:val="009E78E7"/>
    <w:rsid w:val="009E7983"/>
    <w:rsid w:val="009F2E31"/>
    <w:rsid w:val="009F3F1F"/>
    <w:rsid w:val="009F4136"/>
    <w:rsid w:val="009F4FB3"/>
    <w:rsid w:val="009F71D1"/>
    <w:rsid w:val="00A00DD6"/>
    <w:rsid w:val="00A017BA"/>
    <w:rsid w:val="00A018AE"/>
    <w:rsid w:val="00A01EFD"/>
    <w:rsid w:val="00A026DF"/>
    <w:rsid w:val="00A03A5F"/>
    <w:rsid w:val="00A04100"/>
    <w:rsid w:val="00A04235"/>
    <w:rsid w:val="00A06377"/>
    <w:rsid w:val="00A066DE"/>
    <w:rsid w:val="00A075C8"/>
    <w:rsid w:val="00A10B65"/>
    <w:rsid w:val="00A141E5"/>
    <w:rsid w:val="00A15581"/>
    <w:rsid w:val="00A1593F"/>
    <w:rsid w:val="00A15B57"/>
    <w:rsid w:val="00A21F92"/>
    <w:rsid w:val="00A2536F"/>
    <w:rsid w:val="00A2562B"/>
    <w:rsid w:val="00A263F4"/>
    <w:rsid w:val="00A26AC0"/>
    <w:rsid w:val="00A26AF6"/>
    <w:rsid w:val="00A30361"/>
    <w:rsid w:val="00A30AF9"/>
    <w:rsid w:val="00A30DB3"/>
    <w:rsid w:val="00A3361B"/>
    <w:rsid w:val="00A3393F"/>
    <w:rsid w:val="00A344A6"/>
    <w:rsid w:val="00A403E9"/>
    <w:rsid w:val="00A406DC"/>
    <w:rsid w:val="00A41119"/>
    <w:rsid w:val="00A423DD"/>
    <w:rsid w:val="00A4347E"/>
    <w:rsid w:val="00A4381E"/>
    <w:rsid w:val="00A4630E"/>
    <w:rsid w:val="00A4792B"/>
    <w:rsid w:val="00A47DE3"/>
    <w:rsid w:val="00A5227A"/>
    <w:rsid w:val="00A55A52"/>
    <w:rsid w:val="00A55DE0"/>
    <w:rsid w:val="00A57A88"/>
    <w:rsid w:val="00A57D42"/>
    <w:rsid w:val="00A57E1E"/>
    <w:rsid w:val="00A60BBB"/>
    <w:rsid w:val="00A60C83"/>
    <w:rsid w:val="00A63A99"/>
    <w:rsid w:val="00A65D4F"/>
    <w:rsid w:val="00A65F1E"/>
    <w:rsid w:val="00A70471"/>
    <w:rsid w:val="00A71585"/>
    <w:rsid w:val="00A739AD"/>
    <w:rsid w:val="00A74EB1"/>
    <w:rsid w:val="00A80964"/>
    <w:rsid w:val="00A81F2A"/>
    <w:rsid w:val="00A83111"/>
    <w:rsid w:val="00A84047"/>
    <w:rsid w:val="00A855AA"/>
    <w:rsid w:val="00A85982"/>
    <w:rsid w:val="00A90123"/>
    <w:rsid w:val="00A934C1"/>
    <w:rsid w:val="00A95C54"/>
    <w:rsid w:val="00A972FF"/>
    <w:rsid w:val="00A97994"/>
    <w:rsid w:val="00AA22FC"/>
    <w:rsid w:val="00AA305B"/>
    <w:rsid w:val="00AA3641"/>
    <w:rsid w:val="00AA57B5"/>
    <w:rsid w:val="00AA76CA"/>
    <w:rsid w:val="00AB0683"/>
    <w:rsid w:val="00AB0AD2"/>
    <w:rsid w:val="00AB179B"/>
    <w:rsid w:val="00AB197C"/>
    <w:rsid w:val="00AB199E"/>
    <w:rsid w:val="00AB2DA9"/>
    <w:rsid w:val="00AB5052"/>
    <w:rsid w:val="00AB5055"/>
    <w:rsid w:val="00AB5560"/>
    <w:rsid w:val="00AB6A9C"/>
    <w:rsid w:val="00AB7107"/>
    <w:rsid w:val="00AC278B"/>
    <w:rsid w:val="00AC2F1A"/>
    <w:rsid w:val="00AC58FC"/>
    <w:rsid w:val="00AC6703"/>
    <w:rsid w:val="00AC7D76"/>
    <w:rsid w:val="00AD2EBF"/>
    <w:rsid w:val="00AD2F59"/>
    <w:rsid w:val="00AD411C"/>
    <w:rsid w:val="00AD440C"/>
    <w:rsid w:val="00AD48BE"/>
    <w:rsid w:val="00AD5E69"/>
    <w:rsid w:val="00AD6DC3"/>
    <w:rsid w:val="00AD7AA1"/>
    <w:rsid w:val="00AE0D75"/>
    <w:rsid w:val="00AE16EC"/>
    <w:rsid w:val="00AE7B86"/>
    <w:rsid w:val="00AE7E67"/>
    <w:rsid w:val="00AF0BDF"/>
    <w:rsid w:val="00AF2305"/>
    <w:rsid w:val="00AF2A93"/>
    <w:rsid w:val="00AF46AA"/>
    <w:rsid w:val="00AF5D98"/>
    <w:rsid w:val="00AF6805"/>
    <w:rsid w:val="00AF7307"/>
    <w:rsid w:val="00B008DD"/>
    <w:rsid w:val="00B03A57"/>
    <w:rsid w:val="00B04423"/>
    <w:rsid w:val="00B044C6"/>
    <w:rsid w:val="00B05898"/>
    <w:rsid w:val="00B059C1"/>
    <w:rsid w:val="00B067A3"/>
    <w:rsid w:val="00B11FF2"/>
    <w:rsid w:val="00B15D6F"/>
    <w:rsid w:val="00B20131"/>
    <w:rsid w:val="00B2222C"/>
    <w:rsid w:val="00B24A97"/>
    <w:rsid w:val="00B26221"/>
    <w:rsid w:val="00B26A19"/>
    <w:rsid w:val="00B27A34"/>
    <w:rsid w:val="00B33267"/>
    <w:rsid w:val="00B342AF"/>
    <w:rsid w:val="00B34DE0"/>
    <w:rsid w:val="00B34F63"/>
    <w:rsid w:val="00B35670"/>
    <w:rsid w:val="00B35B27"/>
    <w:rsid w:val="00B36209"/>
    <w:rsid w:val="00B4012B"/>
    <w:rsid w:val="00B40EDB"/>
    <w:rsid w:val="00B43126"/>
    <w:rsid w:val="00B447CB"/>
    <w:rsid w:val="00B44FB9"/>
    <w:rsid w:val="00B4726A"/>
    <w:rsid w:val="00B51242"/>
    <w:rsid w:val="00B5131C"/>
    <w:rsid w:val="00B52618"/>
    <w:rsid w:val="00B5275C"/>
    <w:rsid w:val="00B53A21"/>
    <w:rsid w:val="00B53B49"/>
    <w:rsid w:val="00B548FA"/>
    <w:rsid w:val="00B54A0A"/>
    <w:rsid w:val="00B54C4A"/>
    <w:rsid w:val="00B56FF3"/>
    <w:rsid w:val="00B57AFD"/>
    <w:rsid w:val="00B57EA9"/>
    <w:rsid w:val="00B641F8"/>
    <w:rsid w:val="00B64399"/>
    <w:rsid w:val="00B71352"/>
    <w:rsid w:val="00B7228A"/>
    <w:rsid w:val="00B7359C"/>
    <w:rsid w:val="00B73AC3"/>
    <w:rsid w:val="00B75CDF"/>
    <w:rsid w:val="00B7662E"/>
    <w:rsid w:val="00B82086"/>
    <w:rsid w:val="00B85570"/>
    <w:rsid w:val="00B87E08"/>
    <w:rsid w:val="00B91263"/>
    <w:rsid w:val="00B927E5"/>
    <w:rsid w:val="00B9299F"/>
    <w:rsid w:val="00B94741"/>
    <w:rsid w:val="00B9736B"/>
    <w:rsid w:val="00B975F3"/>
    <w:rsid w:val="00BA08B6"/>
    <w:rsid w:val="00BA1E11"/>
    <w:rsid w:val="00BB3B42"/>
    <w:rsid w:val="00BB4F1A"/>
    <w:rsid w:val="00BB69A5"/>
    <w:rsid w:val="00BB7162"/>
    <w:rsid w:val="00BB7E16"/>
    <w:rsid w:val="00BC0EFB"/>
    <w:rsid w:val="00BC21EE"/>
    <w:rsid w:val="00BC54B0"/>
    <w:rsid w:val="00BC65D8"/>
    <w:rsid w:val="00BC7449"/>
    <w:rsid w:val="00BC7C0A"/>
    <w:rsid w:val="00BD1415"/>
    <w:rsid w:val="00BD316B"/>
    <w:rsid w:val="00BD4653"/>
    <w:rsid w:val="00BD560B"/>
    <w:rsid w:val="00BD6475"/>
    <w:rsid w:val="00BD72A0"/>
    <w:rsid w:val="00BE2499"/>
    <w:rsid w:val="00BE43A1"/>
    <w:rsid w:val="00BE594B"/>
    <w:rsid w:val="00BE5C95"/>
    <w:rsid w:val="00BE6721"/>
    <w:rsid w:val="00BF0271"/>
    <w:rsid w:val="00BF06DD"/>
    <w:rsid w:val="00BF12C4"/>
    <w:rsid w:val="00BF1A0E"/>
    <w:rsid w:val="00BF2C0E"/>
    <w:rsid w:val="00BF3F7E"/>
    <w:rsid w:val="00BF5E81"/>
    <w:rsid w:val="00BF5EDC"/>
    <w:rsid w:val="00BF65CA"/>
    <w:rsid w:val="00C01123"/>
    <w:rsid w:val="00C022B8"/>
    <w:rsid w:val="00C03A44"/>
    <w:rsid w:val="00C03C26"/>
    <w:rsid w:val="00C06A74"/>
    <w:rsid w:val="00C1110D"/>
    <w:rsid w:val="00C11A50"/>
    <w:rsid w:val="00C127B1"/>
    <w:rsid w:val="00C1343B"/>
    <w:rsid w:val="00C134B7"/>
    <w:rsid w:val="00C15E87"/>
    <w:rsid w:val="00C16B22"/>
    <w:rsid w:val="00C17120"/>
    <w:rsid w:val="00C1732B"/>
    <w:rsid w:val="00C175D0"/>
    <w:rsid w:val="00C2096B"/>
    <w:rsid w:val="00C21A8D"/>
    <w:rsid w:val="00C21E2C"/>
    <w:rsid w:val="00C22D8B"/>
    <w:rsid w:val="00C234DA"/>
    <w:rsid w:val="00C24DB0"/>
    <w:rsid w:val="00C26B1C"/>
    <w:rsid w:val="00C274AA"/>
    <w:rsid w:val="00C32965"/>
    <w:rsid w:val="00C335C9"/>
    <w:rsid w:val="00C3426D"/>
    <w:rsid w:val="00C36254"/>
    <w:rsid w:val="00C36E6D"/>
    <w:rsid w:val="00C4190A"/>
    <w:rsid w:val="00C42D86"/>
    <w:rsid w:val="00C44ADA"/>
    <w:rsid w:val="00C45251"/>
    <w:rsid w:val="00C45B45"/>
    <w:rsid w:val="00C45F8D"/>
    <w:rsid w:val="00C46060"/>
    <w:rsid w:val="00C50711"/>
    <w:rsid w:val="00C50C3F"/>
    <w:rsid w:val="00C523C6"/>
    <w:rsid w:val="00C525BA"/>
    <w:rsid w:val="00C53065"/>
    <w:rsid w:val="00C54204"/>
    <w:rsid w:val="00C555F7"/>
    <w:rsid w:val="00C55EF8"/>
    <w:rsid w:val="00C56446"/>
    <w:rsid w:val="00C566DB"/>
    <w:rsid w:val="00C60863"/>
    <w:rsid w:val="00C6270B"/>
    <w:rsid w:val="00C6285D"/>
    <w:rsid w:val="00C628DA"/>
    <w:rsid w:val="00C639E3"/>
    <w:rsid w:val="00C640E3"/>
    <w:rsid w:val="00C65195"/>
    <w:rsid w:val="00C70563"/>
    <w:rsid w:val="00C71292"/>
    <w:rsid w:val="00C71484"/>
    <w:rsid w:val="00C716CA"/>
    <w:rsid w:val="00C72305"/>
    <w:rsid w:val="00C735A7"/>
    <w:rsid w:val="00C74658"/>
    <w:rsid w:val="00C76FAC"/>
    <w:rsid w:val="00C77D4A"/>
    <w:rsid w:val="00C8566F"/>
    <w:rsid w:val="00C8567A"/>
    <w:rsid w:val="00C859AE"/>
    <w:rsid w:val="00C86D2E"/>
    <w:rsid w:val="00C87C43"/>
    <w:rsid w:val="00C90C57"/>
    <w:rsid w:val="00C93B0E"/>
    <w:rsid w:val="00C967E4"/>
    <w:rsid w:val="00C97824"/>
    <w:rsid w:val="00C979D0"/>
    <w:rsid w:val="00CA2F45"/>
    <w:rsid w:val="00CA330E"/>
    <w:rsid w:val="00CA410E"/>
    <w:rsid w:val="00CA447E"/>
    <w:rsid w:val="00CA6C9F"/>
    <w:rsid w:val="00CA7597"/>
    <w:rsid w:val="00CB0CDF"/>
    <w:rsid w:val="00CB0FE7"/>
    <w:rsid w:val="00CB1DDE"/>
    <w:rsid w:val="00CB27FD"/>
    <w:rsid w:val="00CB528D"/>
    <w:rsid w:val="00CB635C"/>
    <w:rsid w:val="00CB7321"/>
    <w:rsid w:val="00CB77C8"/>
    <w:rsid w:val="00CB7E0A"/>
    <w:rsid w:val="00CC3027"/>
    <w:rsid w:val="00CC3609"/>
    <w:rsid w:val="00CC3C59"/>
    <w:rsid w:val="00CC421B"/>
    <w:rsid w:val="00CC4715"/>
    <w:rsid w:val="00CD0CFB"/>
    <w:rsid w:val="00CD1BC6"/>
    <w:rsid w:val="00CD27EE"/>
    <w:rsid w:val="00CD7AAD"/>
    <w:rsid w:val="00CE0BAC"/>
    <w:rsid w:val="00CE10BD"/>
    <w:rsid w:val="00CE1F17"/>
    <w:rsid w:val="00CE3E59"/>
    <w:rsid w:val="00CE425C"/>
    <w:rsid w:val="00CE7A63"/>
    <w:rsid w:val="00CE7F13"/>
    <w:rsid w:val="00CF26BF"/>
    <w:rsid w:val="00CF3FB2"/>
    <w:rsid w:val="00CF66A7"/>
    <w:rsid w:val="00D004BE"/>
    <w:rsid w:val="00D004E8"/>
    <w:rsid w:val="00D006D6"/>
    <w:rsid w:val="00D00BBC"/>
    <w:rsid w:val="00D00DBC"/>
    <w:rsid w:val="00D03586"/>
    <w:rsid w:val="00D03B28"/>
    <w:rsid w:val="00D05726"/>
    <w:rsid w:val="00D06F5C"/>
    <w:rsid w:val="00D075C6"/>
    <w:rsid w:val="00D11F1F"/>
    <w:rsid w:val="00D14FB9"/>
    <w:rsid w:val="00D213E9"/>
    <w:rsid w:val="00D26AD0"/>
    <w:rsid w:val="00D30E72"/>
    <w:rsid w:val="00D319C9"/>
    <w:rsid w:val="00D33B4A"/>
    <w:rsid w:val="00D33B6C"/>
    <w:rsid w:val="00D3454C"/>
    <w:rsid w:val="00D36060"/>
    <w:rsid w:val="00D36EB9"/>
    <w:rsid w:val="00D37F45"/>
    <w:rsid w:val="00D4105E"/>
    <w:rsid w:val="00D42348"/>
    <w:rsid w:val="00D42E24"/>
    <w:rsid w:val="00D46107"/>
    <w:rsid w:val="00D4618E"/>
    <w:rsid w:val="00D50854"/>
    <w:rsid w:val="00D50899"/>
    <w:rsid w:val="00D54158"/>
    <w:rsid w:val="00D5688B"/>
    <w:rsid w:val="00D60DAA"/>
    <w:rsid w:val="00D63D53"/>
    <w:rsid w:val="00D660FA"/>
    <w:rsid w:val="00D6646F"/>
    <w:rsid w:val="00D72181"/>
    <w:rsid w:val="00D7396F"/>
    <w:rsid w:val="00D7523E"/>
    <w:rsid w:val="00D76A33"/>
    <w:rsid w:val="00D774FB"/>
    <w:rsid w:val="00D77E17"/>
    <w:rsid w:val="00D80971"/>
    <w:rsid w:val="00D81AF1"/>
    <w:rsid w:val="00D828FB"/>
    <w:rsid w:val="00D843D7"/>
    <w:rsid w:val="00D84E4B"/>
    <w:rsid w:val="00D85F56"/>
    <w:rsid w:val="00D86D9E"/>
    <w:rsid w:val="00D90345"/>
    <w:rsid w:val="00D906AD"/>
    <w:rsid w:val="00D91D66"/>
    <w:rsid w:val="00D92A4E"/>
    <w:rsid w:val="00D95B75"/>
    <w:rsid w:val="00D95BB2"/>
    <w:rsid w:val="00D97D5E"/>
    <w:rsid w:val="00DA10B6"/>
    <w:rsid w:val="00DA22D5"/>
    <w:rsid w:val="00DA34BD"/>
    <w:rsid w:val="00DA4017"/>
    <w:rsid w:val="00DA4698"/>
    <w:rsid w:val="00DA5B94"/>
    <w:rsid w:val="00DA72DC"/>
    <w:rsid w:val="00DB16ED"/>
    <w:rsid w:val="00DB360D"/>
    <w:rsid w:val="00DB4E40"/>
    <w:rsid w:val="00DB5C76"/>
    <w:rsid w:val="00DC0159"/>
    <w:rsid w:val="00DC0500"/>
    <w:rsid w:val="00DC3E18"/>
    <w:rsid w:val="00DC419A"/>
    <w:rsid w:val="00DC5090"/>
    <w:rsid w:val="00DC6856"/>
    <w:rsid w:val="00DC74CC"/>
    <w:rsid w:val="00DD0902"/>
    <w:rsid w:val="00DD1107"/>
    <w:rsid w:val="00DD1675"/>
    <w:rsid w:val="00DD1854"/>
    <w:rsid w:val="00DD2B27"/>
    <w:rsid w:val="00DD2F32"/>
    <w:rsid w:val="00DD46EB"/>
    <w:rsid w:val="00DD69DD"/>
    <w:rsid w:val="00DD6D90"/>
    <w:rsid w:val="00DD71C4"/>
    <w:rsid w:val="00DD776A"/>
    <w:rsid w:val="00DE0441"/>
    <w:rsid w:val="00DE261E"/>
    <w:rsid w:val="00DE35DB"/>
    <w:rsid w:val="00DE3A94"/>
    <w:rsid w:val="00DE620F"/>
    <w:rsid w:val="00DE6448"/>
    <w:rsid w:val="00DE7144"/>
    <w:rsid w:val="00DF2F35"/>
    <w:rsid w:val="00DF3569"/>
    <w:rsid w:val="00DF5282"/>
    <w:rsid w:val="00DF73FC"/>
    <w:rsid w:val="00E04368"/>
    <w:rsid w:val="00E06A49"/>
    <w:rsid w:val="00E06F08"/>
    <w:rsid w:val="00E10FAD"/>
    <w:rsid w:val="00E128E3"/>
    <w:rsid w:val="00E13BB9"/>
    <w:rsid w:val="00E147F5"/>
    <w:rsid w:val="00E1655A"/>
    <w:rsid w:val="00E216A6"/>
    <w:rsid w:val="00E2368A"/>
    <w:rsid w:val="00E2749E"/>
    <w:rsid w:val="00E31761"/>
    <w:rsid w:val="00E31B46"/>
    <w:rsid w:val="00E332F7"/>
    <w:rsid w:val="00E35B18"/>
    <w:rsid w:val="00E36F79"/>
    <w:rsid w:val="00E374E0"/>
    <w:rsid w:val="00E378BB"/>
    <w:rsid w:val="00E47430"/>
    <w:rsid w:val="00E4775F"/>
    <w:rsid w:val="00E47D6B"/>
    <w:rsid w:val="00E47EB2"/>
    <w:rsid w:val="00E50484"/>
    <w:rsid w:val="00E523F8"/>
    <w:rsid w:val="00E575C7"/>
    <w:rsid w:val="00E60649"/>
    <w:rsid w:val="00E6233B"/>
    <w:rsid w:val="00E62511"/>
    <w:rsid w:val="00E72E1E"/>
    <w:rsid w:val="00E7452F"/>
    <w:rsid w:val="00E814AC"/>
    <w:rsid w:val="00E81C52"/>
    <w:rsid w:val="00E82A7A"/>
    <w:rsid w:val="00E84437"/>
    <w:rsid w:val="00E84643"/>
    <w:rsid w:val="00E867B4"/>
    <w:rsid w:val="00E87F29"/>
    <w:rsid w:val="00E9106B"/>
    <w:rsid w:val="00E917E1"/>
    <w:rsid w:val="00E9253B"/>
    <w:rsid w:val="00E92C22"/>
    <w:rsid w:val="00E92F00"/>
    <w:rsid w:val="00E93F1A"/>
    <w:rsid w:val="00E950E7"/>
    <w:rsid w:val="00E96A68"/>
    <w:rsid w:val="00E9758C"/>
    <w:rsid w:val="00E97592"/>
    <w:rsid w:val="00E97F4A"/>
    <w:rsid w:val="00EA1E10"/>
    <w:rsid w:val="00EA2A81"/>
    <w:rsid w:val="00EA35D6"/>
    <w:rsid w:val="00EA5A7A"/>
    <w:rsid w:val="00EA7477"/>
    <w:rsid w:val="00EA77F3"/>
    <w:rsid w:val="00EB1617"/>
    <w:rsid w:val="00EB2755"/>
    <w:rsid w:val="00EB42DD"/>
    <w:rsid w:val="00EB4316"/>
    <w:rsid w:val="00EB56F9"/>
    <w:rsid w:val="00EB5D6A"/>
    <w:rsid w:val="00EB63D4"/>
    <w:rsid w:val="00EB709D"/>
    <w:rsid w:val="00EC3F55"/>
    <w:rsid w:val="00EC53C5"/>
    <w:rsid w:val="00EC5D8C"/>
    <w:rsid w:val="00ED0125"/>
    <w:rsid w:val="00ED42D9"/>
    <w:rsid w:val="00ED488F"/>
    <w:rsid w:val="00EE00AB"/>
    <w:rsid w:val="00EE049A"/>
    <w:rsid w:val="00EE4EE5"/>
    <w:rsid w:val="00EE605E"/>
    <w:rsid w:val="00EE611A"/>
    <w:rsid w:val="00EE79C9"/>
    <w:rsid w:val="00EE7B2D"/>
    <w:rsid w:val="00EE7CC2"/>
    <w:rsid w:val="00EE7E2D"/>
    <w:rsid w:val="00EF3232"/>
    <w:rsid w:val="00EF6E86"/>
    <w:rsid w:val="00F0000F"/>
    <w:rsid w:val="00F0008A"/>
    <w:rsid w:val="00F0068C"/>
    <w:rsid w:val="00F00AF7"/>
    <w:rsid w:val="00F01066"/>
    <w:rsid w:val="00F033E6"/>
    <w:rsid w:val="00F05F9A"/>
    <w:rsid w:val="00F0762F"/>
    <w:rsid w:val="00F07694"/>
    <w:rsid w:val="00F07BDD"/>
    <w:rsid w:val="00F11F35"/>
    <w:rsid w:val="00F12D19"/>
    <w:rsid w:val="00F1412A"/>
    <w:rsid w:val="00F146F5"/>
    <w:rsid w:val="00F1588F"/>
    <w:rsid w:val="00F171EE"/>
    <w:rsid w:val="00F20072"/>
    <w:rsid w:val="00F23DDD"/>
    <w:rsid w:val="00F3385A"/>
    <w:rsid w:val="00F361F3"/>
    <w:rsid w:val="00F36990"/>
    <w:rsid w:val="00F36E4A"/>
    <w:rsid w:val="00F403F6"/>
    <w:rsid w:val="00F42328"/>
    <w:rsid w:val="00F42671"/>
    <w:rsid w:val="00F502D9"/>
    <w:rsid w:val="00F50B0D"/>
    <w:rsid w:val="00F50CB0"/>
    <w:rsid w:val="00F5310E"/>
    <w:rsid w:val="00F54657"/>
    <w:rsid w:val="00F55B4A"/>
    <w:rsid w:val="00F56DC0"/>
    <w:rsid w:val="00F60452"/>
    <w:rsid w:val="00F612C8"/>
    <w:rsid w:val="00F61DE6"/>
    <w:rsid w:val="00F62C7A"/>
    <w:rsid w:val="00F66FE7"/>
    <w:rsid w:val="00F67783"/>
    <w:rsid w:val="00F7000C"/>
    <w:rsid w:val="00F71008"/>
    <w:rsid w:val="00F75823"/>
    <w:rsid w:val="00F77DC4"/>
    <w:rsid w:val="00F81978"/>
    <w:rsid w:val="00F84A29"/>
    <w:rsid w:val="00F852D7"/>
    <w:rsid w:val="00F86139"/>
    <w:rsid w:val="00F86F4C"/>
    <w:rsid w:val="00F913C1"/>
    <w:rsid w:val="00F91475"/>
    <w:rsid w:val="00F918FD"/>
    <w:rsid w:val="00F951A8"/>
    <w:rsid w:val="00F96E10"/>
    <w:rsid w:val="00FA5090"/>
    <w:rsid w:val="00FA50F5"/>
    <w:rsid w:val="00FA5523"/>
    <w:rsid w:val="00FA5A84"/>
    <w:rsid w:val="00FA5E84"/>
    <w:rsid w:val="00FA72A2"/>
    <w:rsid w:val="00FA742A"/>
    <w:rsid w:val="00FB4779"/>
    <w:rsid w:val="00FB48D4"/>
    <w:rsid w:val="00FB65C9"/>
    <w:rsid w:val="00FC0871"/>
    <w:rsid w:val="00FC0EAE"/>
    <w:rsid w:val="00FC13CF"/>
    <w:rsid w:val="00FC2012"/>
    <w:rsid w:val="00FC27B2"/>
    <w:rsid w:val="00FC3258"/>
    <w:rsid w:val="00FC351C"/>
    <w:rsid w:val="00FC5115"/>
    <w:rsid w:val="00FC5373"/>
    <w:rsid w:val="00FC58EF"/>
    <w:rsid w:val="00FC6420"/>
    <w:rsid w:val="00FC79E9"/>
    <w:rsid w:val="00FD3D3B"/>
    <w:rsid w:val="00FD4046"/>
    <w:rsid w:val="00FD683C"/>
    <w:rsid w:val="00FD7093"/>
    <w:rsid w:val="00FE04C3"/>
    <w:rsid w:val="00FE1C71"/>
    <w:rsid w:val="00FE519C"/>
    <w:rsid w:val="00FE57C2"/>
    <w:rsid w:val="00FE6CAD"/>
    <w:rsid w:val="00FF00BE"/>
    <w:rsid w:val="00FF32A1"/>
    <w:rsid w:val="00FF41BA"/>
    <w:rsid w:val="00FF4D0B"/>
    <w:rsid w:val="00FF4E89"/>
    <w:rsid w:val="00FF5B8B"/>
    <w:rsid w:val="00FF60E9"/>
    <w:rsid w:val="1FFB652C"/>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1732B"/>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1732B"/>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1732B"/>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1732B"/>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1732B"/>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1732B"/>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1732B"/>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1732B"/>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1732B"/>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 Char,fn Char Char,Footnote Text Char1 Char1 Char,Footnote Text Char Char Char1 Char,Footnote Text Char1 Char Char Char,Footnote Text Char Char Char Char Char,Footnote Text Char Char1,ft,fn,fn Char,f,c,Footnote Text Char1"/>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11,Style 28,Styl,Style 16,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n Char Char Char,Footnote Text Char1 Char1 Char Char,Footnote Text Char Char Char1 Char Char,Footnote Text Char1 Char Char Char Char,Footnote Text Char Char Char Char Char Char,ft Char,fn Char1,f Char"/>
    <w:basedOn w:val="DefaultParagraphFont"/>
    <w:link w:val="FootnoteText"/>
    <w:rsid w:val="00BF3F7E"/>
    <w:rPr>
      <w:rFonts w:ascii="Times New Roman" w:hAnsi="Times New Roman" w:cs="Times New Roman"/>
      <w:sz w:val="26"/>
      <w:szCs w:val="20"/>
    </w:rPr>
  </w:style>
  <w:style w:type="character" w:styleId="Mention">
    <w:name w:val="Mention"/>
    <w:basedOn w:val="DefaultParagraphFont"/>
    <w:uiPriority w:val="99"/>
    <w:unhideWhenUsed/>
    <w:rsid w:val="00764534"/>
    <w:rPr>
      <w:color w:val="2B579A"/>
      <w:shd w:val="clear" w:color="auto" w:fill="E1DFDD"/>
    </w:rPr>
  </w:style>
  <w:style w:type="paragraph" w:styleId="Revision">
    <w:name w:val="Revision"/>
    <w:hidden/>
    <w:uiPriority w:val="99"/>
    <w:semiHidden/>
    <w:rsid w:val="00EF3232"/>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D55B2-9DD9-4E34-9A6E-3918184C5139}">
  <ds:schemaRefs>
    <ds:schemaRef ds:uri="http://purl.org/dc/dcmitype/"/>
    <ds:schemaRef ds:uri="http://schemas.microsoft.com/office/2006/documentManagement/type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40C04DF0-F5C9-4E61-9D3C-77EADC2B3812}">
  <ds:schemaRefs>
    <ds:schemaRef ds:uri="http://schemas.microsoft.com/sharepoint/v3/contenttype/forms"/>
  </ds:schemaRefs>
</ds:datastoreItem>
</file>

<file path=customXml/itemProps4.xml><?xml version="1.0" encoding="utf-8"?>
<ds:datastoreItem xmlns:ds="http://schemas.openxmlformats.org/officeDocument/2006/customXml" ds:itemID="{C43AB66C-6417-42E8-A2DD-95C07F91CAAD}">
  <ds:schemaRefs>
    <ds:schemaRef ds:uri="Microsoft.SharePoint.Taxonomy.ContentTypeSync"/>
  </ds:schemaRefs>
</ds:datastoreItem>
</file>

<file path=customXml/itemProps5.xml><?xml version="1.0" encoding="utf-8"?>
<ds:datastoreItem xmlns:ds="http://schemas.openxmlformats.org/officeDocument/2006/customXml" ds:itemID="{2C0F5E8B-E3C6-4958-84F6-F89C98EBA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0</TotalTime>
  <Pages>5</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2025-02-05T15:00:10Z</cp:lastPrinted>
  <dcterms:created xsi:type="dcterms:W3CDTF">2025-02-04T16:40:00Z</dcterms:created>
  <dcterms:modified xsi:type="dcterms:W3CDTF">2025-02-04T20:11:00Z</dcterms:modified>
</cp:coreProperties>
</file>