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21777">
      <w:pPr>
        <w:jc w:val="center"/>
      </w:pPr>
      <w:r>
        <w:t>190 FERC ¶ 61,051</w:t>
      </w:r>
    </w:p>
    <w:p w:rsidR="00CB31A6" w:rsidRPr="00CD0B38" w:rsidP="00E63647">
      <w:pPr>
        <w:jc w:val="center"/>
      </w:pPr>
      <w:r>
        <w:rPr>
          <w:b/>
        </w:rPr>
        <w:fldChar w:fldCharType="begin"/>
      </w:r>
      <w:r>
        <w:rPr>
          <w:b/>
        </w:rPr>
        <w:instrText xml:space="preserve"> MACROBUTTON  AcceptAllChangesInDoc </w:instrText>
      </w:r>
      <w:r>
        <w:rPr>
          <w:b/>
        </w:rPr>
        <w:fldChar w:fldCharType="end"/>
      </w:r>
      <w:r w:rsidRPr="00CD0B38">
        <w:t>UNITED STATES OF AMERICA</w:t>
      </w:r>
    </w:p>
    <w:p w:rsidR="00CB31A6" w:rsidRPr="00CD0B38" w:rsidP="00152327">
      <w:pPr>
        <w:jc w:val="center"/>
      </w:pPr>
      <w:r w:rsidRPr="00CD0B38">
        <w:t>FEDERAL ENERGY REGULATORY COMMISSION</w:t>
      </w:r>
    </w:p>
    <w:p w:rsidR="00CB31A6" w:rsidRPr="00CD0B38" w:rsidP="00152327"/>
    <w:p w:rsidR="00CB31A6" w:rsidRPr="00E63647" w:rsidP="00E63647">
      <w:pPr>
        <w:widowControl/>
      </w:pPr>
      <w:r w:rsidRPr="00E63647">
        <w:t>Before Commissioners:  Mark C. Christie, Chairman;</w:t>
      </w:r>
    </w:p>
    <w:p w:rsidR="00E63647" w:rsidRPr="00E63647" w:rsidP="00E63647">
      <w:pPr>
        <w:widowControl/>
      </w:pPr>
      <w:r w:rsidRPr="00E63647">
        <w:t xml:space="preserve">                                        Willie L. Phillips, David Rosner</w:t>
      </w:r>
    </w:p>
    <w:p w:rsidR="00E63647" w:rsidRPr="00CD0B38" w:rsidP="00E63647">
      <w:pPr>
        <w:widowControl/>
      </w:pPr>
      <w:r w:rsidRPr="00E63647">
        <w:t xml:space="preserve">                                        </w:t>
      </w:r>
      <w:r>
        <w:t xml:space="preserve">and </w:t>
      </w:r>
      <w:r w:rsidRPr="00E63647">
        <w:t>Lindsay S. See.</w:t>
      </w:r>
    </w:p>
    <w:p w:rsidR="00CB31A6" w:rsidRPr="00CD0B38" w:rsidP="00152327"/>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CB31A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CB31A6" w:rsidRPr="00CD0B38" w:rsidP="00152327">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New York Independent System Operator, Inc.</w:t>
            </w:r>
          </w:p>
        </w:tc>
        <w:tc>
          <w:tcPr>
            <w:tcW w:w="1560" w:type="dxa"/>
            <w:shd w:val="clear" w:color="auto" w:fill="auto"/>
          </w:tcPr>
          <w:p w:rsidR="00CB31A6" w:rsidRPr="00CD0B38" w:rsidP="00CB31A6">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Docket No.</w:t>
            </w:r>
          </w:p>
        </w:tc>
        <w:tc>
          <w:tcPr>
            <w:tcW w:w="1928" w:type="dxa"/>
            <w:shd w:val="clear" w:color="auto" w:fill="auto"/>
            <w:tcMar>
              <w:left w:w="144" w:type="dxa"/>
            </w:tcMar>
          </w:tcPr>
          <w:p w:rsidR="00CB31A6" w:rsidRPr="00CD0B38" w:rsidP="00152327">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ER25-596-000</w:t>
            </w:r>
          </w:p>
        </w:tc>
      </w:tr>
    </w:tbl>
    <w:p w:rsidR="00CB31A6" w:rsidRPr="00CD0B38" w:rsidP="00152327">
      <w:pPr>
        <w:jc w:val="center"/>
      </w:pPr>
    </w:p>
    <w:p w:rsidR="00CB31A6" w:rsidRPr="00CD0B38" w:rsidP="00152327">
      <w:pPr>
        <w:jc w:val="center"/>
      </w:pPr>
    </w:p>
    <w:p w:rsidR="00CB31A6" w:rsidRPr="00CD0B38" w:rsidP="00152327">
      <w:pPr>
        <w:jc w:val="center"/>
      </w:pPr>
      <w:r>
        <w:t>ORDER ACCEPTING TARIFF REVISIONS</w:t>
      </w:r>
    </w:p>
    <w:p w:rsidR="00CB31A6" w:rsidRPr="00CD0B38" w:rsidP="00152327">
      <w:pPr>
        <w:jc w:val="center"/>
      </w:pPr>
    </w:p>
    <w:p w:rsidR="00CB31A6" w:rsidP="00E63647">
      <w:pPr>
        <w:widowControl/>
        <w:jc w:val="center"/>
      </w:pPr>
      <w:r w:rsidRPr="00E63647">
        <w:t>(Issued January 28, 2025)</w:t>
      </w:r>
    </w:p>
    <w:p w:rsidR="00CB31A6" w:rsidRPr="00C26B1C" w:rsidP="00152327">
      <w:pPr>
        <w:rPr>
          <w:bCs/>
        </w:rPr>
      </w:pPr>
    </w:p>
    <w:p w:rsidR="00BA5A58" w:rsidRPr="00CB31A6" w:rsidP="00CB31A6">
      <w:pPr>
        <w:pStyle w:val="FERCparanumber"/>
      </w:pPr>
      <w:r w:rsidRPr="00CB31A6">
        <w:t xml:space="preserve">On November </w:t>
      </w:r>
      <w:r>
        <w:t>29, 202</w:t>
      </w:r>
      <w:r w:rsidR="00E63647">
        <w:t>4</w:t>
      </w:r>
      <w:r w:rsidRPr="00CB31A6">
        <w:t>, New York Independent System Operator, Inc. (NYISO)</w:t>
      </w:r>
      <w:r w:rsidR="00F0580D">
        <w:t xml:space="preserve"> </w:t>
      </w:r>
      <w:r w:rsidRPr="00CB31A6">
        <w:t>filed</w:t>
      </w:r>
      <w:r w:rsidR="001E3138">
        <w:t xml:space="preserve">, </w:t>
      </w:r>
      <w:r w:rsidRPr="00CB31A6" w:rsidR="001E3138">
        <w:t>pursuant to section 205 of the Federal Power Act (FPA)</w:t>
      </w:r>
      <w:r>
        <w:rPr>
          <w:rStyle w:val="FootnoteReference"/>
        </w:rPr>
        <w:footnoteReference w:id="3"/>
      </w:r>
      <w:r w:rsidR="001E3138">
        <w:t xml:space="preserve"> and Part 35 of the Commission’s regulations,</w:t>
      </w:r>
      <w:r>
        <w:rPr>
          <w:rStyle w:val="FootnoteReference"/>
        </w:rPr>
        <w:footnoteReference w:id="4"/>
      </w:r>
      <w:r w:rsidRPr="00CB31A6" w:rsidR="001E3138">
        <w:t xml:space="preserve"> </w:t>
      </w:r>
      <w:r w:rsidRPr="00CB31A6">
        <w:t>revisions to its Market Administration and Control Area Services Tariff (Services Tariff)</w:t>
      </w:r>
      <w:r w:rsidR="001536BE">
        <w:t>.</w:t>
      </w:r>
      <w:r>
        <w:rPr>
          <w:rStyle w:val="FootnoteReference"/>
        </w:rPr>
        <w:footnoteReference w:id="5"/>
      </w:r>
      <w:r w:rsidRPr="00CB31A6">
        <w:t xml:space="preserve">  </w:t>
      </w:r>
      <w:r w:rsidRPr="0053718C">
        <w:t>The proposed revisions</w:t>
      </w:r>
      <w:r w:rsidRPr="0053718C" w:rsidR="008F6DEC">
        <w:t xml:space="preserve"> to</w:t>
      </w:r>
      <w:r w:rsidRPr="0053718C">
        <w:t xml:space="preserve"> </w:t>
      </w:r>
      <w:r w:rsidRPr="0053718C" w:rsidR="008F6DEC">
        <w:t xml:space="preserve">section 5.14.1.2.2 of the Services Tariff </w:t>
      </w:r>
      <w:r w:rsidRPr="0053718C">
        <w:t>define the demand curves in the Installed Capacity (ICAP) Market for the 2025/2026 Capability Year.</w:t>
      </w:r>
      <w:r>
        <w:rPr>
          <w:rStyle w:val="FootnoteReference"/>
        </w:rPr>
        <w:footnoteReference w:id="6"/>
      </w:r>
      <w:r w:rsidRPr="00CB31A6">
        <w:t xml:space="preserve">  </w:t>
      </w:r>
      <w:r w:rsidRPr="0053718C">
        <w:t>The proposed revisions also identify the methodologies and inputs to be used for subsequent annual updates to the ICAP Demand Curves</w:t>
      </w:r>
      <w:r>
        <w:rPr>
          <w:rStyle w:val="FootnoteReference"/>
        </w:rPr>
        <w:footnoteReference w:id="7"/>
      </w:r>
      <w:r w:rsidRPr="00CB31A6">
        <w:t xml:space="preserve"> for the 2026/2027, 2027/2028, and 2028/2029 Capability Years (</w:t>
      </w:r>
      <w:r w:rsidRPr="0053718C">
        <w:t>2025-2029 DCR</w:t>
      </w:r>
      <w:r w:rsidRPr="00CB31A6">
        <w:t xml:space="preserve">). </w:t>
      </w:r>
      <w:r w:rsidR="00C458EE">
        <w:t xml:space="preserve"> </w:t>
      </w:r>
      <w:r>
        <w:t>In this order</w:t>
      </w:r>
      <w:r w:rsidR="004A62AA">
        <w:t>,</w:t>
      </w:r>
      <w:r w:rsidR="00B60AB4">
        <w:t xml:space="preserve"> </w:t>
      </w:r>
      <w:r w:rsidRPr="00314AC8" w:rsidR="00B60AB4">
        <w:t>we accept NYISO’s proposed revisions to its Services Tariff</w:t>
      </w:r>
      <w:r w:rsidRPr="00314AC8" w:rsidR="00D04AEC">
        <w:t>, effective January 29, 2025, as requested</w:t>
      </w:r>
      <w:r w:rsidRPr="00314AC8" w:rsidR="00B60AB4">
        <w:t>.</w:t>
      </w:r>
      <w:r w:rsidR="00B60AB4">
        <w:t xml:space="preserve"> </w:t>
      </w:r>
    </w:p>
    <w:p w:rsidR="00CB31A6" w:rsidP="00CB31A6">
      <w:pPr>
        <w:pStyle w:val="Heading1"/>
      </w:pPr>
      <w:r>
        <w:t>Background</w:t>
      </w:r>
    </w:p>
    <w:p w:rsidR="00007CC6" w:rsidRPr="0053718C" w:rsidP="006366CA">
      <w:pPr>
        <w:pStyle w:val="FERCparanumber"/>
      </w:pPr>
      <w:r>
        <w:t xml:space="preserve">The Services Tariff requires </w:t>
      </w:r>
      <w:r w:rsidRPr="00F87AA5" w:rsidR="00CB31A6">
        <w:t>NYISO to determine the amount of ICAP</w:t>
      </w:r>
      <w:r w:rsidR="00CB31A6">
        <w:t>, in megawatts (MW),</w:t>
      </w:r>
      <w:r w:rsidRPr="00F87AA5" w:rsidR="00CB31A6">
        <w:t xml:space="preserve"> that each Load Serving Entity (LSE) must acquire to ensure that adequate resources are available to meet projected load, taking into account reliability contingencies.</w:t>
      </w:r>
      <w:r>
        <w:rPr>
          <w:rStyle w:val="FootnoteReference"/>
        </w:rPr>
        <w:footnoteReference w:id="8"/>
      </w:r>
      <w:r w:rsidRPr="00F87AA5" w:rsidR="00CB31A6">
        <w:t xml:space="preserve">  NYISO oversees an auction process that determines the amount and price of ICAP that each LSE must acquire </w:t>
      </w:r>
      <w:r w:rsidRPr="0053718C" w:rsidR="00CB31A6">
        <w:t>using administratively established, downward-sloping ICAP Demand Curves</w:t>
      </w:r>
      <w:r w:rsidRPr="00F87AA5" w:rsidR="00CB31A6">
        <w:t xml:space="preserve">.  </w:t>
      </w:r>
      <w:r w:rsidR="00CB31A6">
        <w:t xml:space="preserve">Each year, the </w:t>
      </w:r>
      <w:r w:rsidRPr="0053718C" w:rsidR="00CB31A6">
        <w:t>New York State Reliability Council, L.L.C.</w:t>
      </w:r>
      <w:r w:rsidRPr="0053718C" w:rsidR="001F3485">
        <w:t xml:space="preserve"> (NYSRC)</w:t>
      </w:r>
      <w:r w:rsidRPr="0053718C" w:rsidR="0005299C">
        <w:t>,</w:t>
      </w:r>
      <w:r w:rsidRPr="0053718C" w:rsidR="00CB31A6">
        <w:t xml:space="preserve"> determines the total amount of ICAP required for the entire NYISO control area (i.e., the New York Control Area (NYCA))</w:t>
      </w:r>
      <w:r>
        <w:rPr>
          <w:rStyle w:val="FootnoteReference"/>
        </w:rPr>
        <w:footnoteReference w:id="9"/>
      </w:r>
      <w:r w:rsidRPr="0053718C" w:rsidR="00CB31A6">
        <w:t xml:space="preserve"> and NYISO separately determines the amount of ICAP required for New York City, Long Island, and the G-J Locality.</w:t>
      </w:r>
      <w:r>
        <w:rPr>
          <w:rStyle w:val="FootnoteReference"/>
        </w:rPr>
        <w:footnoteReference w:id="10"/>
      </w:r>
      <w:r w:rsidRPr="0053718C" w:rsidR="00CB31A6">
        <w:t xml:space="preserve">  As a result, there are separate ICAP Demand Curves for NYCA, New York City, Long Island, and the G-J Locality.  </w:t>
      </w:r>
    </w:p>
    <w:p w:rsidR="00B020A1" w:rsidP="00CB31A6">
      <w:pPr>
        <w:pStyle w:val="FERCparanumber"/>
      </w:pPr>
      <w:r w:rsidRPr="00F87AA5">
        <w:t xml:space="preserve">Section 5.14.1.2 of the Services Tariff requires NYISO to identify the methodologies and inputs used for determining the ICAP Demand Curves for the four Capability Years covered by the relevant ICAP Demand Curve reset process and establish the ICAP Demand Curves for the first Capability Year covered by that process.  </w:t>
      </w:r>
    </w:p>
    <w:p w:rsidR="001B7437" w:rsidP="00CB31A6">
      <w:pPr>
        <w:pStyle w:val="FERCparanumber"/>
      </w:pPr>
      <w:r w:rsidRPr="0053718C">
        <w:t>The ICAP Demand Curve relies on NYISO’s estimate of the net annual cost, less projected revenues, of a new hypothetical peaking plant in New York or the net “cost of new entry</w:t>
      </w:r>
      <w:r w:rsidRPr="0053718C" w:rsidR="00E36D8B">
        <w:t>,</w:t>
      </w:r>
      <w:r w:rsidRPr="0053718C">
        <w:t>”</w:t>
      </w:r>
      <w:r w:rsidRPr="0053718C" w:rsidR="00E36D8B">
        <w:t xml:space="preserve"> referred to as </w:t>
      </w:r>
      <w:r w:rsidRPr="0053718C">
        <w:t>Net CONE.</w:t>
      </w:r>
      <w:r>
        <w:t xml:space="preserve">  </w:t>
      </w:r>
      <w:r w:rsidRPr="00AE50BD">
        <w:t xml:space="preserve">To calculate </w:t>
      </w:r>
      <w:r>
        <w:t>Net CONE</w:t>
      </w:r>
      <w:r w:rsidRPr="00AE50BD">
        <w:t xml:space="preserve">, </w:t>
      </w:r>
      <w:r>
        <w:t>the</w:t>
      </w:r>
      <w:r w:rsidRPr="00AE50BD">
        <w:t xml:space="preserve"> Services Tariff requires </w:t>
      </w:r>
      <w:r>
        <w:t>an</w:t>
      </w:r>
      <w:r w:rsidRPr="00AE50BD">
        <w:t xml:space="preserve"> estimate</w:t>
      </w:r>
      <w:r>
        <w:t xml:space="preserve"> of</w:t>
      </w:r>
      <w:r w:rsidRPr="00AE50BD">
        <w:t xml:space="preserve"> the total</w:t>
      </w:r>
      <w:r>
        <w:t xml:space="preserve"> </w:t>
      </w:r>
      <w:r w:rsidRPr="00AE50BD">
        <w:t xml:space="preserve">lifetime cost of building and operating </w:t>
      </w:r>
      <w:r>
        <w:t>the hypothetical</w:t>
      </w:r>
      <w:r w:rsidRPr="00AE50BD">
        <w:t xml:space="preserve"> peaking plant</w:t>
      </w:r>
      <w:r w:rsidR="00B81479">
        <w:t>,</w:t>
      </w:r>
      <w:r w:rsidRPr="00AE50BD">
        <w:t xml:space="preserve"> divide</w:t>
      </w:r>
      <w:r>
        <w:t>d</w:t>
      </w:r>
      <w:r w:rsidRPr="00AE50BD">
        <w:t xml:space="preserve"> by the number of years </w:t>
      </w:r>
      <w:r>
        <w:t>the</w:t>
      </w:r>
      <w:r w:rsidRPr="00AE50BD">
        <w:t xml:space="preserve"> plant will </w:t>
      </w:r>
      <w:r w:rsidR="00F6093A">
        <w:t>be in</w:t>
      </w:r>
      <w:r w:rsidRPr="00AE50BD" w:rsidR="00F6093A">
        <w:t xml:space="preserve"> </w:t>
      </w:r>
      <w:r w:rsidRPr="00AE50BD">
        <w:t xml:space="preserve">operation, </w:t>
      </w:r>
      <w:r>
        <w:t>less</w:t>
      </w:r>
      <w:r w:rsidRPr="00AE50BD">
        <w:t xml:space="preserve"> the plant</w:t>
      </w:r>
      <w:r w:rsidR="004954EB">
        <w:t>’</w:t>
      </w:r>
      <w:r w:rsidRPr="00AE50BD">
        <w:t xml:space="preserve">s expected annual </w:t>
      </w:r>
      <w:r w:rsidR="00AE47DA">
        <w:t xml:space="preserve">net </w:t>
      </w:r>
      <w:r w:rsidRPr="00AE50BD">
        <w:t>revenues</w:t>
      </w:r>
      <w:r w:rsidR="00596CE7">
        <w:t xml:space="preserve"> from NYISO</w:t>
      </w:r>
      <w:r w:rsidR="00EC78FE">
        <w:t>’s</w:t>
      </w:r>
      <w:r w:rsidR="00596CE7">
        <w:t xml:space="preserve"> energy and ancillary services markets</w:t>
      </w:r>
      <w:r w:rsidRPr="00AE50BD">
        <w:t>.</w:t>
      </w:r>
      <w:r>
        <w:rPr>
          <w:rStyle w:val="FootnoteReference"/>
        </w:rPr>
        <w:footnoteReference w:id="11"/>
      </w:r>
      <w:r>
        <w:t xml:space="preserve">  </w:t>
      </w:r>
    </w:p>
    <w:p w:rsidR="008A3663" w:rsidP="0035180B">
      <w:pPr>
        <w:pStyle w:val="FERCparanumber"/>
      </w:pPr>
      <w:r w:rsidRPr="0053718C">
        <w:t>Specifically, NYISO must assess “the current localized levelized embedded cost of a peaking plant</w:t>
      </w:r>
      <w:r w:rsidRPr="0053718C" w:rsidR="00987AFF">
        <w:t>,</w:t>
      </w:r>
      <w:r w:rsidRPr="0053718C">
        <w:t xml:space="preserve">” </w:t>
      </w:r>
      <w:r w:rsidRPr="0053718C" w:rsidR="00A03930">
        <w:t xml:space="preserve">also referred to as the gross peaking plant cost, </w:t>
      </w:r>
      <w:r w:rsidRPr="0053718C">
        <w:t>in New York City, Long Island, the G-J Locality, Rest of State, i.e., NYCA, and, if applicable, in any new load zone</w:t>
      </w:r>
      <w:r w:rsidRPr="0053718C" w:rsidR="002B56AC">
        <w:t>,</w:t>
      </w:r>
      <w:r w:rsidRPr="0053718C">
        <w:t xml:space="preserve"> to meet minimum capacity requirements</w:t>
      </w:r>
      <w:r w:rsidRPr="00F87AA5">
        <w:t>.</w:t>
      </w:r>
      <w:r>
        <w:rPr>
          <w:rStyle w:val="FootnoteReference"/>
        </w:rPr>
        <w:footnoteReference w:id="12"/>
      </w:r>
      <w:r w:rsidRPr="00F87AA5">
        <w:t xml:space="preserve">  </w:t>
      </w:r>
      <w:r w:rsidRPr="00F87AA5" w:rsidR="005A3692">
        <w:t xml:space="preserve">Further, NYISO must assess the likely projected annual </w:t>
      </w:r>
      <w:r w:rsidRPr="00C139B0" w:rsidR="005A3692">
        <w:rPr>
          <w:szCs w:val="26"/>
        </w:rPr>
        <w:t>energy and ancillary services</w:t>
      </w:r>
      <w:r w:rsidR="005A3692">
        <w:t xml:space="preserve"> </w:t>
      </w:r>
      <w:r w:rsidRPr="00F87AA5" w:rsidR="005A3692">
        <w:t xml:space="preserve">revenues of the peaking </w:t>
      </w:r>
      <w:r w:rsidR="0061077A">
        <w:t>plant</w:t>
      </w:r>
      <w:r w:rsidRPr="00F87AA5" w:rsidR="005A3692">
        <w:t xml:space="preserve"> for the first Capability Year covered by the periodic review, net of the costs of producing such </w:t>
      </w:r>
      <w:r w:rsidR="007E40F4">
        <w:t>energy and ancillary services</w:t>
      </w:r>
      <w:r w:rsidR="00DB779D">
        <w:t>,</w:t>
      </w:r>
      <w:r w:rsidR="007E40F4">
        <w:t xml:space="preserve"> </w:t>
      </w:r>
      <w:r w:rsidRPr="00F87AA5" w:rsidR="005A3692">
        <w:t xml:space="preserve">including </w:t>
      </w:r>
      <w:r w:rsidR="005A3692">
        <w:t>“</w:t>
      </w:r>
      <w:r w:rsidRPr="00F87AA5" w:rsidR="005A3692">
        <w:t>the methodology and inputs for determining such projections for the four Capability Years covered by the periodic review</w:t>
      </w:r>
      <w:r w:rsidR="005A3692">
        <w:t>.</w:t>
      </w:r>
      <w:r w:rsidRPr="00F87AA5" w:rsidR="005A3692">
        <w:t>”</w:t>
      </w:r>
      <w:r>
        <w:rPr>
          <w:rStyle w:val="FootnoteReference"/>
        </w:rPr>
        <w:footnoteReference w:id="13"/>
      </w:r>
      <w:r w:rsidR="005A3692">
        <w:t xml:space="preserve">  </w:t>
      </w:r>
      <w:r w:rsidR="000A110E">
        <w:t>The Services Tariff provides that the costs and revenues of the selected peaking plant</w:t>
      </w:r>
      <w:r w:rsidR="00A310AF">
        <w:t xml:space="preserve"> </w:t>
      </w:r>
      <w:r w:rsidR="00B540DA">
        <w:t>are</w:t>
      </w:r>
      <w:r w:rsidR="000A2AE9">
        <w:t xml:space="preserve"> reflected in </w:t>
      </w:r>
      <w:r w:rsidR="003C7EF3">
        <w:t>Net CONE</w:t>
      </w:r>
      <w:r w:rsidR="000A110E">
        <w:t xml:space="preserve">.  </w:t>
      </w:r>
    </w:p>
    <w:p w:rsidR="00CB31A6" w:rsidP="003C7EF3">
      <w:pPr>
        <w:pStyle w:val="FERCparanumber"/>
      </w:pPr>
      <w:r>
        <w:t xml:space="preserve">The </w:t>
      </w:r>
      <w:r w:rsidR="006B29A2">
        <w:t>Services Tariff provi</w:t>
      </w:r>
      <w:r w:rsidR="00012F37">
        <w:t>d</w:t>
      </w:r>
      <w:r w:rsidR="006B29A2">
        <w:t xml:space="preserve">es that </w:t>
      </w:r>
      <w:r w:rsidR="002F461E">
        <w:t>the</w:t>
      </w:r>
      <w:r w:rsidRPr="00D72E38" w:rsidR="00D72E38">
        <w:t xml:space="preserve"> periodic review shall assess (</w:t>
      </w:r>
      <w:r w:rsidRPr="0053718C" w:rsidR="00D72E38">
        <w:t xml:space="preserve">i) the appropriate shape and slope of the ICAP Demand Curves, and the associated point at which the dollar value of the ICAP Demand Curves should decline to zero; (ii) the appropriate translation of the annual net revenue requirement of the peaking plant determined from </w:t>
      </w:r>
      <w:r w:rsidRPr="0053718C" w:rsidR="00A81F2F">
        <w:t>certain specified</w:t>
      </w:r>
      <w:r w:rsidRPr="0053718C" w:rsidR="00D72E38">
        <w:t xml:space="preserve"> factors, into monthly values that take into account seasonal differences in the amount of capacity available in the ICAP Spot Market Auctions; and (iii) the escalation factor and inflation component of the escalation factor applied to the </w:t>
      </w:r>
      <w:r w:rsidRPr="0053718C" w:rsidR="00B75762">
        <w:t xml:space="preserve">peaking </w:t>
      </w:r>
      <w:r w:rsidRPr="0053718C" w:rsidR="000B22B7">
        <w:t>plant gross cost</w:t>
      </w:r>
      <w:r w:rsidRPr="00D72E38" w:rsidR="00D72E38">
        <w:t>.</w:t>
      </w:r>
      <w:r>
        <w:rPr>
          <w:rStyle w:val="FootnoteReference"/>
        </w:rPr>
        <w:footnoteReference w:id="14"/>
      </w:r>
      <w:r w:rsidRPr="00D72E38" w:rsidR="00D72E38">
        <w:t xml:space="preserve">  </w:t>
      </w:r>
      <w:r w:rsidR="00811755">
        <w:t xml:space="preserve">This assessment of </w:t>
      </w:r>
      <w:r w:rsidRPr="00811755" w:rsidR="00811755">
        <w:t xml:space="preserve">the estimated localized levelized cost per kW-month to develop a new peaking unit </w:t>
      </w:r>
      <w:r w:rsidR="0056748F">
        <w:t xml:space="preserve">less </w:t>
      </w:r>
      <w:r w:rsidR="008D257A">
        <w:t xml:space="preserve">net </w:t>
      </w:r>
      <w:r w:rsidR="007E40F4">
        <w:t xml:space="preserve">energy and ancillary services </w:t>
      </w:r>
      <w:r w:rsidRPr="00811755" w:rsidR="00811755">
        <w:t xml:space="preserve">revenues in each </w:t>
      </w:r>
      <w:r w:rsidR="00811755">
        <w:t xml:space="preserve">zone is </w:t>
      </w:r>
      <w:r w:rsidR="00611D4A">
        <w:t xml:space="preserve">the </w:t>
      </w:r>
      <w:r w:rsidRPr="006D2CAB" w:rsidR="00811755">
        <w:t>Net CONE.</w:t>
      </w:r>
    </w:p>
    <w:p w:rsidR="00CB31A6" w:rsidRPr="00F87AA5" w:rsidP="00CB31A6">
      <w:pPr>
        <w:pStyle w:val="FERCparanumber"/>
      </w:pPr>
      <w:r w:rsidRPr="00944570">
        <w:t>The Services Tariff provides that, beginning with the 2025-2029 DCR, ICAP Demand Curves will be established for each Capability Period (Winter Capability Period and Summer Capability Period) encompassed by a Capability Year.</w:t>
      </w:r>
      <w:r>
        <w:rPr>
          <w:rStyle w:val="FootnoteReference"/>
        </w:rPr>
        <w:footnoteReference w:id="15"/>
      </w:r>
      <w:r w:rsidRPr="00944570">
        <w:t xml:space="preserve">  </w:t>
      </w:r>
      <w:r w:rsidRPr="00F87AA5">
        <w:t>The Services Tariff detail</w:t>
      </w:r>
      <w:r>
        <w:t>s</w:t>
      </w:r>
      <w:r w:rsidRPr="00F87AA5">
        <w:t xml:space="preserve"> additional procedures for the ICAP Demand Curve reset process, including that the ICAP Demand Curves approved by the NYISO Board of Directors shall be filed with the Commission for incorporation into the Services Tariff.</w:t>
      </w:r>
      <w:r>
        <w:rPr>
          <w:rStyle w:val="FootnoteReference"/>
        </w:rPr>
        <w:footnoteReference w:id="16"/>
      </w:r>
      <w:r w:rsidRPr="00F87AA5">
        <w:t xml:space="preserve">  The </w:t>
      </w:r>
      <w:r>
        <w:t>Services Tariff</w:t>
      </w:r>
      <w:r w:rsidRPr="00F87AA5">
        <w:t xml:space="preserve"> also includes a table that NYISO </w:t>
      </w:r>
      <w:r>
        <w:t>updates</w:t>
      </w:r>
      <w:r w:rsidRPr="00F87AA5">
        <w:t xml:space="preserve"> at the time of each ICAP Demand Curve reset to </w:t>
      </w:r>
      <w:r>
        <w:t>revise</w:t>
      </w:r>
      <w:r w:rsidRPr="00F87AA5">
        <w:t xml:space="preserve"> the points on the ICAP Demand Curves</w:t>
      </w:r>
      <w:r>
        <w:t xml:space="preserve">, including the </w:t>
      </w:r>
      <w:r w:rsidR="00A310AF">
        <w:t xml:space="preserve">maximum value, </w:t>
      </w:r>
      <w:r>
        <w:t>zero-crossing points and reference points,</w:t>
      </w:r>
      <w:r w:rsidRPr="00F87AA5">
        <w:t xml:space="preserve"> for each Capability Year covered by the most recent ICAP Demand Curve reset.</w:t>
      </w:r>
      <w:r>
        <w:rPr>
          <w:rStyle w:val="FootnoteReference"/>
        </w:rPr>
        <w:footnoteReference w:id="17"/>
      </w:r>
    </w:p>
    <w:p w:rsidR="00CB31A6" w:rsidP="00CB31A6">
      <w:pPr>
        <w:pStyle w:val="Heading1"/>
      </w:pPr>
      <w:r>
        <w:t>NYISO’s Filing</w:t>
      </w:r>
    </w:p>
    <w:p w:rsidR="002373D2" w:rsidRPr="008A4803" w:rsidP="002373D2">
      <w:pPr>
        <w:pStyle w:val="FERCparanumber"/>
      </w:pPr>
      <w:r>
        <w:t>NYISO explains that</w:t>
      </w:r>
      <w:r w:rsidR="00151EE2">
        <w:t>, as required by the Services Tariff,</w:t>
      </w:r>
      <w:r>
        <w:t xml:space="preserve"> it solicited stakeholder input and selected </w:t>
      </w:r>
      <w:r w:rsidRPr="00944570">
        <w:t>an independent consultant for the 2025-2029 DCR.</w:t>
      </w:r>
      <w:r>
        <w:rPr>
          <w:rStyle w:val="FootnoteReference"/>
        </w:rPr>
        <w:footnoteReference w:id="18"/>
      </w:r>
      <w:r w:rsidRPr="00944570">
        <w:t xml:space="preserve">  NYISO states that NYISO Consultant assisted with conducting the ICAP</w:t>
      </w:r>
      <w:r>
        <w:t xml:space="preserve"> Demand Curve reset and with the development of the appropriate methodologies and inputs to establish the ICAP Demand Curves for the 2025-2029 reset period.  NYISO</w:t>
      </w:r>
      <w:r w:rsidR="007929F0">
        <w:t xml:space="preserve"> states that</w:t>
      </w:r>
      <w:r>
        <w:t xml:space="preserve"> this process included the assessment of potential technologies to serve as the hypothetical peaking </w:t>
      </w:r>
      <w:r w:rsidR="00B50870">
        <w:t xml:space="preserve">plant </w:t>
      </w:r>
      <w:r>
        <w:t xml:space="preserve">used in the establishment of the ICAP Demand Curves, as well as the costs to construct, own, and operate such peaking </w:t>
      </w:r>
      <w:r w:rsidR="00B50870">
        <w:t>plant</w:t>
      </w:r>
      <w:r w:rsidR="001C6EAB">
        <w:t xml:space="preserve"> </w:t>
      </w:r>
      <w:r w:rsidRPr="008A4803">
        <w:t>options.</w:t>
      </w:r>
      <w:r>
        <w:rPr>
          <w:rStyle w:val="FootnoteReference"/>
        </w:rPr>
        <w:footnoteReference w:id="19"/>
      </w:r>
      <w:r w:rsidRPr="008A4803">
        <w:t xml:space="preserve">  </w:t>
      </w:r>
    </w:p>
    <w:p w:rsidR="00F661BC" w:rsidP="00264A60">
      <w:pPr>
        <w:pStyle w:val="FERCparanumber"/>
      </w:pPr>
      <w:r w:rsidRPr="0053718C">
        <w:t>NYISO</w:t>
      </w:r>
      <w:r w:rsidRPr="0053718C" w:rsidR="00797B4F">
        <w:t xml:space="preserve"> states that</w:t>
      </w:r>
      <w:r w:rsidRPr="0053718C">
        <w:t xml:space="preserve"> the 2025-2029 DCR is</w:t>
      </w:r>
      <w:r w:rsidRPr="0053718C" w:rsidR="00CD3A4D">
        <w:t xml:space="preserve"> the</w:t>
      </w:r>
      <w:r w:rsidRPr="0053718C">
        <w:t xml:space="preserve"> first reset following the implementation of NYISO’s capacity accreditation construct,</w:t>
      </w:r>
      <w:r>
        <w:rPr>
          <w:rStyle w:val="FootnoteReference"/>
        </w:rPr>
        <w:footnoteReference w:id="20"/>
      </w:r>
      <w:r w:rsidRPr="0053718C">
        <w:t xml:space="preserve"> which </w:t>
      </w:r>
      <w:r w:rsidRPr="0053718C" w:rsidR="00704053">
        <w:t xml:space="preserve">affects </w:t>
      </w:r>
      <w:r w:rsidRPr="0053718C">
        <w:t>the assessment of the technology options evaluated for this reset</w:t>
      </w:r>
      <w:r>
        <w:t>.</w:t>
      </w:r>
      <w:r>
        <w:rPr>
          <w:rStyle w:val="FootnoteReference"/>
        </w:rPr>
        <w:footnoteReference w:id="21"/>
      </w:r>
      <w:r>
        <w:t xml:space="preserve">  </w:t>
      </w:r>
      <w:r w:rsidRPr="00BB4C70">
        <w:t xml:space="preserve">NYISO explains that </w:t>
      </w:r>
      <w:r w:rsidR="00F653DF">
        <w:t xml:space="preserve">the </w:t>
      </w:r>
      <w:r w:rsidRPr="00BB4C70" w:rsidR="00F653DF">
        <w:t>technolog</w:t>
      </w:r>
      <w:r w:rsidR="00F653DF">
        <w:t>y options evaluated for this DCR</w:t>
      </w:r>
      <w:r w:rsidRPr="00BB4C70">
        <w:t xml:space="preserve"> have different capacity accreditation factors (CAF),</w:t>
      </w:r>
      <w:r>
        <w:rPr>
          <w:rStyle w:val="FootnoteReference"/>
        </w:rPr>
        <w:footnoteReference w:id="22"/>
      </w:r>
      <w:r w:rsidRPr="00BB4C70">
        <w:t xml:space="preserve"> which can produce material differences in the resulting Unforced Capacity (UCAP) demand curves for the reset period.</w:t>
      </w:r>
      <w:r>
        <w:rPr>
          <w:rStyle w:val="FootnoteReference"/>
        </w:rPr>
        <w:footnoteReference w:id="23"/>
      </w:r>
      <w:r w:rsidRPr="00BB4C70">
        <w:t xml:space="preserve">  NYISO translates the ICAP demand curves into UCAP </w:t>
      </w:r>
      <w:r w:rsidR="00683A3F">
        <w:t xml:space="preserve">demand curves </w:t>
      </w:r>
      <w:r w:rsidRPr="00BB4C70">
        <w:t xml:space="preserve">for the purposes of conducting its monthly capacity </w:t>
      </w:r>
      <w:r w:rsidR="006304B3">
        <w:t xml:space="preserve">spot </w:t>
      </w:r>
      <w:r w:rsidRPr="00BB4C70">
        <w:t>auctions</w:t>
      </w:r>
      <w:r w:rsidRPr="0053718C">
        <w:t>.</w:t>
      </w:r>
      <w:r>
        <w:rPr>
          <w:rStyle w:val="FootnoteReference"/>
        </w:rPr>
        <w:footnoteReference w:id="24"/>
      </w:r>
      <w:r w:rsidRPr="0053718C">
        <w:t xml:space="preserve">  NYISO states that the selection of the appropriate </w:t>
      </w:r>
      <w:r w:rsidRPr="0053718C" w:rsidR="00C6777E">
        <w:t xml:space="preserve">peaking plant </w:t>
      </w:r>
      <w:r w:rsidRPr="0053718C">
        <w:t>technology for the 2025-2029 DCR represents the technology that minimizes the cost of procuring UCAP.</w:t>
      </w:r>
      <w:r w:rsidRPr="00BB4C70">
        <w:t xml:space="preserve">  </w:t>
      </w:r>
    </w:p>
    <w:p w:rsidR="005A03DF" w:rsidP="005A03DF">
      <w:pPr>
        <w:pStyle w:val="FERCparanumber"/>
      </w:pPr>
      <w:r>
        <w:t xml:space="preserve">NYISO states that the following technologies were determined to be economically viable technologies and were considered as </w:t>
      </w:r>
      <w:r w:rsidRPr="0053718C">
        <w:t xml:space="preserve">candidates for the peaking unit:  H-class fossil fired gas frame turbine, J-class fossil fired gas frame turbine, and lithium-ion </w:t>
      </w:r>
      <w:r w:rsidRPr="0053718C" w:rsidR="0026761C">
        <w:t>battery energy storage system (</w:t>
      </w:r>
      <w:r w:rsidRPr="0053718C" w:rsidR="00E834A6">
        <w:t>BESS</w:t>
      </w:r>
      <w:r w:rsidRPr="0053718C" w:rsidR="0026761C">
        <w:t>)</w:t>
      </w:r>
      <w:r w:rsidRPr="0053718C">
        <w:t xml:space="preserve"> with 2-hour, 4-hour, 6-hour, and 8-hour durations</w:t>
      </w:r>
      <w:r>
        <w:t>.</w:t>
      </w:r>
      <w:r>
        <w:rPr>
          <w:rStyle w:val="FootnoteReference"/>
        </w:rPr>
        <w:footnoteReference w:id="25"/>
      </w:r>
      <w:r>
        <w:t xml:space="preserve">  NYISO explains that NYISO </w:t>
      </w:r>
      <w:r w:rsidRPr="00D21131">
        <w:t>Consultant</w:t>
      </w:r>
      <w:r>
        <w:t xml:space="preserve"> also conducted, for informational purposes only, a limited review of the potential costs to retrofit a frame turbine to operate solely by burning hydrogen as a potential “zero emissions” design for compliance with New York State’s </w:t>
      </w:r>
      <w:r w:rsidRPr="003F32C9">
        <w:t>Climate Leadership and Community Protection Act</w:t>
      </w:r>
      <w:r>
        <w:t xml:space="preserve"> (CLCPA).</w:t>
      </w:r>
      <w:r>
        <w:rPr>
          <w:rStyle w:val="FootnoteReference"/>
        </w:rPr>
        <w:footnoteReference w:id="26"/>
      </w:r>
      <w:r>
        <w:t xml:space="preserve">  However, NYISO explains that it determined </w:t>
      </w:r>
      <w:r w:rsidR="0005003A">
        <w:t>that</w:t>
      </w:r>
      <w:r>
        <w:t xml:space="preserve"> the costs associated with retrofitting a gas turbine to burn hydrogen rendered </w:t>
      </w:r>
      <w:r w:rsidR="00C203D6">
        <w:t xml:space="preserve">that technology </w:t>
      </w:r>
      <w:r>
        <w:t xml:space="preserve">highly uneconomic compared to other technology options.  NYISO clarifies that the two gas turbine options </w:t>
      </w:r>
      <w:r w:rsidR="00911C4E">
        <w:t>(</w:t>
      </w:r>
      <w:r>
        <w:t>one capable of operating without a selective catalytic reduction emission control technology, the H-class gas turbine, and one that would require this emission control technology, the J-class gas turbine</w:t>
      </w:r>
      <w:r w:rsidR="00911C4E">
        <w:t>)</w:t>
      </w:r>
      <w:r>
        <w:t xml:space="preserve"> were evaluated for different load zones.</w:t>
      </w:r>
      <w:r w:rsidRPr="006B71BC">
        <w:rPr>
          <w:rFonts w:eastAsia="Times New Roman"/>
          <w:szCs w:val="24"/>
        </w:rPr>
        <w:t xml:space="preserve"> </w:t>
      </w:r>
      <w:r>
        <w:rPr>
          <w:rFonts w:eastAsia="Times New Roman"/>
          <w:szCs w:val="24"/>
        </w:rPr>
        <w:t xml:space="preserve"> </w:t>
      </w:r>
      <w:r w:rsidRPr="00833867">
        <w:t xml:space="preserve">NYISO Consultant evaluated the </w:t>
      </w:r>
      <w:r w:rsidR="007B790F">
        <w:t xml:space="preserve"> </w:t>
      </w:r>
      <w:r>
        <w:t>H-class</w:t>
      </w:r>
      <w:r w:rsidRPr="00833867">
        <w:t xml:space="preserve"> gas turbine for Load Zone K </w:t>
      </w:r>
      <w:r w:rsidR="003942CE">
        <w:t xml:space="preserve">(Long Island) </w:t>
      </w:r>
      <w:r w:rsidRPr="00833867">
        <w:t xml:space="preserve">due to the system deliverability costs that would be applicable to that zone, and the </w:t>
      </w:r>
      <w:r>
        <w:t>J-class</w:t>
      </w:r>
      <w:r w:rsidRPr="00833867">
        <w:t xml:space="preserve"> gas turbine for all other zones.</w:t>
      </w:r>
      <w:r>
        <w:rPr>
          <w:rStyle w:val="FootnoteReference"/>
        </w:rPr>
        <w:footnoteReference w:id="27"/>
      </w:r>
    </w:p>
    <w:p w:rsidR="005A03DF" w:rsidRPr="0044293E" w:rsidP="005A03DF">
      <w:pPr>
        <w:pStyle w:val="FERCparanumber"/>
      </w:pPr>
      <w:r w:rsidRPr="0044293E">
        <w:t xml:space="preserve">NYISO states that it selected a 2-hour lithium-ion BESS unit with 200 MW, </w:t>
      </w:r>
      <w:r w:rsidR="007B790F">
        <w:t xml:space="preserve">     </w:t>
      </w:r>
      <w:r w:rsidRPr="0044293E">
        <w:t>400 MWh discharge capability as the peaking unit technology for the 2025-2029 DCR</w:t>
      </w:r>
      <w:r w:rsidRPr="0044293E" w:rsidR="00874D7F">
        <w:t xml:space="preserve"> in all capacity regions</w:t>
      </w:r>
      <w:r w:rsidRPr="00C34798">
        <w:t xml:space="preserve">. </w:t>
      </w:r>
      <w:r>
        <w:t xml:space="preserve"> </w:t>
      </w:r>
      <w:r w:rsidRPr="0053718C">
        <w:t xml:space="preserve">NYISO states that the 2-hour BESS unit is the technology option that results in the “lowest fixed costs and highest variable costs” among the </w:t>
      </w:r>
      <w:r w:rsidRPr="0053718C" w:rsidR="00562CAA">
        <w:t xml:space="preserve">economically </w:t>
      </w:r>
      <w:r w:rsidRPr="0053718C">
        <w:t>viable options evaluated during this DCR and thus fulfills the definition of a peaking unit in section 5.14.1.2.2 of the Services Tariff.</w:t>
      </w:r>
      <w:r>
        <w:rPr>
          <w:rStyle w:val="FootnoteReference"/>
        </w:rPr>
        <w:footnoteReference w:id="28"/>
      </w:r>
      <w:r>
        <w:t xml:space="preserve">  NYISO states that, c</w:t>
      </w:r>
      <w:r w:rsidRPr="007A1BF9">
        <w:t>onsistent with the Commission’s requirement that a technology must</w:t>
      </w:r>
      <w:r>
        <w:t xml:space="preserve"> </w:t>
      </w:r>
      <w:r w:rsidRPr="007A1BF9">
        <w:t>be able to supply capacity in the NYISO-administered markets, a 2-hour BESS unit is an eligible capacity supply resource for NYISO’s capacity market.</w:t>
      </w:r>
      <w:r>
        <w:rPr>
          <w:rStyle w:val="FootnoteReference"/>
        </w:rPr>
        <w:footnoteReference w:id="29"/>
      </w:r>
      <w:r>
        <w:t xml:space="preserve">  </w:t>
      </w:r>
      <w:r w:rsidRPr="00CB406C" w:rsidR="00CB406C">
        <w:t xml:space="preserve">NYISO explains that </w:t>
      </w:r>
      <w:r w:rsidRPr="0044293E" w:rsidR="00CE4B32">
        <w:t xml:space="preserve">for the </w:t>
      </w:r>
      <w:r w:rsidRPr="0044293E" w:rsidR="00B92F33">
        <w:t>as</w:t>
      </w:r>
      <w:r w:rsidRPr="0044293E" w:rsidR="008B7A10">
        <w:t xml:space="preserve">sessment of gross peaking plant cost for a 2-hour BESS, </w:t>
      </w:r>
      <w:r w:rsidRPr="0044293E" w:rsidR="00CB406C">
        <w:t>NYISO Consultant recommended a WACC of 10.49%, assuming a cost of equity of 14.5%, a cost of debt of 7.2%, and a debt-to-equity ratio of 55/45</w:t>
      </w:r>
      <w:r w:rsidRPr="0044293E" w:rsidR="004C7DC9">
        <w:t>.</w:t>
      </w:r>
      <w:r>
        <w:rPr>
          <w:rStyle w:val="FootnoteReference"/>
        </w:rPr>
        <w:footnoteReference w:id="30"/>
      </w:r>
    </w:p>
    <w:p w:rsidR="00941AD5" w:rsidRPr="00B65346" w:rsidP="00B65346">
      <w:pPr>
        <w:pStyle w:val="FERCparanumber"/>
        <w:rPr>
          <w:b/>
          <w:vertAlign w:val="superscript"/>
        </w:rPr>
      </w:pPr>
      <w:r w:rsidRPr="009A6BC2">
        <w:t>NYISO</w:t>
      </w:r>
      <w:r w:rsidR="00BE0EE4">
        <w:t xml:space="preserve"> further</w:t>
      </w:r>
      <w:r w:rsidRPr="009A6BC2">
        <w:t xml:space="preserve"> proposes to revise section 5.14.1.2 of the Services Tariff to: </w:t>
      </w:r>
      <w:r w:rsidR="00E63647">
        <w:t xml:space="preserve"> </w:t>
      </w:r>
      <w:r w:rsidRPr="009A6BC2">
        <w:t xml:space="preserve">(1) </w:t>
      </w:r>
      <w:r w:rsidR="00095AA7">
        <w:t>i</w:t>
      </w:r>
      <w:r w:rsidRPr="009A6BC2">
        <w:t>nclude the proposed parameters of the seasonal ICAP Demand Curves for the 2025</w:t>
      </w:r>
      <w:r w:rsidR="00046CAF">
        <w:t>/</w:t>
      </w:r>
      <w:r w:rsidRPr="009A6BC2">
        <w:t>2026 Capability Year, as well as the timing for the posting of seasonal ICAP Demand Curves for the 2026</w:t>
      </w:r>
      <w:r w:rsidR="00C011FB">
        <w:t>/</w:t>
      </w:r>
      <w:r w:rsidRPr="009A6BC2">
        <w:t>2027 through 2028</w:t>
      </w:r>
      <w:r w:rsidR="00C011FB">
        <w:t>/</w:t>
      </w:r>
      <w:r w:rsidRPr="009A6BC2">
        <w:t>2029 Capability Years that will be determined as part of the annual update process;</w:t>
      </w:r>
      <w:r>
        <w:rPr>
          <w:rStyle w:val="FootnoteReference"/>
        </w:rPr>
        <w:footnoteReference w:id="31"/>
      </w:r>
      <w:r w:rsidRPr="00CA4EE4">
        <w:rPr>
          <w:rStyle w:val="FootnoteReference"/>
        </w:rPr>
        <w:t xml:space="preserve"> </w:t>
      </w:r>
      <w:r w:rsidRPr="009A6BC2">
        <w:t xml:space="preserve">(2) </w:t>
      </w:r>
      <w:r w:rsidR="00BA17D6">
        <w:t>r</w:t>
      </w:r>
      <w:r w:rsidRPr="00DB52FB" w:rsidR="00BA17D6">
        <w:t xml:space="preserve">emove </w:t>
      </w:r>
      <w:r w:rsidRPr="009A6BC2">
        <w:t>data entries for the 2020</w:t>
      </w:r>
      <w:r w:rsidR="00603169">
        <w:t>/</w:t>
      </w:r>
      <w:r w:rsidRPr="009A6BC2">
        <w:t>2021, 2021</w:t>
      </w:r>
      <w:r w:rsidR="00603169">
        <w:t>/</w:t>
      </w:r>
      <w:r w:rsidRPr="009A6BC2">
        <w:t>2022, 2022</w:t>
      </w:r>
      <w:r w:rsidR="00603169">
        <w:t>/</w:t>
      </w:r>
      <w:r w:rsidRPr="009A6BC2">
        <w:t>2023, and 2023</w:t>
      </w:r>
      <w:r w:rsidR="00603169">
        <w:t>/</w:t>
      </w:r>
      <w:r w:rsidRPr="009A6BC2">
        <w:t>2024 Capability Years that are no longer relevant; (</w:t>
      </w:r>
      <w:r w:rsidR="00A843BC">
        <w:t>3</w:t>
      </w:r>
      <w:r w:rsidRPr="009A6BC2">
        <w:t xml:space="preserve">) </w:t>
      </w:r>
      <w:r w:rsidR="00D91404">
        <w:t>r</w:t>
      </w:r>
      <w:r w:rsidRPr="00DB52FB" w:rsidR="00D91404">
        <w:t xml:space="preserve">evise </w:t>
      </w:r>
      <w:r w:rsidRPr="009A6BC2">
        <w:t xml:space="preserve">the portion of </w:t>
      </w:r>
      <w:r w:rsidR="003E719A">
        <w:t>s</w:t>
      </w:r>
      <w:r w:rsidRPr="009A6BC2">
        <w:t xml:space="preserve">ection 5.14.1.2.2.3 that identifies the applicable gross cost and net </w:t>
      </w:r>
      <w:r w:rsidR="007E40F4">
        <w:t>energy and ancillary services</w:t>
      </w:r>
      <w:r w:rsidRPr="009A6BC2" w:rsidR="007E40F4">
        <w:t xml:space="preserve"> </w:t>
      </w:r>
      <w:r w:rsidRPr="009A6BC2">
        <w:t>offset values used in determining the ICAP Demand Curves for the first year of this reset period (i.e., the applicable values for the 2025</w:t>
      </w:r>
      <w:r w:rsidR="00461F6E">
        <w:t>/</w:t>
      </w:r>
      <w:r w:rsidRPr="009A6BC2">
        <w:t>2026 Capability Year); and (</w:t>
      </w:r>
      <w:r w:rsidR="00A843BC">
        <w:t>4</w:t>
      </w:r>
      <w:r w:rsidRPr="009A6BC2">
        <w:t>) remove obsolete tariff language that is no longer relevant because it addresses the procedures for resets prior to the 2017-2021 DCR, as well as circumstances specific to the 2020</w:t>
      </w:r>
      <w:r w:rsidR="00461F6E">
        <w:t>/</w:t>
      </w:r>
      <w:r w:rsidRPr="009A6BC2">
        <w:t>2021 Winter Capability Period and the 2023</w:t>
      </w:r>
      <w:r w:rsidR="00461F6E">
        <w:t>/</w:t>
      </w:r>
      <w:r w:rsidRPr="009A6BC2">
        <w:t>2024 Capability Year.</w:t>
      </w:r>
      <w:r w:rsidRPr="00E115B8" w:rsidR="001057EC">
        <w:rPr>
          <w:rStyle w:val="FootnoteReference"/>
        </w:rPr>
        <w:t xml:space="preserve"> </w:t>
      </w:r>
    </w:p>
    <w:p w:rsidR="00CB31A6" w:rsidP="00CB31A6">
      <w:pPr>
        <w:pStyle w:val="Heading1"/>
      </w:pPr>
      <w:r>
        <w:t xml:space="preserve">Notice </w:t>
      </w:r>
      <w:r w:rsidR="007D25F5">
        <w:t>of Filing</w:t>
      </w:r>
      <w:r>
        <w:t xml:space="preserve"> and Responsive Pleadings</w:t>
      </w:r>
    </w:p>
    <w:p w:rsidR="00A41000" w:rsidRPr="00DE74F4" w:rsidP="00A41000">
      <w:pPr>
        <w:pStyle w:val="FERCparanumber"/>
      </w:pPr>
      <w:r w:rsidRPr="00DE74F4">
        <w:t xml:space="preserve">Notice of </w:t>
      </w:r>
      <w:r>
        <w:t xml:space="preserve">NYISO’s </w:t>
      </w:r>
      <w:r w:rsidRPr="00DE74F4">
        <w:t xml:space="preserve">filing was published in the </w:t>
      </w:r>
      <w:r w:rsidRPr="00DE74F4">
        <w:rPr>
          <w:i/>
          <w:iCs/>
        </w:rPr>
        <w:t>Federal Register</w:t>
      </w:r>
      <w:r w:rsidRPr="00DE74F4">
        <w:t xml:space="preserve">, 89 Fed. Reg. </w:t>
      </w:r>
      <w:r w:rsidR="00193248">
        <w:t>96</w:t>
      </w:r>
      <w:r w:rsidR="00482E1F">
        <w:t>952</w:t>
      </w:r>
      <w:r w:rsidRPr="00DE74F4">
        <w:t xml:space="preserve"> (</w:t>
      </w:r>
      <w:r w:rsidR="00482E1F">
        <w:t>Dec</w:t>
      </w:r>
      <w:r w:rsidRPr="00DE74F4">
        <w:t xml:space="preserve">. </w:t>
      </w:r>
      <w:r w:rsidR="00482E1F">
        <w:t>6</w:t>
      </w:r>
      <w:r w:rsidRPr="00DE74F4">
        <w:t xml:space="preserve">, 2024), with interventions and protests due on or before </w:t>
      </w:r>
      <w:r w:rsidR="00E628E9">
        <w:t>December</w:t>
      </w:r>
      <w:r w:rsidRPr="00DE74F4">
        <w:t xml:space="preserve"> </w:t>
      </w:r>
      <w:r w:rsidR="00E628E9">
        <w:t>20,</w:t>
      </w:r>
      <w:r w:rsidRPr="00DE74F4">
        <w:t xml:space="preserve"> 2024.  </w:t>
      </w:r>
      <w:r w:rsidRPr="00701F36" w:rsidR="00B50AD3">
        <w:t>New York</w:t>
      </w:r>
      <w:r w:rsidRPr="00701F36" w:rsidR="00701F36">
        <w:t xml:space="preserve"> State Public Service</w:t>
      </w:r>
      <w:r w:rsidRPr="00701F36" w:rsidR="00B50AD3">
        <w:t xml:space="preserve"> Commission</w:t>
      </w:r>
      <w:r w:rsidR="00B50AD3">
        <w:t xml:space="preserve"> </w:t>
      </w:r>
      <w:r w:rsidR="00701F36">
        <w:t xml:space="preserve">(New York Commission) </w:t>
      </w:r>
      <w:r w:rsidR="00B50AD3">
        <w:t xml:space="preserve">filed a notice of intervention.  </w:t>
      </w:r>
      <w:r w:rsidR="00674F58">
        <w:t>Electric Power Supply Association</w:t>
      </w:r>
      <w:r w:rsidR="004962A1">
        <w:t xml:space="preserve"> (EPSA)</w:t>
      </w:r>
      <w:r w:rsidR="00674F58">
        <w:t>,</w:t>
      </w:r>
      <w:r w:rsidR="003339CF">
        <w:t xml:space="preserve"> </w:t>
      </w:r>
      <w:r w:rsidRPr="00FE0AD8" w:rsidR="00674F58">
        <w:t>N</w:t>
      </w:r>
      <w:r w:rsidRPr="006E7340" w:rsidR="00B13FBD">
        <w:t>a</w:t>
      </w:r>
      <w:r w:rsidRPr="00FE0AD8" w:rsidR="00674F58">
        <w:t>tural Resources Defense Council</w:t>
      </w:r>
      <w:r w:rsidR="00FE0AD8">
        <w:t xml:space="preserve"> and Sustainable FERC Project</w:t>
      </w:r>
      <w:r w:rsidR="00674F58">
        <w:t>, Calpine Corp</w:t>
      </w:r>
      <w:r w:rsidR="000E3C20">
        <w:t>oration</w:t>
      </w:r>
      <w:r w:rsidR="00674F58">
        <w:t xml:space="preserve">, </w:t>
      </w:r>
      <w:r w:rsidRPr="003F18B9" w:rsidR="003F18B9">
        <w:t xml:space="preserve">Independent Power Producers of New York, Inc. </w:t>
      </w:r>
      <w:r w:rsidR="003F18B9">
        <w:t>(</w:t>
      </w:r>
      <w:r w:rsidR="00FC306D">
        <w:t>IPPNY</w:t>
      </w:r>
      <w:r w:rsidR="003F18B9">
        <w:t>)</w:t>
      </w:r>
      <w:r w:rsidR="00FC306D">
        <w:t xml:space="preserve">, </w:t>
      </w:r>
      <w:r w:rsidR="001209D7">
        <w:t>New York State E</w:t>
      </w:r>
      <w:r w:rsidR="008F3DA5">
        <w:t xml:space="preserve">nergy Research and </w:t>
      </w:r>
      <w:r w:rsidR="00085809">
        <w:t>Development Authority</w:t>
      </w:r>
      <w:r w:rsidR="008F3DA5">
        <w:t xml:space="preserve"> </w:t>
      </w:r>
      <w:r w:rsidR="00085809">
        <w:t>(</w:t>
      </w:r>
      <w:r w:rsidR="00DB75DE">
        <w:t>NYSERDA</w:t>
      </w:r>
      <w:r w:rsidR="00085809">
        <w:t>)</w:t>
      </w:r>
      <w:r w:rsidR="00DB75DE">
        <w:t xml:space="preserve">, </w:t>
      </w:r>
      <w:r w:rsidR="00831B3F">
        <w:t>New York Transmission Owners (</w:t>
      </w:r>
      <w:r w:rsidR="00DB75DE">
        <w:t>NYTO</w:t>
      </w:r>
      <w:r w:rsidR="00831B3F">
        <w:t>)</w:t>
      </w:r>
      <w:r w:rsidR="00DB75DE">
        <w:t>,</w:t>
      </w:r>
      <w:r>
        <w:rPr>
          <w:rStyle w:val="FootnoteReference"/>
        </w:rPr>
        <w:footnoteReference w:id="32"/>
      </w:r>
      <w:r w:rsidR="00DB75DE">
        <w:t xml:space="preserve"> Shell Energy North America (U.S.), L.P., Ravenswood Operations, LLC</w:t>
      </w:r>
      <w:r w:rsidR="00CD3526">
        <w:t xml:space="preserve"> (Ravenswood)</w:t>
      </w:r>
      <w:r w:rsidR="00DB75DE">
        <w:t>,</w:t>
      </w:r>
      <w:r w:rsidR="007B790F">
        <w:t xml:space="preserve"> </w:t>
      </w:r>
      <w:r w:rsidR="00DB75DE">
        <w:t xml:space="preserve"> Cross-Sound Cable Co., LLC, </w:t>
      </w:r>
      <w:r w:rsidRPr="0044293E" w:rsidR="00DB75DE">
        <w:t>City of New York</w:t>
      </w:r>
      <w:r w:rsidR="00DB75DE">
        <w:t xml:space="preserve">, </w:t>
      </w:r>
      <w:r w:rsidRPr="0044293E" w:rsidR="008557CC">
        <w:t>Multiple Intervenors,</w:t>
      </w:r>
      <w:r>
        <w:rPr>
          <w:rStyle w:val="FootnoteReference"/>
        </w:rPr>
        <w:footnoteReference w:id="33"/>
      </w:r>
      <w:r w:rsidRPr="0044293E" w:rsidR="008557CC">
        <w:t xml:space="preserve"> New York Dep</w:t>
      </w:r>
      <w:r w:rsidRPr="0044293E" w:rsidR="0095136F">
        <w:t>artment</w:t>
      </w:r>
      <w:r w:rsidRPr="0044293E" w:rsidR="008557CC">
        <w:t xml:space="preserve"> of State, </w:t>
      </w:r>
      <w:r w:rsidRPr="0044293E" w:rsidR="00600ECD">
        <w:t xml:space="preserve">and </w:t>
      </w:r>
      <w:r w:rsidRPr="0044293E" w:rsidR="0095136F">
        <w:t>Potomac Economics</w:t>
      </w:r>
      <w:r w:rsidRPr="0044293E" w:rsidR="00E628E9">
        <w:t>,</w:t>
      </w:r>
      <w:r w:rsidRPr="0044293E" w:rsidR="000B2B07">
        <w:t xml:space="preserve"> Ltd.</w:t>
      </w:r>
      <w:r w:rsidR="00F007FD">
        <w:t xml:space="preserve"> (</w:t>
      </w:r>
      <w:r w:rsidR="009F5890">
        <w:t>Potomac Economics</w:t>
      </w:r>
      <w:r w:rsidR="008F68BC">
        <w:t>)</w:t>
      </w:r>
      <w:r w:rsidR="000B2B07">
        <w:t>,</w:t>
      </w:r>
      <w:r w:rsidR="0034606B">
        <w:t xml:space="preserve"> each</w:t>
      </w:r>
      <w:r w:rsidR="0060712D">
        <w:t xml:space="preserve"> submitted a</w:t>
      </w:r>
      <w:r w:rsidRPr="00DE74F4">
        <w:t xml:space="preserve"> timely motion to intervene</w:t>
      </w:r>
      <w:r w:rsidR="008557CC">
        <w:t xml:space="preserve">.  </w:t>
      </w:r>
    </w:p>
    <w:p w:rsidR="009A4279" w:rsidP="006643C0">
      <w:pPr>
        <w:pStyle w:val="FERCparanumber"/>
      </w:pPr>
      <w:r>
        <w:t>Con</w:t>
      </w:r>
      <w:r w:rsidR="00411A8E">
        <w:t>solidated Edison Company (Con</w:t>
      </w:r>
      <w:r>
        <w:t xml:space="preserve"> Edison</w:t>
      </w:r>
      <w:r w:rsidR="003D2C0D">
        <w:t>)</w:t>
      </w:r>
      <w:r w:rsidR="00CC6FCC">
        <w:t xml:space="preserve"> and </w:t>
      </w:r>
      <w:r w:rsidR="00432596">
        <w:t>O</w:t>
      </w:r>
      <w:r w:rsidR="00335D5A">
        <w:t>range and Rockland</w:t>
      </w:r>
      <w:r w:rsidR="00DD1C4B">
        <w:t xml:space="preserve"> Utilitie</w:t>
      </w:r>
      <w:r w:rsidR="00FE207E">
        <w:t>s</w:t>
      </w:r>
      <w:r w:rsidR="00627583">
        <w:t>,</w:t>
      </w:r>
      <w:r w:rsidR="00CA7AE1">
        <w:t xml:space="preserve"> Inc</w:t>
      </w:r>
      <w:r w:rsidR="00A45A35">
        <w:t>.</w:t>
      </w:r>
      <w:r w:rsidR="000F4EE5">
        <w:t xml:space="preserve"> (</w:t>
      </w:r>
      <w:r w:rsidR="00D412C1">
        <w:t>Orange and Rockland)</w:t>
      </w:r>
      <w:r w:rsidR="000527BE">
        <w:t xml:space="preserve">, </w:t>
      </w:r>
      <w:r w:rsidR="001B070B">
        <w:t>Niagara Mohawk</w:t>
      </w:r>
      <w:r w:rsidR="006C2820">
        <w:t xml:space="preserve"> P</w:t>
      </w:r>
      <w:r w:rsidR="00FF327C">
        <w:t>ower Corporation (Niagara M</w:t>
      </w:r>
      <w:r w:rsidR="00DB0DB3">
        <w:t>ohawk)</w:t>
      </w:r>
      <w:r w:rsidR="001B070B">
        <w:t xml:space="preserve">, </w:t>
      </w:r>
      <w:r w:rsidR="00B65CAC">
        <w:t xml:space="preserve">NYTOs, and </w:t>
      </w:r>
      <w:r w:rsidRPr="0044293E" w:rsidR="00B65CAC">
        <w:t xml:space="preserve">New York State </w:t>
      </w:r>
      <w:r w:rsidRPr="0044293E" w:rsidR="009C5C21">
        <w:t>Entities</w:t>
      </w:r>
      <w:r>
        <w:rPr>
          <w:rStyle w:val="FootnoteReference"/>
        </w:rPr>
        <w:footnoteReference w:id="34"/>
      </w:r>
      <w:r w:rsidR="009C5C21">
        <w:t xml:space="preserve"> </w:t>
      </w:r>
      <w:r w:rsidR="00CC6FCC">
        <w:t>filed comments in support</w:t>
      </w:r>
      <w:r>
        <w:t>.</w:t>
      </w:r>
      <w:r w:rsidR="005D429E">
        <w:t xml:space="preserve">  </w:t>
      </w:r>
      <w:r>
        <w:t>EPSA,</w:t>
      </w:r>
      <w:r w:rsidR="00DC236B">
        <w:t xml:space="preserve"> Ravenswood, </w:t>
      </w:r>
      <w:r w:rsidR="003F3ED5">
        <w:t xml:space="preserve">IPPNY, </w:t>
      </w:r>
      <w:r w:rsidR="00C23819">
        <w:t xml:space="preserve">and </w:t>
      </w:r>
      <w:r w:rsidR="00994AD0">
        <w:t xml:space="preserve">Potomac </w:t>
      </w:r>
      <w:r w:rsidR="00F007FD">
        <w:t>Economics</w:t>
      </w:r>
      <w:r w:rsidR="00F3549F">
        <w:t>,</w:t>
      </w:r>
      <w:r w:rsidR="00F007FD">
        <w:t xml:space="preserve"> as</w:t>
      </w:r>
      <w:r w:rsidR="00F3549F">
        <w:t xml:space="preserve"> the Market Monitoring Unit (</w:t>
      </w:r>
      <w:r w:rsidR="003E2B2D">
        <w:t>MMU</w:t>
      </w:r>
      <w:r w:rsidR="00F3549F">
        <w:t>) for NYISO,</w:t>
      </w:r>
      <w:r w:rsidR="00C23819">
        <w:t xml:space="preserve"> </w:t>
      </w:r>
      <w:r w:rsidR="00DC236B">
        <w:t xml:space="preserve">filed protests. </w:t>
      </w:r>
      <w:r w:rsidR="00F3549F">
        <w:t xml:space="preserve"> </w:t>
      </w:r>
      <w:r w:rsidRPr="0044293E" w:rsidR="005F71CE">
        <w:t xml:space="preserve">NYSERDA and </w:t>
      </w:r>
      <w:r w:rsidRPr="0044293E" w:rsidR="00C23819">
        <w:t>Consumer Stakeholders</w:t>
      </w:r>
      <w:r>
        <w:rPr>
          <w:rStyle w:val="FootnoteReference"/>
        </w:rPr>
        <w:footnoteReference w:id="35"/>
      </w:r>
      <w:r w:rsidR="00C23819">
        <w:t xml:space="preserve"> </w:t>
      </w:r>
      <w:r w:rsidR="00B77B8B">
        <w:t>each</w:t>
      </w:r>
      <w:r w:rsidR="005F71CE">
        <w:t xml:space="preserve"> filed </w:t>
      </w:r>
      <w:r w:rsidR="00B77B8B">
        <w:t xml:space="preserve">a </w:t>
      </w:r>
      <w:r w:rsidR="005F71CE">
        <w:t>limited protest</w:t>
      </w:r>
      <w:r w:rsidR="00B77B8B">
        <w:t xml:space="preserve"> and comments.</w:t>
      </w:r>
    </w:p>
    <w:p w:rsidR="00935DCF">
      <w:pPr>
        <w:pStyle w:val="FERCparanumber"/>
      </w:pPr>
      <w:r>
        <w:t xml:space="preserve">On December 20, 2024, </w:t>
      </w:r>
      <w:r w:rsidR="00072DC3">
        <w:t>I</w:t>
      </w:r>
      <w:r>
        <w:t>PPNY filed a</w:t>
      </w:r>
      <w:r w:rsidR="00002DB4">
        <w:t>n</w:t>
      </w:r>
      <w:r>
        <w:t xml:space="preserve"> answer</w:t>
      </w:r>
      <w:r w:rsidR="00C96E99">
        <w:t xml:space="preserve"> to NYSERDA</w:t>
      </w:r>
      <w:r w:rsidR="004D3ADA">
        <w:t>’s</w:t>
      </w:r>
      <w:r w:rsidR="00C96E99">
        <w:t xml:space="preserve"> and Consumer Stakeholders</w:t>
      </w:r>
      <w:r w:rsidR="004D3ADA">
        <w:t>’ protests</w:t>
      </w:r>
      <w:r>
        <w:t xml:space="preserve">. </w:t>
      </w:r>
      <w:r w:rsidR="00BA6BF7">
        <w:t xml:space="preserve"> </w:t>
      </w:r>
      <w:r>
        <w:t>On</w:t>
      </w:r>
      <w:r w:rsidR="00ED1056">
        <w:t xml:space="preserve"> December 30, 2024, NYISO filed a</w:t>
      </w:r>
      <w:r w:rsidR="004D3ADA">
        <w:t>n</w:t>
      </w:r>
      <w:r w:rsidR="00ED1056">
        <w:t xml:space="preserve"> answer </w:t>
      </w:r>
      <w:r w:rsidR="00E44ADC">
        <w:t xml:space="preserve">to </w:t>
      </w:r>
      <w:r w:rsidR="00B05751">
        <w:t xml:space="preserve">the </w:t>
      </w:r>
      <w:r w:rsidR="00E44ADC">
        <w:t>protests</w:t>
      </w:r>
      <w:r w:rsidR="00ED1056">
        <w:t>.</w:t>
      </w:r>
      <w:r w:rsidR="00CA7728">
        <w:t xml:space="preserve">  On </w:t>
      </w:r>
      <w:r w:rsidR="009729B1">
        <w:t xml:space="preserve">January </w:t>
      </w:r>
      <w:r w:rsidR="00015DB2">
        <w:t>10, 2025, NYTOs filed a</w:t>
      </w:r>
      <w:r w:rsidR="006E661D">
        <w:t>n</w:t>
      </w:r>
      <w:r w:rsidR="00015DB2">
        <w:t xml:space="preserve"> answer to </w:t>
      </w:r>
      <w:r w:rsidR="00B05751">
        <w:t xml:space="preserve">the </w:t>
      </w:r>
      <w:r w:rsidR="00D4264D">
        <w:t>protests.</w:t>
      </w:r>
      <w:r w:rsidR="002428E2">
        <w:t xml:space="preserve">  On January 14, 2025, Consumer Stakeholders filed </w:t>
      </w:r>
      <w:r w:rsidR="006352CF">
        <w:t xml:space="preserve">an </w:t>
      </w:r>
      <w:r w:rsidR="00874002">
        <w:t>a</w:t>
      </w:r>
      <w:r w:rsidR="006352CF">
        <w:t xml:space="preserve">nswer to the </w:t>
      </w:r>
      <w:r w:rsidR="00874002">
        <w:t>protests and answers.</w:t>
      </w:r>
    </w:p>
    <w:p w:rsidR="008B1927" w:rsidP="008B1927">
      <w:pPr>
        <w:pStyle w:val="Heading1"/>
      </w:pPr>
      <w:r>
        <w:t>Discussion</w:t>
      </w:r>
    </w:p>
    <w:p w:rsidR="008B1927" w:rsidP="008B1927">
      <w:pPr>
        <w:pStyle w:val="Heading2"/>
      </w:pPr>
      <w:r>
        <w:t>Procedural Matters</w:t>
      </w:r>
    </w:p>
    <w:p w:rsidR="008B1927" w:rsidP="008B1927">
      <w:pPr>
        <w:pStyle w:val="FERCparanumber"/>
      </w:pPr>
      <w:r w:rsidRPr="00F87AA5">
        <w:t xml:space="preserve">Pursuant to Rule 214 of the Commission’s Rules of Practice and Procedure, </w:t>
      </w:r>
      <w:r>
        <w:t xml:space="preserve">        </w:t>
      </w:r>
      <w:r w:rsidRPr="00763EA0">
        <w:t>18 C.F.R. § 385.214 (20</w:t>
      </w:r>
      <w:r>
        <w:t>24</w:t>
      </w:r>
      <w:r w:rsidRPr="00763EA0">
        <w:t xml:space="preserve">), </w:t>
      </w:r>
      <w:r w:rsidRPr="00F87AA5">
        <w:t xml:space="preserve">the </w:t>
      </w:r>
      <w:r w:rsidRPr="00AF23EC">
        <w:t>notice</w:t>
      </w:r>
      <w:r w:rsidRPr="00F87AA5">
        <w:t xml:space="preserve"> of intervention and timely, unopposed motions to intervene serve to make the entities that filed them parties to this proceeding.</w:t>
      </w:r>
    </w:p>
    <w:p w:rsidR="001B4B68" w:rsidRPr="002164D1" w:rsidP="001B4B68">
      <w:pPr>
        <w:pStyle w:val="FERCparanumber"/>
      </w:pPr>
      <w:r w:rsidRPr="002164D1">
        <w:t xml:space="preserve">Rule 213(a)(2) of the Commission’s Rules of Practice and Procedure, 18 C.F.R. </w:t>
      </w:r>
      <w:r w:rsidR="00E63647">
        <w:t xml:space="preserve">   </w:t>
      </w:r>
      <w:r w:rsidRPr="002164D1">
        <w:t>§ 385.213(a)(2) (202</w:t>
      </w:r>
      <w:r>
        <w:t>4</w:t>
      </w:r>
      <w:r w:rsidRPr="002164D1">
        <w:t>), prohibits an answer to a protest or answer unless otherwise ordered by the decisional authority.  We accept the answers because they have provided information that assisted us in our decision-making process.</w:t>
      </w:r>
    </w:p>
    <w:p w:rsidR="008B1927" w:rsidRPr="008D0E59" w:rsidP="008B1927">
      <w:pPr>
        <w:pStyle w:val="Heading2"/>
      </w:pPr>
      <w:r w:rsidRPr="008D0E59">
        <w:t>Substantive Matters</w:t>
      </w:r>
    </w:p>
    <w:p w:rsidR="0089756E" w:rsidP="008B1927">
      <w:pPr>
        <w:pStyle w:val="FERCparanumber"/>
      </w:pPr>
      <w:r>
        <w:t xml:space="preserve">As discussed below, we find that </w:t>
      </w:r>
      <w:r w:rsidRPr="006E5DA1" w:rsidR="006E5DA1">
        <w:t xml:space="preserve">NYISO’s proposed ICAP demand curves for the 2025/2026 Capability Year and proposed methodologies and inputs for </w:t>
      </w:r>
      <w:r w:rsidR="00D17A69">
        <w:t>updat</w:t>
      </w:r>
      <w:r w:rsidRPr="006E5DA1" w:rsidR="006E5DA1">
        <w:t xml:space="preserve">ing the ICAP demand curves for the 2025-2029 Capability Years are just and reasonable.  </w:t>
      </w:r>
      <w:r w:rsidRPr="004A676A">
        <w:t xml:space="preserve">NYISO </w:t>
      </w:r>
      <w:r w:rsidRPr="004A676A" w:rsidR="00E03827">
        <w:t xml:space="preserve">has </w:t>
      </w:r>
      <w:r w:rsidRPr="004A676A">
        <w:t xml:space="preserve">demonstrated that its proposal to use a 2-hour BESS unit </w:t>
      </w:r>
      <w:r w:rsidRPr="004A676A" w:rsidR="00243040">
        <w:t>as the peaking unit technology for the 2025-2029 DCR in all capacity regions</w:t>
      </w:r>
      <w:r w:rsidRPr="004A676A">
        <w:t xml:space="preserve"> </w:t>
      </w:r>
      <w:r>
        <w:t>complies with Services Tariff</w:t>
      </w:r>
      <w:r w:rsidR="004941D3">
        <w:t>’s requirements</w:t>
      </w:r>
      <w:r w:rsidR="00041FD5">
        <w:t>,</w:t>
      </w:r>
      <w:r>
        <w:t xml:space="preserve"> and is consistent with Commission precedent</w:t>
      </w:r>
      <w:r w:rsidR="003E0A1F">
        <w:t xml:space="preserve">.  </w:t>
      </w:r>
      <w:r w:rsidR="00E64944">
        <w:t xml:space="preserve">We agree that the </w:t>
      </w:r>
      <w:r w:rsidR="007B790F">
        <w:t xml:space="preserve"> </w:t>
      </w:r>
      <w:r w:rsidR="00E64944">
        <w:t>2-hour BESS unit represents the “lowest fixed</w:t>
      </w:r>
      <w:r w:rsidR="000A3E66">
        <w:t xml:space="preserve"> and</w:t>
      </w:r>
      <w:r w:rsidR="00E64944">
        <w:t xml:space="preserve"> highest variable cost</w:t>
      </w:r>
      <w:r w:rsidR="00596BF5">
        <w:t>”</w:t>
      </w:r>
      <w:r w:rsidR="00E64944">
        <w:t xml:space="preserve"> technology option among all other </w:t>
      </w:r>
      <w:r w:rsidRPr="00DA4A2C" w:rsidR="009A5BC1">
        <w:t>economically viable</w:t>
      </w:r>
      <w:r w:rsidR="009A5BC1">
        <w:t xml:space="preserve"> </w:t>
      </w:r>
      <w:r w:rsidR="002521B7">
        <w:t>options</w:t>
      </w:r>
      <w:r w:rsidR="008D0E59">
        <w:t xml:space="preserve"> under the</w:t>
      </w:r>
      <w:r w:rsidR="00032BA8">
        <w:t xml:space="preserve"> DCR</w:t>
      </w:r>
      <w:r w:rsidR="008D0E59">
        <w:t xml:space="preserve"> analys</w:t>
      </w:r>
      <w:r w:rsidR="00E74C11">
        <w:t>e</w:t>
      </w:r>
      <w:r w:rsidR="008D0E59">
        <w:t>s conducted by NYISO, given the particular facts and circumstances before us</w:t>
      </w:r>
      <w:r w:rsidR="00F65AC0">
        <w:t>.</w:t>
      </w:r>
      <w:r>
        <w:rPr>
          <w:rStyle w:val="FootnoteReference"/>
        </w:rPr>
        <w:footnoteReference w:id="36"/>
      </w:r>
      <w:r w:rsidR="00F65AC0">
        <w:t xml:space="preserve">  </w:t>
      </w:r>
      <w:r w:rsidR="00B10610">
        <w:t xml:space="preserve">Therefore, </w:t>
      </w:r>
      <w:r w:rsidR="00E74C11">
        <w:t xml:space="preserve">based on these facts and circumstances before us, </w:t>
      </w:r>
      <w:r w:rsidR="00B10610">
        <w:t>we find NYISO’s proposal for 2025-2029 DCR to be just and reasonable,</w:t>
      </w:r>
      <w:r>
        <w:rPr>
          <w:rStyle w:val="FootnoteReference"/>
        </w:rPr>
        <w:footnoteReference w:id="37"/>
      </w:r>
      <w:r w:rsidR="00B10610">
        <w:t xml:space="preserve"> and accept the proposed revisions to its Services Tariff, effective January 29, 2025, as requested</w:t>
      </w:r>
      <w:r w:rsidR="00C56BB7">
        <w:t>.</w:t>
      </w:r>
    </w:p>
    <w:p w:rsidR="008B1927" w:rsidP="008B1927">
      <w:pPr>
        <w:pStyle w:val="FERCparanumber"/>
      </w:pPr>
      <w:r>
        <w:t>Multiple parties intervened and submitted responsive pleadings in this proceeding.</w:t>
      </w:r>
      <w:r>
        <w:rPr>
          <w:rStyle w:val="FootnoteReference"/>
        </w:rPr>
        <w:footnoteReference w:id="38"/>
      </w:r>
      <w:r>
        <w:t xml:space="preserve">  </w:t>
      </w:r>
      <w:r w:rsidRPr="00AD4FB0">
        <w:t xml:space="preserve">The following discussion </w:t>
      </w:r>
      <w:r>
        <w:t xml:space="preserve">addresses </w:t>
      </w:r>
      <w:r w:rsidR="00B4219F">
        <w:t xml:space="preserve">contested </w:t>
      </w:r>
      <w:r>
        <w:t xml:space="preserve">issues:  </w:t>
      </w:r>
      <w:r w:rsidRPr="00F87AA5">
        <w:t xml:space="preserve">(1) </w:t>
      </w:r>
      <w:r w:rsidR="00B4219F">
        <w:t xml:space="preserve">the </w:t>
      </w:r>
      <w:r>
        <w:t xml:space="preserve">peaking </w:t>
      </w:r>
      <w:r w:rsidR="00D8412E">
        <w:t xml:space="preserve">unit </w:t>
      </w:r>
      <w:r w:rsidR="00D07C37">
        <w:t>eligibility and selection</w:t>
      </w:r>
      <w:r>
        <w:t>;</w:t>
      </w:r>
      <w:r w:rsidR="00BC07EC">
        <w:t xml:space="preserve"> and</w:t>
      </w:r>
      <w:r w:rsidRPr="00F87AA5">
        <w:t xml:space="preserve"> (</w:t>
      </w:r>
      <w:r>
        <w:t>2</w:t>
      </w:r>
      <w:r w:rsidRPr="00F87AA5">
        <w:t>)</w:t>
      </w:r>
      <w:r>
        <w:t xml:space="preserve"> </w:t>
      </w:r>
      <w:r w:rsidR="00B73FCD">
        <w:t xml:space="preserve">the </w:t>
      </w:r>
      <w:r w:rsidR="00057741">
        <w:t xml:space="preserve">peaking plant </w:t>
      </w:r>
      <w:r w:rsidR="00D07C37">
        <w:t>costs</w:t>
      </w:r>
      <w:r>
        <w:t xml:space="preserve"> and financial parameters</w:t>
      </w:r>
      <w:r w:rsidRPr="00F87AA5">
        <w:t xml:space="preserve">.  </w:t>
      </w:r>
    </w:p>
    <w:p w:rsidR="008B1927" w:rsidP="005E6D9E">
      <w:pPr>
        <w:pStyle w:val="Heading3"/>
      </w:pPr>
      <w:r>
        <w:t>Peaking</w:t>
      </w:r>
      <w:r w:rsidR="004902F8">
        <w:t xml:space="preserve"> Unit</w:t>
      </w:r>
      <w:r>
        <w:t xml:space="preserve"> </w:t>
      </w:r>
      <w:r w:rsidR="006F0B85">
        <w:t>Eligibility</w:t>
      </w:r>
      <w:r w:rsidR="009D59ED">
        <w:t xml:space="preserve"> and Selection</w:t>
      </w:r>
    </w:p>
    <w:p w:rsidR="000C4E4C" w:rsidP="001D2F4E">
      <w:pPr>
        <w:pStyle w:val="FERCparanumber"/>
      </w:pPr>
      <w:r w:rsidRPr="00DA4A2C">
        <w:t xml:space="preserve">NYISO states that the Services Tariff requires that the </w:t>
      </w:r>
      <w:r w:rsidR="00660A2A">
        <w:t>DCR</w:t>
      </w:r>
      <w:r w:rsidRPr="00DA4A2C">
        <w:t xml:space="preserve"> review “shall assess </w:t>
      </w:r>
      <w:r w:rsidR="00B77FE0">
        <w:t>. . .</w:t>
      </w:r>
      <w:r w:rsidRPr="00DA4A2C">
        <w:t xml:space="preserve"> the current localized levelized embedded cost of a peaking unit in each NYCA Locality and the Rest of State” to meet minimum capacity requirements.</w:t>
      </w:r>
      <w:r>
        <w:rPr>
          <w:rStyle w:val="FootnoteReference"/>
        </w:rPr>
        <w:footnoteReference w:id="39"/>
      </w:r>
      <w:r w:rsidRPr="00DA4A2C">
        <w:t xml:space="preserve">  NYISO adds that for purposes of updating the ICAP </w:t>
      </w:r>
      <w:r>
        <w:t>d</w:t>
      </w:r>
      <w:r w:rsidRPr="00DA4A2C">
        <w:t xml:space="preserve">emand </w:t>
      </w:r>
      <w:r>
        <w:t>c</w:t>
      </w:r>
      <w:r w:rsidRPr="00DA4A2C">
        <w:t>urves, “a peaking unit is defined as the unit with technology that results in the lowest fixed costs and highest variable costs among all other units’ technology that are economically viable.”</w:t>
      </w:r>
      <w:r>
        <w:rPr>
          <w:rStyle w:val="FootnoteReference"/>
        </w:rPr>
        <w:footnoteReference w:id="40"/>
      </w:r>
      <w:r w:rsidRPr="00DA4A2C">
        <w:t xml:space="preserve">  NYISO states that</w:t>
      </w:r>
      <w:r>
        <w:t>,</w:t>
      </w:r>
      <w:r w:rsidRPr="00DA4A2C">
        <w:t xml:space="preserve"> according to Commission precedent, </w:t>
      </w:r>
      <w:r w:rsidR="001C407E">
        <w:t>an economically viable technology must, at a minimum, be capable of supply</w:t>
      </w:r>
      <w:r w:rsidR="006F39E6">
        <w:t>ing</w:t>
      </w:r>
      <w:r w:rsidR="001C407E">
        <w:t xml:space="preserve"> capacity in NYISO’s capacity market.</w:t>
      </w:r>
      <w:r>
        <w:rPr>
          <w:rStyle w:val="FootnoteReference"/>
        </w:rPr>
        <w:footnoteReference w:id="41"/>
      </w:r>
      <w:r w:rsidR="001C407E">
        <w:t xml:space="preserve">  </w:t>
      </w:r>
      <w:r w:rsidR="00042C6A">
        <w:t xml:space="preserve">NYISO states that the Commission </w:t>
      </w:r>
      <w:r w:rsidR="006B43FA">
        <w:t xml:space="preserve">has </w:t>
      </w:r>
      <w:r w:rsidR="00932DBE">
        <w:t xml:space="preserve">held that beyond </w:t>
      </w:r>
      <w:r w:rsidR="00BF48C7">
        <w:t>this minimum criterion, economic viability determinations are a matter of jud</w:t>
      </w:r>
      <w:r w:rsidR="00D43008">
        <w:t>gment that is informed by the consideration of multiple factors.</w:t>
      </w:r>
      <w:r>
        <w:rPr>
          <w:rStyle w:val="FootnoteReference"/>
        </w:rPr>
        <w:footnoteReference w:id="42"/>
      </w:r>
      <w:r w:rsidR="00D43008">
        <w:t xml:space="preserve">  </w:t>
      </w:r>
    </w:p>
    <w:p w:rsidR="00413F4C" w:rsidRPr="00DA4A2C" w:rsidP="00413F4C">
      <w:pPr>
        <w:pStyle w:val="FERCparanumber"/>
      </w:pPr>
      <w:r>
        <w:t>NYISO explains that it is important to consider the UCAP demand curves used in conducting the monthly spot market auctions</w:t>
      </w:r>
      <w:r w:rsidR="004006F2">
        <w:t>,</w:t>
      </w:r>
      <w:r>
        <w:t xml:space="preserve"> and that </w:t>
      </w:r>
      <w:r w:rsidRPr="00B5210B">
        <w:t>the selection of the appropriate technology option for the 2025-2029 DCR is designed to represent the technology that minimizes the cost of UCAP</w:t>
      </w:r>
      <w:r>
        <w:t xml:space="preserve">.  NYISO </w:t>
      </w:r>
      <w:r w:rsidR="00DE1061">
        <w:t>further</w:t>
      </w:r>
      <w:r>
        <w:t xml:space="preserve"> states</w:t>
      </w:r>
      <w:r w:rsidR="00862F99">
        <w:t xml:space="preserve"> that</w:t>
      </w:r>
      <w:r>
        <w:t xml:space="preserve"> </w:t>
      </w:r>
      <w:r w:rsidR="00AD1B60">
        <w:t xml:space="preserve">after selecting the 2-hour BESS as the peaking unit, that </w:t>
      </w:r>
      <w:r>
        <w:t>“</w:t>
      </w:r>
      <w:r w:rsidR="003438CB">
        <w:t>c</w:t>
      </w:r>
      <w:r w:rsidRPr="00291284">
        <w:t>onsidering the potential UCAP-based demand curves that may result from the selection of a 2-hour BESS unit also demonstrates that a 2-hour BESS unit represents the technology option that produces the lowest cost to procure UCAP</w:t>
      </w:r>
      <w:r>
        <w:t>.”</w:t>
      </w:r>
      <w:r>
        <w:rPr>
          <w:rStyle w:val="FootnoteReference"/>
        </w:rPr>
        <w:footnoteReference w:id="43"/>
      </w:r>
    </w:p>
    <w:p w:rsidR="00232B79" w:rsidRPr="00DA4A2C" w:rsidP="00AE5E07">
      <w:pPr>
        <w:pStyle w:val="Heading4"/>
      </w:pPr>
      <w:r>
        <w:t>Opera</w:t>
      </w:r>
      <w:r w:rsidR="00816BD9">
        <w:t xml:space="preserve">ting Characteristics of the </w:t>
      </w:r>
      <w:r w:rsidR="00326D03">
        <w:t>2-hour BESS</w:t>
      </w:r>
      <w:r w:rsidR="00F71DA5">
        <w:t xml:space="preserve"> Technology</w:t>
      </w:r>
      <w:r w:rsidR="00EB652D">
        <w:t xml:space="preserve"> Option</w:t>
      </w:r>
    </w:p>
    <w:p w:rsidR="007001D4" w:rsidP="000C4E4C">
      <w:pPr>
        <w:pStyle w:val="FERCparanumber"/>
      </w:pPr>
      <w:r>
        <w:t>NYISO states that</w:t>
      </w:r>
      <w:r w:rsidR="008064B8">
        <w:t xml:space="preserve"> NYISO Consultant applied the </w:t>
      </w:r>
      <w:r w:rsidR="00BF2777">
        <w:t xml:space="preserve">following factors </w:t>
      </w:r>
      <w:r w:rsidR="00CB7139">
        <w:t>in this DCR</w:t>
      </w:r>
      <w:r w:rsidR="00657A67">
        <w:t>, consistent with past DCRs,</w:t>
      </w:r>
      <w:r w:rsidR="00CB7139">
        <w:t xml:space="preserve"> to guid</w:t>
      </w:r>
      <w:r w:rsidR="008D7CD7">
        <w:t>e</w:t>
      </w:r>
      <w:r w:rsidR="00164047">
        <w:t xml:space="preserve"> economic viability</w:t>
      </w:r>
      <w:r w:rsidR="008D7CD7">
        <w:t xml:space="preserve"> </w:t>
      </w:r>
      <w:r w:rsidR="00CB7139">
        <w:t>determinations regarding the app</w:t>
      </w:r>
      <w:r w:rsidR="00B82BDD">
        <w:t xml:space="preserve">ropriate </w:t>
      </w:r>
      <w:r w:rsidR="00A41506">
        <w:t>technology and plant design</w:t>
      </w:r>
      <w:r w:rsidR="00E827C4">
        <w:t>:</w:t>
      </w:r>
      <w:r w:rsidR="00E63647">
        <w:t xml:space="preserve">  </w:t>
      </w:r>
      <w:r w:rsidRPr="00A22706" w:rsidR="00A22706">
        <w:t>(1) the availability of the technology to most market participants; (</w:t>
      </w:r>
      <w:r w:rsidRPr="0044293E" w:rsidR="00A22706">
        <w:t>2) the existence of sufficient operating experience to demonstrate that the technology is proven and reliable</w:t>
      </w:r>
      <w:r w:rsidRPr="00A22706" w:rsidR="00A22706">
        <w:t xml:space="preserve">; (3) whether the technology is dispatchable and capable of being cycled to provide peaking service; </w:t>
      </w:r>
      <w:r w:rsidR="005730B9">
        <w:t xml:space="preserve">and </w:t>
      </w:r>
      <w:r w:rsidRPr="00A22706" w:rsidR="00A22706">
        <w:t>(4) the ability to achieve compliance with applicable environmental requirements and regulations.</w:t>
      </w:r>
      <w:r>
        <w:rPr>
          <w:rStyle w:val="FootnoteReference"/>
        </w:rPr>
        <w:footnoteReference w:id="44"/>
      </w:r>
      <w:r w:rsidR="00A22706">
        <w:t xml:space="preserve">  NYISO states that the </w:t>
      </w:r>
      <w:r w:rsidR="008A6102">
        <w:t xml:space="preserve">Commission has also recognized </w:t>
      </w:r>
      <w:r w:rsidR="00431106">
        <w:t xml:space="preserve">that the </w:t>
      </w:r>
      <w:r w:rsidRPr="0044293E" w:rsidR="00431106">
        <w:t xml:space="preserve">peaking plant design must be capable of being replicated and as such, the peaking plant designs </w:t>
      </w:r>
      <w:r w:rsidRPr="0044293E" w:rsidR="009E09F6">
        <w:t>s</w:t>
      </w:r>
      <w:r w:rsidRPr="0044293E" w:rsidR="00431106">
        <w:t>hould not represent a least possible cost design that may support only the construction of a single facility</w:t>
      </w:r>
      <w:r w:rsidR="009E09F6">
        <w:t>.</w:t>
      </w:r>
      <w:r>
        <w:rPr>
          <w:rStyle w:val="FootnoteReference"/>
        </w:rPr>
        <w:footnoteReference w:id="45"/>
      </w:r>
      <w:r w:rsidR="009207B2">
        <w:t xml:space="preserve">  NYISO states that the DCR</w:t>
      </w:r>
      <w:r w:rsidRPr="00B36126" w:rsidR="009207B2">
        <w:t xml:space="preserve"> process does not require </w:t>
      </w:r>
      <w:r w:rsidR="009207B2">
        <w:t>it</w:t>
      </w:r>
      <w:r w:rsidRPr="00B36126" w:rsidR="009207B2">
        <w:t xml:space="preserve"> </w:t>
      </w:r>
      <w:r w:rsidR="009207B2">
        <w:t>to assume</w:t>
      </w:r>
      <w:r w:rsidRPr="00B36126" w:rsidR="009207B2">
        <w:t xml:space="preserve"> a system consisting solely of the peaking plant technology</w:t>
      </w:r>
      <w:r w:rsidR="009207B2">
        <w:t>,</w:t>
      </w:r>
      <w:r w:rsidRPr="00B36126" w:rsidR="009207B2">
        <w:t xml:space="preserve"> </w:t>
      </w:r>
      <w:r w:rsidRPr="0044293E" w:rsidR="009207B2">
        <w:t>nor does it require that the single peaking plant be designed as capable of meeting all potential resource adequacy needs that may arise</w:t>
      </w:r>
      <w:r w:rsidR="009207B2">
        <w:t xml:space="preserve">. </w:t>
      </w:r>
      <w:r w:rsidRPr="00B36126" w:rsidR="009207B2">
        <w:t xml:space="preserve"> </w:t>
      </w:r>
      <w:r w:rsidRPr="00B5210B" w:rsidR="009207B2">
        <w:t xml:space="preserve">NYISO </w:t>
      </w:r>
      <w:r w:rsidRPr="00B5210B" w:rsidR="007F6339">
        <w:t xml:space="preserve">further </w:t>
      </w:r>
      <w:r w:rsidRPr="00B5210B" w:rsidR="009207B2">
        <w:t>states that the replicability of the peaking unit ensures that if a resource adequacy need arises that is larger than the capability of a single peaking plant addition, capacity market price signals will persist until those needs are met</w:t>
      </w:r>
      <w:r w:rsidR="009207B2">
        <w:t xml:space="preserve">.  </w:t>
      </w:r>
    </w:p>
    <w:p w:rsidR="00373CC6" w:rsidP="00373CC6">
      <w:pPr>
        <w:pStyle w:val="FERCparanumber"/>
      </w:pPr>
      <w:r w:rsidRPr="0044293E">
        <w:t>Regarding economic viability</w:t>
      </w:r>
      <w:r>
        <w:t xml:space="preserve">, NYISO states that a 2-hour BESS unit is widely available to market participants and has sufficient operational </w:t>
      </w:r>
      <w:r w:rsidR="00E074BD">
        <w:t>history</w:t>
      </w:r>
      <w:r>
        <w:t xml:space="preserve">, </w:t>
      </w:r>
      <w:r w:rsidRPr="0044293E">
        <w:t>with more than 10,000 MWh of lithium-ion battery storage capability currently operating in the U.S. with varying energy discharge ranging from 1-hour to 8-hours</w:t>
      </w:r>
      <w:r>
        <w:t>.</w:t>
      </w:r>
      <w:r>
        <w:rPr>
          <w:rStyle w:val="FootnoteReference"/>
        </w:rPr>
        <w:footnoteReference w:id="46"/>
      </w:r>
      <w:r>
        <w:t xml:space="preserve"> </w:t>
      </w:r>
      <w:r w:rsidRPr="00D232BF">
        <w:t xml:space="preserve"> </w:t>
      </w:r>
      <w:r w:rsidR="006A3280">
        <w:t>NYISO states that the</w:t>
      </w:r>
      <w:r w:rsidRPr="00061D8F" w:rsidR="006A3280">
        <w:t xml:space="preserve"> 2-hour BESS unit is a flexible and fast-responding resource capable of being dispatched by system operators during periods of peak system needs.  </w:t>
      </w:r>
      <w:r w:rsidR="008A7D34">
        <w:t>NYISO</w:t>
      </w:r>
      <w:r>
        <w:t xml:space="preserve"> </w:t>
      </w:r>
      <w:r w:rsidR="00B041F1">
        <w:t xml:space="preserve">states that </w:t>
      </w:r>
      <w:r w:rsidRPr="00C56765">
        <w:t>system operators can schedule injections from 2-hour BESS units over consecutive hours to assist in meeting longer-duration peak needs or non-consecutive hours to assist with meeting shorter duration peaks.</w:t>
      </w:r>
      <w:r>
        <w:rPr>
          <w:rStyle w:val="FootnoteReference"/>
        </w:rPr>
        <w:footnoteReference w:id="47"/>
      </w:r>
      <w:r>
        <w:t xml:space="preserve">  </w:t>
      </w:r>
      <w:r w:rsidR="00A6066C">
        <w:t>NYISO also explain</w:t>
      </w:r>
      <w:r>
        <w:t>s</w:t>
      </w:r>
      <w:r w:rsidR="00A6066C">
        <w:t xml:space="preserve"> </w:t>
      </w:r>
      <w:r w:rsidR="00CD0C73">
        <w:t xml:space="preserve">that </w:t>
      </w:r>
      <w:r w:rsidR="000B4965">
        <w:t>a</w:t>
      </w:r>
      <w:r w:rsidRPr="00A761A8" w:rsidR="000B4965">
        <w:t xml:space="preserve"> </w:t>
      </w:r>
      <w:r w:rsidRPr="00A761A8" w:rsidR="00A6066C">
        <w:t>2-hour BESS unit uses lithium-ion technology and a modular, “purpose built enclosure” to be economically viable and practically constructible.</w:t>
      </w:r>
      <w:r>
        <w:rPr>
          <w:b/>
          <w:vertAlign w:val="superscript"/>
        </w:rPr>
        <w:footnoteReference w:id="48"/>
      </w:r>
      <w:r w:rsidRPr="00A761A8" w:rsidR="00A6066C">
        <w:t xml:space="preserve">  </w:t>
      </w:r>
    </w:p>
    <w:p w:rsidR="00373CC6" w:rsidP="00373CC6">
      <w:pPr>
        <w:pStyle w:val="FERCparanumber"/>
      </w:pPr>
      <w:r>
        <w:t xml:space="preserve">NYISO </w:t>
      </w:r>
      <w:r w:rsidR="00356692">
        <w:t xml:space="preserve">explains </w:t>
      </w:r>
      <w:r>
        <w:t xml:space="preserve">that the </w:t>
      </w:r>
      <w:r w:rsidRPr="002033F8">
        <w:t>NYSRC</w:t>
      </w:r>
      <w:r>
        <w:t xml:space="preserve"> did not propose a minimum duration requirement for energy storage projects for capacity supply resources in New York.  Further, NYISO notes that there is no durational value requirement set forth in NYISO’s </w:t>
      </w:r>
      <w:r w:rsidR="008E2E4C">
        <w:t>Services T</w:t>
      </w:r>
      <w:r>
        <w:t>ariff</w:t>
      </w:r>
      <w:r w:rsidR="00ED6D05">
        <w:t>,</w:t>
      </w:r>
      <w:r>
        <w:t xml:space="preserve"> and the Commission has previously held that an alleged eligibility requirement not in the Services Tariff is irrelevant to assessing the economic viability of a technology to potentially serve as a peaking unit.</w:t>
      </w:r>
      <w:r>
        <w:rPr>
          <w:rStyle w:val="FootnoteReference"/>
        </w:rPr>
        <w:footnoteReference w:id="49"/>
      </w:r>
    </w:p>
    <w:p w:rsidR="00373CC6" w:rsidP="00F74881">
      <w:pPr>
        <w:pStyle w:val="FERCparanumber"/>
      </w:pPr>
      <w:r>
        <w:t xml:space="preserve">NYISO asserts that even if there were a basis in the Services Tariff or precedent to consider a minimum duration requirement, it would not be a sufficient reason to reject the use of a 2-hour BESS unit.  NYISO explains that in its analysis of loss of load events in the recently completed 2024-2025 Installed Reserve Margin study, the </w:t>
      </w:r>
      <w:r w:rsidR="00214613">
        <w:t>NYCA</w:t>
      </w:r>
      <w:r>
        <w:t xml:space="preserve"> system reflects a significant percentage of 1-hour and 2-hour duration events that could be met by a 2-hour BESS unit.</w:t>
      </w:r>
      <w:r>
        <w:rPr>
          <w:rStyle w:val="FootnoteReference"/>
        </w:rPr>
        <w:footnoteReference w:id="50"/>
      </w:r>
      <w:r>
        <w:t xml:space="preserve"> </w:t>
      </w:r>
      <w:r w:rsidR="009721ED">
        <w:t xml:space="preserve"> </w:t>
      </w:r>
    </w:p>
    <w:p w:rsidR="00D01560" w:rsidP="00011574">
      <w:pPr>
        <w:pStyle w:val="Heading5"/>
      </w:pPr>
      <w:r>
        <w:t>Comments and Protests</w:t>
      </w:r>
    </w:p>
    <w:p w:rsidR="00685F43" w:rsidRPr="0044293E" w:rsidP="002B1ACE">
      <w:pPr>
        <w:pStyle w:val="FERCparanumber"/>
      </w:pPr>
      <w:r w:rsidRPr="00CA54DC">
        <w:t xml:space="preserve">IPPNY asserts that a 2-hour BESS is ineligible to be a peaking unit because the peaking unit must be </w:t>
      </w:r>
      <w:r w:rsidRPr="0044293E">
        <w:t>dispatchable</w:t>
      </w:r>
      <w:r w:rsidRPr="00CA54DC">
        <w:t xml:space="preserve"> and provide the necessary energy and ancillary services to meet “tariff-mandated operational parameters.”</w:t>
      </w:r>
      <w:r>
        <w:rPr>
          <w:rStyle w:val="FootnoteReference"/>
        </w:rPr>
        <w:footnoteReference w:id="51"/>
      </w:r>
      <w:r>
        <w:t xml:space="preserve">  </w:t>
      </w:r>
      <w:r w:rsidRPr="0044293E" w:rsidR="00DB63A0">
        <w:t xml:space="preserve">IPPNY </w:t>
      </w:r>
      <w:r w:rsidRPr="0044293E" w:rsidR="000C7871">
        <w:t xml:space="preserve">states </w:t>
      </w:r>
      <w:r w:rsidRPr="0044293E" w:rsidR="00952F0E">
        <w:t xml:space="preserve">that </w:t>
      </w:r>
      <w:r w:rsidRPr="0044293E" w:rsidR="001F06AF">
        <w:t xml:space="preserve">the </w:t>
      </w:r>
      <w:r w:rsidRPr="0044293E" w:rsidR="00C006EE">
        <w:t>peaking</w:t>
      </w:r>
      <w:r w:rsidRPr="0044293E" w:rsidR="001F06AF">
        <w:t xml:space="preserve"> unit </w:t>
      </w:r>
      <w:r w:rsidRPr="0044293E" w:rsidR="006808B6">
        <w:t xml:space="preserve">must </w:t>
      </w:r>
      <w:r w:rsidRPr="0044293E" w:rsidR="001F06AF">
        <w:t xml:space="preserve">be dispatchable and </w:t>
      </w:r>
      <w:r w:rsidRPr="0044293E" w:rsidR="00E02464">
        <w:t>provide</w:t>
      </w:r>
      <w:r w:rsidRPr="0044293E" w:rsidR="004F672A">
        <w:t xml:space="preserve"> necessary energy and ancillary services</w:t>
      </w:r>
      <w:r w:rsidRPr="0044293E" w:rsidR="000C7871">
        <w:t>, asserting that NYISO cites to these requirements and the Commission reaffirmed them</w:t>
      </w:r>
      <w:r w:rsidRPr="0044293E" w:rsidR="001F06AF">
        <w:t xml:space="preserve"> </w:t>
      </w:r>
      <w:r w:rsidRPr="0044293E" w:rsidR="00764238">
        <w:t>in the last DCR</w:t>
      </w:r>
      <w:r w:rsidR="00E02464">
        <w:t>.</w:t>
      </w:r>
      <w:r>
        <w:rPr>
          <w:rStyle w:val="FootnoteReference"/>
        </w:rPr>
        <w:footnoteReference w:id="52"/>
      </w:r>
      <w:r w:rsidR="00E02464">
        <w:t xml:space="preserve">  </w:t>
      </w:r>
      <w:r w:rsidRPr="0044293E">
        <w:t>IPPNY argues that NYISO must assess the technology’s ability to promote system reliability</w:t>
      </w:r>
      <w:r w:rsidR="003C1D71">
        <w:t>.</w:t>
      </w:r>
      <w:r>
        <w:rPr>
          <w:rStyle w:val="FootnoteReference"/>
        </w:rPr>
        <w:footnoteReference w:id="53"/>
      </w:r>
      <w:r w:rsidR="003C1D71">
        <w:t xml:space="preserve"> </w:t>
      </w:r>
      <w:r w:rsidRPr="00CA54DC">
        <w:t xml:space="preserve"> </w:t>
      </w:r>
      <w:r w:rsidR="002F786A">
        <w:t xml:space="preserve">In support, </w:t>
      </w:r>
      <w:r w:rsidRPr="00CA54DC">
        <w:t xml:space="preserve">IPPNY points to NYISO’s 2024 Reliability Needs Assessment, </w:t>
      </w:r>
      <w:r w:rsidRPr="0044293E">
        <w:t>which identified resource adequacy violations driven by a statewide resource deficiency beginning in 2034</w:t>
      </w:r>
      <w:r w:rsidRPr="0044293E" w:rsidR="00F43B77">
        <w:t>,</w:t>
      </w:r>
      <w:r w:rsidRPr="0044293E">
        <w:t xml:space="preserve"> and to studies that identified that longer duration resources will be required to resolve these identified reliability needs</w:t>
      </w:r>
      <w:r w:rsidRPr="00CA54DC">
        <w:t>.</w:t>
      </w:r>
      <w:r>
        <w:rPr>
          <w:rStyle w:val="FootnoteReference"/>
        </w:rPr>
        <w:footnoteReference w:id="54"/>
      </w:r>
      <w:r w:rsidRPr="00CA54DC">
        <w:t xml:space="preserve">  </w:t>
      </w:r>
      <w:r w:rsidRPr="00BD7EE2" w:rsidR="00FC7E7D">
        <w:t xml:space="preserve">IPPNY acknowledges NYISO’s statements regarding the operational flexibility of 2-hour BESS, but asserts that the period over which BESS are exhausted cannot be overlooked.  IPPNY argues that although NYISO states that the 2024-2025 Installed Reserve Margin study reflects a significant percentage of 1-hour and 2-hour duration events, the study nonetheless still shows that </w:t>
      </w:r>
      <w:r w:rsidRPr="0044293E" w:rsidR="00FC7E7D">
        <w:t>more than half of the loss of load events modeled are more than two hours</w:t>
      </w:r>
      <w:r w:rsidRPr="00BD7EE2" w:rsidR="00FC7E7D">
        <w:t>.</w:t>
      </w:r>
      <w:r>
        <w:rPr>
          <w:b/>
          <w:vertAlign w:val="superscript"/>
        </w:rPr>
        <w:footnoteReference w:id="55"/>
      </w:r>
      <w:r w:rsidRPr="00BD7EE2" w:rsidR="00FC7E7D">
        <w:t xml:space="preserve">  </w:t>
      </w:r>
      <w:r w:rsidRPr="00CA54DC">
        <w:t xml:space="preserve">IPPNY </w:t>
      </w:r>
      <w:r w:rsidRPr="00CA54DC" w:rsidR="00B14360">
        <w:t>asserts that longer duration resources (</w:t>
      </w:r>
      <w:r w:rsidRPr="00F706C6" w:rsidR="00B14360">
        <w:rPr>
          <w:iCs/>
        </w:rPr>
        <w:t>e.g.</w:t>
      </w:r>
      <w:r w:rsidRPr="00CA54DC" w:rsidR="00B14360">
        <w:t>, 8-hour BESS) and/or simple cycle gas turbines will likely be required to resolve reliability needs.</w:t>
      </w:r>
      <w:r>
        <w:rPr>
          <w:rStyle w:val="FootnoteReference"/>
        </w:rPr>
        <w:footnoteReference w:id="56"/>
      </w:r>
      <w:r w:rsidRPr="00CA54DC" w:rsidR="00B14360">
        <w:t xml:space="preserve">  </w:t>
      </w:r>
      <w:r w:rsidRPr="0044293E">
        <w:t>IPPNY argues that NYISO does not provide a thoro</w:t>
      </w:r>
      <w:r w:rsidRPr="0044293E" w:rsidR="00214205">
        <w:t>u</w:t>
      </w:r>
      <w:r w:rsidRPr="0044293E">
        <w:t>gh analysis of the ability of a 2-hour BESS unit to meet resource adequacy-based reliability requirements</w:t>
      </w:r>
      <w:r w:rsidRPr="0044293E" w:rsidR="00E52452">
        <w:t>.</w:t>
      </w:r>
    </w:p>
    <w:p w:rsidR="00552EE0" w:rsidP="00F51F63">
      <w:pPr>
        <w:pStyle w:val="FERCparanumber"/>
      </w:pPr>
      <w:r>
        <w:t>IPPNY states that t</w:t>
      </w:r>
      <w:r w:rsidRPr="00CA54DC">
        <w:t>he ICAP demand curve is “the sole mechanism available to merchant suppliers to secure [capacity market] revenues” sufficient enough to ensure that units are built</w:t>
      </w:r>
      <w:r>
        <w:rPr>
          <w:rStyle w:val="FootnoteReference"/>
        </w:rPr>
        <w:footnoteReference w:id="57"/>
      </w:r>
      <w:r w:rsidRPr="00CA54DC">
        <w:t xml:space="preserve"> </w:t>
      </w:r>
      <w:r w:rsidR="00F87777">
        <w:t>and</w:t>
      </w:r>
      <w:r w:rsidRPr="00CA54DC" w:rsidR="002B1ACE">
        <w:t xml:space="preserve"> that</w:t>
      </w:r>
      <w:r w:rsidR="00891D05">
        <w:t xml:space="preserve">, although NYISO </w:t>
      </w:r>
      <w:r w:rsidR="007917A4">
        <w:t>states</w:t>
      </w:r>
      <w:r w:rsidR="00891D05">
        <w:t xml:space="preserve"> that </w:t>
      </w:r>
      <w:r w:rsidR="008E58C3">
        <w:t>BESS units in combination with the underlying resource</w:t>
      </w:r>
      <w:r w:rsidR="00A81CB4">
        <w:t xml:space="preserve"> f</w:t>
      </w:r>
      <w:r w:rsidR="008E58C3">
        <w:t>leet</w:t>
      </w:r>
      <w:r w:rsidR="00200B1F">
        <w:t xml:space="preserve"> </w:t>
      </w:r>
      <w:r w:rsidR="0020389D">
        <w:t>are</w:t>
      </w:r>
      <w:r w:rsidR="00200B1F">
        <w:t xml:space="preserve"> </w:t>
      </w:r>
      <w:r w:rsidR="00A81CB4">
        <w:t>“</w:t>
      </w:r>
      <w:r w:rsidR="00200B1F">
        <w:t>readily capabl</w:t>
      </w:r>
      <w:r w:rsidR="00A81CB4">
        <w:t>e</w:t>
      </w:r>
      <w:r w:rsidR="00200B1F">
        <w:t>,</w:t>
      </w:r>
      <w:r w:rsidR="00A81CB4">
        <w:t>”</w:t>
      </w:r>
      <w:r w:rsidR="00200B1F">
        <w:t xml:space="preserve"> </w:t>
      </w:r>
      <w:r w:rsidRPr="00CA54DC" w:rsidR="002B1ACE">
        <w:t xml:space="preserve">NYISO does not “consider the costs of </w:t>
      </w:r>
      <w:r w:rsidRPr="00787706" w:rsidR="002B1ACE">
        <w:t>the ‘underlying resource’ necessary to ensure BESS is available to serve peak load.”</w:t>
      </w:r>
      <w:r>
        <w:rPr>
          <w:rStyle w:val="FootnoteReference"/>
        </w:rPr>
        <w:footnoteReference w:id="58"/>
      </w:r>
      <w:r w:rsidRPr="00787706" w:rsidR="002B1ACE">
        <w:t xml:space="preserve"> </w:t>
      </w:r>
      <w:r w:rsidRPr="00787706" w:rsidR="00BD7EE2">
        <w:t xml:space="preserve"> </w:t>
      </w:r>
      <w:r w:rsidRPr="00787706" w:rsidR="002B1ACE">
        <w:t xml:space="preserve">IPPNY </w:t>
      </w:r>
      <w:r w:rsidRPr="00787706" w:rsidR="000A2298">
        <w:t xml:space="preserve">further </w:t>
      </w:r>
      <w:r w:rsidRPr="00787706" w:rsidR="002B1ACE">
        <w:t>argues that because Net CONE is presented in terms of $/kW-year, operating a 200 MW, 2-hour BESS as a 50 MW, 8-hour BESS would result in a much higher Net CONE because the resource’s capability would be 50 MW rather than 200 MW.</w:t>
      </w:r>
      <w:r>
        <w:rPr>
          <w:rStyle w:val="FootnoteReference"/>
        </w:rPr>
        <w:footnoteReference w:id="59"/>
      </w:r>
      <w:r w:rsidR="00F51F63">
        <w:t xml:space="preserve">  </w:t>
      </w:r>
    </w:p>
    <w:p w:rsidR="007C03C7" w:rsidP="00F51F63">
      <w:pPr>
        <w:pStyle w:val="FERCparanumber"/>
      </w:pPr>
      <w:r w:rsidRPr="0044293E">
        <w:t xml:space="preserve">EPSA </w:t>
      </w:r>
      <w:r w:rsidRPr="0044293E" w:rsidR="000E717A">
        <w:t>argues</w:t>
      </w:r>
      <w:r w:rsidRPr="0044293E">
        <w:t xml:space="preserve"> that the 2-hour BESS is not a generating resource and that this technology is unreliable during periods of peak demand and of power restoration following a blackout</w:t>
      </w:r>
      <w:r w:rsidRPr="007C03C7">
        <w:t>.</w:t>
      </w:r>
      <w:r>
        <w:rPr>
          <w:b/>
          <w:vertAlign w:val="superscript"/>
        </w:rPr>
        <w:footnoteReference w:id="60"/>
      </w:r>
      <w:r w:rsidRPr="007C03C7">
        <w:t xml:space="preserve">  EPSA further asserts that the 2-hour BESS technology is emerging and not economically viable, and </w:t>
      </w:r>
      <w:r w:rsidRPr="0044293E">
        <w:t xml:space="preserve">claims that a 2-hour BESS </w:t>
      </w:r>
      <w:r w:rsidRPr="0044293E" w:rsidR="00EB04BD">
        <w:t xml:space="preserve">peaking </w:t>
      </w:r>
      <w:r w:rsidRPr="0044293E">
        <w:t>unit conflicts with the ICAP market’s role of providing adequate compensation to incentivize the investment in resources necessary to support system reliability</w:t>
      </w:r>
      <w:r w:rsidRPr="007C03C7">
        <w:t>.</w:t>
      </w:r>
      <w:r>
        <w:rPr>
          <w:b/>
          <w:vertAlign w:val="superscript"/>
        </w:rPr>
        <w:footnoteReference w:id="61"/>
      </w:r>
      <w:r w:rsidRPr="007C03C7">
        <w:t xml:space="preserve">  </w:t>
      </w:r>
    </w:p>
    <w:p w:rsidR="00865B34" w:rsidP="00AE09EA">
      <w:pPr>
        <w:pStyle w:val="FERCparanumber"/>
      </w:pPr>
      <w:r w:rsidRPr="00865B34">
        <w:t>NYTOs</w:t>
      </w:r>
      <w:r>
        <w:t xml:space="preserve">, Consumer Stakeholders, and </w:t>
      </w:r>
      <w:r w:rsidR="00C757D8">
        <w:t>New York</w:t>
      </w:r>
      <w:r w:rsidR="00CD6F79">
        <w:t xml:space="preserve"> State</w:t>
      </w:r>
      <w:r w:rsidR="00C757D8">
        <w:t xml:space="preserve"> Entities</w:t>
      </w:r>
      <w:r w:rsidRPr="00865B34">
        <w:t xml:space="preserve"> assert that the </w:t>
      </w:r>
      <w:r w:rsidR="007B790F">
        <w:t xml:space="preserve">      </w:t>
      </w:r>
      <w:r w:rsidRPr="00865B34">
        <w:t>2-hour BESS satisfies the economically viable criterion in the definition of “peaking unit.”</w:t>
      </w:r>
      <w:r>
        <w:rPr>
          <w:b/>
          <w:vertAlign w:val="superscript"/>
        </w:rPr>
        <w:footnoteReference w:id="62"/>
      </w:r>
      <w:r w:rsidRPr="00865B34">
        <w:t xml:space="preserve">  NYTOs </w:t>
      </w:r>
      <w:r w:rsidR="00F44612">
        <w:t xml:space="preserve">and </w:t>
      </w:r>
      <w:r w:rsidR="00063B7C">
        <w:t xml:space="preserve">New York State Entities </w:t>
      </w:r>
      <w:r w:rsidRPr="00865B34">
        <w:t>state that NYISO and NYISO Consultant appropriately recognized the growing number of BESS installations in the U</w:t>
      </w:r>
      <w:r w:rsidR="00B110AD">
        <w:t>.</w:t>
      </w:r>
      <w:r w:rsidRPr="00865B34">
        <w:t>S</w:t>
      </w:r>
      <w:r w:rsidR="00B110AD">
        <w:t>.</w:t>
      </w:r>
      <w:r w:rsidRPr="00865B34">
        <w:t>, which demonstrates that the 2-hour BESS is technolog</w:t>
      </w:r>
      <w:r w:rsidR="003C6870">
        <w:t>icall</w:t>
      </w:r>
      <w:r w:rsidRPr="00865B34">
        <w:t>y feasible and commercially deployable.</w:t>
      </w:r>
      <w:r>
        <w:rPr>
          <w:rStyle w:val="FootnoteReference"/>
        </w:rPr>
        <w:footnoteReference w:id="63"/>
      </w:r>
      <w:r w:rsidRPr="00865B34">
        <w:t xml:space="preserve">  </w:t>
      </w:r>
      <w:r w:rsidRPr="0044293E" w:rsidR="009B02A8">
        <w:t>New York State Entities and NYTOs</w:t>
      </w:r>
      <w:r w:rsidRPr="0044293E" w:rsidR="00CD6F79">
        <w:t xml:space="preserve"> </w:t>
      </w:r>
      <w:r w:rsidRPr="0044293E" w:rsidR="00351A1A">
        <w:t xml:space="preserve">further </w:t>
      </w:r>
      <w:r w:rsidRPr="0044293E" w:rsidR="001A2B0A">
        <w:t xml:space="preserve">note </w:t>
      </w:r>
      <w:r w:rsidRPr="0044293E">
        <w:t>that there is currently at least one 2-hour BESS</w:t>
      </w:r>
      <w:r w:rsidRPr="0044293E" w:rsidR="009B02A8">
        <w:t xml:space="preserve"> </w:t>
      </w:r>
      <w:r w:rsidRPr="0044293E">
        <w:t xml:space="preserve">that </w:t>
      </w:r>
      <w:r w:rsidRPr="0044293E" w:rsidR="009B02A8">
        <w:t>is operational and eligible</w:t>
      </w:r>
      <w:r w:rsidRPr="0044293E">
        <w:t xml:space="preserve"> to participate in NYISO markets,</w:t>
      </w:r>
      <w:r w:rsidRPr="0044293E" w:rsidR="009B02A8">
        <w:t xml:space="preserve"> including </w:t>
      </w:r>
      <w:r w:rsidRPr="0044293E" w:rsidR="00D4086F">
        <w:t>NYISO’s</w:t>
      </w:r>
      <w:r w:rsidRPr="0044293E" w:rsidR="009B02A8">
        <w:t xml:space="preserve"> capacity market</w:t>
      </w:r>
      <w:r w:rsidRPr="00865B34">
        <w:t>.</w:t>
      </w:r>
      <w:r>
        <w:rPr>
          <w:b/>
          <w:vertAlign w:val="superscript"/>
        </w:rPr>
        <w:footnoteReference w:id="64"/>
      </w:r>
      <w:r w:rsidR="00A021DF">
        <w:t xml:space="preserve">  </w:t>
      </w:r>
      <w:r w:rsidRPr="00E67851" w:rsidR="006343A7">
        <w:t xml:space="preserve">New York State Entities </w:t>
      </w:r>
      <w:r w:rsidR="009879C5">
        <w:t>add that</w:t>
      </w:r>
      <w:r w:rsidR="00AB63F9">
        <w:t xml:space="preserve"> several</w:t>
      </w:r>
      <w:r w:rsidRPr="00E67851" w:rsidR="006343A7">
        <w:t xml:space="preserve"> BESS projects </w:t>
      </w:r>
      <w:r w:rsidR="001B4CFA">
        <w:t xml:space="preserve">have been </w:t>
      </w:r>
      <w:r w:rsidR="00CA0439">
        <w:t xml:space="preserve">awarded incentives </w:t>
      </w:r>
      <w:r w:rsidR="00651D11">
        <w:t>from NYSERDA</w:t>
      </w:r>
      <w:r w:rsidRPr="00E67851" w:rsidR="006343A7">
        <w:t>, and there are numerous BESS projects in NYISO’s interconnection queue</w:t>
      </w:r>
      <w:r w:rsidR="00CA0439">
        <w:t xml:space="preserve"> seeking </w:t>
      </w:r>
      <w:r w:rsidR="009E675A">
        <w:t>rights to sell capacity</w:t>
      </w:r>
      <w:r w:rsidRPr="00E67851" w:rsidR="006343A7">
        <w:t>.</w:t>
      </w:r>
      <w:r>
        <w:rPr>
          <w:b/>
          <w:vertAlign w:val="superscript"/>
        </w:rPr>
        <w:footnoteReference w:id="65"/>
      </w:r>
      <w:r w:rsidRPr="00E67851" w:rsidR="006343A7">
        <w:t xml:space="preserve">  </w:t>
      </w:r>
      <w:r w:rsidRPr="00E67851" w:rsidR="00AE09EA">
        <w:t xml:space="preserve">New York State Entities </w:t>
      </w:r>
      <w:r w:rsidR="00AE09EA">
        <w:t xml:space="preserve">also </w:t>
      </w:r>
      <w:r w:rsidRPr="00E67851" w:rsidR="00AE09EA">
        <w:t xml:space="preserve">point to Commission </w:t>
      </w:r>
      <w:r w:rsidR="005124E3">
        <w:t xml:space="preserve">precedent </w:t>
      </w:r>
      <w:r w:rsidRPr="00E67851" w:rsidR="00AE09EA">
        <w:t xml:space="preserve">where </w:t>
      </w:r>
      <w:r w:rsidR="00AE09EA">
        <w:t>the Commission</w:t>
      </w:r>
      <w:r w:rsidRPr="00E67851" w:rsidR="00AE09EA">
        <w:t xml:space="preserve"> explicitly directed NYISO to use the term “peaking unit” in the </w:t>
      </w:r>
      <w:r w:rsidR="00AE09EA">
        <w:t>Services T</w:t>
      </w:r>
      <w:r w:rsidRPr="00E67851" w:rsidR="00AE09EA">
        <w:t xml:space="preserve">ariff rather than “gas turbine” to allow for advancements in technology </w:t>
      </w:r>
      <w:r w:rsidR="00B42D9C">
        <w:t xml:space="preserve">and recognize that </w:t>
      </w:r>
      <w:r w:rsidRPr="00E67851" w:rsidR="00AE09EA">
        <w:t xml:space="preserve">traditional gas generators may not be the only potential </w:t>
      </w:r>
      <w:r w:rsidR="00AC01C2">
        <w:t xml:space="preserve">peaking </w:t>
      </w:r>
      <w:r w:rsidRPr="00E67851" w:rsidR="00AE09EA">
        <w:t>units for evaluation in the DCR process.</w:t>
      </w:r>
      <w:r>
        <w:rPr>
          <w:b/>
          <w:vertAlign w:val="superscript"/>
        </w:rPr>
        <w:footnoteReference w:id="66"/>
      </w:r>
      <w:r w:rsidRPr="00E67851" w:rsidR="00AE09EA">
        <w:t xml:space="preserve">  </w:t>
      </w:r>
    </w:p>
    <w:p w:rsidR="00F05773" w:rsidRPr="00552EE0" w:rsidP="00ED2EC4">
      <w:pPr>
        <w:pStyle w:val="FERCparanumber"/>
      </w:pPr>
      <w:r>
        <w:t xml:space="preserve">NYTOs </w:t>
      </w:r>
      <w:r w:rsidR="00C2150D">
        <w:t>argue that</w:t>
      </w:r>
      <w:r w:rsidR="007D0ADD">
        <w:t xml:space="preserve"> IPPNY’s </w:t>
      </w:r>
      <w:r w:rsidR="00746D34">
        <w:t xml:space="preserve">assertion </w:t>
      </w:r>
      <w:r w:rsidR="00C2150D">
        <w:t xml:space="preserve">that short-duration resources, such as the </w:t>
      </w:r>
      <w:r w:rsidR="007B790F">
        <w:t xml:space="preserve">   </w:t>
      </w:r>
      <w:r w:rsidR="00C2150D">
        <w:t>2-hour BESS</w:t>
      </w:r>
      <w:r w:rsidR="0007168F">
        <w:t>,</w:t>
      </w:r>
      <w:r w:rsidR="00C2150D">
        <w:t xml:space="preserve"> are ineligible to serve as the peaking unit is false and misrepresents the Commission’s </w:t>
      </w:r>
      <w:r w:rsidR="00E53DEE">
        <w:t>finding in the 2011-2014 DCR proceeding.</w:t>
      </w:r>
      <w:r>
        <w:rPr>
          <w:rStyle w:val="FootnoteReference"/>
        </w:rPr>
        <w:footnoteReference w:id="67"/>
      </w:r>
      <w:r w:rsidR="00E53DEE">
        <w:t xml:space="preserve">  NYTOs state that the </w:t>
      </w:r>
      <w:r w:rsidRPr="0044293E" w:rsidR="00E53DEE">
        <w:t xml:space="preserve">Commission </w:t>
      </w:r>
      <w:r w:rsidRPr="0044293E" w:rsidR="00F01C29">
        <w:t>accept</w:t>
      </w:r>
      <w:r w:rsidRPr="0044293E" w:rsidR="008A0362">
        <w:t>ed NYISO’s decision to not include demand response as a potential peaking unit</w:t>
      </w:r>
      <w:r w:rsidRPr="0044293E" w:rsidR="00BF5EFE">
        <w:t xml:space="preserve"> </w:t>
      </w:r>
      <w:r w:rsidRPr="0044293E" w:rsidR="003D1506">
        <w:t>during that DCR and did not exclude short-duration resources from</w:t>
      </w:r>
      <w:r w:rsidR="003D1506">
        <w:t xml:space="preserve"> consideration as a potential peaking unit in future DCRs.</w:t>
      </w:r>
      <w:r>
        <w:rPr>
          <w:rStyle w:val="FootnoteReference"/>
        </w:rPr>
        <w:footnoteReference w:id="68"/>
      </w:r>
      <w:r w:rsidR="00EB6DA6">
        <w:t xml:space="preserve">  NYTOs assert that there is </w:t>
      </w:r>
      <w:r w:rsidR="007D0ADD">
        <w:t>no need to bar short-duration resources from serving as the peaking unit</w:t>
      </w:r>
      <w:r w:rsidR="00EB6DA6">
        <w:t xml:space="preserve"> because</w:t>
      </w:r>
      <w:r w:rsidR="0026730E">
        <w:t>,</w:t>
      </w:r>
      <w:r w:rsidR="00EB6DA6">
        <w:t xml:space="preserve"> </w:t>
      </w:r>
      <w:r w:rsidR="009A393D">
        <w:t xml:space="preserve">to the extent </w:t>
      </w:r>
      <w:r w:rsidR="006C0997">
        <w:t>a resource is duration-limited</w:t>
      </w:r>
      <w:r w:rsidR="00C27E87">
        <w:t>, t</w:t>
      </w:r>
      <w:r w:rsidR="00EB6DA6">
        <w:t xml:space="preserve">he capacity </w:t>
      </w:r>
      <w:r w:rsidR="007921C9">
        <w:t xml:space="preserve">accreditation rules </w:t>
      </w:r>
      <w:r w:rsidR="000D4AED">
        <w:t xml:space="preserve">will account </w:t>
      </w:r>
      <w:r w:rsidR="009A393D">
        <w:t xml:space="preserve">for </w:t>
      </w:r>
      <w:r w:rsidR="00C27E87">
        <w:t>that.</w:t>
      </w:r>
      <w:r>
        <w:rPr>
          <w:rStyle w:val="FootnoteReference"/>
        </w:rPr>
        <w:footnoteReference w:id="69"/>
      </w:r>
    </w:p>
    <w:p w:rsidR="00236ABE" w:rsidRPr="00552EE0" w:rsidP="00011574">
      <w:pPr>
        <w:pStyle w:val="Heading5"/>
      </w:pPr>
      <w:r>
        <w:t>Answer</w:t>
      </w:r>
      <w:r w:rsidR="000753C1">
        <w:t>s</w:t>
      </w:r>
    </w:p>
    <w:p w:rsidR="000628A9" w:rsidRPr="004C5D88" w:rsidP="0063541F">
      <w:pPr>
        <w:pStyle w:val="FERCparanumber"/>
        <w:rPr>
          <w:sz w:val="24"/>
          <w:szCs w:val="24"/>
        </w:rPr>
      </w:pPr>
      <w:r w:rsidRPr="0044293E">
        <w:t xml:space="preserve">NYISO </w:t>
      </w:r>
      <w:r w:rsidRPr="0044293E" w:rsidR="006E56FA">
        <w:t>rejects</w:t>
      </w:r>
      <w:r w:rsidRPr="0044293E" w:rsidR="00435828">
        <w:t xml:space="preserve"> </w:t>
      </w:r>
      <w:r w:rsidRPr="0044293E" w:rsidR="006623C6">
        <w:t>protest</w:t>
      </w:r>
      <w:r w:rsidRPr="0044293E" w:rsidR="005D74CB">
        <w:t>e</w:t>
      </w:r>
      <w:r w:rsidRPr="0044293E" w:rsidR="006623C6">
        <w:t>rs</w:t>
      </w:r>
      <w:r w:rsidRPr="0044293E" w:rsidR="00BC6A47">
        <w:t>’</w:t>
      </w:r>
      <w:r w:rsidRPr="0044293E" w:rsidR="006623C6">
        <w:t xml:space="preserve"> </w:t>
      </w:r>
      <w:r w:rsidRPr="0044293E" w:rsidR="002A3388">
        <w:t>claim that</w:t>
      </w:r>
      <w:r w:rsidRPr="0044293E" w:rsidR="00780E6F">
        <w:t xml:space="preserve"> the </w:t>
      </w:r>
      <w:r w:rsidRPr="0044293E" w:rsidR="00611B14">
        <w:t>2-hour BESS technology option mu</w:t>
      </w:r>
      <w:r w:rsidRPr="0044293E" w:rsidR="006E56FA">
        <w:t>st</w:t>
      </w:r>
      <w:r w:rsidRPr="0044293E" w:rsidR="00611B14">
        <w:t xml:space="preserve"> meet certain “eligibility criteria” that </w:t>
      </w:r>
      <w:r w:rsidRPr="0044293E" w:rsidR="006E56FA">
        <w:t>are not</w:t>
      </w:r>
      <w:r w:rsidRPr="0044293E" w:rsidR="00611B14">
        <w:t xml:space="preserve"> required by the Services Tariff or Commission precedent</w:t>
      </w:r>
      <w:r w:rsidR="00611B14">
        <w:t>.</w:t>
      </w:r>
      <w:r>
        <w:rPr>
          <w:rStyle w:val="FootnoteReference"/>
        </w:rPr>
        <w:footnoteReference w:id="70"/>
      </w:r>
      <w:r w:rsidR="00611B14">
        <w:t xml:space="preserve">  </w:t>
      </w:r>
      <w:r w:rsidR="002738CC">
        <w:t>NYISO states that the Commission has held it is impermissible to engraft “requirements” that are no</w:t>
      </w:r>
      <w:r w:rsidR="009A150D">
        <w:t xml:space="preserve">t </w:t>
      </w:r>
      <w:r w:rsidR="00276510">
        <w:t xml:space="preserve">established in the </w:t>
      </w:r>
      <w:r w:rsidR="009A150D">
        <w:t>Services</w:t>
      </w:r>
      <w:r w:rsidR="00276510">
        <w:t xml:space="preserve"> </w:t>
      </w:r>
      <w:r w:rsidR="003D7954">
        <w:t>Tariff</w:t>
      </w:r>
      <w:r w:rsidR="00276510">
        <w:t xml:space="preserve"> </w:t>
      </w:r>
      <w:r w:rsidR="00CA6BDD">
        <w:t>in</w:t>
      </w:r>
      <w:r w:rsidR="00276510">
        <w:t xml:space="preserve"> an attempt to undermine</w:t>
      </w:r>
      <w:r w:rsidR="003D7954">
        <w:t xml:space="preserve"> </w:t>
      </w:r>
      <w:r w:rsidR="00276510">
        <w:t xml:space="preserve">the viability of a potential </w:t>
      </w:r>
      <w:r w:rsidR="003D7954">
        <w:t>technology</w:t>
      </w:r>
      <w:r w:rsidR="00276510">
        <w:t xml:space="preserve"> </w:t>
      </w:r>
      <w:r w:rsidR="00A41D29">
        <w:t>option</w:t>
      </w:r>
      <w:r w:rsidR="003D7954">
        <w:t>.</w:t>
      </w:r>
      <w:r>
        <w:rPr>
          <w:rStyle w:val="FootnoteReference"/>
        </w:rPr>
        <w:footnoteReference w:id="71"/>
      </w:r>
      <w:r w:rsidR="003D7954">
        <w:t xml:space="preserve">  </w:t>
      </w:r>
      <w:r w:rsidR="00611B14">
        <w:t xml:space="preserve">NYISO </w:t>
      </w:r>
      <w:r>
        <w:t xml:space="preserve">asserts that it has demonstrated that a </w:t>
      </w:r>
      <w:r w:rsidRPr="0044293E">
        <w:t xml:space="preserve">2-hour BESS satisfies </w:t>
      </w:r>
      <w:r w:rsidRPr="0044293E" w:rsidR="00394987">
        <w:t>the</w:t>
      </w:r>
      <w:r w:rsidRPr="0044293E">
        <w:t xml:space="preserve"> screening </w:t>
      </w:r>
      <w:r w:rsidRPr="0044293E" w:rsidR="00394987">
        <w:t xml:space="preserve">criteria </w:t>
      </w:r>
      <w:r w:rsidRPr="0044293E" w:rsidR="004A492D">
        <w:t xml:space="preserve">applied in past DCRs </w:t>
      </w:r>
      <w:r w:rsidRPr="0044293E" w:rsidR="00BC13D8">
        <w:t>to assess</w:t>
      </w:r>
      <w:r w:rsidRPr="0044293E">
        <w:t xml:space="preserve"> </w:t>
      </w:r>
      <w:r w:rsidRPr="0044293E" w:rsidR="00650599">
        <w:t xml:space="preserve">the term </w:t>
      </w:r>
      <w:r w:rsidRPr="0044293E">
        <w:t xml:space="preserve">“economic viability” </w:t>
      </w:r>
      <w:r w:rsidRPr="0044293E" w:rsidR="00650599">
        <w:t>in</w:t>
      </w:r>
      <w:r w:rsidRPr="0044293E">
        <w:t xml:space="preserve"> the Services Tariff</w:t>
      </w:r>
      <w:r w:rsidRPr="0044293E" w:rsidR="005038B7">
        <w:t>.</w:t>
      </w:r>
      <w:r>
        <w:rPr>
          <w:rStyle w:val="FootnoteReference"/>
        </w:rPr>
        <w:footnoteReference w:id="72"/>
      </w:r>
      <w:r w:rsidRPr="0044293E" w:rsidR="005038B7">
        <w:t xml:space="preserve">  S</w:t>
      </w:r>
      <w:r w:rsidRPr="0044293E" w:rsidR="00D9289C">
        <w:t xml:space="preserve">pecifically, NYISO states that it has demonstrated </w:t>
      </w:r>
      <w:r w:rsidRPr="0044293E" w:rsidR="00D9289C">
        <w:rPr>
          <w:szCs w:val="26"/>
        </w:rPr>
        <w:t xml:space="preserve">that </w:t>
      </w:r>
      <w:r w:rsidRPr="0044293E" w:rsidR="00C62BEF">
        <w:rPr>
          <w:szCs w:val="26"/>
        </w:rPr>
        <w:t>a 2-hour</w:t>
      </w:r>
      <w:r w:rsidRPr="0044293E" w:rsidR="00C62BEF">
        <w:rPr>
          <w:sz w:val="24"/>
          <w:szCs w:val="24"/>
        </w:rPr>
        <w:t xml:space="preserve"> </w:t>
      </w:r>
      <w:r w:rsidRPr="0044293E" w:rsidR="00C62BEF">
        <w:t>BESS unit is:</w:t>
      </w:r>
      <w:r w:rsidR="00E63647">
        <w:t xml:space="preserve"> </w:t>
      </w:r>
      <w:r w:rsidRPr="0044293E" w:rsidR="00C62BEF">
        <w:t xml:space="preserve"> (1) a proven technology; (2)</w:t>
      </w:r>
      <w:r w:rsidRPr="0044293E" w:rsidR="0063541F">
        <w:t xml:space="preserve"> </w:t>
      </w:r>
      <w:r w:rsidRPr="0044293E" w:rsidR="00C62BEF">
        <w:t>widely available to developers; (3) a highly flexible technology that can be economically</w:t>
      </w:r>
      <w:r w:rsidRPr="0044293E" w:rsidR="0063541F">
        <w:t xml:space="preserve"> </w:t>
      </w:r>
      <w:r w:rsidRPr="0044293E" w:rsidR="00C62BEF">
        <w:t>dispatched; and (4) capable of being cycled to permit discharge of its stored energy during pe</w:t>
      </w:r>
      <w:r w:rsidRPr="0044293E" w:rsidR="0063541F">
        <w:t>a</w:t>
      </w:r>
      <w:r w:rsidRPr="0044293E" w:rsidR="00C62BEF">
        <w:t>k periods</w:t>
      </w:r>
      <w:r w:rsidRPr="00011574" w:rsidR="00C62BEF">
        <w:t>.</w:t>
      </w:r>
    </w:p>
    <w:p w:rsidR="004C5D88" w:rsidP="0063541F">
      <w:pPr>
        <w:pStyle w:val="FERCparanumber"/>
      </w:pPr>
      <w:r>
        <w:t xml:space="preserve">NYISO argues that, as an </w:t>
      </w:r>
      <w:r w:rsidRPr="0044293E">
        <w:t>incremental resource addition</w:t>
      </w:r>
      <w:r>
        <w:t xml:space="preserve"> to an underlying resource fleet, a 2-hour BESS unit provides the necessary operating capability to assist in meeting resource adequacy requirements.</w:t>
      </w:r>
      <w:r>
        <w:rPr>
          <w:rStyle w:val="FootnoteReference"/>
        </w:rPr>
        <w:footnoteReference w:id="73"/>
      </w:r>
      <w:r>
        <w:t xml:space="preserve">  </w:t>
      </w:r>
      <w:r w:rsidR="00287E06">
        <w:t>NYISO states that, u</w:t>
      </w:r>
      <w:r>
        <w:t xml:space="preserve">nder the </w:t>
      </w:r>
      <w:r w:rsidRPr="0044293E">
        <w:t>current Services Tariff and reliability rules</w:t>
      </w:r>
      <w:r>
        <w:t>, there is no requirement of a minimum operating duration period that would prohibit the consideration of a 2-hour BESS unit as a technology option for setting ICAP demand curves.</w:t>
      </w:r>
      <w:r>
        <w:rPr>
          <w:rStyle w:val="FootnoteReference"/>
        </w:rPr>
        <w:footnoteReference w:id="74"/>
      </w:r>
      <w:r>
        <w:t xml:space="preserve">  Additionally, NYISO points to the </w:t>
      </w:r>
      <w:r w:rsidRPr="0044293E">
        <w:t xml:space="preserve">lack of any Commission precedent establishing a minimum durational requirement that </w:t>
      </w:r>
      <w:r w:rsidRPr="0044293E" w:rsidR="007B2DEE">
        <w:t>w</w:t>
      </w:r>
      <w:r w:rsidRPr="0044293E">
        <w:t>ould disqualify the consideration of a 2-hour BESS unit.</w:t>
      </w:r>
      <w:r>
        <w:rPr>
          <w:rStyle w:val="FootnoteReference"/>
        </w:rPr>
        <w:footnoteReference w:id="75"/>
      </w:r>
    </w:p>
    <w:p w:rsidR="00886EE1" w:rsidRPr="001669D4" w:rsidP="00854D26">
      <w:pPr>
        <w:pStyle w:val="FERCparanumber"/>
      </w:pPr>
      <w:r>
        <w:t>In response to proposals that a different peaking unit than the 2-hour BE</w:t>
      </w:r>
      <w:r w:rsidR="00235F51">
        <w:t xml:space="preserve">SS should be selected, </w:t>
      </w:r>
      <w:r>
        <w:t>NYTOs contend</w:t>
      </w:r>
      <w:r>
        <w:t>s</w:t>
      </w:r>
      <w:r>
        <w:t xml:space="preserve"> that</w:t>
      </w:r>
      <w:r w:rsidR="00046E0B">
        <w:t xml:space="preserve"> such substitutes would not provide reliability benefits but would increase costs</w:t>
      </w:r>
      <w:r w:rsidR="00F42959">
        <w:t xml:space="preserve"> relative to the </w:t>
      </w:r>
      <w:r w:rsidR="00B44E8B">
        <w:t>2-hour BESS</w:t>
      </w:r>
      <w:r w:rsidR="00046E0B">
        <w:t xml:space="preserve">.  </w:t>
      </w:r>
      <w:r w:rsidR="00D336AF">
        <w:t xml:space="preserve">NYTOs state that </w:t>
      </w:r>
      <w:r w:rsidR="00FB462B">
        <w:t>protesters</w:t>
      </w:r>
      <w:r>
        <w:t xml:space="preserve"> do not address the impact of </w:t>
      </w:r>
      <w:r w:rsidR="00296CE1">
        <w:t xml:space="preserve">the other </w:t>
      </w:r>
      <w:r>
        <w:t>technologies</w:t>
      </w:r>
      <w:r w:rsidR="00296CE1">
        <w:t xml:space="preserve"> reviewed by NYISO</w:t>
      </w:r>
      <w:r>
        <w:t xml:space="preserve"> on consumers nor </w:t>
      </w:r>
      <w:r w:rsidR="002051BC">
        <w:t xml:space="preserve">do they </w:t>
      </w:r>
      <w:r>
        <w:t xml:space="preserve">identify </w:t>
      </w:r>
      <w:r w:rsidR="00A574D4">
        <w:t xml:space="preserve">any </w:t>
      </w:r>
      <w:r>
        <w:t>reliability benefits consumers would realize from selecting an alternative technology.</w:t>
      </w:r>
      <w:r>
        <w:rPr>
          <w:rStyle w:val="FootnoteReference"/>
        </w:rPr>
        <w:footnoteReference w:id="76"/>
      </w:r>
      <w:r>
        <w:t xml:space="preserve">  </w:t>
      </w:r>
      <w:r w:rsidR="00DB4D53">
        <w:t xml:space="preserve">NYTOs </w:t>
      </w:r>
      <w:r w:rsidR="00A64149">
        <w:t xml:space="preserve">assert that </w:t>
      </w:r>
      <w:r w:rsidR="006D6447">
        <w:t xml:space="preserve">virtually </w:t>
      </w:r>
      <w:r>
        <w:t>all new entry for more than the last fo</w:t>
      </w:r>
      <w:r w:rsidR="00F766AC">
        <w:t>u</w:t>
      </w:r>
      <w:r>
        <w:t xml:space="preserve">r </w:t>
      </w:r>
      <w:r w:rsidR="00F766AC">
        <w:t>C</w:t>
      </w:r>
      <w:r>
        <w:t xml:space="preserve">apability </w:t>
      </w:r>
      <w:r w:rsidR="00F766AC">
        <w:t>Y</w:t>
      </w:r>
      <w:r>
        <w:t>ears has been from state public policy resources (e.g.</w:t>
      </w:r>
      <w:r w:rsidR="00CA29EE">
        <w:t>,</w:t>
      </w:r>
      <w:r>
        <w:t xml:space="preserve"> wind, solar, and storage resources) and fossil units have not been able to get new permit</w:t>
      </w:r>
      <w:r w:rsidR="0035768D">
        <w:t>s</w:t>
      </w:r>
      <w:r>
        <w:t xml:space="preserve"> due to the CLCPA</w:t>
      </w:r>
      <w:r w:rsidR="00A64149">
        <w:t xml:space="preserve">.  </w:t>
      </w:r>
      <w:r w:rsidRPr="0044293E" w:rsidR="00A64149">
        <w:t>NYTOs argue that it is therefore unlikely that</w:t>
      </w:r>
      <w:r w:rsidRPr="0044293E">
        <w:t xml:space="preserve"> an increase in capacity prices above the level proposed in this DCR </w:t>
      </w:r>
      <w:r w:rsidRPr="0044293E" w:rsidR="00322414">
        <w:t xml:space="preserve">would </w:t>
      </w:r>
      <w:r w:rsidRPr="0044293E">
        <w:t>driv</w:t>
      </w:r>
      <w:r w:rsidRPr="0044293E" w:rsidR="00322414">
        <w:t>e</w:t>
      </w:r>
      <w:r w:rsidRPr="0044293E">
        <w:t xml:space="preserve"> a change in the entry of new resources that</w:t>
      </w:r>
      <w:r w:rsidRPr="0044293E" w:rsidR="00322414">
        <w:t xml:space="preserve"> would result in</w:t>
      </w:r>
      <w:r w:rsidRPr="0044293E">
        <w:t xml:space="preserve"> enhance</w:t>
      </w:r>
      <w:r w:rsidRPr="0044293E" w:rsidR="00322414">
        <w:t>d</w:t>
      </w:r>
      <w:r w:rsidRPr="0044293E">
        <w:t xml:space="preserve"> reliability</w:t>
      </w:r>
      <w:r>
        <w:t>.</w:t>
      </w:r>
      <w:r>
        <w:rPr>
          <w:rStyle w:val="FootnoteReference"/>
        </w:rPr>
        <w:footnoteReference w:id="77"/>
      </w:r>
    </w:p>
    <w:p w:rsidR="00AE5E07">
      <w:pPr>
        <w:pStyle w:val="Heading5"/>
      </w:pPr>
      <w:r>
        <w:t>Commission Determination</w:t>
      </w:r>
    </w:p>
    <w:p w:rsidR="00061D8F" w:rsidRPr="00061D8F" w:rsidP="00061D8F">
      <w:pPr>
        <w:pStyle w:val="FERCparanumber"/>
      </w:pPr>
      <w:r>
        <w:t>W</w:t>
      </w:r>
      <w:r w:rsidR="000006BF">
        <w:t>e find th</w:t>
      </w:r>
      <w:r w:rsidR="0017144D">
        <w:t>at</w:t>
      </w:r>
      <w:r w:rsidR="000006BF">
        <w:t xml:space="preserve"> NYISO</w:t>
      </w:r>
      <w:r w:rsidR="00AB03E2">
        <w:t>’s selection of the 2-hour BESS</w:t>
      </w:r>
      <w:r w:rsidR="00935965">
        <w:t xml:space="preserve"> </w:t>
      </w:r>
      <w:r w:rsidR="00AA0165">
        <w:t>satisfie</w:t>
      </w:r>
      <w:r w:rsidR="00AB03E2">
        <w:t>s</w:t>
      </w:r>
      <w:r w:rsidR="00935965">
        <w:t xml:space="preserve"> the requirements</w:t>
      </w:r>
      <w:r w:rsidR="00FF0305">
        <w:t xml:space="preserve"> </w:t>
      </w:r>
      <w:r w:rsidR="00ED53E1">
        <w:t>of</w:t>
      </w:r>
      <w:r w:rsidR="00FF0305">
        <w:t xml:space="preserve"> the </w:t>
      </w:r>
      <w:r w:rsidR="00AA0165">
        <w:t>Services Tariff</w:t>
      </w:r>
      <w:r w:rsidR="00BC1593">
        <w:t xml:space="preserve">.  </w:t>
      </w:r>
      <w:r w:rsidR="006C2BAA">
        <w:t>T</w:t>
      </w:r>
      <w:r w:rsidR="00AE3C83">
        <w:t xml:space="preserve">he </w:t>
      </w:r>
      <w:r w:rsidR="00C44668">
        <w:t>Services Tariff</w:t>
      </w:r>
      <w:r w:rsidR="006C2BAA">
        <w:t xml:space="preserve"> specif</w:t>
      </w:r>
      <w:r w:rsidR="009416FD">
        <w:t>i</w:t>
      </w:r>
      <w:r w:rsidR="006C2BAA">
        <w:t>es that</w:t>
      </w:r>
      <w:r w:rsidR="00AE3C83">
        <w:t xml:space="preserve"> “</w:t>
      </w:r>
      <w:r w:rsidRPr="00DA4A2C" w:rsidR="00AE3C83">
        <w:t>a peaking unit is defined as the unit with technology that results in the lowest fixed costs and highest variable costs among all other units’ technology that are economically viable.”</w:t>
      </w:r>
      <w:r>
        <w:rPr>
          <w:rStyle w:val="FootnoteReference"/>
        </w:rPr>
        <w:footnoteReference w:id="78"/>
      </w:r>
      <w:r w:rsidRPr="00DA4A2C" w:rsidR="00AE3C83">
        <w:t xml:space="preserve">  </w:t>
      </w:r>
      <w:r w:rsidR="00191EF9">
        <w:t>NYISO has determined that a 2-hour BESS is an economically viable technolog</w:t>
      </w:r>
      <w:r w:rsidR="00F16033">
        <w:t>y</w:t>
      </w:r>
      <w:r w:rsidR="00191EF9">
        <w:t xml:space="preserve"> </w:t>
      </w:r>
      <w:r w:rsidR="00D66946">
        <w:t xml:space="preserve">by </w:t>
      </w:r>
      <w:r w:rsidR="00191EF9">
        <w:t>considering the same factors that it has used in determining economic viability in prior DCRs.</w:t>
      </w:r>
      <w:r>
        <w:rPr>
          <w:rStyle w:val="FootnoteReference"/>
        </w:rPr>
        <w:footnoteReference w:id="79"/>
      </w:r>
      <w:r w:rsidR="00191EF9">
        <w:t xml:space="preserve">  </w:t>
      </w:r>
      <w:r w:rsidR="002C632B">
        <w:t>Specifically, NYISO’s analysis</w:t>
      </w:r>
      <w:r w:rsidR="00871088">
        <w:t xml:space="preserve"> demonstrates</w:t>
      </w:r>
      <w:r w:rsidR="00F7117A">
        <w:t xml:space="preserve"> that the 2-hour BESS option is</w:t>
      </w:r>
      <w:r w:rsidRPr="00011574" w:rsidR="00F7117A">
        <w:t xml:space="preserve"> a proven technolog</w:t>
      </w:r>
      <w:r w:rsidR="00406F61">
        <w:t>y that is</w:t>
      </w:r>
      <w:r w:rsidRPr="00011574" w:rsidR="00F7117A">
        <w:t xml:space="preserve"> widely available to developers</w:t>
      </w:r>
      <w:r w:rsidR="00C966F9">
        <w:t xml:space="preserve">, </w:t>
      </w:r>
      <w:r w:rsidR="00406F61">
        <w:t>is a</w:t>
      </w:r>
      <w:r w:rsidRPr="00011574" w:rsidR="00F7117A">
        <w:t xml:space="preserve"> highly flexible technology that can be economically dispatched</w:t>
      </w:r>
      <w:r w:rsidR="008B3C6B">
        <w:t>,</w:t>
      </w:r>
      <w:r w:rsidR="00406F61">
        <w:t xml:space="preserve"> is</w:t>
      </w:r>
      <w:r w:rsidRPr="00011574" w:rsidR="00F7117A">
        <w:t xml:space="preserve"> capable of being cycled to permit discharge of its stored energy during </w:t>
      </w:r>
      <w:r w:rsidRPr="005E4293" w:rsidR="00F7117A">
        <w:t>pe</w:t>
      </w:r>
      <w:r w:rsidRPr="00011574" w:rsidR="00F7117A">
        <w:t>a</w:t>
      </w:r>
      <w:r w:rsidRPr="005E4293" w:rsidR="00F7117A">
        <w:t>k</w:t>
      </w:r>
      <w:r w:rsidRPr="00011574" w:rsidR="00F7117A">
        <w:t xml:space="preserve"> periods</w:t>
      </w:r>
      <w:r w:rsidR="00AE14D0">
        <w:t>, and is capable of being replicated</w:t>
      </w:r>
      <w:r w:rsidRPr="00011574" w:rsidR="00F7117A">
        <w:t>.</w:t>
      </w:r>
      <w:r w:rsidR="00EA7760">
        <w:t xml:space="preserve">  </w:t>
      </w:r>
      <w:r w:rsidRPr="0044293E" w:rsidR="00852DB8">
        <w:t xml:space="preserve">For instance, NYISO has explained </w:t>
      </w:r>
      <w:r w:rsidRPr="0044293E" w:rsidR="005E6F09">
        <w:t>that</w:t>
      </w:r>
      <w:r w:rsidRPr="0044293E" w:rsidR="00852DB8">
        <w:t xml:space="preserve"> </w:t>
      </w:r>
      <w:r w:rsidRPr="0044293E" w:rsidR="00B75368">
        <w:t xml:space="preserve">the 2-hour BESS </w:t>
      </w:r>
      <w:r w:rsidRPr="0044293E" w:rsidR="001524B3">
        <w:t xml:space="preserve">unit </w:t>
      </w:r>
      <w:r w:rsidRPr="0044293E" w:rsidR="00852DB8">
        <w:t xml:space="preserve">has </w:t>
      </w:r>
      <w:r w:rsidRPr="0044293E" w:rsidR="00DA6701">
        <w:t xml:space="preserve">sufficient operational </w:t>
      </w:r>
      <w:r w:rsidRPr="0044293E" w:rsidR="00D34BEF">
        <w:t>history</w:t>
      </w:r>
      <w:r w:rsidRPr="0044293E" w:rsidR="00603789">
        <w:t>, noting</w:t>
      </w:r>
      <w:r w:rsidRPr="0044293E" w:rsidR="00DA6701">
        <w:t xml:space="preserve"> </w:t>
      </w:r>
      <w:r w:rsidRPr="0044293E" w:rsidR="005E55F5">
        <w:t>the</w:t>
      </w:r>
      <w:r w:rsidRPr="0044293E" w:rsidR="00FF52D8">
        <w:t xml:space="preserve"> </w:t>
      </w:r>
      <w:r w:rsidRPr="0044293E" w:rsidR="00306B18">
        <w:t>more than 10,000 MW</w:t>
      </w:r>
      <w:r w:rsidRPr="0044293E" w:rsidR="00F25AA7">
        <w:t>h</w:t>
      </w:r>
      <w:r w:rsidRPr="0044293E" w:rsidR="00306B18">
        <w:t xml:space="preserve"> of lithium-ion battery storage currently operating in</w:t>
      </w:r>
      <w:r w:rsidRPr="0044293E" w:rsidR="00852DB8">
        <w:t xml:space="preserve"> the </w:t>
      </w:r>
      <w:r w:rsidRPr="0044293E" w:rsidR="00306B18">
        <w:t xml:space="preserve">U.S. </w:t>
      </w:r>
      <w:r w:rsidRPr="0044293E" w:rsidR="00FF52D8">
        <w:t>and that this</w:t>
      </w:r>
      <w:r w:rsidRPr="0044293E" w:rsidR="00852DB8">
        <w:t xml:space="preserve"> unit uses lithium-ion technology and a modular enclosure</w:t>
      </w:r>
      <w:r w:rsidRPr="0044293E" w:rsidR="0029583A">
        <w:t xml:space="preserve"> that is</w:t>
      </w:r>
      <w:r w:rsidRPr="0044293E" w:rsidR="00852DB8">
        <w:t xml:space="preserve"> practically</w:t>
      </w:r>
      <w:r w:rsidRPr="00A761A8" w:rsidR="00852DB8">
        <w:t xml:space="preserve"> constructible.</w:t>
      </w:r>
      <w:r>
        <w:rPr>
          <w:b/>
          <w:vertAlign w:val="superscript"/>
        </w:rPr>
        <w:footnoteReference w:id="80"/>
      </w:r>
      <w:r w:rsidRPr="00A761A8" w:rsidR="00852DB8">
        <w:t xml:space="preserve">  </w:t>
      </w:r>
      <w:r w:rsidRPr="0044293E" w:rsidR="00633D3B">
        <w:t>Therefore, we agree with NYISO</w:t>
      </w:r>
      <w:r w:rsidRPr="0044293E" w:rsidR="00554F57">
        <w:t xml:space="preserve"> that</w:t>
      </w:r>
      <w:r w:rsidRPr="0044293E" w:rsidR="001562C8">
        <w:t xml:space="preserve"> a </w:t>
      </w:r>
      <w:r w:rsidRPr="0044293E" w:rsidR="002D1A7D">
        <w:t>2-hour BESS</w:t>
      </w:r>
      <w:r w:rsidRPr="0044293E" w:rsidR="00852DB8">
        <w:t xml:space="preserve"> </w:t>
      </w:r>
      <w:r w:rsidRPr="0044293E" w:rsidR="00554F57">
        <w:t xml:space="preserve">is </w:t>
      </w:r>
      <w:r w:rsidRPr="0044293E" w:rsidR="00EA01B6">
        <w:t xml:space="preserve">an </w:t>
      </w:r>
      <w:r w:rsidRPr="0044293E" w:rsidR="00554F57">
        <w:t>economi</w:t>
      </w:r>
      <w:r w:rsidRPr="0044293E" w:rsidR="009B54B0">
        <w:t>cally viable</w:t>
      </w:r>
      <w:r w:rsidRPr="0044293E" w:rsidR="00EA01B6">
        <w:t xml:space="preserve"> technology</w:t>
      </w:r>
      <w:r w:rsidRPr="0044293E" w:rsidR="00F651FE">
        <w:t xml:space="preserve"> under </w:t>
      </w:r>
      <w:r w:rsidR="0044293E">
        <w:t xml:space="preserve">the </w:t>
      </w:r>
      <w:r w:rsidRPr="0044293E" w:rsidR="00F651FE">
        <w:t xml:space="preserve">requirements of </w:t>
      </w:r>
      <w:r w:rsidR="0044293E">
        <w:t xml:space="preserve">the </w:t>
      </w:r>
      <w:r w:rsidRPr="0044293E" w:rsidR="00F651FE">
        <w:t>Services Tariff and the facts and circumstances before us in this record</w:t>
      </w:r>
      <w:r w:rsidRPr="0044293E" w:rsidR="009B54B0">
        <w:t>.</w:t>
      </w:r>
      <w:r w:rsidRPr="00A761A8" w:rsidR="00852DB8">
        <w:t xml:space="preserve">  </w:t>
      </w:r>
    </w:p>
    <w:p w:rsidR="00047661" w:rsidRPr="00CA54DC" w:rsidP="00047661">
      <w:pPr>
        <w:pStyle w:val="FERCparanumber"/>
      </w:pPr>
      <w:r>
        <w:t xml:space="preserve">We disagree with </w:t>
      </w:r>
      <w:r w:rsidR="00061D8F">
        <w:t>IPPNY</w:t>
      </w:r>
      <w:r w:rsidR="002602BE">
        <w:t>’s</w:t>
      </w:r>
      <w:r w:rsidR="00F5317F">
        <w:t xml:space="preserve"> and EPSA</w:t>
      </w:r>
      <w:r>
        <w:t xml:space="preserve">’s </w:t>
      </w:r>
      <w:r w:rsidR="00061D8F">
        <w:t>conten</w:t>
      </w:r>
      <w:r>
        <w:t>tion</w:t>
      </w:r>
      <w:r w:rsidR="00061D8F">
        <w:t xml:space="preserve"> that </w:t>
      </w:r>
      <w:r w:rsidR="00010BF7">
        <w:t>the Services Tariff mandates specific operating parameters for peaking unit technologies</w:t>
      </w:r>
      <w:r w:rsidR="00B36C4B">
        <w:t xml:space="preserve"> to meet reliability needs</w:t>
      </w:r>
      <w:r w:rsidR="00010BF7">
        <w:t xml:space="preserve">.  </w:t>
      </w:r>
      <w:r w:rsidR="00367A80">
        <w:t xml:space="preserve">In support of this argument, </w:t>
      </w:r>
      <w:r w:rsidR="005A1197">
        <w:t>IPPNY points to the Commission</w:t>
      </w:r>
      <w:r w:rsidR="00024FC4">
        <w:t>’s</w:t>
      </w:r>
      <w:r w:rsidR="005A1197">
        <w:t xml:space="preserve"> previous accept</w:t>
      </w:r>
      <w:r w:rsidR="00314454">
        <w:t xml:space="preserve">ance of </w:t>
      </w:r>
      <w:r w:rsidR="005A1197">
        <w:t>NYISO’s consideration of m</w:t>
      </w:r>
      <w:r w:rsidR="00A63948">
        <w:t xml:space="preserve">ultiple factors </w:t>
      </w:r>
      <w:r w:rsidR="002B2A33">
        <w:t xml:space="preserve">to </w:t>
      </w:r>
      <w:r w:rsidR="006B2745">
        <w:t>determine</w:t>
      </w:r>
      <w:r w:rsidR="00D579A8">
        <w:t xml:space="preserve"> the</w:t>
      </w:r>
      <w:r w:rsidR="006B2745">
        <w:t xml:space="preserve"> </w:t>
      </w:r>
      <w:r w:rsidR="003538C2">
        <w:t xml:space="preserve">economic viability of </w:t>
      </w:r>
      <w:r w:rsidR="0097334C">
        <w:t xml:space="preserve">different </w:t>
      </w:r>
      <w:r w:rsidR="008B721D">
        <w:t>technologies.</w:t>
      </w:r>
      <w:r w:rsidR="006B2745">
        <w:t xml:space="preserve">  </w:t>
      </w:r>
      <w:r w:rsidR="00884399">
        <w:t>Although the Services Tariff requires that a peaking unit be economicall</w:t>
      </w:r>
      <w:r w:rsidR="009D14D4">
        <w:t xml:space="preserve">y viable, </w:t>
      </w:r>
      <w:r w:rsidRPr="007013F9" w:rsidR="007013F9">
        <w:t xml:space="preserve">the </w:t>
      </w:r>
      <w:r w:rsidR="00AE1CC2">
        <w:t xml:space="preserve">Services Tariff </w:t>
      </w:r>
      <w:r w:rsidRPr="0044293E" w:rsidR="00AE1CC2">
        <w:t xml:space="preserve">does not specify a definition of </w:t>
      </w:r>
      <w:r w:rsidRPr="0044293E" w:rsidR="00FE6745">
        <w:t>economic</w:t>
      </w:r>
      <w:r w:rsidR="00FE6745">
        <w:t xml:space="preserve"> viability</w:t>
      </w:r>
      <w:r w:rsidR="006B1763">
        <w:t xml:space="preserve">. </w:t>
      </w:r>
      <w:r w:rsidR="006F706D">
        <w:t xml:space="preserve"> </w:t>
      </w:r>
      <w:r w:rsidR="006B1763">
        <w:t>T</w:t>
      </w:r>
      <w:r w:rsidR="00E17060">
        <w:t>he Commission</w:t>
      </w:r>
      <w:r w:rsidR="00B27BAD">
        <w:t xml:space="preserve"> has</w:t>
      </w:r>
      <w:r w:rsidR="006F706D">
        <w:t xml:space="preserve"> explained </w:t>
      </w:r>
      <w:r w:rsidR="00F651FE">
        <w:t>that under the NYISO Services Tariff “[a]</w:t>
      </w:r>
      <w:r w:rsidRPr="00F651FE" w:rsidR="00F651FE">
        <w:t xml:space="preserve">n economically viable technology must be physically able to supply capacity to the market, but other than this requirement, the Commission stated that economic viability determinations are a </w:t>
      </w:r>
      <w:r w:rsidR="00F651FE">
        <w:t>‘</w:t>
      </w:r>
      <w:r w:rsidRPr="00F651FE" w:rsidR="00F651FE">
        <w:t>matter of judgment.</w:t>
      </w:r>
      <w:r w:rsidR="00F651FE">
        <w:t>’</w:t>
      </w:r>
      <w:r w:rsidRPr="00F651FE" w:rsidR="00F651FE">
        <w:t>”</w:t>
      </w:r>
      <w:r>
        <w:rPr>
          <w:b/>
          <w:vertAlign w:val="superscript"/>
        </w:rPr>
        <w:footnoteReference w:id="81"/>
      </w:r>
      <w:r w:rsidRPr="007013F9" w:rsidR="007013F9">
        <w:t xml:space="preserve">  </w:t>
      </w:r>
      <w:r w:rsidR="00161441">
        <w:t xml:space="preserve">Therefore, </w:t>
      </w:r>
      <w:bookmarkStart w:id="3" w:name="_Hlk188800138"/>
      <w:r w:rsidR="00161441">
        <w:t xml:space="preserve">we find that the Services Tariff does not require </w:t>
      </w:r>
      <w:r w:rsidR="008923C4">
        <w:t xml:space="preserve">the peaking unit to meet the operating parameters </w:t>
      </w:r>
      <w:r w:rsidR="00DF5190">
        <w:t xml:space="preserve">IPPNY </w:t>
      </w:r>
      <w:r w:rsidR="006811DE">
        <w:t xml:space="preserve">and EPSA contend are mandatory. </w:t>
      </w:r>
      <w:r w:rsidR="00161441">
        <w:t xml:space="preserve"> </w:t>
      </w:r>
      <w:r w:rsidR="00695901">
        <w:t>Also c</w:t>
      </w:r>
      <w:r w:rsidR="009166F3">
        <w:t xml:space="preserve">ontrary to IPPNY’s argument, </w:t>
      </w:r>
      <w:r w:rsidRPr="00CA54DC">
        <w:t xml:space="preserve">the Services Tariff </w:t>
      </w:r>
      <w:r w:rsidR="000D39CC">
        <w:t xml:space="preserve">does not contain a </w:t>
      </w:r>
      <w:r w:rsidRPr="00CA54DC" w:rsidR="000D39CC">
        <w:t xml:space="preserve">duration requirement </w:t>
      </w:r>
      <w:r w:rsidRPr="00CA54DC">
        <w:t>for the hypothetical peaking unit</w:t>
      </w:r>
      <w:bookmarkEnd w:id="3"/>
      <w:r w:rsidRPr="00CA54DC">
        <w:t xml:space="preserve">.  </w:t>
      </w:r>
      <w:r w:rsidR="00967EFF">
        <w:t xml:space="preserve">  </w:t>
      </w:r>
    </w:p>
    <w:p w:rsidR="006927F6" w:rsidP="00047661">
      <w:pPr>
        <w:pStyle w:val="FERCparanumber"/>
      </w:pPr>
      <w:r>
        <w:t>We</w:t>
      </w:r>
      <w:r w:rsidR="00C34028">
        <w:t xml:space="preserve"> </w:t>
      </w:r>
      <w:r w:rsidR="001672B4">
        <w:t>also</w:t>
      </w:r>
      <w:r w:rsidR="00DC6CCE">
        <w:t xml:space="preserve"> </w:t>
      </w:r>
      <w:r>
        <w:t>disagree</w:t>
      </w:r>
      <w:r w:rsidRPr="00CA54DC" w:rsidR="00047661">
        <w:t xml:space="preserve"> with </w:t>
      </w:r>
      <w:r w:rsidR="00F1017D">
        <w:t xml:space="preserve">IPPNY’s </w:t>
      </w:r>
      <w:r w:rsidR="00FA224C">
        <w:t>claim</w:t>
      </w:r>
      <w:r w:rsidRPr="00CA54DC" w:rsidR="00FA224C">
        <w:t xml:space="preserve"> </w:t>
      </w:r>
      <w:r w:rsidRPr="00CA54DC" w:rsidR="00047661">
        <w:t xml:space="preserve">that NYISO has not appropriately considered the resource adequacy </w:t>
      </w:r>
      <w:r w:rsidR="00AC57C8">
        <w:t>contribution</w:t>
      </w:r>
      <w:r w:rsidRPr="00CA54DC" w:rsidR="00AC57C8">
        <w:t xml:space="preserve"> </w:t>
      </w:r>
      <w:r w:rsidRPr="00CA54DC" w:rsidR="00047661">
        <w:t>of 2-hour BESS units.</w:t>
      </w:r>
      <w:r w:rsidR="00D0794B">
        <w:t xml:space="preserve">  </w:t>
      </w:r>
      <w:bookmarkStart w:id="4" w:name="_Hlk188800189"/>
      <w:r w:rsidR="00D0794B">
        <w:t>As an initial matter, the Services Tariff does not specify a resource adequacy requirement for the hypothetical peaking unit selected</w:t>
      </w:r>
      <w:bookmarkEnd w:id="4"/>
      <w:r w:rsidR="00D0794B">
        <w:t>.</w:t>
      </w:r>
      <w:r w:rsidRPr="00CA54DC" w:rsidR="00047661">
        <w:t xml:space="preserve">  </w:t>
      </w:r>
      <w:r w:rsidR="00DA767E">
        <w:t>NYISO</w:t>
      </w:r>
      <w:r w:rsidR="0087328F">
        <w:t>’s</w:t>
      </w:r>
      <w:r w:rsidR="00E91C7B">
        <w:t xml:space="preserve"> </w:t>
      </w:r>
      <w:r w:rsidR="00685F7C">
        <w:t>Services Tariff</w:t>
      </w:r>
      <w:r w:rsidR="005A7476">
        <w:t xml:space="preserve"> </w:t>
      </w:r>
      <w:r w:rsidR="0015209F">
        <w:t>allows</w:t>
      </w:r>
      <w:r w:rsidR="005A7476">
        <w:t xml:space="preserve"> </w:t>
      </w:r>
      <w:r w:rsidR="00E10D6C">
        <w:t>limited duration resources</w:t>
      </w:r>
      <w:r w:rsidR="009A0123">
        <w:t>,</w:t>
      </w:r>
      <w:r w:rsidR="00E10D6C">
        <w:t xml:space="preserve"> such as BESS units</w:t>
      </w:r>
      <w:r w:rsidR="009A0123">
        <w:t>,</w:t>
      </w:r>
      <w:r w:rsidRPr="001C2341" w:rsidR="001C2341">
        <w:t xml:space="preserve"> </w:t>
      </w:r>
      <w:r w:rsidR="00834148">
        <w:t xml:space="preserve">to be </w:t>
      </w:r>
      <w:r w:rsidR="005A7476">
        <w:t xml:space="preserve">eligible </w:t>
      </w:r>
      <w:r w:rsidR="00834148">
        <w:t>as</w:t>
      </w:r>
      <w:r w:rsidRPr="001C2341" w:rsidR="005A7476">
        <w:t xml:space="preserve"> </w:t>
      </w:r>
      <w:r w:rsidRPr="001C2341" w:rsidR="001C2341">
        <w:t>capacity resources</w:t>
      </w:r>
      <w:r w:rsidR="009A0123">
        <w:t xml:space="preserve"> </w:t>
      </w:r>
      <w:r w:rsidR="0000081F">
        <w:t xml:space="preserve">that </w:t>
      </w:r>
      <w:r w:rsidR="00340E62">
        <w:t xml:space="preserve">can </w:t>
      </w:r>
      <w:r w:rsidR="004E1448">
        <w:t xml:space="preserve">be used to </w:t>
      </w:r>
      <w:r w:rsidR="009A0123">
        <w:t xml:space="preserve">meet </w:t>
      </w:r>
      <w:r w:rsidR="002C516F">
        <w:t>NYISO’s resource adequacy requirement</w:t>
      </w:r>
      <w:r w:rsidR="0000081F">
        <w:t>s</w:t>
      </w:r>
      <w:r w:rsidR="0000753C">
        <w:t>.</w:t>
      </w:r>
      <w:r>
        <w:rPr>
          <w:rStyle w:val="FootnoteReference"/>
        </w:rPr>
        <w:footnoteReference w:id="82"/>
      </w:r>
      <w:r w:rsidR="002A5799">
        <w:t xml:space="preserve">  </w:t>
      </w:r>
      <w:r w:rsidR="00337134">
        <w:t>T</w:t>
      </w:r>
      <w:r w:rsidRPr="00CA54DC" w:rsidR="00047661">
        <w:t>he Commission has accepted NYISO’s capacity accreditation rules as a just and reasonable methodology for valuing capacity resources.</w:t>
      </w:r>
      <w:r>
        <w:rPr>
          <w:rStyle w:val="FootnoteReference"/>
        </w:rPr>
        <w:footnoteReference w:id="83"/>
      </w:r>
      <w:r w:rsidRPr="00CA54DC" w:rsidR="00047661">
        <w:t xml:space="preserve">  That methodology adjusts the capacity value of all capacity resources, including a 2-hour BESS unit, to account for </w:t>
      </w:r>
      <w:r w:rsidR="00FD1E9F">
        <w:t>their</w:t>
      </w:r>
      <w:r w:rsidRPr="00CA54DC" w:rsidR="00FD1E9F">
        <w:t xml:space="preserve"> </w:t>
      </w:r>
      <w:r w:rsidRPr="00CA54DC" w:rsidR="00047661">
        <w:t xml:space="preserve">marginal contribution to resource adequacy needs.  </w:t>
      </w:r>
    </w:p>
    <w:p w:rsidR="00047661" w:rsidRPr="00CA54DC" w:rsidP="00047661">
      <w:pPr>
        <w:pStyle w:val="FERCparanumber"/>
      </w:pPr>
      <w:r>
        <w:t>According to NYISO, t</w:t>
      </w:r>
      <w:r w:rsidRPr="001C2341">
        <w:t xml:space="preserve">he </w:t>
      </w:r>
      <w:r w:rsidRPr="001C2341" w:rsidR="00BB505F">
        <w:t>purpose of the hypothetical peaking unit in the DCR process is to determine the estimated revenue a hypothetical new resource would need to rec</w:t>
      </w:r>
      <w:r w:rsidR="00AF4C95">
        <w:t>over</w:t>
      </w:r>
      <w:r w:rsidRPr="001C2341" w:rsidR="00BB505F">
        <w:t xml:space="preserve"> from the capacity market so that it has sufficient revenues to support its market entry.</w:t>
      </w:r>
      <w:r>
        <w:rPr>
          <w:rStyle w:val="FootnoteReference"/>
        </w:rPr>
        <w:footnoteReference w:id="84"/>
      </w:r>
      <w:r w:rsidRPr="001C2341" w:rsidR="00BB505F">
        <w:t xml:space="preserve">  </w:t>
      </w:r>
      <w:r w:rsidRPr="00E63647" w:rsidR="00D564A4">
        <w:t>W</w:t>
      </w:r>
      <w:r w:rsidRPr="00013C7E" w:rsidR="0034542A">
        <w:t>e agree with NYISO that the DCR process</w:t>
      </w:r>
      <w:r w:rsidRPr="00013C7E" w:rsidR="00D61549">
        <w:t xml:space="preserve"> is not intended to </w:t>
      </w:r>
      <w:r w:rsidRPr="00013C7E" w:rsidR="0034542A">
        <w:t xml:space="preserve">identify a single peaking unit that addresses all </w:t>
      </w:r>
      <w:r w:rsidRPr="00013C7E" w:rsidR="00902BB4">
        <w:t xml:space="preserve">of NYISO’s </w:t>
      </w:r>
      <w:r w:rsidRPr="00013C7E" w:rsidR="0034542A">
        <w:t>resource adequacy needs</w:t>
      </w:r>
      <w:r w:rsidRPr="00E63647" w:rsidR="005A4F47">
        <w:t>;</w:t>
      </w:r>
      <w:r w:rsidRPr="00013C7E" w:rsidR="005A4F47">
        <w:t xml:space="preserve"> </w:t>
      </w:r>
      <w:r w:rsidRPr="00E63647" w:rsidR="004F6277">
        <w:t>rather</w:t>
      </w:r>
      <w:r w:rsidRPr="00E63647" w:rsidR="00727024">
        <w:t>,</w:t>
      </w:r>
      <w:r w:rsidRPr="00013C7E" w:rsidR="004F6277">
        <w:t xml:space="preserve"> </w:t>
      </w:r>
      <w:r w:rsidRPr="00013C7E" w:rsidR="0034542A">
        <w:t xml:space="preserve">the replicability of the </w:t>
      </w:r>
      <w:r w:rsidRPr="00013C7E" w:rsidR="00B966CC">
        <w:t xml:space="preserve">hypothetical </w:t>
      </w:r>
      <w:r w:rsidRPr="00013C7E" w:rsidR="0034542A">
        <w:t xml:space="preserve">peaking unit ensures capacity market price signals </w:t>
      </w:r>
      <w:r w:rsidRPr="00013C7E" w:rsidR="008A57B5">
        <w:t xml:space="preserve">necessary to </w:t>
      </w:r>
      <w:r w:rsidRPr="00E63647" w:rsidR="00414B1C">
        <w:t>“</w:t>
      </w:r>
      <w:r w:rsidRPr="00E63647" w:rsidR="000D062C">
        <w:t>elicit and support new entry n</w:t>
      </w:r>
      <w:r w:rsidRPr="00E63647" w:rsidR="00DF6B4C">
        <w:t xml:space="preserve">ecessary </w:t>
      </w:r>
      <w:r w:rsidRPr="00E63647" w:rsidR="00ED5F31">
        <w:t xml:space="preserve">if and when required to </w:t>
      </w:r>
      <w:r w:rsidRPr="00E63647" w:rsidR="009B0123">
        <w:t>ensure reliability</w:t>
      </w:r>
      <w:r w:rsidRPr="00E63647" w:rsidR="00414B1C">
        <w:t>.”</w:t>
      </w:r>
      <w:r>
        <w:rPr>
          <w:rStyle w:val="FootnoteReference"/>
        </w:rPr>
        <w:footnoteReference w:id="85"/>
      </w:r>
      <w:r w:rsidRPr="00013C7E" w:rsidR="0034542A">
        <w:t xml:space="preserve"> </w:t>
      </w:r>
      <w:r w:rsidR="0034542A">
        <w:t xml:space="preserve"> </w:t>
      </w:r>
      <w:r w:rsidR="008A0D55">
        <w:t>We</w:t>
      </w:r>
      <w:r w:rsidR="0034542A">
        <w:t xml:space="preserve"> find that NYISO has demonstrated </w:t>
      </w:r>
      <w:r w:rsidR="00E37FB5">
        <w:t>that</w:t>
      </w:r>
      <w:r w:rsidR="0034542A">
        <w:t xml:space="preserve"> the 2-hour BESS is replicable.</w:t>
      </w:r>
    </w:p>
    <w:p w:rsidR="00E21E32" w:rsidP="00D5381B">
      <w:pPr>
        <w:pStyle w:val="FERCparanumber"/>
      </w:pPr>
      <w:r>
        <w:t xml:space="preserve">Finally, we </w:t>
      </w:r>
      <w:r w:rsidR="00CD1F41">
        <w:t xml:space="preserve">disagree with </w:t>
      </w:r>
      <w:r w:rsidRPr="00CA54DC" w:rsidR="00047661">
        <w:t>IPPNY</w:t>
      </w:r>
      <w:r>
        <w:t>’s arguments</w:t>
      </w:r>
      <w:r w:rsidRPr="00CA54DC" w:rsidR="00047661">
        <w:t xml:space="preserve"> that</w:t>
      </w:r>
      <w:r>
        <w:t xml:space="preserve"> NYISO did not consider the cost of the “underlying resource”</w:t>
      </w:r>
      <w:r w:rsidRPr="00CA54DC" w:rsidR="00047661">
        <w:t xml:space="preserve"> </w:t>
      </w:r>
      <w:r>
        <w:t xml:space="preserve">and that </w:t>
      </w:r>
      <w:r w:rsidRPr="00CA54DC" w:rsidR="00047661">
        <w:t xml:space="preserve">the Net CONE should be calculated as if the peaking unit were a 50 MW 8-hour BESS, rather than a 200 MW 2-hour BESS.  Although </w:t>
      </w:r>
      <w:r w:rsidR="005534C8">
        <w:t>IPPNY’s arguments about the cost of the “underlying resource” are unclear,</w:t>
      </w:r>
      <w:r w:rsidRPr="00CA54DC" w:rsidR="00047661">
        <w:t xml:space="preserve"> </w:t>
      </w:r>
      <w:r w:rsidR="00D537FF">
        <w:t xml:space="preserve">NYISO’s </w:t>
      </w:r>
      <w:r>
        <w:t>Net CONE</w:t>
      </w:r>
      <w:r w:rsidR="008C4E0F">
        <w:t xml:space="preserve"> calculation</w:t>
      </w:r>
      <w:r w:rsidR="00E4209A">
        <w:t xml:space="preserve">, specifically the net </w:t>
      </w:r>
      <w:r w:rsidR="007E40F4">
        <w:t xml:space="preserve">energy and ancillary services </w:t>
      </w:r>
      <w:r w:rsidR="00613DF4">
        <w:t>revenues</w:t>
      </w:r>
      <w:r w:rsidR="00A10866">
        <w:t>,</w:t>
      </w:r>
      <w:r w:rsidR="008C4E0F">
        <w:t xml:space="preserve"> includes the cost</w:t>
      </w:r>
      <w:r w:rsidR="00E10636">
        <w:t>s</w:t>
      </w:r>
      <w:r w:rsidR="008C4E0F">
        <w:t xml:space="preserve"> of </w:t>
      </w:r>
      <w:r w:rsidR="00962CA6">
        <w:t xml:space="preserve">operating </w:t>
      </w:r>
      <w:r w:rsidR="008C4E0F">
        <w:t>the 2-hour</w:t>
      </w:r>
      <w:r w:rsidR="00962CA6">
        <w:t xml:space="preserve"> BESS</w:t>
      </w:r>
      <w:r w:rsidR="008D7E3A">
        <w:t>.</w:t>
      </w:r>
      <w:r w:rsidR="005534C8">
        <w:t xml:space="preserve">  </w:t>
      </w:r>
      <w:r w:rsidRPr="00CA54DC" w:rsidR="005534C8">
        <w:t xml:space="preserve">NYISO </w:t>
      </w:r>
      <w:r w:rsidR="005534C8">
        <w:t xml:space="preserve">further </w:t>
      </w:r>
      <w:r w:rsidRPr="00CA54DC" w:rsidR="005534C8">
        <w:t>explains that</w:t>
      </w:r>
      <w:r w:rsidR="00B26224">
        <w:t xml:space="preserve">, </w:t>
      </w:r>
      <w:r w:rsidR="003F2D81">
        <w:t>although</w:t>
      </w:r>
      <w:r w:rsidRPr="00CA54DC" w:rsidR="005534C8">
        <w:t xml:space="preserve"> a 200 MW 2-hour BESS peaking unit has the operational flexibility and ability to operate at a lower output for longer duration if needed, the capacity </w:t>
      </w:r>
      <w:r w:rsidR="007F6917">
        <w:t xml:space="preserve">of the unit </w:t>
      </w:r>
      <w:r w:rsidRPr="00CA54DC" w:rsidR="005534C8">
        <w:t>is 200 MW and thus it is appropriate to calculate Net CONE using 200 MW.</w:t>
      </w:r>
      <w:r w:rsidR="005534C8">
        <w:t xml:space="preserve">  </w:t>
      </w:r>
    </w:p>
    <w:p w:rsidR="00413F4C" w:rsidP="00413F4C">
      <w:pPr>
        <w:pStyle w:val="Heading4"/>
      </w:pPr>
      <w:r>
        <w:t>Impacts of CAF</w:t>
      </w:r>
      <w:r w:rsidR="00A923BB">
        <w:t>s</w:t>
      </w:r>
    </w:p>
    <w:p w:rsidR="00413F4C" w:rsidRPr="00245D98" w:rsidP="00413F4C">
      <w:pPr>
        <w:pStyle w:val="FERCparanumber"/>
      </w:pPr>
      <w:r>
        <w:t xml:space="preserve">NYISO explains that the implementation of the capacity accreditation framework </w:t>
      </w:r>
      <w:r w:rsidR="00A74C3E">
        <w:t xml:space="preserve">affects </w:t>
      </w:r>
      <w:r>
        <w:t xml:space="preserve">the assessment of technology options for the 2025-2029 DCR as </w:t>
      </w:r>
      <w:r w:rsidRPr="006B2D36">
        <w:t xml:space="preserve">various technology options have differing </w:t>
      </w:r>
      <w:r>
        <w:t xml:space="preserve">CAFs, which </w:t>
      </w:r>
      <w:r w:rsidRPr="006B2D36">
        <w:t>can produce material differences in the resulting demand curves when considered on a UCAP basi</w:t>
      </w:r>
      <w:r>
        <w:t>s.</w:t>
      </w:r>
      <w:r>
        <w:rPr>
          <w:rStyle w:val="FootnoteReference"/>
        </w:rPr>
        <w:footnoteReference w:id="86"/>
      </w:r>
      <w:r>
        <w:t xml:space="preserve">  </w:t>
      </w:r>
      <w:r w:rsidRPr="0044293E">
        <w:t>NYISO states that failure to properly account for CAF</w:t>
      </w:r>
      <w:r w:rsidRPr="0044293E" w:rsidR="00C8641E">
        <w:t>s</w:t>
      </w:r>
      <w:r w:rsidRPr="0044293E">
        <w:t xml:space="preserve"> could result in selection of an incorrect peaking plant technology, which could undermine the effectiveness of the demand curves at producing appropriate price signals regarding the value of capacity for maintaining New York’s resource adequacy requirements</w:t>
      </w:r>
      <w:r w:rsidRPr="004D2ABA">
        <w:t>.</w:t>
      </w:r>
      <w:r>
        <w:rPr>
          <w:rStyle w:val="FootnoteReference"/>
        </w:rPr>
        <w:footnoteReference w:id="87"/>
      </w:r>
    </w:p>
    <w:p w:rsidR="00413F4C" w:rsidRPr="00A753CC" w:rsidP="00413F4C">
      <w:pPr>
        <w:pStyle w:val="FERCparanumber"/>
      </w:pPr>
      <w:r>
        <w:t xml:space="preserve">NYISO states that certain stakeholders and </w:t>
      </w:r>
      <w:r w:rsidRPr="00787706">
        <w:t>MMU argue that a 2-hour BESS would not represent the lowest fixed cost technology option for this</w:t>
      </w:r>
      <w:r>
        <w:t xml:space="preserve"> DCR if NYISO properly assessed the costs of the technology.</w:t>
      </w:r>
      <w:r>
        <w:rPr>
          <w:rStyle w:val="FootnoteReference"/>
        </w:rPr>
        <w:footnoteReference w:id="88"/>
      </w:r>
      <w:r>
        <w:t xml:space="preserve">  </w:t>
      </w:r>
      <w:r>
        <w:t xml:space="preserve">NYISO states that </w:t>
      </w:r>
      <w:r w:rsidR="00C90DD5">
        <w:t>these parties</w:t>
      </w:r>
      <w:r>
        <w:t xml:space="preserve"> claim </w:t>
      </w:r>
      <w:r w:rsidRPr="0044293E">
        <w:t>that future CAFs for a 2-hour BESS will precipitously decline over the course of the 2025-2029</w:t>
      </w:r>
      <w:r>
        <w:t xml:space="preserve"> DCR period</w:t>
      </w:r>
      <w:r w:rsidR="00DA73E0">
        <w:t xml:space="preserve"> and that NYISO needs to account for</w:t>
      </w:r>
      <w:r w:rsidR="000D3802">
        <w:t xml:space="preserve"> that</w:t>
      </w:r>
      <w:r>
        <w:t>.</w:t>
      </w:r>
      <w:r w:rsidR="00183E44">
        <w:t xml:space="preserve"> </w:t>
      </w:r>
      <w:r w:rsidR="0034310C">
        <w:t xml:space="preserve"> </w:t>
      </w:r>
      <w:r>
        <w:t>NYISO asserts that it carefully considered the potential impact of future CAFs for a 2-hour BESS unit.</w:t>
      </w:r>
      <w:r>
        <w:rPr>
          <w:rStyle w:val="FootnoteReference"/>
        </w:rPr>
        <w:footnoteReference w:id="89"/>
      </w:r>
      <w:r>
        <w:t xml:space="preserve">  NYISO states that it considered a range of market and technology</w:t>
      </w:r>
      <w:r w:rsidR="003F4672">
        <w:t>-</w:t>
      </w:r>
      <w:r>
        <w:t>specific risks faced by each of the technology options</w:t>
      </w:r>
      <w:r w:rsidRPr="00A753CC">
        <w:t xml:space="preserve"> </w:t>
      </w:r>
      <w:r>
        <w:t xml:space="preserve">evaluated for this </w:t>
      </w:r>
      <w:r w:rsidR="006C3168">
        <w:t xml:space="preserve">DCR </w:t>
      </w:r>
      <w:r>
        <w:t>when establishing the WACC required to finance the development of each technology option in New York.</w:t>
      </w:r>
      <w:r>
        <w:rPr>
          <w:rStyle w:val="FootnoteReference"/>
        </w:rPr>
        <w:footnoteReference w:id="90"/>
      </w:r>
      <w:r>
        <w:t xml:space="preserve">  </w:t>
      </w:r>
    </w:p>
    <w:p w:rsidR="00413F4C" w:rsidRPr="00A753CC" w:rsidP="00413F4C">
      <w:pPr>
        <w:pStyle w:val="FERCparanumber"/>
      </w:pPr>
      <w:r w:rsidRPr="00A753CC">
        <w:t xml:space="preserve">NYISO explains that </w:t>
      </w:r>
      <w:r w:rsidRPr="0044293E">
        <w:t xml:space="preserve">there is uncertainty in forecasting future CAFs for 2-hour BESS units due to the interrelated and interactive nature of </w:t>
      </w:r>
      <w:r w:rsidRPr="0044293E" w:rsidR="007C72B1">
        <w:t>numerous</w:t>
      </w:r>
      <w:r w:rsidRPr="0044293E" w:rsidR="003A1B4B">
        <w:t xml:space="preserve"> factors</w:t>
      </w:r>
      <w:r w:rsidRPr="0044293E">
        <w:t xml:space="preserve"> such as the magnitude, timing, and types of renewable resources and energy storage added to the system, improvements in the resource adequacy modeling to better represent the operating capabilities of various resource types, changes in the transmission topology, and changes in load requirement</w:t>
      </w:r>
      <w:r w:rsidRPr="00A753CC">
        <w:t>s.</w:t>
      </w:r>
      <w:r>
        <w:rPr>
          <w:rStyle w:val="FootnoteReference"/>
        </w:rPr>
        <w:footnoteReference w:id="91"/>
      </w:r>
      <w:r w:rsidRPr="00A753CC">
        <w:t xml:space="preserve"> </w:t>
      </w:r>
    </w:p>
    <w:p w:rsidR="00413F4C" w:rsidP="00413F4C">
      <w:pPr>
        <w:pStyle w:val="FERCparanumber"/>
      </w:pPr>
      <w:r>
        <w:t xml:space="preserve">NYISO states that it </w:t>
      </w:r>
      <w:r w:rsidRPr="008A5740">
        <w:t>evaluated potential CAFs for a range of potential future system scenarios for New York.</w:t>
      </w:r>
      <w:r>
        <w:rPr>
          <w:rStyle w:val="FootnoteReference"/>
        </w:rPr>
        <w:footnoteReference w:id="92"/>
      </w:r>
      <w:r w:rsidRPr="008A5740">
        <w:t xml:space="preserve"> </w:t>
      </w:r>
      <w:r w:rsidR="00347BA5">
        <w:t xml:space="preserve"> </w:t>
      </w:r>
      <w:r w:rsidRPr="008A5740">
        <w:t>NYISO states that its assessment identified that, depending on the actual future system</w:t>
      </w:r>
      <w:r w:rsidRPr="00A753CC">
        <w:t xml:space="preserve"> conditions, annual </w:t>
      </w:r>
      <w:r w:rsidRPr="0044293E">
        <w:t xml:space="preserve">CAFs for 2-hour BESS units </w:t>
      </w:r>
      <w:r w:rsidRPr="0044293E" w:rsidR="0068778C">
        <w:t>could</w:t>
      </w:r>
      <w:r w:rsidRPr="0044293E">
        <w:t xml:space="preserve"> either decrease or increase through 2030, demonstrating that any claims of certain, precipitous CAF declines are unsupported.</w:t>
      </w:r>
      <w:r>
        <w:rPr>
          <w:rStyle w:val="FootnoteReference"/>
        </w:rPr>
        <w:footnoteReference w:id="93"/>
      </w:r>
      <w:r w:rsidRPr="00A753CC">
        <w:t xml:space="preserve">  NYISO explains that although the future scenario with the most aggressive near-term buildout of incremental renewable resources and energy storage capacity identified the largest magnitude reduction in CAFs for </w:t>
      </w:r>
      <w:r w:rsidR="007B790F">
        <w:t xml:space="preserve">        </w:t>
      </w:r>
      <w:r w:rsidRPr="00A753CC">
        <w:t xml:space="preserve">2-hour BESS resources by 2030, </w:t>
      </w:r>
      <w:r w:rsidRPr="00B5210B">
        <w:t xml:space="preserve">even in this </w:t>
      </w:r>
      <w:r w:rsidRPr="00B5210B" w:rsidR="001920C1">
        <w:t xml:space="preserve">scenario </w:t>
      </w:r>
      <w:r w:rsidRPr="00B5210B">
        <w:t xml:space="preserve">the 2-hour BESS unit would </w:t>
      </w:r>
      <w:r w:rsidRPr="00B5210B" w:rsidR="00810738">
        <w:t xml:space="preserve">still </w:t>
      </w:r>
      <w:r w:rsidRPr="00B5210B">
        <w:t xml:space="preserve">be the technology that minimizes the cost to procure UCAP for the duration of this </w:t>
      </w:r>
      <w:r w:rsidRPr="00B5210B" w:rsidR="00876563">
        <w:t>DCR</w:t>
      </w:r>
      <w:r w:rsidRPr="00A753CC">
        <w:t>.</w:t>
      </w:r>
      <w:r>
        <w:rPr>
          <w:rStyle w:val="FootnoteReference"/>
        </w:rPr>
        <w:footnoteReference w:id="94"/>
      </w:r>
      <w:r w:rsidRPr="00A753CC">
        <w:t xml:space="preserve">  </w:t>
      </w:r>
    </w:p>
    <w:p w:rsidR="00413F4C" w:rsidRPr="00A753CC" w:rsidP="00413F4C">
      <w:pPr>
        <w:pStyle w:val="FERCparanumber"/>
      </w:pPr>
      <w:r>
        <w:t>NYISO states that NYISO</w:t>
      </w:r>
      <w:r w:rsidRPr="00496CD4">
        <w:t xml:space="preserve"> Consultant</w:t>
      </w:r>
      <w:r>
        <w:t>’s</w:t>
      </w:r>
      <w:r w:rsidRPr="00496CD4">
        <w:t xml:space="preserve"> consideration of the market and technology-specific risks faced by BESS units in New York</w:t>
      </w:r>
      <w:r w:rsidR="00A80903">
        <w:t xml:space="preserve"> resulted in </w:t>
      </w:r>
      <w:r w:rsidR="0044744E">
        <w:t xml:space="preserve">their </w:t>
      </w:r>
      <w:r w:rsidRPr="00496CD4" w:rsidR="00044FFC">
        <w:t>recommend</w:t>
      </w:r>
      <w:r w:rsidR="00044FFC">
        <w:t>ing</w:t>
      </w:r>
      <w:r w:rsidRPr="00496CD4" w:rsidR="00044FFC">
        <w:t xml:space="preserve"> </w:t>
      </w:r>
      <w:r w:rsidRPr="00496CD4">
        <w:t>cost of debt and cost of equity values for the BESS unit</w:t>
      </w:r>
      <w:r w:rsidR="00430550">
        <w:t>s</w:t>
      </w:r>
      <w:r w:rsidRPr="00496CD4">
        <w:t xml:space="preserve"> </w:t>
      </w:r>
      <w:r w:rsidR="00903C70">
        <w:t>that were</w:t>
      </w:r>
      <w:r w:rsidRPr="00496CD4" w:rsidR="00903C70">
        <w:t xml:space="preserve"> </w:t>
      </w:r>
      <w:r w:rsidR="007B790F">
        <w:t xml:space="preserve">       </w:t>
      </w:r>
      <w:r w:rsidRPr="00496CD4">
        <w:t>50</w:t>
      </w:r>
      <w:r>
        <w:t>-</w:t>
      </w:r>
      <w:r w:rsidRPr="00496CD4">
        <w:t>basis point</w:t>
      </w:r>
      <w:r w:rsidR="004740DB">
        <w:t>s higher than</w:t>
      </w:r>
      <w:r w:rsidRPr="00496CD4">
        <w:t xml:space="preserve"> the values recommended for the </w:t>
      </w:r>
      <w:r>
        <w:t>gas-</w:t>
      </w:r>
      <w:r w:rsidRPr="00496CD4">
        <w:t>fired frame turbines.</w:t>
      </w:r>
      <w:r>
        <w:rPr>
          <w:rStyle w:val="FootnoteReference"/>
        </w:rPr>
        <w:footnoteReference w:id="95"/>
      </w:r>
      <w:r>
        <w:t xml:space="preserve">  NYISO contends that </w:t>
      </w:r>
      <w:r w:rsidRPr="008A4B49">
        <w:t xml:space="preserve">the risk posed by future CAF uncertainty for the BESS units is reasonably accounted for through the </w:t>
      </w:r>
      <w:r>
        <w:t xml:space="preserve">50-basis point increase.  </w:t>
      </w:r>
    </w:p>
    <w:p w:rsidR="00413F4C" w:rsidP="00413F4C">
      <w:pPr>
        <w:pStyle w:val="Heading5"/>
      </w:pPr>
      <w:r>
        <w:t>Comments and Protests</w:t>
      </w:r>
    </w:p>
    <w:p w:rsidR="00413F4C" w:rsidP="00413F4C">
      <w:pPr>
        <w:pStyle w:val="FERCparanumber"/>
      </w:pPr>
      <w:r w:rsidRPr="00CA54DC">
        <w:t xml:space="preserve">IPPNY </w:t>
      </w:r>
      <w:r w:rsidRPr="00787706">
        <w:t>and MMU argue</w:t>
      </w:r>
      <w:r w:rsidRPr="00CA54DC">
        <w:t xml:space="preserve"> that </w:t>
      </w:r>
      <w:r w:rsidRPr="0044293E">
        <w:t>NYISO did not adequately consider future variability of CAFs for a 2-hour BESS, which leads to a significant underestimation of the 2-hour BESS’s Net CONE.</w:t>
      </w:r>
      <w:r>
        <w:rPr>
          <w:rStyle w:val="FootnoteReference"/>
        </w:rPr>
        <w:footnoteReference w:id="96"/>
      </w:r>
      <w:r w:rsidRPr="0044293E">
        <w:t xml:space="preserve">  MMU asserts that the CAF of a 2-hour BESS unit is “extremely likely to decline.</w:t>
      </w:r>
      <w:r w:rsidRPr="00CA54DC">
        <w:t>”</w:t>
      </w:r>
      <w:r>
        <w:rPr>
          <w:rStyle w:val="FootnoteReference"/>
        </w:rPr>
        <w:footnoteReference w:id="97"/>
      </w:r>
      <w:r w:rsidRPr="00CA54DC">
        <w:t xml:space="preserve"> </w:t>
      </w:r>
      <w:r>
        <w:t xml:space="preserve"> </w:t>
      </w:r>
      <w:r w:rsidRPr="0044293E">
        <w:t>MMU asserts that the CAFs of a 2-hour BESS unit are likely to decline “as battery storage penetration increases and New York’s reliability risks shift from occurring only in the summer to increasingly occurring in the winter</w:t>
      </w:r>
      <w:r w:rsidRPr="00CA54DC">
        <w:t>.”</w:t>
      </w:r>
      <w:r>
        <w:rPr>
          <w:rStyle w:val="FootnoteReference"/>
        </w:rPr>
        <w:footnoteReference w:id="98"/>
      </w:r>
      <w:r w:rsidRPr="00CA54DC">
        <w:t xml:space="preserve">  </w:t>
      </w:r>
      <w:r w:rsidRPr="00574B70">
        <w:t>MMU</w:t>
      </w:r>
      <w:r w:rsidRPr="00CA54DC">
        <w:t xml:space="preserve"> also asserts that resources with a limited duration provide </w:t>
      </w:r>
      <w:r>
        <w:t>fewer</w:t>
      </w:r>
      <w:r w:rsidRPr="00CA54DC">
        <w:t xml:space="preserve"> reliability benefits and thus will have lower CAFs than resources that can run indefinitely because reliability risks can occur over extended periods.</w:t>
      </w:r>
      <w:r>
        <w:rPr>
          <w:rStyle w:val="FootnoteReference"/>
        </w:rPr>
        <w:footnoteReference w:id="99"/>
      </w:r>
      <w:r w:rsidRPr="00CA54DC">
        <w:t xml:space="preserve">  </w:t>
      </w:r>
    </w:p>
    <w:p w:rsidR="00413F4C" w:rsidRPr="00CA54DC" w:rsidP="00413F4C">
      <w:pPr>
        <w:pStyle w:val="FERCparanumber"/>
      </w:pPr>
      <w:r w:rsidRPr="00CA54DC">
        <w:t>IPPNY argues that CAFs for a 2-hour BESS unit are much more volatile than that of longer duration resources, including longer duration BESS, and therefore have a much higher risk profile for investment.</w:t>
      </w:r>
      <w:r>
        <w:rPr>
          <w:rStyle w:val="FootnoteReference"/>
        </w:rPr>
        <w:footnoteReference w:id="100"/>
      </w:r>
      <w:r w:rsidRPr="00CA54DC">
        <w:t xml:space="preserve">  </w:t>
      </w:r>
      <w:r w:rsidRPr="00574B70">
        <w:t>MM</w:t>
      </w:r>
      <w:r w:rsidRPr="00CA54DC">
        <w:t>U state</w:t>
      </w:r>
      <w:r w:rsidR="008378A6">
        <w:t>s</w:t>
      </w:r>
      <w:r w:rsidRPr="00CA54DC">
        <w:t xml:space="preserve"> that recent CAFs are based on the NYISO region having a total of 20 MW of battery storage, but </w:t>
      </w:r>
      <w:r w:rsidR="00450860">
        <w:t>much more</w:t>
      </w:r>
      <w:r w:rsidRPr="00CA54DC">
        <w:t xml:space="preserve"> battery storage will likely be deployed both during and after the four-year DCR period, due to New York’s battery storage target and batteries’ relatively shorter construction timelines</w:t>
      </w:r>
      <w:r w:rsidR="00A72118">
        <w:t>, which will depress future CAF values</w:t>
      </w:r>
      <w:r w:rsidRPr="00CA54DC">
        <w:t>.</w:t>
      </w:r>
      <w:r>
        <w:rPr>
          <w:rStyle w:val="FootnoteReference"/>
        </w:rPr>
        <w:footnoteReference w:id="101"/>
      </w:r>
      <w:r w:rsidRPr="00CA54DC">
        <w:t xml:space="preserve">  </w:t>
      </w:r>
    </w:p>
    <w:p w:rsidR="00413F4C" w:rsidRPr="00CA54DC" w:rsidP="00413F4C">
      <w:pPr>
        <w:pStyle w:val="FERCparanumber"/>
      </w:pPr>
      <w:r w:rsidRPr="00574B70">
        <w:t>MMU</w:t>
      </w:r>
      <w:r w:rsidRPr="00CA54DC">
        <w:t xml:space="preserve"> states that NYISO’s and </w:t>
      </w:r>
      <w:r w:rsidRPr="00574B70">
        <w:t>MMU’</w:t>
      </w:r>
      <w:r w:rsidRPr="00CA54DC">
        <w:t xml:space="preserve">s recent studies predict large declines in </w:t>
      </w:r>
      <w:r w:rsidR="007B790F">
        <w:t xml:space="preserve">   </w:t>
      </w:r>
      <w:r w:rsidRPr="00CA54DC">
        <w:t>2-hour BESS CAFs to generally below 30% in New York City by 2030, even though none of these studies assume that New York achieves the 2030 storage target.</w:t>
      </w:r>
      <w:r>
        <w:rPr>
          <w:rStyle w:val="FootnoteReference"/>
        </w:rPr>
        <w:footnoteReference w:id="102"/>
      </w:r>
      <w:r w:rsidRPr="00CA54DC">
        <w:t xml:space="preserve">  </w:t>
      </w:r>
      <w:r w:rsidRPr="00574B70">
        <w:t>MMU</w:t>
      </w:r>
      <w:r w:rsidRPr="00CA54DC">
        <w:t xml:space="preserve"> presents two projected trajectories for CAFs modeled using its proprietary resource adequacy model</w:t>
      </w:r>
      <w:r>
        <w:t>.</w:t>
      </w:r>
      <w:r>
        <w:rPr>
          <w:rStyle w:val="FootnoteReference"/>
        </w:rPr>
        <w:footnoteReference w:id="103"/>
      </w:r>
      <w:r w:rsidRPr="00CA54DC">
        <w:t xml:space="preserve">  </w:t>
      </w:r>
      <w:r w:rsidRPr="0044293E">
        <w:t>In the optimistic CAF trajectory case, CAF levels drop from NYISO’s preliminary 2025/2026 CAF of 65% to 11% in 2040.  In the pessimistic CAF trajectory case, CAF levels drop from 65% to 2% in 2035.</w:t>
      </w:r>
      <w:r w:rsidRPr="00CA54DC">
        <w:t xml:space="preserve">  </w:t>
      </w:r>
      <w:r w:rsidRPr="00574B70">
        <w:t>MMU</w:t>
      </w:r>
      <w:r w:rsidRPr="00CA54DC">
        <w:t xml:space="preserve"> argues that “while the direction of CAF in the next few years is unclear, NYISO has not presented any reason to doubt the widespread expectation that State-driven battery storage deployment will drive major CAF reductions during the proposed 20-year amortization period of the resource.”</w:t>
      </w:r>
      <w:r>
        <w:rPr>
          <w:rStyle w:val="FootnoteReference"/>
        </w:rPr>
        <w:footnoteReference w:id="104"/>
      </w:r>
      <w:r w:rsidRPr="00CA54DC">
        <w:t xml:space="preserve"> </w:t>
      </w:r>
      <w:r>
        <w:t xml:space="preserve"> </w:t>
      </w:r>
      <w:r w:rsidRPr="00574B70">
        <w:t>MMU</w:t>
      </w:r>
      <w:r>
        <w:t xml:space="preserve"> provides projections to support its argument that declining CAF values affect the revenues of a 2-hour </w:t>
      </w:r>
      <w:r w:rsidR="00C124A7">
        <w:t xml:space="preserve">BESS </w:t>
      </w:r>
      <w:r>
        <w:t>over 20 years, and the expectation of these declining CAFs affect revenues an investor requires over the first four years</w:t>
      </w:r>
      <w:r w:rsidRPr="0044293E">
        <w:t xml:space="preserve">. </w:t>
      </w:r>
      <w:r w:rsidRPr="0044293E" w:rsidR="00A41C41">
        <w:t xml:space="preserve"> </w:t>
      </w:r>
      <w:r w:rsidRPr="0044293E">
        <w:t xml:space="preserve">Based on the projections, MMU argues that the </w:t>
      </w:r>
      <w:r w:rsidRPr="0044293E" w:rsidR="002F5D41">
        <w:t>N</w:t>
      </w:r>
      <w:r w:rsidRPr="0044293E">
        <w:t xml:space="preserve">et CONE of the 2-hour BESS will quickly become higher than the Net CONE of a combustion turbine, retrofitted to meet </w:t>
      </w:r>
      <w:r w:rsidRPr="0044293E" w:rsidR="005C489A">
        <w:t xml:space="preserve">CLCPA’s </w:t>
      </w:r>
      <w:r w:rsidRPr="0044293E">
        <w:t>2040 zero-emission mandate, amortized over the same 20-year period.</w:t>
      </w:r>
      <w:r>
        <w:t xml:space="preserve"> </w:t>
      </w:r>
      <w:r w:rsidRPr="00CA54DC">
        <w:t xml:space="preserve"> </w:t>
      </w:r>
      <w:r>
        <w:t xml:space="preserve">MMU </w:t>
      </w:r>
      <w:r w:rsidR="00EF0E1B">
        <w:t xml:space="preserve">thus </w:t>
      </w:r>
      <w:r>
        <w:t xml:space="preserve">argues that NYISO has not demonstrated the 2-hour </w:t>
      </w:r>
      <w:r w:rsidR="005B2930">
        <w:t xml:space="preserve">BESS </w:t>
      </w:r>
      <w:r>
        <w:t>is the lowest cost peaking unit</w:t>
      </w:r>
      <w:r w:rsidR="00F2023C">
        <w:t xml:space="preserve"> compared to </w:t>
      </w:r>
      <w:r w:rsidR="00B4161C">
        <w:t>MMU’s proposed</w:t>
      </w:r>
      <w:r w:rsidR="00F2023C">
        <w:t xml:space="preserve"> </w:t>
      </w:r>
      <w:r w:rsidR="00BB7A35">
        <w:t xml:space="preserve">combustion turbine </w:t>
      </w:r>
      <w:r w:rsidR="00F2023C">
        <w:t xml:space="preserve">retrofit </w:t>
      </w:r>
      <w:r w:rsidR="00BB7A35">
        <w:t>option</w:t>
      </w:r>
      <w:r>
        <w:t>.</w:t>
      </w:r>
      <w:r>
        <w:rPr>
          <w:rStyle w:val="FootnoteReference"/>
        </w:rPr>
        <w:footnoteReference w:id="105"/>
      </w:r>
      <w:r>
        <w:t xml:space="preserve">  </w:t>
      </w:r>
    </w:p>
    <w:p w:rsidR="00413F4C" w:rsidP="00413F4C">
      <w:pPr>
        <w:pStyle w:val="FERCparanumber"/>
      </w:pPr>
      <w:r>
        <w:t>NYTO</w:t>
      </w:r>
      <w:r w:rsidR="005A5EA0">
        <w:t>s</w:t>
      </w:r>
      <w:r>
        <w:t xml:space="preserve"> and Consumer Stakeholders argue that claims that CAFs will decline precipitously are speculative.</w:t>
      </w:r>
      <w:r>
        <w:rPr>
          <w:rStyle w:val="FootnoteReference"/>
        </w:rPr>
        <w:footnoteReference w:id="106"/>
      </w:r>
      <w:r>
        <w:t xml:space="preserve">  NYTOs point to the fact that</w:t>
      </w:r>
      <w:r w:rsidR="00F902D8">
        <w:t xml:space="preserve"> compared to the CAFs for the 2024</w:t>
      </w:r>
      <w:r w:rsidR="000D4395">
        <w:t>/</w:t>
      </w:r>
      <w:r w:rsidR="00F902D8">
        <w:t>2025 Capability Year,</w:t>
      </w:r>
      <w:r>
        <w:t xml:space="preserve"> the preliminary CAFs for the 2025</w:t>
      </w:r>
      <w:r w:rsidR="000D4395">
        <w:t>/</w:t>
      </w:r>
      <w:r>
        <w:t>2026 Capability Year for 2-hour BESS outside of New York City and Long Island zones increased from 55% to 75%, and CAFs for 2-hour BESS in New York City and Long Island also increased by 10% and 6%, respectively.</w:t>
      </w:r>
      <w:r>
        <w:rPr>
          <w:rStyle w:val="FootnoteReference"/>
        </w:rPr>
        <w:footnoteReference w:id="107"/>
      </w:r>
      <w:r>
        <w:t xml:space="preserve">  </w:t>
      </w:r>
      <w:r w:rsidRPr="00FD36A2">
        <w:t xml:space="preserve">Consumer Stakeholders </w:t>
      </w:r>
      <w:r>
        <w:t xml:space="preserve">similarly argue that while the preliminary 2025-2026 CAFs are not determinative, </w:t>
      </w:r>
      <w:r w:rsidRPr="0085502D">
        <w:t>they illustrate the uncertainty and speculative nature underlying the argument advanced by other stakeholders and</w:t>
      </w:r>
      <w:r>
        <w:t xml:space="preserve"> demonstrate</w:t>
      </w:r>
      <w:r w:rsidRPr="0085502D">
        <w:t xml:space="preserve"> why it should be rejected</w:t>
      </w:r>
      <w:r w:rsidRPr="00FD36A2">
        <w:t>.</w:t>
      </w:r>
      <w:r>
        <w:rPr>
          <w:rStyle w:val="FootnoteReference"/>
        </w:rPr>
        <w:footnoteReference w:id="108"/>
      </w:r>
      <w:r>
        <w:t xml:space="preserve">  Consumer Stakeholders note that the DCR process occurs every four years to stay current with market </w:t>
      </w:r>
      <w:r w:rsidRPr="00FB650B">
        <w:t>rules, technological developments, and the changing topography of the bulk electric system</w:t>
      </w:r>
      <w:r>
        <w:t>, and that NYISO and NYISO Consultant have generally disfavored including speculative future market inputs in the model, such as future unknown CAFs.</w:t>
      </w:r>
      <w:r>
        <w:rPr>
          <w:rStyle w:val="FootnoteReference"/>
        </w:rPr>
        <w:footnoteReference w:id="109"/>
      </w:r>
    </w:p>
    <w:p w:rsidR="00413F4C" w:rsidP="00413F4C">
      <w:pPr>
        <w:pStyle w:val="Heading5"/>
      </w:pPr>
      <w:r>
        <w:t>Answer</w:t>
      </w:r>
      <w:r w:rsidR="00D86E89">
        <w:t>s</w:t>
      </w:r>
    </w:p>
    <w:p w:rsidR="00413F4C" w:rsidP="00413F4C">
      <w:pPr>
        <w:pStyle w:val="FERCparanumber"/>
      </w:pPr>
      <w:r>
        <w:t>NYISO reiterates that it carefully considered the potential impact of future CAFs in selecting a 2-hour BESS to serve as the peaking plant.</w:t>
      </w:r>
      <w:r>
        <w:rPr>
          <w:rStyle w:val="FootnoteReference"/>
        </w:rPr>
        <w:footnoteReference w:id="110"/>
      </w:r>
      <w:r>
        <w:t xml:space="preserve">  NYISO explains that its evaluation recognized that future CAFs for 2-hour BESS are uncertain, cannot be precisely forecasted, and may increase or decrease over the course of the 2025-2029 DCR period.  </w:t>
      </w:r>
      <w:r w:rsidRPr="0044293E">
        <w:t>NYISO states that its assessment also acknowledged that CAFs determined for 2-hour BESS provide an appropriate measure of the technology’s contribution to meeting NYISO’s resource adequacy needs and will vary over time to account for changes in system conditions.</w:t>
      </w:r>
      <w:r>
        <w:t xml:space="preserve">  </w:t>
      </w:r>
    </w:p>
    <w:p w:rsidR="00413F4C" w:rsidP="00413F4C">
      <w:pPr>
        <w:pStyle w:val="FERCparanumber"/>
      </w:pPr>
      <w:r w:rsidRPr="00E960FC">
        <w:t>NYISO asserts that claims that CAF</w:t>
      </w:r>
      <w:r>
        <w:t>s</w:t>
      </w:r>
      <w:r w:rsidRPr="00E960FC">
        <w:t xml:space="preserve"> will precipitously decline over the course of the 2025-2029 </w:t>
      </w:r>
      <w:r w:rsidR="00315B3D">
        <w:t xml:space="preserve">DCR </w:t>
      </w:r>
      <w:r w:rsidRPr="00E960FC">
        <w:t>period</w:t>
      </w:r>
      <w:r w:rsidR="006A3970">
        <w:t>,</w:t>
      </w:r>
      <w:r w:rsidRPr="00E960FC">
        <w:t xml:space="preserve"> </w:t>
      </w:r>
      <w:r>
        <w:t>resulting</w:t>
      </w:r>
      <w:r w:rsidRPr="00E960FC">
        <w:t xml:space="preserve"> in the 2-hour BESS unit becoming uneconomic during the 20</w:t>
      </w:r>
      <w:r w:rsidR="00A03844">
        <w:t>-</w:t>
      </w:r>
      <w:r w:rsidRPr="00E960FC">
        <w:t>year amortization period</w:t>
      </w:r>
      <w:r w:rsidR="006A3970">
        <w:t>,</w:t>
      </w:r>
      <w:r w:rsidRPr="00E960FC">
        <w:t xml:space="preserve"> are predicated on unsubstantiated certainty that future CAF</w:t>
      </w:r>
      <w:r>
        <w:t>s will decline</w:t>
      </w:r>
      <w:r w:rsidRPr="00E960FC">
        <w:t>.</w:t>
      </w:r>
      <w:r>
        <w:t xml:space="preserve"> </w:t>
      </w:r>
      <w:r w:rsidRPr="00E960FC">
        <w:t xml:space="preserve"> </w:t>
      </w:r>
      <w:r>
        <w:t xml:space="preserve">NYISO states that </w:t>
      </w:r>
      <w:r w:rsidRPr="00E960FC">
        <w:t>future CAF</w:t>
      </w:r>
      <w:r>
        <w:t>s</w:t>
      </w:r>
      <w:r w:rsidRPr="00E960FC">
        <w:t xml:space="preserve"> are dependent upon underlying system conditions </w:t>
      </w:r>
      <w:r w:rsidR="003F34D8">
        <w:t xml:space="preserve">that are </w:t>
      </w:r>
      <w:r w:rsidRPr="00E960FC">
        <w:t>subject to change and that a precipitous decline in future CAFs is not certain.</w:t>
      </w:r>
      <w:r>
        <w:rPr>
          <w:b/>
          <w:vertAlign w:val="superscript"/>
        </w:rPr>
        <w:footnoteReference w:id="111"/>
      </w:r>
      <w:r w:rsidRPr="00E960FC">
        <w:t xml:space="preserve">  NYISO asserts that, if </w:t>
      </w:r>
      <w:r w:rsidR="00A0498A">
        <w:t xml:space="preserve">the 2-hour BESS is </w:t>
      </w:r>
      <w:r w:rsidRPr="00E960FC">
        <w:t>selected</w:t>
      </w:r>
      <w:r w:rsidR="00A0498A">
        <w:t xml:space="preserve"> as the peaking unit</w:t>
      </w:r>
      <w:r w:rsidRPr="00E960FC">
        <w:t>, th</w:t>
      </w:r>
      <w:r w:rsidR="00A0498A">
        <w:t>e</w:t>
      </w:r>
      <w:r w:rsidRPr="00E960FC">
        <w:t xml:space="preserve"> actual CAF</w:t>
      </w:r>
      <w:r>
        <w:t>s</w:t>
      </w:r>
      <w:r w:rsidRPr="00E960FC">
        <w:t xml:space="preserve"> will be reflected in the demand curves used to conduct the monthly spot auctions</w:t>
      </w:r>
      <w:r w:rsidR="00F0516E">
        <w:t xml:space="preserve">.  </w:t>
      </w:r>
      <w:r w:rsidR="0096247E">
        <w:t xml:space="preserve">NYISO states that this </w:t>
      </w:r>
      <w:r w:rsidRPr="00E960FC">
        <w:t xml:space="preserve">ensures that the curves continue to provide revenue adequacy for a 2-hour BESS unit if resource additions </w:t>
      </w:r>
      <w:r w:rsidR="00283983">
        <w:t xml:space="preserve">are necessary </w:t>
      </w:r>
      <w:r w:rsidRPr="00E960FC">
        <w:t xml:space="preserve">to maintain resource adequacy during the 2025-2029 </w:t>
      </w:r>
      <w:r>
        <w:t>DCR</w:t>
      </w:r>
      <w:r w:rsidRPr="00E960FC">
        <w:t xml:space="preserve"> period.</w:t>
      </w:r>
      <w:r>
        <w:rPr>
          <w:b/>
          <w:vertAlign w:val="superscript"/>
        </w:rPr>
        <w:footnoteReference w:id="112"/>
      </w:r>
      <w:r w:rsidRPr="00E960FC">
        <w:t xml:space="preserve"> </w:t>
      </w:r>
      <w:r>
        <w:t xml:space="preserve"> </w:t>
      </w:r>
    </w:p>
    <w:p w:rsidR="00413F4C" w:rsidRPr="009D5ECE" w:rsidP="00413F4C">
      <w:pPr>
        <w:pStyle w:val="FERCparanumber"/>
      </w:pPr>
      <w:r w:rsidRPr="0044293E">
        <w:t>NYISO asserts that the uncertainty of future CAFs was appropriately considered in developing the parameters to finance investment in a new 2-hour BESS, and that the risk of uncertainty in CAFs was a driving factor in the recommendation for a higher WACC.</w:t>
      </w:r>
      <w:r>
        <w:rPr>
          <w:rStyle w:val="FootnoteReference"/>
        </w:rPr>
        <w:footnoteReference w:id="113"/>
      </w:r>
      <w:r>
        <w:t xml:space="preserve">  NYISO argues that the higher WACC value for the 2-hour BESS unit accounts for the uncertainty of future CAFs and the relative increased investment risk compared to a gas turbine.</w:t>
      </w:r>
      <w:r>
        <w:rPr>
          <w:b/>
          <w:vertAlign w:val="superscript"/>
        </w:rPr>
        <w:footnoteReference w:id="114"/>
      </w:r>
      <w:r w:rsidRPr="00E960FC">
        <w:t xml:space="preserve">  </w:t>
      </w:r>
    </w:p>
    <w:p w:rsidR="00281756" w:rsidP="00281756">
      <w:pPr>
        <w:pStyle w:val="FERCparanumber"/>
      </w:pPr>
      <w:r>
        <w:t xml:space="preserve">In response to </w:t>
      </w:r>
      <w:r w:rsidRPr="00E82CC3">
        <w:t>MMU</w:t>
      </w:r>
      <w:r w:rsidR="00DD6250">
        <w:t>’s</w:t>
      </w:r>
      <w:r w:rsidRPr="00E82CC3">
        <w:t>, IPPNY</w:t>
      </w:r>
      <w:r w:rsidR="00DD6250">
        <w:t>’s</w:t>
      </w:r>
      <w:r w:rsidRPr="00E82CC3">
        <w:t>, and Ravenswood</w:t>
      </w:r>
      <w:r w:rsidR="00DD6250">
        <w:t>’s</w:t>
      </w:r>
      <w:r w:rsidRPr="00E82CC3">
        <w:t xml:space="preserve"> argum</w:t>
      </w:r>
      <w:r>
        <w:t>ents</w:t>
      </w:r>
      <w:r w:rsidRPr="00E82CC3">
        <w:t xml:space="preserve"> that the declining CAFs for 2-hour BESS make their selection as the peaking unit unreasonable</w:t>
      </w:r>
      <w:r>
        <w:t xml:space="preserve">, and that NYISO did not properly account for such risk, Consumer Stakeholders </w:t>
      </w:r>
      <w:r w:rsidRPr="000A6973">
        <w:t>reassert that</w:t>
      </w:r>
      <w:r>
        <w:t xml:space="preserve"> methodologies employed by NYISO </w:t>
      </w:r>
      <w:r w:rsidRPr="00B07F5E">
        <w:t>mitigate the risk of revenue shortfalls</w:t>
      </w:r>
      <w:r>
        <w:t xml:space="preserve"> and acknowledge the uncertainty of longer-term CAF trends.</w:t>
      </w:r>
      <w:r>
        <w:rPr>
          <w:rStyle w:val="FootnoteReference"/>
        </w:rPr>
        <w:footnoteReference w:id="115"/>
      </w:r>
      <w:r w:rsidR="00445CBF">
        <w:t xml:space="preserve">  </w:t>
      </w:r>
      <w:r>
        <w:t>Furthermore, Consumer Stakeholders argue</w:t>
      </w:r>
      <w:r w:rsidRPr="000A6973">
        <w:t xml:space="preserve"> </w:t>
      </w:r>
      <w:r>
        <w:t>that protesters’ arguments concerning the risk of declining CAFs for 2-hour BESS are speculative and rely on assumptions of future market conditions that may not materialize.</w:t>
      </w:r>
      <w:r>
        <w:rPr>
          <w:rStyle w:val="FootnoteReference"/>
        </w:rPr>
        <w:footnoteReference w:id="116"/>
      </w:r>
      <w:r>
        <w:t xml:space="preserve">  Consumer Stakeholders </w:t>
      </w:r>
      <w:r w:rsidR="00EF2039">
        <w:t>state that, in contra</w:t>
      </w:r>
      <w:r w:rsidR="00CB5DDA">
        <w:t>s</w:t>
      </w:r>
      <w:r w:rsidR="00EF2039">
        <w:t>t,</w:t>
      </w:r>
      <w:r>
        <w:t xml:space="preserve"> NYISO’s use of conservative assumptions paired with a </w:t>
      </w:r>
      <w:r w:rsidRPr="000A6973">
        <w:t>50-basis point</w:t>
      </w:r>
      <w:r>
        <w:t xml:space="preserve"> adder more effectively mitigates risks and </w:t>
      </w:r>
      <w:r w:rsidR="00FC7B5A">
        <w:t>strikes an appropriate</w:t>
      </w:r>
      <w:r>
        <w:t xml:space="preserve"> balance</w:t>
      </w:r>
      <w:r w:rsidR="00FC7B5A">
        <w:t xml:space="preserve"> between</w:t>
      </w:r>
      <w:r>
        <w:t xml:space="preserve"> sufficient price signals </w:t>
      </w:r>
      <w:r w:rsidR="00FC7B5A">
        <w:t>and</w:t>
      </w:r>
      <w:r>
        <w:t xml:space="preserve"> the long-term uncertainty of market forecasting. </w:t>
      </w:r>
    </w:p>
    <w:p w:rsidR="00413F4C" w:rsidP="00413F4C">
      <w:pPr>
        <w:pStyle w:val="Heading5"/>
      </w:pPr>
      <w:r>
        <w:t>Commission Determination</w:t>
      </w:r>
    </w:p>
    <w:p w:rsidR="00413F4C" w:rsidRPr="00E7176E" w:rsidP="00F74881">
      <w:pPr>
        <w:pStyle w:val="FERCparanumber"/>
      </w:pPr>
      <w:r w:rsidRPr="00D5256E">
        <w:t>We</w:t>
      </w:r>
      <w:r>
        <w:t xml:space="preserve"> find that NYISO has reasonably considered the impact of future CAFs in its analysis of the 2-hour BESS unit</w:t>
      </w:r>
      <w:r w:rsidR="009A2A06">
        <w:t xml:space="preserve"> as the</w:t>
      </w:r>
      <w:r w:rsidRPr="00DA4A2C" w:rsidR="009A2A06">
        <w:t xml:space="preserve"> </w:t>
      </w:r>
      <w:r w:rsidR="009A2A06">
        <w:t>“</w:t>
      </w:r>
      <w:r w:rsidRPr="00DA4A2C" w:rsidR="009A2A06">
        <w:t>technology that results in the lowest fixed costs and highest variable costs among all other units’ technology that are economically viable.”</w:t>
      </w:r>
      <w:r>
        <w:rPr>
          <w:rStyle w:val="FootnoteReference"/>
        </w:rPr>
        <w:footnoteReference w:id="117"/>
      </w:r>
      <w:r>
        <w:t xml:space="preserve">  </w:t>
      </w:r>
      <w:r w:rsidRPr="0044293E" w:rsidR="00E973EC">
        <w:t>Given the record before us, w</w:t>
      </w:r>
      <w:r w:rsidRPr="0044293E">
        <w:t xml:space="preserve">e disagree </w:t>
      </w:r>
      <w:r w:rsidRPr="0044293E" w:rsidR="00DB6BEC">
        <w:t xml:space="preserve">with arguments </w:t>
      </w:r>
      <w:r w:rsidRPr="0044293E" w:rsidR="00E973EC">
        <w:t xml:space="preserve">made </w:t>
      </w:r>
      <w:r w:rsidRPr="0044293E" w:rsidR="008724E4">
        <w:t xml:space="preserve">here </w:t>
      </w:r>
      <w:r w:rsidRPr="0044293E" w:rsidR="00DB6BEC">
        <w:t xml:space="preserve">that because </w:t>
      </w:r>
      <w:r w:rsidRPr="0044293E" w:rsidR="00472700">
        <w:t xml:space="preserve">the </w:t>
      </w:r>
      <w:r w:rsidRPr="0044293E">
        <w:t>CAF</w:t>
      </w:r>
      <w:r w:rsidRPr="0044293E" w:rsidR="00472700">
        <w:t xml:space="preserve">s for </w:t>
      </w:r>
      <w:r w:rsidRPr="0044293E" w:rsidR="003D5721">
        <w:t>the 2-hour BESS unit may</w:t>
      </w:r>
      <w:r w:rsidRPr="0044293E">
        <w:t xml:space="preserve"> decline </w:t>
      </w:r>
      <w:r w:rsidRPr="0044293E" w:rsidR="003D5721">
        <w:t>in the future,</w:t>
      </w:r>
      <w:r w:rsidRPr="0044293E" w:rsidR="00D63840">
        <w:t xml:space="preserve"> </w:t>
      </w:r>
      <w:r w:rsidRPr="0044293E">
        <w:t xml:space="preserve">the 2-hour BESS is not the lowest cost peaking </w:t>
      </w:r>
      <w:r w:rsidRPr="0044293E" w:rsidR="002E5C45">
        <w:t>technology option</w:t>
      </w:r>
      <w:r w:rsidRPr="0044293E" w:rsidR="00A7696B">
        <w:t xml:space="preserve"> for the current DCR</w:t>
      </w:r>
      <w:r w:rsidRPr="0044293E">
        <w:t>.</w:t>
      </w:r>
      <w:r>
        <w:rPr>
          <w:rStyle w:val="FootnoteReference"/>
        </w:rPr>
        <w:footnoteReference w:id="118"/>
      </w:r>
      <w:r w:rsidRPr="0044293E">
        <w:t xml:space="preserve">  N</w:t>
      </w:r>
      <w:r w:rsidRPr="003F19E3">
        <w:t xml:space="preserve">YISO’s assessment </w:t>
      </w:r>
      <w:r>
        <w:t>of f</w:t>
      </w:r>
      <w:r w:rsidR="003A7514">
        <w:t>our</w:t>
      </w:r>
      <w:r>
        <w:t xml:space="preserve"> potential future scenarios, which </w:t>
      </w:r>
      <w:r w:rsidR="00646D92">
        <w:t>NYISO created with</w:t>
      </w:r>
      <w:r w:rsidR="00757E19">
        <w:t xml:space="preserve"> </w:t>
      </w:r>
      <w:r>
        <w:t xml:space="preserve">the same </w:t>
      </w:r>
      <w:r w:rsidR="00CF2E90">
        <w:t xml:space="preserve">software program </w:t>
      </w:r>
      <w:r w:rsidR="00916774">
        <w:t>i</w:t>
      </w:r>
      <w:r w:rsidR="00CF2E71">
        <w:t>t</w:t>
      </w:r>
      <w:r w:rsidR="00916774">
        <w:t xml:space="preserve"> uses </w:t>
      </w:r>
      <w:r>
        <w:t>to calculat</w:t>
      </w:r>
      <w:r w:rsidR="00CF2E90">
        <w:t xml:space="preserve">e </w:t>
      </w:r>
      <w:r>
        <w:t>CAF</w:t>
      </w:r>
      <w:r w:rsidR="00C97476">
        <w:t>s</w:t>
      </w:r>
      <w:r>
        <w:t xml:space="preserve">, shows that </w:t>
      </w:r>
      <w:r w:rsidR="00C97476">
        <w:t>the</w:t>
      </w:r>
      <w:r w:rsidRPr="003F19E3" w:rsidR="00C97476">
        <w:t xml:space="preserve"> </w:t>
      </w:r>
      <w:r w:rsidRPr="003F19E3">
        <w:t xml:space="preserve">CAFs </w:t>
      </w:r>
      <w:r w:rsidR="00C97476">
        <w:t xml:space="preserve">for 2-hour BESS units </w:t>
      </w:r>
      <w:r w:rsidRPr="003F19E3">
        <w:t>could decrease or increase</w:t>
      </w:r>
      <w:r>
        <w:t xml:space="preserve"> during the DCR period.  While MMU argues </w:t>
      </w:r>
      <w:r w:rsidR="002B6680">
        <w:t>that</w:t>
      </w:r>
      <w:r>
        <w:t xml:space="preserve"> CAF declines are likely, MMU also recognizes</w:t>
      </w:r>
      <w:r w:rsidR="00350009">
        <w:t xml:space="preserve"> that</w:t>
      </w:r>
      <w:r>
        <w:t xml:space="preserve"> the direction of CAFs </w:t>
      </w:r>
      <w:r w:rsidR="00DB0331">
        <w:t xml:space="preserve">for </w:t>
      </w:r>
      <w:r w:rsidR="000E2FCF">
        <w:t xml:space="preserve">2-hour BESS units </w:t>
      </w:r>
      <w:r>
        <w:t>in the next few years is unclear.</w:t>
      </w:r>
      <w:r>
        <w:rPr>
          <w:rStyle w:val="FootnoteReference"/>
        </w:rPr>
        <w:footnoteReference w:id="119"/>
      </w:r>
      <w:r w:rsidRPr="00915F18">
        <w:t xml:space="preserve"> </w:t>
      </w:r>
      <w:r>
        <w:t xml:space="preserve"> </w:t>
      </w:r>
      <w:r w:rsidRPr="00A405B6">
        <w:t>Given this uncertainty</w:t>
      </w:r>
      <w:r w:rsidR="00E973EC">
        <w:t xml:space="preserve"> </w:t>
      </w:r>
      <w:r w:rsidR="00032BA8">
        <w:t xml:space="preserve">as described </w:t>
      </w:r>
      <w:r w:rsidR="00E973EC">
        <w:t>in the record before us</w:t>
      </w:r>
      <w:r w:rsidRPr="00A405B6">
        <w:t xml:space="preserve">, we find that NYISO </w:t>
      </w:r>
      <w:r w:rsidR="00D25717">
        <w:t>reasonably</w:t>
      </w:r>
      <w:r w:rsidRPr="00A405B6" w:rsidR="00D25717">
        <w:t xml:space="preserve"> </w:t>
      </w:r>
      <w:r w:rsidRPr="00A405B6">
        <w:t xml:space="preserve">assessed the peaking unit </w:t>
      </w:r>
      <w:r w:rsidR="003E6FDA">
        <w:t xml:space="preserve">technology options </w:t>
      </w:r>
      <w:r w:rsidRPr="00A405B6">
        <w:t>based on current CAF</w:t>
      </w:r>
      <w:r>
        <w:t>s</w:t>
      </w:r>
      <w:r w:rsidR="005A2BE6">
        <w:t xml:space="preserve"> and demonstrates that the </w:t>
      </w:r>
      <w:r w:rsidR="008872C5">
        <w:t xml:space="preserve">2-hour BESS is the lowest cost </w:t>
      </w:r>
      <w:r w:rsidR="00C96D85">
        <w:t xml:space="preserve">peaking </w:t>
      </w:r>
      <w:r w:rsidR="008872C5">
        <w:t>technology</w:t>
      </w:r>
      <w:r w:rsidR="00C96D85">
        <w:t xml:space="preserve"> option for the current DCR</w:t>
      </w:r>
      <w:r w:rsidR="00984A88">
        <w:t xml:space="preserve">. </w:t>
      </w:r>
      <w:r w:rsidR="00BC07EC">
        <w:t xml:space="preserve"> </w:t>
      </w:r>
      <w:r>
        <w:t>Further, NYISO</w:t>
      </w:r>
      <w:r w:rsidR="00E57525">
        <w:t>’s assessment</w:t>
      </w:r>
      <w:r>
        <w:t xml:space="preserve"> indicates that, even if CAFs decline under a scenario of very high renewables and storage deployment by 2030, the 2-hour BESS remains the technology with the lowest Net CONE</w:t>
      </w:r>
      <w:r w:rsidR="00D16D64">
        <w:t>.</w:t>
      </w:r>
      <w:r>
        <w:rPr>
          <w:rStyle w:val="FootnoteReference"/>
        </w:rPr>
        <w:footnoteReference w:id="120"/>
      </w:r>
      <w:r>
        <w:t xml:space="preserve">  </w:t>
      </w:r>
      <w:r w:rsidR="00C65E45">
        <w:t>Finally, as discuss</w:t>
      </w:r>
      <w:r w:rsidR="00736403">
        <w:t>ed</w:t>
      </w:r>
      <w:r w:rsidR="00C65E45">
        <w:t xml:space="preserve"> below, we agree with NYISO </w:t>
      </w:r>
      <w:r w:rsidRPr="00396676" w:rsidR="00C65E45">
        <w:t xml:space="preserve">that </w:t>
      </w:r>
      <w:r w:rsidR="00A40A5E">
        <w:t>increasing</w:t>
      </w:r>
      <w:r w:rsidRPr="00396676" w:rsidR="00C65E45">
        <w:t xml:space="preserve"> </w:t>
      </w:r>
      <w:r w:rsidR="00A40A5E">
        <w:t>the</w:t>
      </w:r>
      <w:r w:rsidRPr="00396676" w:rsidR="00A40A5E">
        <w:t xml:space="preserve"> </w:t>
      </w:r>
      <w:r w:rsidR="00C65E45">
        <w:t xml:space="preserve">WACC values </w:t>
      </w:r>
      <w:r w:rsidRPr="00496CD4" w:rsidR="00016ADC">
        <w:t xml:space="preserve">for the </w:t>
      </w:r>
      <w:r w:rsidR="007B790F">
        <w:t xml:space="preserve">      </w:t>
      </w:r>
      <w:r w:rsidR="00016ADC">
        <w:t xml:space="preserve">2-hour </w:t>
      </w:r>
      <w:r w:rsidRPr="00496CD4" w:rsidR="00016ADC">
        <w:t>BESS unit</w:t>
      </w:r>
      <w:r w:rsidR="00016ADC">
        <w:t xml:space="preserve"> </w:t>
      </w:r>
      <w:r w:rsidR="00A40A5E">
        <w:t xml:space="preserve">by 50 basis points </w:t>
      </w:r>
      <w:r w:rsidR="00C65E45">
        <w:t>is a reasonable approach to account for the relative</w:t>
      </w:r>
      <w:r w:rsidR="007137C1">
        <w:t>ly</w:t>
      </w:r>
      <w:r w:rsidR="00C65E45">
        <w:t xml:space="preserve"> higher investment risk</w:t>
      </w:r>
      <w:r w:rsidR="00F5301E">
        <w:t>s</w:t>
      </w:r>
      <w:r w:rsidR="00172866">
        <w:t>, including the risk associated with declining CAFs</w:t>
      </w:r>
      <w:r w:rsidR="00F5301E">
        <w:t>,</w:t>
      </w:r>
      <w:r w:rsidR="00C65E45">
        <w:t xml:space="preserve"> of the 2-hour BESS option compared to other peaking plant options.</w:t>
      </w:r>
      <w:r>
        <w:rPr>
          <w:rStyle w:val="FootnoteReference"/>
        </w:rPr>
        <w:footnoteReference w:id="121"/>
      </w:r>
      <w:r w:rsidR="00C65E45">
        <w:t xml:space="preserve">  </w:t>
      </w:r>
      <w:r w:rsidRPr="00396676" w:rsidR="00C65E45">
        <w:t xml:space="preserve"> </w:t>
      </w:r>
    </w:p>
    <w:p w:rsidR="00283013" w:rsidRPr="00A14428" w:rsidP="002E4DF1">
      <w:pPr>
        <w:pStyle w:val="Heading4"/>
      </w:pPr>
      <w:r w:rsidRPr="00A14428">
        <w:t xml:space="preserve">Consideration of Future </w:t>
      </w:r>
      <w:r w:rsidRPr="00A14428" w:rsidR="00D2799F">
        <w:t>Capacity Revenues</w:t>
      </w:r>
    </w:p>
    <w:p w:rsidR="00D31E42">
      <w:pPr>
        <w:pStyle w:val="FERCparanumber"/>
      </w:pPr>
      <w:r>
        <w:t xml:space="preserve"> </w:t>
      </w:r>
      <w:r w:rsidRPr="0044293E" w:rsidR="0085109C">
        <w:t>NYISO s</w:t>
      </w:r>
      <w:r w:rsidRPr="0044293E" w:rsidR="00DE2D5A">
        <w:t xml:space="preserve">tates that certain stakeholders </w:t>
      </w:r>
      <w:r w:rsidRPr="0044293E" w:rsidR="00F0243F">
        <w:t>oppose the selection of a 2-hour BESS</w:t>
      </w:r>
      <w:r w:rsidRPr="0044293E" w:rsidR="00BB7321">
        <w:t xml:space="preserve">, </w:t>
      </w:r>
      <w:r w:rsidRPr="0044293E" w:rsidR="00DE2D5A">
        <w:t>alleg</w:t>
      </w:r>
      <w:r w:rsidRPr="0044293E" w:rsidR="00BB7321">
        <w:t>ing</w:t>
      </w:r>
      <w:r w:rsidRPr="0044293E" w:rsidR="00DE2D5A">
        <w:t xml:space="preserve"> that use of a 2-hour BESS unit </w:t>
      </w:r>
      <w:r w:rsidRPr="0044293E" w:rsidR="000C3183">
        <w:t xml:space="preserve">will result in demand curves that are unable to support </w:t>
      </w:r>
      <w:r w:rsidRPr="0044293E" w:rsidR="0085109C">
        <w:t xml:space="preserve">retention of </w:t>
      </w:r>
      <w:r w:rsidRPr="0044293E" w:rsidR="00B45E91">
        <w:t>the</w:t>
      </w:r>
      <w:r w:rsidRPr="0044293E" w:rsidR="0085109C">
        <w:t xml:space="preserve"> existing resources necessary for reliability</w:t>
      </w:r>
      <w:r w:rsidRPr="0044293E" w:rsidR="00BB7321">
        <w:t xml:space="preserve"> and </w:t>
      </w:r>
      <w:r w:rsidRPr="0044293E" w:rsidR="002B0C18">
        <w:t>that</w:t>
      </w:r>
      <w:r w:rsidRPr="0044293E" w:rsidR="00BB7321">
        <w:t xml:space="preserve"> </w:t>
      </w:r>
      <w:r w:rsidRPr="0044293E" w:rsidR="0068405F">
        <w:t xml:space="preserve">a 2-hour BESS deployed during this </w:t>
      </w:r>
      <w:r w:rsidRPr="0044293E" w:rsidR="0035798D">
        <w:t>DCR</w:t>
      </w:r>
      <w:r w:rsidRPr="0044293E" w:rsidR="0068405F">
        <w:t xml:space="preserve"> period will </w:t>
      </w:r>
      <w:r w:rsidRPr="0044293E" w:rsidR="002637A5">
        <w:t xml:space="preserve">experience material capacity revenue declines due to </w:t>
      </w:r>
      <w:r w:rsidRPr="0044293E" w:rsidR="00637EDF">
        <w:t>the</w:t>
      </w:r>
      <w:r w:rsidRPr="0044293E" w:rsidR="002637A5">
        <w:t xml:space="preserve"> introduction of more efficient and less expensive BESS projects in the future</w:t>
      </w:r>
      <w:r w:rsidR="0085109C">
        <w:t>.</w:t>
      </w:r>
      <w:r>
        <w:rPr>
          <w:rStyle w:val="FootnoteReference"/>
        </w:rPr>
        <w:footnoteReference w:id="122"/>
      </w:r>
      <w:r w:rsidR="0085109C">
        <w:t xml:space="preserve">  </w:t>
      </w:r>
      <w:r w:rsidRPr="0044293E">
        <w:t xml:space="preserve">NYISO </w:t>
      </w:r>
      <w:r w:rsidRPr="0044293E" w:rsidR="00E03709">
        <w:t xml:space="preserve">explains </w:t>
      </w:r>
      <w:r w:rsidRPr="0044293E">
        <w:t xml:space="preserve">that the ICAP demand curves are designed to provide a reasonable opportunity for new and existing resources necessary </w:t>
      </w:r>
      <w:r w:rsidRPr="0044293E" w:rsidR="00F91F46">
        <w:t xml:space="preserve">to support </w:t>
      </w:r>
      <w:r w:rsidRPr="0044293E">
        <w:t>reliability</w:t>
      </w:r>
      <w:r w:rsidRPr="0044293E" w:rsidR="00F91F46">
        <w:t xml:space="preserve"> by meeting New York’s resource adequacy requirements</w:t>
      </w:r>
      <w:r w:rsidRPr="0044293E">
        <w:t xml:space="preserve"> to earn adequate revenues, not to retain all existing resources regardless of market conditions</w:t>
      </w:r>
      <w:r w:rsidRPr="008B1D7D">
        <w:t>.</w:t>
      </w:r>
      <w:r>
        <w:rPr>
          <w:rStyle w:val="FootnoteReference"/>
        </w:rPr>
        <w:footnoteReference w:id="123"/>
      </w:r>
      <w:r w:rsidRPr="008B1D7D">
        <w:t xml:space="preserve">  </w:t>
      </w:r>
      <w:r w:rsidRPr="0070442D">
        <w:t>NYISO asserts that the selection of the 2-hour BESS unit would not be expected to cause a reduction in spot market auction clearing prices in any capacity region below those experienced over the past five years.</w:t>
      </w:r>
      <w:r>
        <w:rPr>
          <w:rStyle w:val="FootnoteReference"/>
        </w:rPr>
        <w:footnoteReference w:id="124"/>
      </w:r>
      <w:r w:rsidRPr="0070442D">
        <w:t xml:space="preserve">  </w:t>
      </w:r>
    </w:p>
    <w:p w:rsidR="00283013">
      <w:pPr>
        <w:pStyle w:val="FERCparanumber"/>
      </w:pPr>
      <w:r>
        <w:t>NYISO states that despite</w:t>
      </w:r>
      <w:r w:rsidR="00CF4B7F">
        <w:t xml:space="preserve"> </w:t>
      </w:r>
      <w:r w:rsidR="00FD37FF">
        <w:t>prior</w:t>
      </w:r>
      <w:r>
        <w:t xml:space="preserve"> projections </w:t>
      </w:r>
      <w:r w:rsidR="007B3820">
        <w:t>of</w:t>
      </w:r>
      <w:r>
        <w:t xml:space="preserve"> significant cost declines in future BESS project costs, a recent analysis conducted by </w:t>
      </w:r>
      <w:r w:rsidRPr="007C6E03" w:rsidR="007C6E03">
        <w:t>New York State Department of Public Service</w:t>
      </w:r>
      <w:r w:rsidR="007C6E03">
        <w:t xml:space="preserve"> (</w:t>
      </w:r>
      <w:r w:rsidRPr="00F74881">
        <w:t>NYSDPS</w:t>
      </w:r>
      <w:r w:rsidR="007C6E03">
        <w:t>)</w:t>
      </w:r>
      <w:r>
        <w:t xml:space="preserve"> and NYSERDA identified that costs had instead increased significantly over the past five years.</w:t>
      </w:r>
      <w:r>
        <w:rPr>
          <w:rStyle w:val="FootnoteReference"/>
        </w:rPr>
        <w:footnoteReference w:id="125"/>
      </w:r>
      <w:r>
        <w:t xml:space="preserve">  NYISO </w:t>
      </w:r>
      <w:r w:rsidR="000907A7">
        <w:t xml:space="preserve">explains </w:t>
      </w:r>
      <w:r>
        <w:t xml:space="preserve">that the Commission has consistently held that a key purpose of conducting DCRs at regular intervals is to accurately capture changes in conditions over time </w:t>
      </w:r>
      <w:r w:rsidR="00D86AC4">
        <w:t>and</w:t>
      </w:r>
      <w:r>
        <w:t xml:space="preserve"> that future </w:t>
      </w:r>
      <w:r w:rsidR="002B38DD">
        <w:t xml:space="preserve">DCRs </w:t>
      </w:r>
      <w:r>
        <w:t>are the appropriate forum for capturing actual changes in technology costs</w:t>
      </w:r>
      <w:r w:rsidR="00B50AC8">
        <w:t xml:space="preserve">.  NYISO states </w:t>
      </w:r>
      <w:r>
        <w:t>that the risks for 2025-2029 are appropriate</w:t>
      </w:r>
      <w:r w:rsidR="00B50AC8">
        <w:t>ly</w:t>
      </w:r>
      <w:r>
        <w:t xml:space="preserve"> considered in the </w:t>
      </w:r>
      <w:r w:rsidR="00B50AC8">
        <w:t xml:space="preserve">proposed </w:t>
      </w:r>
      <w:r>
        <w:t>WACC values.</w:t>
      </w:r>
      <w:r>
        <w:rPr>
          <w:rStyle w:val="FootnoteReference"/>
        </w:rPr>
        <w:footnoteReference w:id="126"/>
      </w:r>
      <w:r w:rsidR="00D86AC4">
        <w:t xml:space="preserve"> </w:t>
      </w:r>
      <w:r>
        <w:t xml:space="preserve"> </w:t>
      </w:r>
    </w:p>
    <w:p w:rsidR="00283013" w:rsidRPr="001F0DBB" w:rsidP="002E4DF1">
      <w:pPr>
        <w:pStyle w:val="Heading5"/>
      </w:pPr>
      <w:r>
        <w:t>Comments and Protests</w:t>
      </w:r>
    </w:p>
    <w:p w:rsidR="00F77B7F" w:rsidP="00F77B7F">
      <w:pPr>
        <w:pStyle w:val="FERCparanumber"/>
      </w:pPr>
      <w:r w:rsidRPr="0044293E">
        <w:t xml:space="preserve">IPPNY </w:t>
      </w:r>
      <w:r w:rsidRPr="0044293E" w:rsidR="00751C51">
        <w:t>and EPSA</w:t>
      </w:r>
      <w:r w:rsidRPr="0044293E">
        <w:t xml:space="preserve"> assert that NYISO’s proposed financial parameters do not adequately account for the risks in developing a 2-hour BESS and, thus, the proposed Net CONE will not provide adequate price signals to support the construction of new</w:t>
      </w:r>
      <w:r w:rsidRPr="0044293E" w:rsidR="00AC3891">
        <w:t xml:space="preserve"> resources</w:t>
      </w:r>
      <w:r w:rsidRPr="0044293E">
        <w:t>, and the retention of existing</w:t>
      </w:r>
      <w:r w:rsidRPr="0044293E" w:rsidR="00FE24BC">
        <w:t xml:space="preserve"> </w:t>
      </w:r>
      <w:r w:rsidRPr="0044293E">
        <w:t>resources to maintain NYISO’s system reliability over the long run.</w:t>
      </w:r>
      <w:r>
        <w:rPr>
          <w:rStyle w:val="FootnoteReference"/>
        </w:rPr>
        <w:footnoteReference w:id="127"/>
      </w:r>
      <w:r w:rsidRPr="003E690E">
        <w:t xml:space="preserve">  </w:t>
      </w:r>
      <w:r w:rsidRPr="00F472B7" w:rsidR="00283013">
        <w:t>According</w:t>
      </w:r>
      <w:r w:rsidR="00283013">
        <w:t xml:space="preserve"> to IPPNY, 2-hour BESS costs will decline over the proposed 20-year amortization period and the Net CONE will not protect against the risk of future revenue decline.</w:t>
      </w:r>
      <w:r>
        <w:rPr>
          <w:rStyle w:val="FootnoteReference"/>
        </w:rPr>
        <w:footnoteReference w:id="128"/>
      </w:r>
      <w:r w:rsidR="00283013">
        <w:t xml:space="preserve">  Additionally, IPPNY argues that future BESS cost declines will result in ICAP market price </w:t>
      </w:r>
      <w:r w:rsidRPr="00A77A67" w:rsidR="00283013">
        <w:t>reductions and</w:t>
      </w:r>
      <w:r w:rsidR="00456358">
        <w:t>,</w:t>
      </w:r>
      <w:r w:rsidRPr="00A77A67" w:rsidR="00283013">
        <w:t xml:space="preserve"> unless corrected, the ICAP Demand Curve price signals will be insufficient to incentivize new and needed investments.</w:t>
      </w:r>
      <w:r>
        <w:rPr>
          <w:rStyle w:val="FootnoteReference"/>
        </w:rPr>
        <w:footnoteReference w:id="129"/>
      </w:r>
      <w:r w:rsidRPr="00A77A67" w:rsidR="00283013">
        <w:t xml:space="preserve"> IPPNY argues that there must be an upward adjustment to the Net CONE and the amortization period was not structured to match the unit’s expected operational life.</w:t>
      </w:r>
      <w:r>
        <w:rPr>
          <w:rStyle w:val="FootnoteReference"/>
        </w:rPr>
        <w:footnoteReference w:id="130"/>
      </w:r>
      <w:r w:rsidRPr="00A77A67" w:rsidR="00283013">
        <w:t xml:space="preserve">  </w:t>
      </w:r>
      <w:r w:rsidRPr="0044293E" w:rsidR="00283013">
        <w:t>IPPNY contends that NYISO could address the risk of falling BESS costs by either decreasing the amortization period, increasing financing costs, or both, and that the Commission should reject NYISO’s contentions that concerns regarding future costs are speculative.</w:t>
      </w:r>
      <w:r>
        <w:rPr>
          <w:rStyle w:val="FootnoteReference"/>
        </w:rPr>
        <w:footnoteReference w:id="131"/>
      </w:r>
      <w:r w:rsidR="00283013">
        <w:t xml:space="preserve">  </w:t>
      </w:r>
      <w:r w:rsidR="007310B6">
        <w:t>Ravenswood</w:t>
      </w:r>
      <w:r w:rsidR="00F813B9">
        <w:t xml:space="preserve"> and</w:t>
      </w:r>
      <w:r w:rsidR="007310B6">
        <w:t xml:space="preserve"> IPPNY argue that NYISO</w:t>
      </w:r>
      <w:r w:rsidRPr="009F01A2" w:rsidR="007310B6">
        <w:t xml:space="preserve"> </w:t>
      </w:r>
      <w:r w:rsidR="007310B6">
        <w:t>did not appropriately consider</w:t>
      </w:r>
      <w:r w:rsidRPr="009F01A2" w:rsidR="007310B6">
        <w:t xml:space="preserve"> the risk</w:t>
      </w:r>
      <w:r w:rsidR="007A2668">
        <w:t>s associated with</w:t>
      </w:r>
      <w:r w:rsidRPr="009F01A2" w:rsidR="007310B6">
        <w:t xml:space="preserve"> falling ICAP market prices due to the substantial reduction in costs of 2-hour BESS over NYISO</w:t>
      </w:r>
      <w:r w:rsidR="00691830">
        <w:t>’</w:t>
      </w:r>
      <w:r w:rsidRPr="009F01A2" w:rsidR="007310B6">
        <w:t>s proposed 2</w:t>
      </w:r>
      <w:r w:rsidR="007310B6">
        <w:t>0-year</w:t>
      </w:r>
      <w:r w:rsidRPr="009F01A2" w:rsidR="007310B6">
        <w:t xml:space="preserve"> amortization period</w:t>
      </w:r>
      <w:r w:rsidR="007310B6">
        <w:t>.</w:t>
      </w:r>
      <w:r>
        <w:rPr>
          <w:rStyle w:val="FootnoteReference"/>
        </w:rPr>
        <w:footnoteReference w:id="132"/>
      </w:r>
      <w:r w:rsidR="007310B6">
        <w:t xml:space="preserve"> </w:t>
      </w:r>
    </w:p>
    <w:p w:rsidR="00F472B7">
      <w:pPr>
        <w:pStyle w:val="FERCparanumber"/>
      </w:pPr>
      <w:r w:rsidRPr="00D8597F">
        <w:t>NYTOs and Consumer Stakeholders argue that NYISO’s proposed DCR would increase capacity prices in NYISO by 37% above capacity costs for the 2024-2025 capability year.</w:t>
      </w:r>
      <w:r>
        <w:rPr>
          <w:b/>
          <w:vertAlign w:val="superscript"/>
        </w:rPr>
        <w:footnoteReference w:id="133"/>
      </w:r>
      <w:r w:rsidRPr="00D8597F">
        <w:t xml:space="preserve">  </w:t>
      </w:r>
      <w:r w:rsidR="00EF10B6">
        <w:t xml:space="preserve">NYTOs </w:t>
      </w:r>
      <w:r w:rsidR="005940C6">
        <w:t xml:space="preserve">present </w:t>
      </w:r>
      <w:r w:rsidRPr="005940C6" w:rsidR="005940C6">
        <w:t>estimates that, relative to the 2024/2025 capability year, capacity costs would increase by 111% if the peaking technology was a 4-hour BESS, 112% if it was gas turbine, and 143% if it was a 6-hour BESS.</w:t>
      </w:r>
      <w:r>
        <w:rPr>
          <w:rStyle w:val="FootnoteReference"/>
        </w:rPr>
        <w:footnoteReference w:id="134"/>
      </w:r>
      <w:r w:rsidRPr="005940C6" w:rsidR="005940C6">
        <w:t xml:space="preserve">  </w:t>
      </w:r>
      <w:r w:rsidRPr="00D8597F">
        <w:t>NYTOs argue that if NYISO were to use a</w:t>
      </w:r>
      <w:r w:rsidR="002966FF">
        <w:t>n economically viable</w:t>
      </w:r>
      <w:r w:rsidRPr="00D8597F">
        <w:t xml:space="preserve"> peaking plant technology other than the 2-hour BESS unit, capacity costs would </w:t>
      </w:r>
      <w:r w:rsidRPr="00D8597F" w:rsidR="00D110DA">
        <w:t>doubl</w:t>
      </w:r>
      <w:r w:rsidR="00D110DA">
        <w:t>e</w:t>
      </w:r>
      <w:r w:rsidRPr="00D8597F" w:rsidR="00D110DA">
        <w:t xml:space="preserve"> </w:t>
      </w:r>
      <w:r w:rsidRPr="00D8597F">
        <w:t>the current Capability Year’s capacity costs.</w:t>
      </w:r>
      <w:r>
        <w:rPr>
          <w:b/>
          <w:vertAlign w:val="superscript"/>
        </w:rPr>
        <w:footnoteReference w:id="135"/>
      </w:r>
      <w:r w:rsidRPr="00D8597F">
        <w:t xml:space="preserve">  </w:t>
      </w:r>
      <w:r w:rsidRPr="0044293E">
        <w:t>NYTOs state that there has not been any evidence provided that would indicate that approval of the current proposal would lead to retirement of generators, leading to reliability shortfalls</w:t>
      </w:r>
      <w:r w:rsidRPr="00D8597F">
        <w:t>.</w:t>
      </w:r>
      <w:r>
        <w:rPr>
          <w:b/>
          <w:vertAlign w:val="superscript"/>
        </w:rPr>
        <w:footnoteReference w:id="136"/>
      </w:r>
      <w:r w:rsidRPr="00D8597F">
        <w:t xml:space="preserve">  NYTOs further explain that NYISO has a long-established, tariff-based generator deactivation process, which would allow NYISO to address any reliability concerns as they arise.</w:t>
      </w:r>
      <w:r>
        <w:rPr>
          <w:b/>
          <w:vertAlign w:val="superscript"/>
        </w:rPr>
        <w:footnoteReference w:id="137"/>
      </w:r>
    </w:p>
    <w:p w:rsidR="00283013" w:rsidP="00F472B7">
      <w:pPr>
        <w:pStyle w:val="FERCparanumber"/>
      </w:pPr>
      <w:r>
        <w:t xml:space="preserve">NYTOs </w:t>
      </w:r>
      <w:r w:rsidR="000C11D7">
        <w:t>contend the ICAP Demand Curves should not be based on speculation regarding whether the cost of a 2-hour BESS is likely to decrease</w:t>
      </w:r>
      <w:r w:rsidR="00592497">
        <w:t>,</w:t>
      </w:r>
      <w:r w:rsidR="000761FC">
        <w:t xml:space="preserve"> and </w:t>
      </w:r>
      <w:r w:rsidR="005E0B1F">
        <w:t xml:space="preserve">thus </w:t>
      </w:r>
      <w:r w:rsidR="00DD0E23">
        <w:t>the Commission should reject</w:t>
      </w:r>
      <w:r w:rsidR="00487944">
        <w:t xml:space="preserve"> arguments</w:t>
      </w:r>
      <w:r w:rsidR="00A5623E">
        <w:t xml:space="preserve"> that the ICAP Demand Curves </w:t>
      </w:r>
      <w:r w:rsidR="00574C23">
        <w:t>must increase substantially so developers can recover a large share of their costs before prices decline due to the entry of more efficient competition.</w:t>
      </w:r>
      <w:r>
        <w:rPr>
          <w:rStyle w:val="FootnoteReference"/>
        </w:rPr>
        <w:footnoteReference w:id="138"/>
      </w:r>
      <w:r w:rsidR="00F15A11">
        <w:t xml:space="preserve">  Additionally, </w:t>
      </w:r>
      <w:r w:rsidR="000D5545">
        <w:t>NYTOs argue that</w:t>
      </w:r>
      <w:r w:rsidR="00FB289F">
        <w:t xml:space="preserve"> raising the </w:t>
      </w:r>
      <w:r w:rsidR="002C4FA3">
        <w:t>ICAP Demand Curves</w:t>
      </w:r>
      <w:r w:rsidR="00933B33">
        <w:t xml:space="preserve"> based on future prices would be inconsistent with the Services Tariff</w:t>
      </w:r>
      <w:r w:rsidR="00A53D36">
        <w:t>,</w:t>
      </w:r>
      <w:r w:rsidR="00933B33">
        <w:t xml:space="preserve"> </w:t>
      </w:r>
      <w:r w:rsidR="00D3468E">
        <w:t>which</w:t>
      </w:r>
      <w:r w:rsidR="00600DF1">
        <w:t xml:space="preserve"> states </w:t>
      </w:r>
      <w:r w:rsidR="008F3E90">
        <w:t xml:space="preserve">that </w:t>
      </w:r>
      <w:r w:rsidR="00600DF1">
        <w:t>ICAP Demand Curves must be based on the “current localized level</w:t>
      </w:r>
      <w:r w:rsidR="00273C5A">
        <w:t>ized</w:t>
      </w:r>
      <w:r w:rsidR="00600DF1">
        <w:t xml:space="preserve"> embedded cost of a peaking plant.”</w:t>
      </w:r>
      <w:r>
        <w:rPr>
          <w:rStyle w:val="FootnoteReference"/>
        </w:rPr>
        <w:footnoteReference w:id="139"/>
      </w:r>
      <w:r w:rsidR="00CA6475">
        <w:t xml:space="preserve">  NYTOs also state </w:t>
      </w:r>
      <w:r w:rsidR="00A96A25">
        <w:t xml:space="preserve">that </w:t>
      </w:r>
      <w:r w:rsidR="00CA6475">
        <w:t xml:space="preserve">past DCRs have considered this issue and </w:t>
      </w:r>
      <w:r w:rsidR="00AF1CDC">
        <w:t>in</w:t>
      </w:r>
      <w:r w:rsidR="00CA6475">
        <w:t xml:space="preserve"> each case NYISO has concluded that </w:t>
      </w:r>
      <w:r w:rsidR="00C53B4D">
        <w:t>it would not be wise</w:t>
      </w:r>
      <w:r w:rsidR="005932BF">
        <w:t xml:space="preserve"> for</w:t>
      </w:r>
      <w:r w:rsidR="00D872C5">
        <w:t xml:space="preserve"> </w:t>
      </w:r>
      <w:r w:rsidR="00CA6475">
        <w:t xml:space="preserve">forecasts </w:t>
      </w:r>
      <w:r w:rsidR="00D872C5">
        <w:t xml:space="preserve">to </w:t>
      </w:r>
      <w:r w:rsidR="00CA6475">
        <w:t>hav</w:t>
      </w:r>
      <w:r w:rsidR="00D872C5">
        <w:t>e</w:t>
      </w:r>
      <w:r w:rsidR="00CA6475">
        <w:t xml:space="preserve"> a significant impact on the demand curves.</w:t>
      </w:r>
      <w:r>
        <w:rPr>
          <w:rStyle w:val="FootnoteReference"/>
        </w:rPr>
        <w:footnoteReference w:id="140"/>
      </w:r>
      <w:r w:rsidR="00B05C55">
        <w:t xml:space="preserve">  </w:t>
      </w:r>
    </w:p>
    <w:p w:rsidR="00283013" w:rsidP="002E4DF1">
      <w:pPr>
        <w:pStyle w:val="Heading5"/>
      </w:pPr>
      <w:r>
        <w:t>Answer</w:t>
      </w:r>
      <w:r w:rsidR="007706C3">
        <w:t>s</w:t>
      </w:r>
    </w:p>
    <w:p w:rsidR="00C13BF1" w:rsidP="00BC07EC">
      <w:pPr>
        <w:pStyle w:val="FERCparanumber"/>
      </w:pPr>
      <w:r>
        <w:t>NYISO contends that future price forecast</w:t>
      </w:r>
      <w:r w:rsidR="004E5222">
        <w:t>s</w:t>
      </w:r>
      <w:r>
        <w:t xml:space="preserve"> relied upon by IPPNY and Ravenswood do not provide a credible basis for modifying NYISO’s proposal, often overstate potential cost declines, and can diverge significantly from actual market prices.</w:t>
      </w:r>
      <w:r>
        <w:rPr>
          <w:rStyle w:val="FootnoteReference"/>
        </w:rPr>
        <w:footnoteReference w:id="141"/>
      </w:r>
      <w:r>
        <w:t xml:space="preserve">  Additionally, NYISO argues that the Services Tariff </w:t>
      </w:r>
      <w:r w:rsidR="009B4B2F">
        <w:t>r</w:t>
      </w:r>
      <w:r w:rsidR="00A4284A">
        <w:t xml:space="preserve">equires NYISO to estimate </w:t>
      </w:r>
      <w:r>
        <w:t>the current localized levelized embedded cost to construct a peaking plant in each capacity region</w:t>
      </w:r>
      <w:r w:rsidR="00C2083A">
        <w:t xml:space="preserve">, and not simply a relative or potentially indicative future </w:t>
      </w:r>
      <w:r w:rsidR="00CE0677">
        <w:t xml:space="preserve">cost </w:t>
      </w:r>
      <w:r w:rsidR="00C2083A">
        <w:t>value</w:t>
      </w:r>
      <w:r>
        <w:t>.</w:t>
      </w:r>
      <w:r>
        <w:rPr>
          <w:rStyle w:val="FootnoteReference"/>
        </w:rPr>
        <w:footnoteReference w:id="142"/>
      </w:r>
      <w:r>
        <w:t xml:space="preserve">  NYISO also argues that the propose</w:t>
      </w:r>
      <w:r w:rsidR="006F24C9">
        <w:t>d</w:t>
      </w:r>
      <w:r>
        <w:t xml:space="preserve"> WACC </w:t>
      </w:r>
      <w:r w:rsidRPr="00724266">
        <w:t>specifically consider</w:t>
      </w:r>
      <w:r w:rsidR="00A072F0">
        <w:t>s</w:t>
      </w:r>
      <w:r w:rsidRPr="00724266">
        <w:t xml:space="preserve"> the relative nascent state of the BESS technology development</w:t>
      </w:r>
      <w:r>
        <w:t xml:space="preserve"> and that future </w:t>
      </w:r>
      <w:r w:rsidR="003D09BB">
        <w:t xml:space="preserve">DCRs </w:t>
      </w:r>
      <w:r>
        <w:t xml:space="preserve">are </w:t>
      </w:r>
      <w:r w:rsidRPr="00F406E4">
        <w:t>the appropriate forum for incorporating actual changes in costs over time</w:t>
      </w:r>
      <w:r>
        <w:t>.</w:t>
      </w:r>
      <w:r>
        <w:rPr>
          <w:rStyle w:val="FootnoteReference"/>
        </w:rPr>
        <w:footnoteReference w:id="143"/>
      </w:r>
      <w:r>
        <w:t xml:space="preserve"> </w:t>
      </w:r>
      <w:r w:rsidR="00AB1FDD">
        <w:t xml:space="preserve"> </w:t>
      </w:r>
    </w:p>
    <w:p w:rsidR="007706C3" w:rsidRPr="00935470" w:rsidP="00BC07EC">
      <w:pPr>
        <w:pStyle w:val="FERCparanumber"/>
      </w:pPr>
      <w:r w:rsidRPr="00BC07EC">
        <w:t>NYTOs</w:t>
      </w:r>
      <w:r>
        <w:t xml:space="preserve"> </w:t>
      </w:r>
      <w:r w:rsidR="007B591B">
        <w:t>argue that</w:t>
      </w:r>
      <w:r w:rsidR="008A6E48">
        <w:t xml:space="preserve"> IPPNY’s proposal</w:t>
      </w:r>
      <w:r w:rsidR="00EF4EF7">
        <w:t xml:space="preserve"> to implement demand curves that would permit cost recovery on an accelerated basis </w:t>
      </w:r>
      <w:r w:rsidR="007B591B">
        <w:t>i</w:t>
      </w:r>
      <w:r w:rsidR="00EF4EF7">
        <w:t>s inconsistent with the Services Tariff</w:t>
      </w:r>
      <w:r w:rsidR="007B591B">
        <w:t>.  NYTOs explain</w:t>
      </w:r>
      <w:r>
        <w:t xml:space="preserve"> that the ICAP demand curves are based on the current localized levelized embedded cost of a peaking plant and that long-term capital cost projections can be subject to significant error.</w:t>
      </w:r>
      <w:r>
        <w:rPr>
          <w:rStyle w:val="FootnoteReference"/>
        </w:rPr>
        <w:footnoteReference w:id="144"/>
      </w:r>
      <w:r>
        <w:t xml:space="preserve">  Additionally, NYTOs contend that the costs of mature technologies</w:t>
      </w:r>
      <w:r w:rsidR="003253D1">
        <w:t xml:space="preserve">, such as </w:t>
      </w:r>
      <w:r w:rsidR="0030126A">
        <w:t>H-frame turbine</w:t>
      </w:r>
      <w:r w:rsidR="007B591B">
        <w:t>s</w:t>
      </w:r>
      <w:r w:rsidR="0030126A">
        <w:t>,</w:t>
      </w:r>
      <w:r>
        <w:t xml:space="preserve"> are not relatively more stable and therefore more suitable for use in the DCR than costs for newer technologies.</w:t>
      </w:r>
      <w:r>
        <w:rPr>
          <w:rStyle w:val="FootnoteReference"/>
        </w:rPr>
        <w:footnoteReference w:id="145"/>
      </w:r>
      <w:r>
        <w:t xml:space="preserve">  NYTOs </w:t>
      </w:r>
      <w:r w:rsidR="00C419C7">
        <w:t xml:space="preserve">disagree with </w:t>
      </w:r>
      <w:r w:rsidRPr="00E25627">
        <w:t>IPPNY</w:t>
      </w:r>
      <w:r w:rsidR="007B78E7">
        <w:t>’s argument that</w:t>
      </w:r>
      <w:r w:rsidRPr="00E25627">
        <w:t xml:space="preserve"> NYISO’s use of inflation forecast</w:t>
      </w:r>
      <w:r w:rsidRPr="00747177">
        <w:t xml:space="preserve">s justifies </w:t>
      </w:r>
      <w:r w:rsidRPr="00747177" w:rsidR="006E4CE1">
        <w:t xml:space="preserve">IPPNY’s </w:t>
      </w:r>
      <w:r w:rsidRPr="00747177">
        <w:t xml:space="preserve">proposal to use </w:t>
      </w:r>
      <w:r w:rsidRPr="00747177" w:rsidR="005E6BDC">
        <w:t>forecasts</w:t>
      </w:r>
      <w:r w:rsidRPr="00747177">
        <w:t xml:space="preserve"> of the rates at which the cost of BESS facilities will decrease.  </w:t>
      </w:r>
      <w:r w:rsidRPr="00747177" w:rsidR="00BB23EE">
        <w:t xml:space="preserve">NYTOs </w:t>
      </w:r>
      <w:r w:rsidRPr="00BC07EC" w:rsidR="0052061D">
        <w:t>state</w:t>
      </w:r>
      <w:r w:rsidRPr="00747177" w:rsidR="002F2C95">
        <w:t xml:space="preserve"> that </w:t>
      </w:r>
      <w:r w:rsidRPr="00747177" w:rsidR="0063558A">
        <w:t>the use of forecasted inflation rate</w:t>
      </w:r>
      <w:r w:rsidRPr="00BC07EC" w:rsidR="0052061D">
        <w:t>s</w:t>
      </w:r>
      <w:r w:rsidRPr="00747177" w:rsidR="0063558A">
        <w:t xml:space="preserve"> </w:t>
      </w:r>
      <w:r w:rsidRPr="00BC07EC" w:rsidR="00045BFE">
        <w:t xml:space="preserve">in the DCR </w:t>
      </w:r>
      <w:r w:rsidRPr="00BC07EC" w:rsidR="00034807">
        <w:t>to translate</w:t>
      </w:r>
      <w:r w:rsidRPr="00747177" w:rsidR="0063558A">
        <w:t xml:space="preserve"> the financial parameters from nominal terms into inflation-adjusted terms and the current expectations</w:t>
      </w:r>
      <w:r w:rsidRPr="00747177" w:rsidR="00877A45">
        <w:t xml:space="preserve"> regarding future inflation rates can be easily obtained from a variety of sources</w:t>
      </w:r>
      <w:r w:rsidRPr="00BC07EC" w:rsidR="006C493B">
        <w:t xml:space="preserve"> and are not subject to much uncertainty</w:t>
      </w:r>
      <w:r w:rsidRPr="00747177" w:rsidR="00877A45">
        <w:t>.</w:t>
      </w:r>
      <w:r w:rsidR="00877A45">
        <w:t xml:space="preserve">  </w:t>
      </w:r>
      <w:r w:rsidR="00B83C22">
        <w:t>NYTOs state that, in contrast</w:t>
      </w:r>
      <w:r>
        <w:t>, there are enormous differences in projections of future capital costs for BESS</w:t>
      </w:r>
      <w:r w:rsidR="00B83C22">
        <w:t>, so choosing one projection instead of another would have an outsized effect on the ICAP demand curves.</w:t>
      </w:r>
      <w:r>
        <w:rPr>
          <w:rStyle w:val="FootnoteReference"/>
        </w:rPr>
        <w:footnoteReference w:id="146"/>
      </w:r>
      <w:r>
        <w:t xml:space="preserve">  </w:t>
      </w:r>
    </w:p>
    <w:p w:rsidR="00283013" w:rsidP="002E4DF1">
      <w:pPr>
        <w:pStyle w:val="Heading5"/>
      </w:pPr>
      <w:r>
        <w:t>Commission Determination</w:t>
      </w:r>
    </w:p>
    <w:p w:rsidR="00F4192B" w:rsidRPr="003D11AC" w:rsidP="00F4192B">
      <w:pPr>
        <w:pStyle w:val="FERCparanumber"/>
      </w:pPr>
      <w:r>
        <w:t xml:space="preserve">As noted above, we find that NYISO’s selection of a 2-hour BESS </w:t>
      </w:r>
      <w:r w:rsidR="005044D3">
        <w:t>as the peaking unit satisfies the requirements of the Services Tariff</w:t>
      </w:r>
      <w:r w:rsidR="00996E61">
        <w:t xml:space="preserve"> because it is the unit with </w:t>
      </w:r>
      <w:r w:rsidR="00235ADF">
        <w:t xml:space="preserve">the </w:t>
      </w:r>
      <w:r w:rsidR="002110D3">
        <w:t xml:space="preserve">technology that results in </w:t>
      </w:r>
      <w:r w:rsidR="00996E61">
        <w:t xml:space="preserve">the lowest fixed costs and highest variable costs among the </w:t>
      </w:r>
      <w:r w:rsidR="00D225CB">
        <w:t xml:space="preserve">economically </w:t>
      </w:r>
      <w:r w:rsidR="00996E61">
        <w:t>viable technologies</w:t>
      </w:r>
      <w:r w:rsidR="005044D3">
        <w:t>.  We</w:t>
      </w:r>
      <w:r w:rsidRPr="003D11AC" w:rsidR="005044D3">
        <w:t xml:space="preserve"> agree with NYISO that </w:t>
      </w:r>
      <w:r w:rsidR="005044D3">
        <w:t>NYISO’s selection of a 2-hour BESS as the peaking unit minimizes the cost of procuring UCAP</w:t>
      </w:r>
      <w:r w:rsidR="00004762">
        <w:t xml:space="preserve"> for the 2025-2029 DCR</w:t>
      </w:r>
      <w:r w:rsidR="005044D3">
        <w:t xml:space="preserve">.  </w:t>
      </w:r>
      <w:r w:rsidR="00846613">
        <w:t>W</w:t>
      </w:r>
      <w:r w:rsidR="006E027A">
        <w:t>e</w:t>
      </w:r>
      <w:r w:rsidR="00846613">
        <w:t xml:space="preserve"> further </w:t>
      </w:r>
      <w:r w:rsidR="006E027A">
        <w:t>agree with NYISO</w:t>
      </w:r>
      <w:r w:rsidR="003813EA">
        <w:t xml:space="preserve"> that</w:t>
      </w:r>
      <w:r w:rsidR="008F6622">
        <w:t xml:space="preserve"> the </w:t>
      </w:r>
      <w:bookmarkStart w:id="5" w:name="_Hlk188800775"/>
      <w:r w:rsidRPr="0044293E" w:rsidR="008F6622">
        <w:t>Services Tariff does not require selection of a peaking unit based on whether the ICAP demand curves established using the peaking unit will retain all existing resources</w:t>
      </w:r>
      <w:r w:rsidRPr="0044293E" w:rsidR="00793F28">
        <w:t xml:space="preserve"> and that </w:t>
      </w:r>
      <w:r w:rsidRPr="0044293E" w:rsidR="0061495B">
        <w:t>the</w:t>
      </w:r>
      <w:r w:rsidRPr="0044293E" w:rsidR="00793F28">
        <w:t xml:space="preserve"> evidence </w:t>
      </w:r>
      <w:r w:rsidRPr="0044293E" w:rsidR="00B92D98">
        <w:t xml:space="preserve">in the record before us </w:t>
      </w:r>
      <w:r w:rsidRPr="0044293E" w:rsidR="00214627">
        <w:t xml:space="preserve">does not </w:t>
      </w:r>
      <w:r w:rsidRPr="0044293E" w:rsidR="00793F28">
        <w:t>demonstrate that the 2025-2029 DCR would lead to revenue sufficiency issues that threaten resource adequacy</w:t>
      </w:r>
      <w:r w:rsidRPr="0044293E" w:rsidR="008F6622">
        <w:t>.</w:t>
      </w:r>
      <w:r w:rsidRPr="003D11AC" w:rsidR="008F6622">
        <w:t xml:space="preserve">  </w:t>
      </w:r>
      <w:r w:rsidRPr="0044293E" w:rsidR="00DF701F">
        <w:t>Based on the record before us, w</w:t>
      </w:r>
      <w:r w:rsidRPr="0044293E">
        <w:t xml:space="preserve">e </w:t>
      </w:r>
      <w:r w:rsidRPr="0044293E" w:rsidR="0014778E">
        <w:t>disagree with</w:t>
      </w:r>
      <w:r w:rsidRPr="0044293E" w:rsidR="00754E0A">
        <w:t xml:space="preserve"> protest</w:t>
      </w:r>
      <w:r w:rsidRPr="0044293E" w:rsidR="005E581F">
        <w:t>e</w:t>
      </w:r>
      <w:r w:rsidRPr="0044293E" w:rsidR="00754E0A">
        <w:t xml:space="preserve">rs that </w:t>
      </w:r>
      <w:r w:rsidRPr="0044293E" w:rsidR="0042107E">
        <w:t>the</w:t>
      </w:r>
      <w:r w:rsidRPr="0044293E" w:rsidR="0014778E">
        <w:t xml:space="preserve"> </w:t>
      </w:r>
      <w:r w:rsidRPr="0044293E" w:rsidR="0042107E">
        <w:t>2-hour BESS technology option</w:t>
      </w:r>
      <w:r w:rsidRPr="0044293E" w:rsidR="005450CB">
        <w:t xml:space="preserve"> will not provide adequate price signals to support the construction of new</w:t>
      </w:r>
      <w:r w:rsidRPr="0044293E" w:rsidR="001F5729">
        <w:t xml:space="preserve"> resources</w:t>
      </w:r>
      <w:r w:rsidRPr="0044293E" w:rsidR="005450CB">
        <w:t>, and the retention of existing resources</w:t>
      </w:r>
      <w:r w:rsidRPr="0044293E" w:rsidR="001F5729">
        <w:t>,</w:t>
      </w:r>
      <w:r w:rsidRPr="0044293E" w:rsidR="005450CB">
        <w:t xml:space="preserve"> to maintain NYISO’s system reliability.  </w:t>
      </w:r>
      <w:r w:rsidRPr="0044293E" w:rsidR="00DF701F">
        <w:t>For example</w:t>
      </w:r>
      <w:r w:rsidRPr="0044293E" w:rsidR="00CC63F9">
        <w:t>, NYTO’s a</w:t>
      </w:r>
      <w:r w:rsidRPr="0044293E" w:rsidR="000224C9">
        <w:t>n</w:t>
      </w:r>
      <w:r w:rsidRPr="0044293E" w:rsidR="00CC63F9">
        <w:t xml:space="preserve">alysis suggests that capacity costs could increase by 37% </w:t>
      </w:r>
      <w:r w:rsidRPr="0044293E" w:rsidR="00B339BA">
        <w:t xml:space="preserve">due to NYISO’s selection of the </w:t>
      </w:r>
      <w:r w:rsidRPr="0044293E" w:rsidR="00A055AA">
        <w:t>2</w:t>
      </w:r>
      <w:r w:rsidRPr="0044293E" w:rsidR="00B339BA">
        <w:t>-hour BESS</w:t>
      </w:r>
      <w:bookmarkEnd w:id="5"/>
      <w:r w:rsidR="00B339BA">
        <w:t xml:space="preserve">. </w:t>
      </w:r>
      <w:r w:rsidR="00CC63F9">
        <w:t xml:space="preserve"> </w:t>
      </w:r>
      <w:r w:rsidRPr="003D11AC">
        <w:t xml:space="preserve">  </w:t>
      </w:r>
    </w:p>
    <w:p w:rsidR="00283013" w:rsidP="002E4DF1">
      <w:pPr>
        <w:pStyle w:val="FERCparanumber"/>
      </w:pPr>
      <w:r>
        <w:t xml:space="preserve">Although IPPNY and Ravenswood </w:t>
      </w:r>
      <w:r w:rsidR="00DF701F">
        <w:t>state</w:t>
      </w:r>
      <w:r>
        <w:t xml:space="preserve"> that </w:t>
      </w:r>
      <w:r w:rsidR="00DB19CD">
        <w:t xml:space="preserve">future </w:t>
      </w:r>
      <w:r>
        <w:t xml:space="preserve">BESS cost declines </w:t>
      </w:r>
      <w:r w:rsidR="00DB19CD">
        <w:t xml:space="preserve">will </w:t>
      </w:r>
      <w:r>
        <w:t xml:space="preserve">result in ICAP market price reductions, NYISO presents recent analysis conducted by NYSDPS and NYSERDA </w:t>
      </w:r>
      <w:r w:rsidR="005834DF">
        <w:t xml:space="preserve">that </w:t>
      </w:r>
      <w:r w:rsidR="00394F0D">
        <w:t xml:space="preserve">finds </w:t>
      </w:r>
      <w:r>
        <w:t xml:space="preserve">that </w:t>
      </w:r>
      <w:r w:rsidR="00FE1205">
        <w:t xml:space="preserve">BESS </w:t>
      </w:r>
      <w:r>
        <w:t>costs ha</w:t>
      </w:r>
      <w:r w:rsidR="00815244">
        <w:t>ve</w:t>
      </w:r>
      <w:r>
        <w:t xml:space="preserve"> increased significantly over the past five years</w:t>
      </w:r>
      <w:r w:rsidR="005834DF">
        <w:t xml:space="preserve">, contrary to </w:t>
      </w:r>
      <w:r w:rsidR="00B46BC3">
        <w:t>prior forecasts</w:t>
      </w:r>
      <w:r>
        <w:t>.</w:t>
      </w:r>
      <w:r>
        <w:rPr>
          <w:rStyle w:val="FootnoteReference"/>
        </w:rPr>
        <w:footnoteReference w:id="147"/>
      </w:r>
      <w:r>
        <w:t xml:space="preserve">  </w:t>
      </w:r>
      <w:r w:rsidR="00DA093E">
        <w:t>Accordingly, we find that</w:t>
      </w:r>
      <w:r>
        <w:t xml:space="preserve"> </w:t>
      </w:r>
      <w:r w:rsidR="00704853">
        <w:t xml:space="preserve">IPPNY’s and Ravenswood’s argument </w:t>
      </w:r>
      <w:r>
        <w:t>is speculative</w:t>
      </w:r>
      <w:r w:rsidR="00D34D76">
        <w:t>,</w:t>
      </w:r>
      <w:r>
        <w:t xml:space="preserve"> and </w:t>
      </w:r>
      <w:r w:rsidR="00640788">
        <w:t xml:space="preserve">there is no </w:t>
      </w:r>
      <w:r w:rsidR="00444842">
        <w:t>evidence in the record</w:t>
      </w:r>
      <w:r w:rsidR="00640788">
        <w:t xml:space="preserve"> for</w:t>
      </w:r>
      <w:r w:rsidRPr="008D16E0">
        <w:t xml:space="preserve"> </w:t>
      </w:r>
      <w:r w:rsidR="00743F3F">
        <w:t>addressing the risk</w:t>
      </w:r>
      <w:r w:rsidR="00280BB8">
        <w:t xml:space="preserve"> of such cost declines</w:t>
      </w:r>
      <w:r w:rsidR="00743F3F">
        <w:t xml:space="preserve"> </w:t>
      </w:r>
      <w:r w:rsidR="00273B59">
        <w:t xml:space="preserve">by </w:t>
      </w:r>
      <w:r>
        <w:t>decreasing the amortization period or increasing financing costs for BESS costs for the 2025-2029 DCR</w:t>
      </w:r>
      <w:r w:rsidR="00273B59">
        <w:t>, as IPPNY requests</w:t>
      </w:r>
      <w:r>
        <w:t xml:space="preserve">.  We agree with NYISO that the appropriate forum for capturing actual changes in technology costs over time </w:t>
      </w:r>
      <w:r w:rsidR="00EF15CD">
        <w:t>is</w:t>
      </w:r>
      <w:r w:rsidR="00853B68">
        <w:t xml:space="preserve"> in the future</w:t>
      </w:r>
      <w:r w:rsidR="00EF15CD">
        <w:t xml:space="preserve"> </w:t>
      </w:r>
      <w:r w:rsidR="003D09BB">
        <w:t>DCR</w:t>
      </w:r>
      <w:r w:rsidRPr="001E2EBE">
        <w:t xml:space="preserve"> process</w:t>
      </w:r>
      <w:r w:rsidR="00853B68">
        <w:t>es that will occur</w:t>
      </w:r>
      <w:r w:rsidRPr="001E2EBE">
        <w:t xml:space="preserve"> every four years</w:t>
      </w:r>
      <w:r w:rsidR="00174F66">
        <w:t>,</w:t>
      </w:r>
      <w:r w:rsidRPr="001E2EBE">
        <w:t xml:space="preserve"> “so that changed circumstances, such as new regulations, can be taken into account.”</w:t>
      </w:r>
      <w:r>
        <w:rPr>
          <w:rStyle w:val="FootnoteReference"/>
        </w:rPr>
        <w:footnoteReference w:id="148"/>
      </w:r>
    </w:p>
    <w:p w:rsidR="000C4E4C" w:rsidP="00284558">
      <w:pPr>
        <w:pStyle w:val="Heading4"/>
      </w:pPr>
      <w:r>
        <w:t xml:space="preserve">Transmission Security </w:t>
      </w:r>
      <w:r w:rsidR="00C73BEB">
        <w:t>Considerations</w:t>
      </w:r>
    </w:p>
    <w:p w:rsidR="00BC37A3" w:rsidP="00AA75DB">
      <w:pPr>
        <w:pStyle w:val="FERCparanumber"/>
      </w:pPr>
      <w:r w:rsidRPr="00DC4FC6">
        <w:t>NYISO defines transmission security as the ability of the electric system to withstand disturbances such as electric short circuits or unanticipated loss of system elements.</w:t>
      </w:r>
      <w:r>
        <w:rPr>
          <w:rStyle w:val="FootnoteReference"/>
        </w:rPr>
        <w:footnoteReference w:id="149"/>
      </w:r>
      <w:r w:rsidRPr="00DC4FC6">
        <w:t xml:space="preserve">  </w:t>
      </w:r>
      <w:r>
        <w:t xml:space="preserve">NYISO </w:t>
      </w:r>
      <w:r w:rsidR="008B6F94">
        <w:t>states</w:t>
      </w:r>
      <w:r>
        <w:t xml:space="preserve"> that the capacity market is designed to address resource adequacy needs, not transmission security</w:t>
      </w:r>
      <w:r w:rsidRPr="0044293E">
        <w:t>, and thus peaking plants do not need to be capable of resolving both concerns.</w:t>
      </w:r>
      <w:r>
        <w:rPr>
          <w:rStyle w:val="FootnoteReference"/>
        </w:rPr>
        <w:footnoteReference w:id="150"/>
      </w:r>
      <w:r>
        <w:t xml:space="preserve">  </w:t>
      </w:r>
      <w:r w:rsidRPr="0044293E">
        <w:t>NYISO states that the Commission recognizes that the current capacity market is designed to ensure resource adequacy in New York</w:t>
      </w:r>
      <w:r w:rsidR="003F153F">
        <w:t>.</w:t>
      </w:r>
      <w:r>
        <w:rPr>
          <w:rStyle w:val="FootnoteReference"/>
        </w:rPr>
        <w:footnoteReference w:id="151"/>
      </w:r>
    </w:p>
    <w:p w:rsidR="00CE1ECB" w:rsidP="00AA75DB">
      <w:pPr>
        <w:pStyle w:val="FERCparanumber"/>
      </w:pPr>
      <w:r>
        <w:t>NYISO states that, during its stakeholder process, c</w:t>
      </w:r>
      <w:r w:rsidRPr="003801CA">
        <w:t>ertain stakeholders alleged that a 2-hour BESS unit is ineligible to serve as a peaking plant technology option because it cannot resolve longer-duration transmission security needs.</w:t>
      </w:r>
      <w:r>
        <w:t xml:space="preserve">  </w:t>
      </w:r>
      <w:r w:rsidRPr="0044293E" w:rsidR="00BC37A3">
        <w:t xml:space="preserve">NYISO </w:t>
      </w:r>
      <w:r w:rsidRPr="0044293E" w:rsidR="00130791">
        <w:t>states</w:t>
      </w:r>
      <w:r w:rsidRPr="0044293E" w:rsidR="00BC37A3">
        <w:t xml:space="preserve"> that a technology’s capability to resolve transmission security needs is irrelevant </w:t>
      </w:r>
      <w:r w:rsidRPr="0044293E" w:rsidR="00F2791D">
        <w:t xml:space="preserve">to </w:t>
      </w:r>
      <w:r w:rsidRPr="0044293E" w:rsidR="00BC37A3">
        <w:t>a technology’s economic viability, as it is not specified in the Services Tariff</w:t>
      </w:r>
      <w:r w:rsidRPr="007B7A1E" w:rsidR="00BC37A3">
        <w:t>.</w:t>
      </w:r>
      <w:r>
        <w:rPr>
          <w:rStyle w:val="FootnoteReference"/>
        </w:rPr>
        <w:footnoteReference w:id="152"/>
      </w:r>
      <w:r w:rsidR="00BC37A3">
        <w:t xml:space="preserve">  NYISO </w:t>
      </w:r>
      <w:r w:rsidR="00A144F4">
        <w:t xml:space="preserve">states </w:t>
      </w:r>
      <w:r w:rsidR="00BC37A3">
        <w:t xml:space="preserve">that </w:t>
      </w:r>
      <w:r w:rsidRPr="00466A5A" w:rsidR="00BC37A3">
        <w:t xml:space="preserve">the Commission has </w:t>
      </w:r>
      <w:r w:rsidR="00C76CD9">
        <w:t xml:space="preserve">previously </w:t>
      </w:r>
      <w:r w:rsidRPr="00466A5A" w:rsidR="00BC37A3">
        <w:t xml:space="preserve">held that seeking to declare technology options ineligible for consideration in the DCR based on requirements </w:t>
      </w:r>
      <w:r w:rsidR="00C76CD9">
        <w:t xml:space="preserve">outside of </w:t>
      </w:r>
      <w:r w:rsidRPr="00466A5A" w:rsidR="00BC37A3">
        <w:t>NYISO’s tariff is inappropriate</w:t>
      </w:r>
      <w:r w:rsidR="00BC37A3">
        <w:t>.</w:t>
      </w:r>
      <w:r>
        <w:rPr>
          <w:rStyle w:val="FootnoteReference"/>
        </w:rPr>
        <w:footnoteReference w:id="153"/>
      </w:r>
      <w:r w:rsidR="00BC37A3">
        <w:t xml:space="preserve">  </w:t>
      </w:r>
      <w:r w:rsidR="00264479">
        <w:t xml:space="preserve">NYISO </w:t>
      </w:r>
      <w:r w:rsidR="00014879">
        <w:t>explains</w:t>
      </w:r>
      <w:r w:rsidR="00264479">
        <w:t xml:space="preserve"> that the current capacity market design only indirectly considers certain aspects of transmission security.</w:t>
      </w:r>
      <w:r>
        <w:rPr>
          <w:rStyle w:val="FootnoteReference"/>
        </w:rPr>
        <w:footnoteReference w:id="154"/>
      </w:r>
      <w:r w:rsidR="008C75AA">
        <w:t xml:space="preserve">  NYISO </w:t>
      </w:r>
      <w:r w:rsidR="00180869">
        <w:t>states</w:t>
      </w:r>
      <w:r w:rsidR="008C75AA">
        <w:t xml:space="preserve"> that in determining </w:t>
      </w:r>
      <w:r w:rsidRPr="0015582F" w:rsidR="00292B8D">
        <w:t xml:space="preserve">Locational </w:t>
      </w:r>
      <w:r w:rsidR="00096B37">
        <w:t xml:space="preserve">Minimum Installed </w:t>
      </w:r>
      <w:r w:rsidRPr="0015582F" w:rsidR="00292B8D">
        <w:t>Capacity Requirements (LCR</w:t>
      </w:r>
      <w:r w:rsidR="00292B8D">
        <w:t>)</w:t>
      </w:r>
      <w:r w:rsidR="008C75AA">
        <w:t>, NYISO uses transmission security limit</w:t>
      </w:r>
      <w:r w:rsidR="0046611C">
        <w:t xml:space="preserve"> (TSL)</w:t>
      </w:r>
      <w:r w:rsidR="008C75AA">
        <w:t xml:space="preserve"> floor values as a lower limit </w:t>
      </w:r>
      <w:r w:rsidR="009C68ED">
        <w:t xml:space="preserve">on the allowable locational capacity requirement values.  NYISO states that the </w:t>
      </w:r>
      <w:r w:rsidR="0046611C">
        <w:t xml:space="preserve">TSL floor values are not intended to expressly solve for transmission </w:t>
      </w:r>
      <w:r w:rsidR="00CE5C88">
        <w:t>security needs</w:t>
      </w:r>
      <w:r w:rsidR="00BE75B4">
        <w:t>.</w:t>
      </w:r>
      <w:r w:rsidR="00CE5C88">
        <w:t xml:space="preserve"> </w:t>
      </w:r>
    </w:p>
    <w:p w:rsidR="00673948" w:rsidP="00AA75DB">
      <w:pPr>
        <w:pStyle w:val="FERCparanumber"/>
      </w:pPr>
      <w:r>
        <w:t>NYISO states that, s</w:t>
      </w:r>
      <w:r>
        <w:t xml:space="preserve">eparate to the instant filing, </w:t>
      </w:r>
      <w:r w:rsidRPr="007A2C5E">
        <w:t>NYISO has commenced a multi-year collaborative process with its stakeholders to evaluate potential enhancements to its current capacity market to value resource contributions to transmission security</w:t>
      </w:r>
      <w:r>
        <w:t>.</w:t>
      </w:r>
      <w:r>
        <w:rPr>
          <w:rStyle w:val="FootnoteReference"/>
        </w:rPr>
        <w:footnoteReference w:id="155"/>
      </w:r>
    </w:p>
    <w:p w:rsidR="007001D4" w:rsidRPr="001F0DBB" w:rsidP="00574CB0">
      <w:pPr>
        <w:pStyle w:val="Heading5"/>
      </w:pPr>
      <w:r>
        <w:t>Comments and Protests</w:t>
      </w:r>
    </w:p>
    <w:p w:rsidR="00B75EC7" w:rsidP="00B75EC7">
      <w:pPr>
        <w:pStyle w:val="FERCparanumber"/>
      </w:pPr>
      <w:r w:rsidRPr="0044293E">
        <w:t xml:space="preserve">MMU, IPPNY, </w:t>
      </w:r>
      <w:r w:rsidRPr="0044293E" w:rsidR="00842B33">
        <w:t xml:space="preserve">and </w:t>
      </w:r>
      <w:r w:rsidRPr="0044293E">
        <w:t>Ravenswood</w:t>
      </w:r>
      <w:r w:rsidRPr="0044293E" w:rsidR="00902FE4">
        <w:t xml:space="preserve"> </w:t>
      </w:r>
      <w:r w:rsidRPr="0044293E">
        <w:t>argue that the short duration of 2-hour BESS units is insufficient to respond to longer duration transmission security needs</w:t>
      </w:r>
      <w:r w:rsidRPr="00E71093">
        <w:t>.</w:t>
      </w:r>
      <w:r>
        <w:rPr>
          <w:rStyle w:val="FootnoteReference"/>
        </w:rPr>
        <w:footnoteReference w:id="156"/>
      </w:r>
    </w:p>
    <w:p w:rsidR="007001D4" w:rsidP="007001D4">
      <w:pPr>
        <w:pStyle w:val="FERCparanumber"/>
      </w:pPr>
      <w:r w:rsidRPr="0015582F">
        <w:t xml:space="preserve">MMU argues that the problems with the selection of </w:t>
      </w:r>
      <w:r w:rsidR="002F2AF9">
        <w:t>the</w:t>
      </w:r>
      <w:r w:rsidRPr="0015582F">
        <w:t xml:space="preserve"> </w:t>
      </w:r>
      <w:r w:rsidR="002F2AF9">
        <w:t>2</w:t>
      </w:r>
      <w:r w:rsidRPr="0015582F">
        <w:t xml:space="preserve">-hour </w:t>
      </w:r>
      <w:r w:rsidR="002F2AF9">
        <w:t>BESS</w:t>
      </w:r>
      <w:r w:rsidRPr="0015582F">
        <w:t xml:space="preserve"> are exacerbated </w:t>
      </w:r>
      <w:r w:rsidRPr="00A77A67">
        <w:t>when</w:t>
      </w:r>
      <w:r w:rsidRPr="0015582F">
        <w:t xml:space="preserve"> capacity requirements are derived from transmission security criteria.</w:t>
      </w:r>
      <w:r>
        <w:rPr>
          <w:b/>
          <w:vertAlign w:val="superscript"/>
        </w:rPr>
        <w:footnoteReference w:id="157"/>
      </w:r>
      <w:r w:rsidRPr="0015582F">
        <w:t xml:space="preserve">  MMU notes that the LCRs in NYISO’s capacity market have been determined by NYISO’s TSL methodology for at least one zone in four out of </w:t>
      </w:r>
      <w:r w:rsidRPr="00A77A67">
        <w:t>the</w:t>
      </w:r>
      <w:r w:rsidRPr="0015582F">
        <w:t xml:space="preserve"> six years</w:t>
      </w:r>
      <w:r w:rsidR="00E77B77">
        <w:t xml:space="preserve"> since the T</w:t>
      </w:r>
      <w:r w:rsidR="00A77A67">
        <w:t>SL</w:t>
      </w:r>
      <w:r w:rsidR="005C5A83">
        <w:t>s</w:t>
      </w:r>
      <w:r w:rsidR="00E77B77">
        <w:t xml:space="preserve"> were introduced</w:t>
      </w:r>
      <w:r w:rsidRPr="0015582F">
        <w:t>, including for all three downstate zones in the current capability year.</w:t>
      </w:r>
      <w:r>
        <w:rPr>
          <w:b/>
          <w:vertAlign w:val="superscript"/>
        </w:rPr>
        <w:footnoteReference w:id="158"/>
      </w:r>
      <w:r w:rsidRPr="0020106C" w:rsidR="0020106C">
        <w:t xml:space="preserve"> </w:t>
      </w:r>
      <w:r w:rsidR="0020106C">
        <w:t xml:space="preserve"> </w:t>
      </w:r>
      <w:r w:rsidRPr="0044293E" w:rsidR="0020106C">
        <w:t xml:space="preserve">MMU </w:t>
      </w:r>
      <w:r w:rsidRPr="0044293E" w:rsidR="00CE0B42">
        <w:t>claims</w:t>
      </w:r>
      <w:r w:rsidRPr="0044293E" w:rsidR="0020106C">
        <w:t xml:space="preserve"> that the ICAP Demand Curves are designed to maintain supply in each zone at or above its LCR and thus the Net CONE established in this DCR will directly determine market incentives to satisfy transmission security requirements that are met through the capacity market</w:t>
      </w:r>
      <w:r w:rsidRPr="0020106C" w:rsidR="0020106C">
        <w:t>.</w:t>
      </w:r>
      <w:r>
        <w:rPr>
          <w:b/>
          <w:vertAlign w:val="superscript"/>
        </w:rPr>
        <w:footnoteReference w:id="159"/>
      </w:r>
      <w:r w:rsidRPr="0020106C" w:rsidR="0020106C">
        <w:t xml:space="preserve">  </w:t>
      </w:r>
      <w:r w:rsidR="00703CF3">
        <w:t xml:space="preserve">Ravenswood similarly claims that </w:t>
      </w:r>
      <w:r w:rsidR="00FF5C1C">
        <w:t xml:space="preserve">when NYISO proposed to incorporate </w:t>
      </w:r>
      <w:r w:rsidR="00A06366">
        <w:t>TSL into the LCR, it stated that the LCR</w:t>
      </w:r>
      <w:r w:rsidRPr="00C90B18" w:rsidR="00C90B18">
        <w:t xml:space="preserve"> values </w:t>
      </w:r>
      <w:r w:rsidR="00C90B18">
        <w:t xml:space="preserve">must </w:t>
      </w:r>
      <w:r w:rsidRPr="00C90B18" w:rsidR="00C90B18">
        <w:t>ensur</w:t>
      </w:r>
      <w:r w:rsidR="00C90B18">
        <w:t>e</w:t>
      </w:r>
      <w:r w:rsidRPr="00C90B18" w:rsidR="00C90B18">
        <w:t xml:space="preserve"> the final least cost solution results in capacity levels that additionally meet the transmission security import limitations of the </w:t>
      </w:r>
      <w:r w:rsidR="00800EB4">
        <w:t>zones</w:t>
      </w:r>
      <w:r w:rsidR="00C90B18">
        <w:t>.</w:t>
      </w:r>
      <w:r>
        <w:rPr>
          <w:rStyle w:val="FootnoteReference"/>
        </w:rPr>
        <w:footnoteReference w:id="160"/>
      </w:r>
      <w:r w:rsidR="00C90B18">
        <w:t xml:space="preserve">  </w:t>
      </w:r>
      <w:r w:rsidR="00A1201E">
        <w:t xml:space="preserve">Ravenswood concludes that this means </w:t>
      </w:r>
      <w:r w:rsidR="002433D7">
        <w:t xml:space="preserve">that </w:t>
      </w:r>
      <w:r w:rsidR="00A1201E">
        <w:t>t</w:t>
      </w:r>
      <w:r w:rsidRPr="00A1201E" w:rsidR="00A1201E">
        <w:t xml:space="preserve">ransmission security ensures the minimum levels of capacity that remain in each </w:t>
      </w:r>
      <w:r w:rsidR="00800EB4">
        <w:t>capacity zone</w:t>
      </w:r>
      <w:r w:rsidRPr="00A1201E" w:rsidR="00A1201E">
        <w:t xml:space="preserve"> are sufficient to maintain reliability</w:t>
      </w:r>
      <w:r w:rsidR="00A710DF">
        <w:t xml:space="preserve">.  </w:t>
      </w:r>
      <w:r w:rsidR="00197E13">
        <w:t>M</w:t>
      </w:r>
      <w:r w:rsidRPr="00CE0B42" w:rsidR="00CE0B42">
        <w:t xml:space="preserve">MU contends that if 2-hour </w:t>
      </w:r>
      <w:r w:rsidR="009E6B67">
        <w:t>BESS units</w:t>
      </w:r>
      <w:r w:rsidRPr="00CE0B42" w:rsidR="00CE0B42">
        <w:t xml:space="preserve"> are built in areas where the LCRs are based on transmission security criteria, NYISO will have to increase the LCRs to account for differences between the 2-hour </w:t>
      </w:r>
      <w:r w:rsidR="009E6B67">
        <w:t>BESS</w:t>
      </w:r>
      <w:r w:rsidRPr="00CE0B42" w:rsidR="009E6B67">
        <w:t xml:space="preserve">’s </w:t>
      </w:r>
      <w:r w:rsidRPr="00CE0B42" w:rsidR="00CE0B42">
        <w:t>CAF and its contribution to transmission security needs, leading to higher costs for consumers.</w:t>
      </w:r>
      <w:r>
        <w:rPr>
          <w:b/>
          <w:vertAlign w:val="superscript"/>
        </w:rPr>
        <w:footnoteReference w:id="161"/>
      </w:r>
    </w:p>
    <w:p w:rsidR="00270F64" w:rsidP="004B672D">
      <w:pPr>
        <w:pStyle w:val="FERCparanumber"/>
      </w:pPr>
      <w:r>
        <w:t xml:space="preserve">Furthermore, </w:t>
      </w:r>
      <w:r>
        <w:t xml:space="preserve">MMU </w:t>
      </w:r>
      <w:r w:rsidR="00EF7F5A">
        <w:t>contends</w:t>
      </w:r>
      <w:r>
        <w:t xml:space="preserve"> that a</w:t>
      </w:r>
      <w:r w:rsidRPr="00E71093">
        <w:t xml:space="preserve">n </w:t>
      </w:r>
      <w:r>
        <w:t>a</w:t>
      </w:r>
      <w:r w:rsidRPr="00E71093">
        <w:t xml:space="preserve">ccurate </w:t>
      </w:r>
      <w:r>
        <w:t>a</w:t>
      </w:r>
      <w:r w:rsidRPr="00E71093">
        <w:t xml:space="preserve">ssessment of </w:t>
      </w:r>
      <w:r w:rsidR="00BC5B30">
        <w:t xml:space="preserve">a </w:t>
      </w:r>
      <w:r>
        <w:t>p</w:t>
      </w:r>
      <w:r w:rsidRPr="00E71093">
        <w:t xml:space="preserve">eaking </w:t>
      </w:r>
      <w:r>
        <w:t>u</w:t>
      </w:r>
      <w:r w:rsidRPr="00E71093">
        <w:t>nit</w:t>
      </w:r>
      <w:r w:rsidR="00BC5B30">
        <w:t>’</w:t>
      </w:r>
      <w:r w:rsidRPr="00E71093">
        <w:t xml:space="preserve">s </w:t>
      </w:r>
      <w:r>
        <w:t>c</w:t>
      </w:r>
      <w:r w:rsidRPr="00E71093">
        <w:t xml:space="preserve">ost </w:t>
      </w:r>
      <w:r>
        <w:t>m</w:t>
      </w:r>
      <w:r w:rsidRPr="00E71093">
        <w:t xml:space="preserve">ust </w:t>
      </w:r>
      <w:r>
        <w:t>c</w:t>
      </w:r>
      <w:r w:rsidRPr="00E71093">
        <w:t xml:space="preserve">onsider </w:t>
      </w:r>
      <w:r w:rsidR="00BC5B30">
        <w:t>its</w:t>
      </w:r>
      <w:r w:rsidRPr="00E71093" w:rsidR="00BC5B30">
        <w:t xml:space="preserve"> </w:t>
      </w:r>
      <w:r>
        <w:t>t</w:t>
      </w:r>
      <w:r w:rsidRPr="00E71093">
        <w:t xml:space="preserve">ransmission </w:t>
      </w:r>
      <w:r>
        <w:t>s</w:t>
      </w:r>
      <w:r w:rsidRPr="00E71093">
        <w:t xml:space="preserve">ecurity </w:t>
      </w:r>
      <w:r>
        <w:t>c</w:t>
      </w:r>
      <w:r w:rsidRPr="00E71093">
        <w:t>ontributions</w:t>
      </w:r>
      <w:r>
        <w:t>.</w:t>
      </w:r>
      <w:r>
        <w:rPr>
          <w:rStyle w:val="FootnoteReference"/>
        </w:rPr>
        <w:footnoteReference w:id="162"/>
      </w:r>
      <w:r w:rsidRPr="00E71093">
        <w:t xml:space="preserve">  </w:t>
      </w:r>
      <w:r w:rsidRPr="0044293E">
        <w:t xml:space="preserve">MMU notes that a </w:t>
      </w:r>
      <w:r w:rsidRPr="0044293E" w:rsidR="00BC5B30">
        <w:t>resource’s</w:t>
      </w:r>
      <w:r w:rsidRPr="0044293E">
        <w:t xml:space="preserve"> contribution to transmission security needs is not currently considered in a resource’s CAF, but it affects the net supply the resource effectively provides towards meeting the</w:t>
      </w:r>
      <w:r w:rsidRPr="00E71093">
        <w:t xml:space="preserve"> system’s capacity requirements.</w:t>
      </w:r>
      <w:r>
        <w:rPr>
          <w:rStyle w:val="FootnoteReference"/>
        </w:rPr>
        <w:footnoteReference w:id="163"/>
      </w:r>
      <w:r>
        <w:t xml:space="preserve">  MMU alleges that </w:t>
      </w:r>
      <w:r w:rsidRPr="00E71093">
        <w:t>NYISO’s practice</w:t>
      </w:r>
      <w:r>
        <w:t xml:space="preserve"> f</w:t>
      </w:r>
      <w:r w:rsidRPr="00645BAA">
        <w:t>or resources that make limited contributions towards transmission security requirements</w:t>
      </w:r>
      <w:r>
        <w:t xml:space="preserve"> </w:t>
      </w:r>
      <w:r w:rsidRPr="00645BAA">
        <w:t>is to increase the TSL floors (and therefore, the LCRs) to account for the resource’s low contribution to transmission security.</w:t>
      </w:r>
      <w:r>
        <w:rPr>
          <w:rStyle w:val="FootnoteReference"/>
        </w:rPr>
        <w:footnoteReference w:id="164"/>
      </w:r>
      <w:r>
        <w:t xml:space="preserve">  </w:t>
      </w:r>
      <w:r w:rsidRPr="003A17D9">
        <w:t xml:space="preserve">MMU states that the accredited UCAP of such resources can be much greater than their actual contribution to the capacity requirements and that if this is not considered in the </w:t>
      </w:r>
      <w:r w:rsidRPr="003A17D9" w:rsidR="00ED72C7">
        <w:t>DCR</w:t>
      </w:r>
      <w:r w:rsidRPr="003A17D9">
        <w:t>, NYISO may not select the most cost-effective peaking technology for the system.</w:t>
      </w:r>
      <w:r>
        <w:rPr>
          <w:rStyle w:val="FootnoteReference"/>
        </w:rPr>
        <w:footnoteReference w:id="165"/>
      </w:r>
      <w:r w:rsidRPr="00645BAA">
        <w:t xml:space="preserve">  </w:t>
      </w:r>
      <w:r>
        <w:t>MMU states that t</w:t>
      </w:r>
      <w:r w:rsidRPr="00645BAA">
        <w:t xml:space="preserve">he analysis performed by NYISO and </w:t>
      </w:r>
      <w:r w:rsidR="00C521F1">
        <w:t>NYISO Consultant</w:t>
      </w:r>
      <w:r w:rsidRPr="00645BAA">
        <w:t xml:space="preserve"> for the 2-hour </w:t>
      </w:r>
      <w:r>
        <w:t>BESS</w:t>
      </w:r>
      <w:r w:rsidRPr="00645BAA">
        <w:t xml:space="preserve"> does not account for its limitations in addressing transmission security</w:t>
      </w:r>
      <w:r>
        <w:t xml:space="preserve"> and thus </w:t>
      </w:r>
      <w:r w:rsidRPr="00645BAA">
        <w:t>is incomplete and not a reasonable basis to support NYISO’s recommendation.</w:t>
      </w:r>
      <w:r>
        <w:rPr>
          <w:rStyle w:val="FootnoteReference"/>
        </w:rPr>
        <w:footnoteReference w:id="166"/>
      </w:r>
      <w:r w:rsidRPr="00645BAA">
        <w:t xml:space="preserve">   </w:t>
      </w:r>
    </w:p>
    <w:p w:rsidR="00B75EC7" w:rsidRPr="0044293E" w:rsidP="0098333A">
      <w:pPr>
        <w:pStyle w:val="FERCparanumber"/>
      </w:pPr>
      <w:r w:rsidRPr="00A77A67">
        <w:t xml:space="preserve">Consumer Stakeholders, </w:t>
      </w:r>
      <w:r w:rsidRPr="00A77A67">
        <w:t>Con Edison and Orange and Rockland, and NYTOs</w:t>
      </w:r>
      <w:r w:rsidRPr="007D0836">
        <w:t xml:space="preserve"> contend that the </w:t>
      </w:r>
      <w:r w:rsidR="00993364">
        <w:t xml:space="preserve">purpose of </w:t>
      </w:r>
      <w:r w:rsidRPr="0044293E" w:rsidR="00993364">
        <w:t>the</w:t>
      </w:r>
      <w:r w:rsidRPr="0044293E">
        <w:t xml:space="preserve"> ICAP market is to ensure that resource adequacy requirements are met, and not to solve for other reliability issues, including transmission security needs.</w:t>
      </w:r>
      <w:r>
        <w:rPr>
          <w:rStyle w:val="FootnoteReference"/>
        </w:rPr>
        <w:footnoteReference w:id="167"/>
      </w:r>
      <w:r w:rsidRPr="0044293E">
        <w:t xml:space="preserve"> </w:t>
      </w:r>
    </w:p>
    <w:p w:rsidR="00263B71" w:rsidP="00263B71">
      <w:pPr>
        <w:pStyle w:val="Heading5"/>
      </w:pPr>
      <w:r>
        <w:t>Answer</w:t>
      </w:r>
      <w:r w:rsidR="00CB2853">
        <w:t>s</w:t>
      </w:r>
    </w:p>
    <w:p w:rsidR="009B7F1F" w:rsidP="003763E6">
      <w:pPr>
        <w:pStyle w:val="FERCparanumber"/>
      </w:pPr>
      <w:r>
        <w:t xml:space="preserve"> </w:t>
      </w:r>
      <w:r w:rsidRPr="00E751BC" w:rsidR="00D87149">
        <w:t xml:space="preserve">NYISO contends that while </w:t>
      </w:r>
      <w:r w:rsidR="00C2690D">
        <w:t xml:space="preserve">its </w:t>
      </w:r>
      <w:r w:rsidRPr="00E751BC" w:rsidR="00D87149">
        <w:t xml:space="preserve">current procedures for determining </w:t>
      </w:r>
      <w:r w:rsidR="00403F7B">
        <w:t>LCRs</w:t>
      </w:r>
      <w:r w:rsidRPr="00E751BC" w:rsidR="00D87149">
        <w:t xml:space="preserve"> include certain considerations related to transmission security, </w:t>
      </w:r>
      <w:r w:rsidRPr="0044293E" w:rsidR="003F6FF7">
        <w:t xml:space="preserve">NYISO does </w:t>
      </w:r>
      <w:r w:rsidRPr="0044293E" w:rsidR="00C57073">
        <w:t>not</w:t>
      </w:r>
      <w:r w:rsidRPr="0044293E" w:rsidR="00D87149">
        <w:t xml:space="preserve"> expressly value resource contributions toward meeting transmission security requirements</w:t>
      </w:r>
      <w:r w:rsidRPr="00E751BC" w:rsidR="00D87149">
        <w:t>.</w:t>
      </w:r>
      <w:r>
        <w:rPr>
          <w:b/>
          <w:vertAlign w:val="superscript"/>
        </w:rPr>
        <w:footnoteReference w:id="168"/>
      </w:r>
      <w:r w:rsidRPr="00E751BC" w:rsidR="00D87149">
        <w:t xml:space="preserve">  NYISO argues that the intent of the current market design is to ensure that </w:t>
      </w:r>
      <w:r w:rsidR="00003CD8">
        <w:t>LCRs</w:t>
      </w:r>
      <w:r w:rsidRPr="00E751BC" w:rsidR="00D87149">
        <w:t xml:space="preserve"> are not set based on assumed levels of power transfers into transmission constrained regions that would violate transmission security based limitations on such transfer levels</w:t>
      </w:r>
      <w:r w:rsidR="00DF71DE">
        <w:t>.  NYISO states</w:t>
      </w:r>
      <w:r w:rsidRPr="00E751BC" w:rsidR="00D87149">
        <w:t xml:space="preserve"> that the capability to resolve transmission security needs is </w:t>
      </w:r>
      <w:r w:rsidR="00DF5436">
        <w:t xml:space="preserve">not </w:t>
      </w:r>
      <w:r w:rsidRPr="00E751BC" w:rsidR="00D87149">
        <w:t xml:space="preserve">an eligibility requirement for a technology to serve as the </w:t>
      </w:r>
      <w:r w:rsidR="00E026D7">
        <w:t xml:space="preserve">peaking unit </w:t>
      </w:r>
      <w:r w:rsidR="00B17A17">
        <w:t>unde</w:t>
      </w:r>
      <w:r w:rsidR="00EF7AB9">
        <w:t>r the</w:t>
      </w:r>
      <w:r w:rsidRPr="00E751BC" w:rsidR="00D87149">
        <w:t xml:space="preserve"> current capacity market design, the Services Tariff, and Commission precedent.</w:t>
      </w:r>
      <w:r>
        <w:rPr>
          <w:b/>
          <w:vertAlign w:val="superscript"/>
        </w:rPr>
        <w:footnoteReference w:id="169"/>
      </w:r>
      <w:r w:rsidRPr="00E751BC" w:rsidR="00D87149">
        <w:t xml:space="preserve"> </w:t>
      </w:r>
      <w:r>
        <w:t xml:space="preserve">  </w:t>
      </w:r>
    </w:p>
    <w:p w:rsidR="00CB2853" w:rsidP="00CB2853">
      <w:pPr>
        <w:pStyle w:val="FERCparanumber"/>
      </w:pPr>
      <w:r>
        <w:t>NYTOs assert that the capacity market is not designed to satisfy both resource adequacy and transmission security for portions of NYISO’s bulk power system.</w:t>
      </w:r>
      <w:r>
        <w:rPr>
          <w:rStyle w:val="FootnoteReference"/>
        </w:rPr>
        <w:footnoteReference w:id="170"/>
      </w:r>
      <w:r>
        <w:t xml:space="preserve">   NYTOs argue that TSL set the foundational assumption for the LCR calculations, but LCR calculations are fundamentally</w:t>
      </w:r>
      <w:r w:rsidR="00C903A0">
        <w:t xml:space="preserve"> based upon</w:t>
      </w:r>
      <w:r>
        <w:t xml:space="preserve"> resource adequacy, not transmission security, determinations.</w:t>
      </w:r>
      <w:r>
        <w:rPr>
          <w:rStyle w:val="FootnoteReference"/>
        </w:rPr>
        <w:footnoteReference w:id="171"/>
      </w:r>
      <w:r>
        <w:t xml:space="preserve">  Additionally, NYTOs state that </w:t>
      </w:r>
      <w:r w:rsidR="005B6D5C">
        <w:t>the</w:t>
      </w:r>
      <w:r>
        <w:t xml:space="preserve"> Commission</w:t>
      </w:r>
      <w:r w:rsidR="005B6D5C">
        <w:t>’s prior approval of</w:t>
      </w:r>
      <w:r>
        <w:t xml:space="preserve"> </w:t>
      </w:r>
      <w:r w:rsidRPr="00E52B7A">
        <w:t xml:space="preserve">changes to the procedure </w:t>
      </w:r>
      <w:r>
        <w:t>used</w:t>
      </w:r>
      <w:r w:rsidRPr="00E52B7A">
        <w:t xml:space="preserve"> to </w:t>
      </w:r>
      <w:r w:rsidR="005B6D5C">
        <w:t>develop</w:t>
      </w:r>
      <w:r w:rsidRPr="00E52B7A">
        <w:t xml:space="preserve"> LCRs</w:t>
      </w:r>
      <w:r>
        <w:t xml:space="preserve"> was not intended to ensure that transmission security requirements are met, but rather ensures ICAP requirements will be consistent with transmission security requirements.</w:t>
      </w:r>
      <w:r>
        <w:rPr>
          <w:rStyle w:val="FootnoteReference"/>
        </w:rPr>
        <w:footnoteReference w:id="172"/>
      </w:r>
      <w:r w:rsidR="00F43A7C">
        <w:t xml:space="preserve"> </w:t>
      </w:r>
      <w:r>
        <w:t xml:space="preserve"> Additionally, NYTOs claim that IPPNY</w:t>
      </w:r>
      <w:r w:rsidR="00304D80">
        <w:t>’s</w:t>
      </w:r>
      <w:r>
        <w:t xml:space="preserve"> p</w:t>
      </w:r>
      <w:r w:rsidRPr="00057F39">
        <w:t xml:space="preserve">rior </w:t>
      </w:r>
      <w:r>
        <w:t>p</w:t>
      </w:r>
      <w:r w:rsidRPr="00057F39">
        <w:t xml:space="preserve">ositions </w:t>
      </w:r>
      <w:r>
        <w:t>a</w:t>
      </w:r>
      <w:r w:rsidRPr="00057F39">
        <w:t xml:space="preserve">re </w:t>
      </w:r>
      <w:r>
        <w:t>n</w:t>
      </w:r>
      <w:r w:rsidRPr="00057F39">
        <w:t xml:space="preserve">ot </w:t>
      </w:r>
      <w:r>
        <w:t>c</w:t>
      </w:r>
      <w:r w:rsidRPr="00057F39">
        <w:t xml:space="preserve">onsistent with the </w:t>
      </w:r>
      <w:r>
        <w:t>c</w:t>
      </w:r>
      <w:r w:rsidRPr="00057F39">
        <w:t xml:space="preserve">laim </w:t>
      </w:r>
      <w:r>
        <w:t>t</w:t>
      </w:r>
      <w:r w:rsidRPr="00057F39">
        <w:t xml:space="preserve">hat the </w:t>
      </w:r>
      <w:r>
        <w:t>c</w:t>
      </w:r>
      <w:r w:rsidRPr="00057F39">
        <w:t xml:space="preserve">apacity </w:t>
      </w:r>
      <w:r>
        <w:t>m</w:t>
      </w:r>
      <w:r w:rsidRPr="00057F39">
        <w:t xml:space="preserve">arket </w:t>
      </w:r>
      <w:r>
        <w:t>i</w:t>
      </w:r>
      <w:r w:rsidRPr="00057F39">
        <w:t xml:space="preserve">s </w:t>
      </w:r>
      <w:r>
        <w:t>d</w:t>
      </w:r>
      <w:r w:rsidRPr="00057F39">
        <w:t xml:space="preserve">esigned to </w:t>
      </w:r>
      <w:r>
        <w:t>s</w:t>
      </w:r>
      <w:r w:rsidRPr="00057F39">
        <w:t xml:space="preserve">atisfy </w:t>
      </w:r>
      <w:r>
        <w:t>t</w:t>
      </w:r>
      <w:r w:rsidRPr="00057F39">
        <w:t xml:space="preserve">ransmission </w:t>
      </w:r>
      <w:r>
        <w:t>s</w:t>
      </w:r>
      <w:r w:rsidRPr="00057F39">
        <w:t xml:space="preserve">ecurity </w:t>
      </w:r>
      <w:r>
        <w:t>c</w:t>
      </w:r>
      <w:r w:rsidRPr="00057F39">
        <w:t>riteria</w:t>
      </w:r>
      <w:r>
        <w:t>.</w:t>
      </w:r>
      <w:r>
        <w:rPr>
          <w:rStyle w:val="FootnoteReference"/>
        </w:rPr>
        <w:footnoteReference w:id="173"/>
      </w:r>
      <w:r>
        <w:t xml:space="preserve">  </w:t>
      </w:r>
      <w:r w:rsidR="00A32B6A">
        <w:t>Consumer Stakeholders similarly assert that protesters’ arguments mischaracterize the purpose of the DCR process and confuse the differences between NYISO’s reliability studies and NYISO’s capacity market design.</w:t>
      </w:r>
      <w:r>
        <w:rPr>
          <w:rStyle w:val="FootnoteReference"/>
        </w:rPr>
        <w:footnoteReference w:id="174"/>
      </w:r>
      <w:r w:rsidR="00A32B6A">
        <w:t xml:space="preserve"> </w:t>
      </w:r>
    </w:p>
    <w:p w:rsidR="00CB2853" w:rsidRPr="009B7F1F" w:rsidP="00CB2853">
      <w:pPr>
        <w:pStyle w:val="FERCparanumber"/>
      </w:pPr>
      <w:r>
        <w:t>According to NYTOs, changes intended to transform the ICAP market to satisfy both resource adequacy and transmission security requirements cannot be lawfully implemented without the Commission’s acceptance of tariff amendments under FPA section 205.</w:t>
      </w:r>
      <w:r>
        <w:rPr>
          <w:rStyle w:val="FootnoteReference"/>
        </w:rPr>
        <w:footnoteReference w:id="175"/>
      </w:r>
      <w:r w:rsidR="001C029C">
        <w:t xml:space="preserve"> </w:t>
      </w:r>
      <w:r w:rsidR="004C65F0">
        <w:t xml:space="preserve"> </w:t>
      </w:r>
      <w:r w:rsidR="001C029C">
        <w:t>Consumer Stakeholders also state that protesters’ attempts to incorporate NYISO’s reliability studies and transmission security into the DCR process is beyond the scope of the requirements set in the Services Tariff.</w:t>
      </w:r>
      <w:r>
        <w:rPr>
          <w:rStyle w:val="FootnoteReference"/>
        </w:rPr>
        <w:footnoteReference w:id="176"/>
      </w:r>
    </w:p>
    <w:p w:rsidR="007001D4">
      <w:pPr>
        <w:pStyle w:val="Heading5"/>
      </w:pPr>
      <w:r>
        <w:t>Commission Determination</w:t>
      </w:r>
    </w:p>
    <w:p w:rsidR="002C6E1B" w:rsidP="008A4FD2">
      <w:pPr>
        <w:pStyle w:val="FERCparanumber"/>
      </w:pPr>
      <w:r>
        <w:t xml:space="preserve">We find that protesters’ arguments about transmission security needs are misplaced.  </w:t>
      </w:r>
      <w:bookmarkStart w:id="6" w:name="_Hlk188800912"/>
      <w:r w:rsidRPr="0044293E" w:rsidR="00247C05">
        <w:t>T</w:t>
      </w:r>
      <w:r w:rsidRPr="0044293E" w:rsidR="006A69A2">
        <w:t xml:space="preserve">he Services Tariff </w:t>
      </w:r>
      <w:r w:rsidRPr="0044293E" w:rsidR="00247C05">
        <w:t>does not</w:t>
      </w:r>
      <w:r w:rsidRPr="0044293E" w:rsidR="006A69A2">
        <w:t xml:space="preserve"> require NYISO to consider the </w:t>
      </w:r>
      <w:r w:rsidRPr="0044293E" w:rsidR="008A45E8">
        <w:t xml:space="preserve">potential </w:t>
      </w:r>
      <w:r w:rsidRPr="0044293E" w:rsidR="006A69A2">
        <w:t>peaking unit’s contribution to transmission security needs</w:t>
      </w:r>
      <w:r w:rsidRPr="0044293E" w:rsidR="00EF438D">
        <w:t xml:space="preserve"> </w:t>
      </w:r>
      <w:r w:rsidRPr="0044293E" w:rsidR="00C071F3">
        <w:t>under</w:t>
      </w:r>
      <w:r w:rsidRPr="0044293E" w:rsidR="00EF438D">
        <w:t xml:space="preserve"> the DCR</w:t>
      </w:r>
      <w:bookmarkEnd w:id="6"/>
      <w:r w:rsidRPr="0044293E" w:rsidR="006A69A2">
        <w:t>.</w:t>
      </w:r>
      <w:r w:rsidRPr="006A69A2" w:rsidR="006A69A2">
        <w:t xml:space="preserve">  </w:t>
      </w:r>
      <w:r w:rsidRPr="00C94BBA" w:rsidR="00C94BBA">
        <w:t>The Services Tariff states that the relevant minimum capacity requirement for each zone “shall be equal to the Locational Minimum Installed Capacity Requirement in effect for the year in which the independent consultant’s final report [for the DCR] is issued.”</w:t>
      </w:r>
      <w:r>
        <w:rPr>
          <w:b/>
          <w:vertAlign w:val="superscript"/>
        </w:rPr>
        <w:footnoteReference w:id="177"/>
      </w:r>
      <w:r w:rsidRPr="00C94BBA" w:rsidR="00C94BBA">
        <w:t xml:space="preserve">  Thus, the Services Tariff provides that the peaking plant costs are assessed considering the currently effective LCRs</w:t>
      </w:r>
      <w:r w:rsidR="00C25CD4">
        <w:t>, which NYISO has done</w:t>
      </w:r>
      <w:r w:rsidRPr="00C94BBA" w:rsidR="00C94BBA">
        <w:t xml:space="preserve">.  </w:t>
      </w:r>
      <w:r w:rsidRPr="009155D5" w:rsidR="009155D5">
        <w:t>As noted above, NYISO selected the 2-hour BESS as the peaking unit because, based on NYISO’s assessment and assumptions for the costs and revenues of the economically viable technologies, it minimizes the cost of procuring UCAP.</w:t>
      </w:r>
      <w:r w:rsidR="00837329">
        <w:t xml:space="preserve">  </w:t>
      </w:r>
    </w:p>
    <w:p w:rsidR="007001D4" w:rsidP="008A4FD2">
      <w:pPr>
        <w:pStyle w:val="FERCparanumber"/>
      </w:pPr>
      <w:r>
        <w:t xml:space="preserve">We are not persuaded by </w:t>
      </w:r>
      <w:r w:rsidRPr="00C94BBA" w:rsidR="00C94BBA">
        <w:t>MMU</w:t>
      </w:r>
      <w:r>
        <w:t>’s</w:t>
      </w:r>
      <w:r w:rsidRPr="00C94BBA" w:rsidR="00C94BBA">
        <w:t xml:space="preserve"> assert</w:t>
      </w:r>
      <w:r>
        <w:t>ion</w:t>
      </w:r>
      <w:r w:rsidRPr="00C94BBA" w:rsidR="00C94BBA">
        <w:t xml:space="preserve"> that NYISO should instead assess the cost of a 2-hour BESS using a hypothetical LCR that considers the low transmission security contribution of the 2-hour BESS</w:t>
      </w:r>
      <w:r w:rsidR="00743B4C">
        <w:t xml:space="preserve">, </w:t>
      </w:r>
      <w:r w:rsidRPr="0044293E" w:rsidR="00743B4C">
        <w:t>because</w:t>
      </w:r>
      <w:r w:rsidRPr="0044293E" w:rsidR="00C94BBA">
        <w:t xml:space="preserve"> MMU’s argument would impose a requirement on the DCR process that is not </w:t>
      </w:r>
      <w:r w:rsidRPr="0044293E" w:rsidR="00DB5A51">
        <w:t xml:space="preserve">currently </w:t>
      </w:r>
      <w:r w:rsidRPr="0044293E" w:rsidR="00C94BBA">
        <w:t>present in the Services Tariff</w:t>
      </w:r>
      <w:r w:rsidRPr="00C94BBA" w:rsidR="00C94BBA">
        <w:t>.</w:t>
      </w:r>
      <w:r>
        <w:rPr>
          <w:rStyle w:val="FootnoteReference"/>
        </w:rPr>
        <w:footnoteReference w:id="178"/>
      </w:r>
      <w:r w:rsidR="004A24A8">
        <w:t xml:space="preserve">  </w:t>
      </w:r>
      <w:r w:rsidR="00CD49EA">
        <w:t>Moreover</w:t>
      </w:r>
      <w:r w:rsidR="00FB5BDD">
        <w:t xml:space="preserve">, </w:t>
      </w:r>
      <w:r w:rsidRPr="00A6788C" w:rsidR="00A6788C">
        <w:t>NYISO states that it has commenced a multi-year collaborative process with its stakeholders to evaluate potential enhancements to its current capacity market to value resource contributions to transmission security.</w:t>
      </w:r>
      <w:r>
        <w:rPr>
          <w:b/>
          <w:vertAlign w:val="superscript"/>
        </w:rPr>
        <w:footnoteReference w:id="179"/>
      </w:r>
      <w:r w:rsidRPr="00A6788C" w:rsidR="00A6788C">
        <w:t xml:space="preserve">  </w:t>
      </w:r>
      <w:r w:rsidR="0069120E">
        <w:t>We believe</w:t>
      </w:r>
      <w:r w:rsidRPr="00A6788C" w:rsidR="00A6788C">
        <w:t xml:space="preserve"> that the separate stakeholder process is the appropriate forum to address</w:t>
      </w:r>
      <w:r w:rsidR="00E158C9">
        <w:t xml:space="preserve"> any potential</w:t>
      </w:r>
      <w:r w:rsidRPr="00A6788C" w:rsidR="00A6788C">
        <w:t xml:space="preserve"> transmission security concerns.  </w:t>
      </w:r>
    </w:p>
    <w:p w:rsidR="00461754" w:rsidP="003D5E95">
      <w:pPr>
        <w:pStyle w:val="Heading4"/>
      </w:pPr>
      <w:r>
        <w:t>MMU’s Proposed Alternative Peaking Unit</w:t>
      </w:r>
    </w:p>
    <w:p w:rsidR="00E87AB2" w:rsidP="00461754">
      <w:pPr>
        <w:pStyle w:val="FERCparanumber"/>
      </w:pPr>
      <w:r w:rsidRPr="00C568EE">
        <w:t xml:space="preserve">NYISO </w:t>
      </w:r>
      <w:r w:rsidR="006C1CED">
        <w:t>states that</w:t>
      </w:r>
      <w:r w:rsidR="00766D17">
        <w:t>,</w:t>
      </w:r>
      <w:r w:rsidR="006C1CED">
        <w:t xml:space="preserve"> </w:t>
      </w:r>
      <w:r w:rsidRPr="00C568EE" w:rsidR="00766D17">
        <w:t>for informational purposes</w:t>
      </w:r>
      <w:r w:rsidR="00766D17">
        <w:t>,</w:t>
      </w:r>
      <w:r w:rsidRPr="00C568EE" w:rsidR="00766D17">
        <w:t xml:space="preserve"> </w:t>
      </w:r>
      <w:r w:rsidR="006C1CED">
        <w:t xml:space="preserve">it </w:t>
      </w:r>
      <w:r w:rsidRPr="00C568EE">
        <w:t>conducted</w:t>
      </w:r>
      <w:r w:rsidR="00EB5343">
        <w:t xml:space="preserve"> </w:t>
      </w:r>
      <w:r w:rsidRPr="00C568EE">
        <w:t>a limited review</w:t>
      </w:r>
      <w:r w:rsidR="00EB5343">
        <w:t xml:space="preserve"> </w:t>
      </w:r>
      <w:r w:rsidRPr="00C568EE">
        <w:t>of the potential costs to retrofit a frame turbine to operate solely by burning hydrogen as a potential “zero emissions” design for compliance with New York State’s CLCPA</w:t>
      </w:r>
      <w:r w:rsidR="001757BF">
        <w:t>.</w:t>
      </w:r>
      <w:r>
        <w:rPr>
          <w:rStyle w:val="FootnoteReference"/>
        </w:rPr>
        <w:footnoteReference w:id="180"/>
      </w:r>
      <w:r w:rsidR="001757BF">
        <w:t xml:space="preserve">  NYISO states that it</w:t>
      </w:r>
      <w:r w:rsidR="00AE3B13">
        <w:t xml:space="preserve"> determined that</w:t>
      </w:r>
      <w:r w:rsidRPr="00C568EE">
        <w:t xml:space="preserve"> the costs associated with retrofitting a gas turbine to burn hydrogen rendered it highly uneconomic compared to other technology options.</w:t>
      </w:r>
      <w:r w:rsidRPr="00C568EE" w:rsidR="00AE3B13">
        <w:t xml:space="preserve">  </w:t>
      </w:r>
      <w:bookmarkStart w:id="7" w:name="_Hlk187140461"/>
      <w:r w:rsidRPr="00787DFB" w:rsidR="00787DFB">
        <w:t xml:space="preserve">NYISO </w:t>
      </w:r>
      <w:r w:rsidR="00787DFB">
        <w:t xml:space="preserve">further </w:t>
      </w:r>
      <w:r w:rsidRPr="00787DFB" w:rsidR="00787DFB">
        <w:t>states that the hydrogen retrofit option was not economically viable for the 2025-2029 DCR because it failed multiple screening factors, including the fact that there is currently no commercial operating experience for a frame turbine operating on 100% hydrogen.</w:t>
      </w:r>
      <w:r>
        <w:rPr>
          <w:b/>
          <w:vertAlign w:val="superscript"/>
        </w:rPr>
        <w:footnoteReference w:id="181"/>
      </w:r>
      <w:bookmarkEnd w:id="7"/>
      <w:r w:rsidRPr="00787DFB" w:rsidR="00787DFB">
        <w:t xml:space="preserve"> </w:t>
      </w:r>
    </w:p>
    <w:p w:rsidR="003F6D3E" w:rsidP="003F6D3E">
      <w:pPr>
        <w:pStyle w:val="FERCparanumber"/>
      </w:pPr>
      <w:r w:rsidRPr="0044293E">
        <w:t xml:space="preserve">NYISO contends that the MMU proposal </w:t>
      </w:r>
      <w:r w:rsidRPr="0044293E" w:rsidR="00345571">
        <w:t>to use a retrofit turbine</w:t>
      </w:r>
      <w:r w:rsidRPr="0044293E">
        <w:t xml:space="preserve"> does not include consideration of retrofit costs, or any impact that the alternative operating design may have on the estimated revenue earnings of such a plant, but instead MMU uses the revenue earning capability based on the operation of a fossil fuel-only frame turbi</w:t>
      </w:r>
      <w:r w:rsidRPr="004E60FC">
        <w:t>ne</w:t>
      </w:r>
      <w:r>
        <w:t>.</w:t>
      </w:r>
      <w:r>
        <w:rPr>
          <w:rStyle w:val="FootnoteReference"/>
        </w:rPr>
        <w:footnoteReference w:id="182"/>
      </w:r>
      <w:r>
        <w:t xml:space="preserve">  </w:t>
      </w:r>
      <w:r w:rsidRPr="00F90E6C">
        <w:t>NYISO states that</w:t>
      </w:r>
      <w:r>
        <w:t>, therefore,</w:t>
      </w:r>
      <w:r w:rsidRPr="00F90E6C">
        <w:t xml:space="preserve"> the </w:t>
      </w:r>
      <w:r w:rsidR="007154D5">
        <w:t xml:space="preserve">MMU’s </w:t>
      </w:r>
      <w:r w:rsidRPr="00F90E6C">
        <w:t xml:space="preserve">proposed hydrogen retrofit option does not meet the requirements of the Services Tariff to assess the current localized levelized embedded cost of the technology and the likely projected energy and ancillary services revenues, net of the costs of producing such energy and ancillary services.  </w:t>
      </w:r>
    </w:p>
    <w:p w:rsidR="00845250" w:rsidRPr="009F56C5" w:rsidP="00A77A67">
      <w:pPr>
        <w:pStyle w:val="Heading5"/>
      </w:pPr>
      <w:r w:rsidRPr="009F56C5">
        <w:t>Comments and Protests</w:t>
      </w:r>
      <w:r w:rsidRPr="009F56C5" w:rsidR="00787DFB">
        <w:t xml:space="preserve"> </w:t>
      </w:r>
    </w:p>
    <w:p w:rsidR="00B26ADA" w:rsidP="00B26ADA">
      <w:pPr>
        <w:pStyle w:val="FERCparanumber"/>
      </w:pPr>
      <w:r>
        <w:t xml:space="preserve">MMU states </w:t>
      </w:r>
      <w:r w:rsidR="00411862">
        <w:t xml:space="preserve">that a </w:t>
      </w:r>
      <w:r w:rsidR="008D3294">
        <w:t>combustion turbine that is retrofit to</w:t>
      </w:r>
      <w:r w:rsidR="00993687">
        <w:t xml:space="preserve"> use a compliant fuel to meet the </w:t>
      </w:r>
      <w:r w:rsidR="00935AF8">
        <w:t xml:space="preserve">CLCPA </w:t>
      </w:r>
      <w:r w:rsidR="00993687">
        <w:t xml:space="preserve">zero emissions </w:t>
      </w:r>
      <w:r w:rsidR="00F106AA">
        <w:t xml:space="preserve">by </w:t>
      </w:r>
      <w:r w:rsidR="00935AF8">
        <w:t>2040 requirement is a viable technology that NYISO should have fully considered</w:t>
      </w:r>
      <w:r w:rsidR="00A86B32">
        <w:t xml:space="preserve"> but did not</w:t>
      </w:r>
      <w:r>
        <w:t>.</w:t>
      </w:r>
      <w:r>
        <w:rPr>
          <w:rStyle w:val="FootnoteReference"/>
        </w:rPr>
        <w:footnoteReference w:id="183"/>
      </w:r>
      <w:r>
        <w:t xml:space="preserve">  MMU argues </w:t>
      </w:r>
      <w:r w:rsidR="00A86B32">
        <w:t xml:space="preserve">that </w:t>
      </w:r>
      <w:r>
        <w:t>a combustion turbine with a 20-year amortization is a viable choice because</w:t>
      </w:r>
      <w:r w:rsidR="00A86B32">
        <w:t>:</w:t>
      </w:r>
      <w:r w:rsidR="00CA3D95">
        <w:t xml:space="preserve"> </w:t>
      </w:r>
      <w:r>
        <w:t xml:space="preserve"> </w:t>
      </w:r>
      <w:r w:rsidR="00A13B1C">
        <w:t>(</w:t>
      </w:r>
      <w:r>
        <w:t xml:space="preserve">1) New York State’s zero emissions mandate </w:t>
      </w:r>
      <w:r w:rsidR="00383944">
        <w:t xml:space="preserve">under CLCPA </w:t>
      </w:r>
      <w:r>
        <w:t xml:space="preserve">does not preclude the selection of a 20-year combustion turbine; </w:t>
      </w:r>
      <w:r w:rsidR="00A13B1C">
        <w:t>(</w:t>
      </w:r>
      <w:r>
        <w:t>2) f</w:t>
      </w:r>
      <w:r w:rsidRPr="00C6401A">
        <w:t xml:space="preserve">uture </w:t>
      </w:r>
      <w:r>
        <w:t>r</w:t>
      </w:r>
      <w:r w:rsidRPr="00C6401A">
        <w:t xml:space="preserve">etrofit </w:t>
      </w:r>
      <w:r>
        <w:t>c</w:t>
      </w:r>
      <w:r w:rsidRPr="00C6401A">
        <w:t xml:space="preserve">osts </w:t>
      </w:r>
      <w:r>
        <w:t>n</w:t>
      </w:r>
      <w:r w:rsidRPr="00C6401A">
        <w:t xml:space="preserve">eed </w:t>
      </w:r>
      <w:r>
        <w:t>n</w:t>
      </w:r>
      <w:r w:rsidRPr="00C6401A">
        <w:t xml:space="preserve">ot </w:t>
      </w:r>
      <w:r>
        <w:t>b</w:t>
      </w:r>
      <w:r w:rsidRPr="00C6401A">
        <w:t xml:space="preserve">e </w:t>
      </w:r>
      <w:r>
        <w:t>e</w:t>
      </w:r>
      <w:r w:rsidRPr="00C6401A">
        <w:t xml:space="preserve">valuated </w:t>
      </w:r>
      <w:r>
        <w:t>e</w:t>
      </w:r>
      <w:r w:rsidRPr="00C6401A">
        <w:t xml:space="preserve">xplicitly in the </w:t>
      </w:r>
      <w:r>
        <w:t>c</w:t>
      </w:r>
      <w:r w:rsidRPr="00C6401A">
        <w:t>urrent DCR</w:t>
      </w:r>
      <w:r>
        <w:t>;</w:t>
      </w:r>
      <w:r w:rsidR="001474A1">
        <w:t xml:space="preserve"> and</w:t>
      </w:r>
      <w:r>
        <w:t xml:space="preserve"> </w:t>
      </w:r>
      <w:r w:rsidR="00A13B1C">
        <w:t>(</w:t>
      </w:r>
      <w:r>
        <w:t>3) a combustion turbine</w:t>
      </w:r>
      <w:r w:rsidRPr="009C5D62">
        <w:t xml:space="preserve"> </w:t>
      </w:r>
      <w:r w:rsidR="009078AA">
        <w:t xml:space="preserve">that operates over 20 years </w:t>
      </w:r>
      <w:r>
        <w:t>c</w:t>
      </w:r>
      <w:r w:rsidRPr="009C5D62">
        <w:t xml:space="preserve">ould </w:t>
      </w:r>
      <w:r>
        <w:t>b</w:t>
      </w:r>
      <w:r w:rsidRPr="009C5D62">
        <w:t xml:space="preserve">e </w:t>
      </w:r>
      <w:r>
        <w:t>p</w:t>
      </w:r>
      <w:r w:rsidRPr="009C5D62">
        <w:t xml:space="preserve">ermitted </w:t>
      </w:r>
      <w:r>
        <w:t>i</w:t>
      </w:r>
      <w:r w:rsidRPr="009C5D62">
        <w:t xml:space="preserve">f </w:t>
      </w:r>
      <w:r>
        <w:t>n</w:t>
      </w:r>
      <w:r w:rsidRPr="009C5D62">
        <w:t xml:space="preserve">eeded </w:t>
      </w:r>
      <w:r>
        <w:t>f</w:t>
      </w:r>
      <w:r w:rsidRPr="009C5D62">
        <w:t xml:space="preserve">or </w:t>
      </w:r>
      <w:r>
        <w:t>r</w:t>
      </w:r>
      <w:r w:rsidRPr="009C5D62">
        <w:t>eliability</w:t>
      </w:r>
      <w:r>
        <w:t>.</w:t>
      </w:r>
      <w:r w:rsidRPr="00350D68">
        <w:t xml:space="preserve"> </w:t>
      </w:r>
      <w:r>
        <w:t xml:space="preserve"> </w:t>
      </w:r>
      <w:r>
        <w:t>MMU contends that NYISO should have accepted MMU’s proposed retrofit of a combustion turbine to enable such a facility to be selected as the peaking unit by extending its life beyond the 13-year amortization period that would apply to a fossil-fuel only facility due to the 2040 CLCPA zero-emission energy mandate.</w:t>
      </w:r>
      <w:r>
        <w:rPr>
          <w:rStyle w:val="FootnoteReference"/>
        </w:rPr>
        <w:footnoteReference w:id="184"/>
      </w:r>
      <w:r>
        <w:t xml:space="preserve">  In support, MMU argues that it is unreasonable to assume that a new combustion turbine facility built in the next four years will have zero economic value after 2040 because studies have found that there will be a need for large quantities of dispatchable resources capable of operating for prolonged periods to meet resource adequacy needs.</w:t>
      </w:r>
      <w:r>
        <w:rPr>
          <w:rStyle w:val="FootnoteReference"/>
        </w:rPr>
        <w:footnoteReference w:id="185"/>
      </w:r>
      <w:r>
        <w:t xml:space="preserve">  MMU states that it is “extremely likely” that a generator built in the next four years will have the option of retrofitting once a zero-emission fuel becomes available.</w:t>
      </w:r>
      <w:r>
        <w:rPr>
          <w:rStyle w:val="FootnoteReference"/>
        </w:rPr>
        <w:footnoteReference w:id="186"/>
      </w:r>
      <w:r>
        <w:t xml:space="preserve">  MMU argues that the future retrofit will result in a corresponding increase in revenues</w:t>
      </w:r>
      <w:r w:rsidR="003D6D54">
        <w:t>,</w:t>
      </w:r>
      <w:r>
        <w:t xml:space="preserve"> making such an option likely the lowest-cost option.  </w:t>
      </w:r>
    </w:p>
    <w:p w:rsidR="00461754" w:rsidRPr="00593FB1" w:rsidP="0060180F">
      <w:pPr>
        <w:pStyle w:val="Heading5"/>
      </w:pPr>
      <w:r w:rsidRPr="00593FB1">
        <w:t>Commission Determination</w:t>
      </w:r>
    </w:p>
    <w:p w:rsidR="00DE687F" w:rsidRPr="00461754" w:rsidP="00DE3D66">
      <w:pPr>
        <w:pStyle w:val="FERCparanumber"/>
      </w:pPr>
      <w:r>
        <w:t>We agree with NYISO that it was reasonable to exclude the proposed hydrogen retrofit option as an economically viable option in its</w:t>
      </w:r>
      <w:r w:rsidR="00EE7294">
        <w:t xml:space="preserve"> </w:t>
      </w:r>
      <w:r>
        <w:t>analysis</w:t>
      </w:r>
      <w:r w:rsidR="00F16DD0">
        <w:t xml:space="preserve"> for this DCR</w:t>
      </w:r>
      <w:r>
        <w:t>.</w:t>
      </w:r>
      <w:r w:rsidR="0038291B">
        <w:t xml:space="preserve"> </w:t>
      </w:r>
      <w:r w:rsidR="00145C7B">
        <w:t xml:space="preserve"> </w:t>
      </w:r>
      <w:r w:rsidR="005A7ADA">
        <w:t xml:space="preserve">Specifically, </w:t>
      </w:r>
      <w:r w:rsidR="001E5FE0">
        <w:t>NYISO explains</w:t>
      </w:r>
      <w:r w:rsidR="00CE59E3">
        <w:t xml:space="preserve"> </w:t>
      </w:r>
      <w:r w:rsidR="00F44337">
        <w:t>that</w:t>
      </w:r>
      <w:r w:rsidR="00CE59E3">
        <w:t xml:space="preserve"> a hydrogen retrofit option is not </w:t>
      </w:r>
      <w:r w:rsidR="00982427">
        <w:t xml:space="preserve">economically </w:t>
      </w:r>
      <w:r w:rsidR="00FD2B24">
        <w:t xml:space="preserve">viable </w:t>
      </w:r>
      <w:r w:rsidR="000044F9">
        <w:t xml:space="preserve">because of the </w:t>
      </w:r>
      <w:r w:rsidRPr="00FD2B24" w:rsidR="00FD2B24">
        <w:t>lack of commercial operating experience, the lack of cost and potential revenue information, and the associated lack of demonstrated replicability.</w:t>
      </w:r>
      <w:r>
        <w:rPr>
          <w:rStyle w:val="FootnoteReference"/>
        </w:rPr>
        <w:footnoteReference w:id="187"/>
      </w:r>
      <w:r w:rsidR="0038291B">
        <w:t xml:space="preserve"> </w:t>
      </w:r>
      <w:r w:rsidR="00C40718">
        <w:t xml:space="preserve"> </w:t>
      </w:r>
      <w:r w:rsidR="00E46F96">
        <w:t xml:space="preserve">Therefore, </w:t>
      </w:r>
      <w:r w:rsidR="0022222A">
        <w:t xml:space="preserve">we </w:t>
      </w:r>
      <w:r w:rsidR="009B31C9">
        <w:t xml:space="preserve">find that </w:t>
      </w:r>
      <w:r w:rsidR="0038291B">
        <w:t>MMU</w:t>
      </w:r>
      <w:r w:rsidR="00CD2582">
        <w:t xml:space="preserve"> presents insufficient information to conclude that NYISO’s exclusion of the hydrogen retrofit option</w:t>
      </w:r>
      <w:r w:rsidR="00487B1E">
        <w:t xml:space="preserve"> was unreasonable.  </w:t>
      </w:r>
      <w:r w:rsidR="00A717C7">
        <w:t xml:space="preserve">  </w:t>
      </w:r>
    </w:p>
    <w:p w:rsidR="00E372CF" w:rsidP="000830AB">
      <w:pPr>
        <w:pStyle w:val="Heading3"/>
      </w:pPr>
      <w:r>
        <w:t xml:space="preserve">Peaking Plant </w:t>
      </w:r>
      <w:r w:rsidR="00BA4DD0">
        <w:t>Costs and Financial Parameters</w:t>
      </w:r>
    </w:p>
    <w:p w:rsidR="00C50B06" w:rsidP="00664EC0">
      <w:pPr>
        <w:pStyle w:val="FERCparanumber"/>
      </w:pPr>
      <w:r w:rsidRPr="00C50B06">
        <w:t xml:space="preserve">The Services Tariff requires that the </w:t>
      </w:r>
      <w:r w:rsidRPr="0044293E" w:rsidR="000E618E">
        <w:t>DCR</w:t>
      </w:r>
      <w:r w:rsidRPr="0044293E">
        <w:t xml:space="preserve"> process assess “the localized levelized embedded cost of a peaking </w:t>
      </w:r>
      <w:r w:rsidRPr="0044293E" w:rsidR="009564FA">
        <w:t>unit</w:t>
      </w:r>
      <w:r w:rsidRPr="0044293E">
        <w:t>” used in establishing each ICAP Demand Curve</w:t>
      </w:r>
      <w:r w:rsidRPr="00C50B06">
        <w:t>.</w:t>
      </w:r>
      <w:r>
        <w:rPr>
          <w:b/>
          <w:vertAlign w:val="superscript"/>
        </w:rPr>
        <w:footnoteReference w:id="188"/>
      </w:r>
      <w:r w:rsidRPr="00C50B06">
        <w:t xml:space="preserve">  </w:t>
      </w:r>
      <w:r w:rsidRPr="001C5B55" w:rsidR="00013873">
        <w:t xml:space="preserve">NYISO contends that </w:t>
      </w:r>
      <w:r w:rsidR="00013873">
        <w:t>NYISO</w:t>
      </w:r>
      <w:r w:rsidRPr="001C5B55" w:rsidR="00013873">
        <w:t xml:space="preserve"> </w:t>
      </w:r>
      <w:r w:rsidR="00013873">
        <w:t>Consultant</w:t>
      </w:r>
      <w:r w:rsidRPr="001C5B55" w:rsidR="00013873">
        <w:t xml:space="preserve"> conducted a </w:t>
      </w:r>
      <w:r w:rsidR="00A742FF">
        <w:t>rigorous evaluation</w:t>
      </w:r>
      <w:r w:rsidRPr="001C5B55" w:rsidR="00013873">
        <w:t xml:space="preserve"> to develop estimates of the capital investment costs for the peaking </w:t>
      </w:r>
      <w:r w:rsidR="00F86D19">
        <w:t>plant</w:t>
      </w:r>
      <w:r w:rsidRPr="001C5B55" w:rsidR="00F86D19">
        <w:t xml:space="preserve"> </w:t>
      </w:r>
      <w:r w:rsidRPr="001C5B55" w:rsidR="00013873">
        <w:t xml:space="preserve">designs for each ICAP </w:t>
      </w:r>
      <w:r w:rsidR="00013873">
        <w:t>D</w:t>
      </w:r>
      <w:r w:rsidRPr="001C5B55" w:rsidR="00013873">
        <w:t xml:space="preserve">emand Curve, as well as the associated fixed and variable operations and maintenance costs for each peaking </w:t>
      </w:r>
      <w:r w:rsidR="00F86D19">
        <w:t>plant</w:t>
      </w:r>
      <w:r w:rsidR="00060F64">
        <w:t>.</w:t>
      </w:r>
      <w:r>
        <w:rPr>
          <w:rStyle w:val="FootnoteReference"/>
        </w:rPr>
        <w:footnoteReference w:id="189"/>
      </w:r>
      <w:r w:rsidR="00060F64">
        <w:t xml:space="preserve">  </w:t>
      </w:r>
      <w:r w:rsidRPr="001C5B55" w:rsidR="00013873">
        <w:t xml:space="preserve">NYISO states </w:t>
      </w:r>
      <w:r w:rsidR="006028D4">
        <w:t xml:space="preserve">that for the BESS unit options, NYISO Consultant </w:t>
      </w:r>
      <w:r w:rsidRPr="006028D4" w:rsidR="006028D4">
        <w:t xml:space="preserve">assumed </w:t>
      </w:r>
      <w:r w:rsidR="008F7E85">
        <w:t xml:space="preserve">the </w:t>
      </w:r>
      <w:r w:rsidRPr="006028D4" w:rsidR="006028D4">
        <w:t>use of purpose-built enclosures consistent with current industry trends for BESS projects</w:t>
      </w:r>
      <w:r w:rsidR="006028D4">
        <w:t xml:space="preserve">. </w:t>
      </w:r>
      <w:r w:rsidR="00D56CA2">
        <w:t xml:space="preserve"> </w:t>
      </w:r>
      <w:r w:rsidRPr="001C5B55" w:rsidR="00060F64">
        <w:t>NYISO</w:t>
      </w:r>
      <w:r w:rsidR="00060F64">
        <w:t xml:space="preserve"> adds that NYISO Consultant developed cost estimates based on a generic site in each </w:t>
      </w:r>
      <w:r w:rsidR="00055B5C">
        <w:t xml:space="preserve">evaluated </w:t>
      </w:r>
      <w:r w:rsidR="00060F64">
        <w:t xml:space="preserve">location. </w:t>
      </w:r>
      <w:r w:rsidR="00310C8F">
        <w:t xml:space="preserve"> NYISO states that as part of its cost estimate</w:t>
      </w:r>
      <w:r w:rsidR="00F9629D">
        <w:t>,</w:t>
      </w:r>
      <w:r w:rsidR="00A738AE">
        <w:t xml:space="preserve"> it evaluate</w:t>
      </w:r>
      <w:r w:rsidR="0047278A">
        <w:t>s</w:t>
      </w:r>
      <w:r w:rsidR="00A738AE">
        <w:t xml:space="preserve"> capital investment costs</w:t>
      </w:r>
      <w:r w:rsidR="0077559A">
        <w:t xml:space="preserve">, </w:t>
      </w:r>
      <w:r w:rsidR="00EA44E0">
        <w:t>owner’s</w:t>
      </w:r>
      <w:r w:rsidR="0077559A">
        <w:t xml:space="preserve"> cost</w:t>
      </w:r>
      <w:r w:rsidR="00196BE9">
        <w:t xml:space="preserve"> (which includes d</w:t>
      </w:r>
      <w:r w:rsidRPr="00196BE9" w:rsidR="00196BE9">
        <w:t>evelopment activities, project management oversight, project engineering, permitting, legal fees, and financing during construction</w:t>
      </w:r>
      <w:r w:rsidR="00196BE9">
        <w:t>), fixed</w:t>
      </w:r>
      <w:r w:rsidR="00C60609">
        <w:t xml:space="preserve"> and variable </w:t>
      </w:r>
      <w:r w:rsidR="00196BE9">
        <w:t>operations and maintenance, mortgage</w:t>
      </w:r>
      <w:r w:rsidR="00C60609">
        <w:t xml:space="preserve"> recording taxes, sales tax, </w:t>
      </w:r>
      <w:r w:rsidR="007071B2">
        <w:t>and a federal i</w:t>
      </w:r>
      <w:r w:rsidRPr="006D3621" w:rsidR="007071B2">
        <w:t xml:space="preserve">nvestment </w:t>
      </w:r>
      <w:r w:rsidR="007071B2">
        <w:t>t</w:t>
      </w:r>
      <w:r w:rsidRPr="006D3621" w:rsidR="007071B2">
        <w:t xml:space="preserve">ax </w:t>
      </w:r>
      <w:r w:rsidR="007071B2">
        <w:t>c</w:t>
      </w:r>
      <w:r w:rsidRPr="006D3621" w:rsidR="007071B2">
        <w:t>redit</w:t>
      </w:r>
      <w:r w:rsidRPr="00442265" w:rsidR="007071B2">
        <w:t>.</w:t>
      </w:r>
      <w:r>
        <w:rPr>
          <w:rStyle w:val="FootnoteReference"/>
        </w:rPr>
        <w:footnoteReference w:id="190"/>
      </w:r>
      <w:r w:rsidRPr="00442265" w:rsidR="007071B2">
        <w:t xml:space="preserve"> </w:t>
      </w:r>
      <w:r w:rsidRPr="00442265" w:rsidR="00060F64">
        <w:t xml:space="preserve"> </w:t>
      </w:r>
    </w:p>
    <w:p w:rsidR="007C594C" w:rsidRPr="0021432F" w:rsidP="007C594C">
      <w:pPr>
        <w:pStyle w:val="FERCparanumber"/>
      </w:pPr>
      <w:r>
        <w:t xml:space="preserve">NYISO explains </w:t>
      </w:r>
      <w:r w:rsidRPr="0044293E">
        <w:t xml:space="preserve">that the assessment of </w:t>
      </w:r>
      <w:r w:rsidRPr="0044293E" w:rsidR="00784C1B">
        <w:t xml:space="preserve">the </w:t>
      </w:r>
      <w:r w:rsidRPr="0044293E">
        <w:t>“localized levelized embe</w:t>
      </w:r>
      <w:r w:rsidRPr="0044293E" w:rsidR="00D14149">
        <w:t>d</w:t>
      </w:r>
      <w:r w:rsidRPr="0044293E">
        <w:t xml:space="preserve">ded cost of a peaking </w:t>
      </w:r>
      <w:r w:rsidRPr="0044293E" w:rsidR="00882CF9">
        <w:t>unit</w:t>
      </w:r>
      <w:r w:rsidRPr="0044293E" w:rsidR="00D14149">
        <w:t>”</w:t>
      </w:r>
      <w:r w:rsidRPr="0044293E">
        <w:t xml:space="preserve"> requires NYISO to translate the estimated up-front capital investment costs for each peaking plant into an annualized dollar amount</w:t>
      </w:r>
      <w:r w:rsidRPr="0021432F">
        <w:t xml:space="preserve">.  </w:t>
      </w:r>
      <w:r>
        <w:t>According to NYISO, t</w:t>
      </w:r>
      <w:r w:rsidRPr="0021432F">
        <w:t>his calculation accounts for:</w:t>
      </w:r>
      <w:r w:rsidR="00CA3D95">
        <w:t xml:space="preserve">  </w:t>
      </w:r>
      <w:r w:rsidRPr="0021432F">
        <w:t>(</w:t>
      </w:r>
      <w:r w:rsidR="009617CD">
        <w:t>1</w:t>
      </w:r>
      <w:r w:rsidRPr="0021432F">
        <w:t xml:space="preserve">) the assumed </w:t>
      </w:r>
      <w:r w:rsidRPr="00D0427B">
        <w:t>WACC</w:t>
      </w:r>
      <w:r w:rsidRPr="0021432F">
        <w:t xml:space="preserve"> required by a developer to recover up-front investment costs, plus a reasonable return on that investment; (</w:t>
      </w:r>
      <w:r w:rsidR="009617CD">
        <w:t>2</w:t>
      </w:r>
      <w:r w:rsidRPr="0021432F">
        <w:t>) the term in years over which the developer is assumed to recover its up-front investment costs (amortization period);</w:t>
      </w:r>
      <w:r>
        <w:rPr>
          <w:rStyle w:val="FootnoteReference"/>
        </w:rPr>
        <w:footnoteReference w:id="191"/>
      </w:r>
      <w:r w:rsidRPr="0021432F">
        <w:t xml:space="preserve"> and (</w:t>
      </w:r>
      <w:r w:rsidR="009617CD">
        <w:t>3</w:t>
      </w:r>
      <w:r w:rsidRPr="0021432F">
        <w:t>) the applicable tax rates.  The WACC is derived from a series of financial parameters related to the development of the peaking plant, including the cost of equity, cost of debt, and the capital structure for the project.</w:t>
      </w:r>
      <w:r>
        <w:rPr>
          <w:b/>
          <w:vertAlign w:val="superscript"/>
        </w:rPr>
        <w:footnoteReference w:id="192"/>
      </w:r>
    </w:p>
    <w:p w:rsidR="008B1927" w:rsidP="00137001">
      <w:pPr>
        <w:pStyle w:val="Heading4"/>
      </w:pPr>
      <w:r>
        <w:t>Investment Tax Credit</w:t>
      </w:r>
      <w:r w:rsidR="00391239">
        <w:t xml:space="preserve"> </w:t>
      </w:r>
      <w:r w:rsidR="009A0D89">
        <w:t>– Generator Lead Costs</w:t>
      </w:r>
    </w:p>
    <w:p w:rsidR="008B1927" w:rsidP="001B323B">
      <w:pPr>
        <w:pStyle w:val="FERCparanumber"/>
      </w:pPr>
      <w:r>
        <w:t>NYISO explains that</w:t>
      </w:r>
      <w:r w:rsidR="00927F1B">
        <w:t>,</w:t>
      </w:r>
      <w:r>
        <w:t xml:space="preserve"> as part</w:t>
      </w:r>
      <w:r w:rsidR="00C834C4">
        <w:t xml:space="preserve"> </w:t>
      </w:r>
      <w:r w:rsidR="00C64FB2">
        <w:t>of the</w:t>
      </w:r>
      <w:r w:rsidR="00C834C4">
        <w:t xml:space="preserve"> estimates for peaking plant costs, </w:t>
      </w:r>
      <w:r w:rsidR="004028E3">
        <w:t>NYISO Consultant</w:t>
      </w:r>
      <w:r w:rsidRPr="006D3621" w:rsidR="006D3621">
        <w:t xml:space="preserve"> assumed that the BESS unit options would qualify for a 30% federal </w:t>
      </w:r>
      <w:r w:rsidR="003C0036">
        <w:t>investment tax credit</w:t>
      </w:r>
      <w:r w:rsidRPr="006D3621" w:rsidR="006D3621">
        <w:t>.</w:t>
      </w:r>
      <w:r>
        <w:rPr>
          <w:rStyle w:val="FootnoteReference"/>
        </w:rPr>
        <w:footnoteReference w:id="193"/>
      </w:r>
      <w:r w:rsidRPr="006D3621" w:rsidR="006D3621">
        <w:t xml:space="preserve"> </w:t>
      </w:r>
      <w:r w:rsidR="004C2A93">
        <w:t xml:space="preserve"> </w:t>
      </w:r>
      <w:r w:rsidR="00725313">
        <w:t>Initially</w:t>
      </w:r>
      <w:r w:rsidR="000110A1">
        <w:t>, NYISO Consultant</w:t>
      </w:r>
      <w:r w:rsidRPr="009A55A7" w:rsidR="000110A1">
        <w:t xml:space="preserve"> included the cost</w:t>
      </w:r>
      <w:r w:rsidR="00BB4377">
        <w:t>s</w:t>
      </w:r>
      <w:r w:rsidRPr="009A55A7" w:rsidR="000110A1">
        <w:t xml:space="preserve"> associated with </w:t>
      </w:r>
      <w:r w:rsidRPr="00442265" w:rsidR="000110A1">
        <w:t xml:space="preserve">the </w:t>
      </w:r>
      <w:r w:rsidRPr="00D0427B" w:rsidR="000110A1">
        <w:t>generator leads</w:t>
      </w:r>
      <w:r w:rsidRPr="009A55A7" w:rsidR="000110A1">
        <w:t xml:space="preserve"> as part of the eligible basis for the </w:t>
      </w:r>
      <w:r w:rsidR="003C0036">
        <w:t>investment tax credit</w:t>
      </w:r>
      <w:r w:rsidRPr="009A55A7" w:rsidR="000110A1">
        <w:t>.</w:t>
      </w:r>
      <w:r>
        <w:rPr>
          <w:rStyle w:val="FootnoteReference"/>
        </w:rPr>
        <w:footnoteReference w:id="194"/>
      </w:r>
      <w:r w:rsidRPr="009A55A7" w:rsidR="000110A1">
        <w:t xml:space="preserve">  </w:t>
      </w:r>
      <w:r w:rsidR="00D74844">
        <w:t>NYISO states</w:t>
      </w:r>
      <w:r w:rsidR="0021325E">
        <w:t xml:space="preserve"> that</w:t>
      </w:r>
      <w:r w:rsidR="00D74844">
        <w:t xml:space="preserve"> a</w:t>
      </w:r>
      <w:r w:rsidRPr="009A55A7" w:rsidR="009A55A7">
        <w:t>fter careful consideration of stakeholder feedback and additional due diligence, the</w:t>
      </w:r>
      <w:r w:rsidR="00216D36">
        <w:t xml:space="preserve"> NYISO</w:t>
      </w:r>
      <w:r w:rsidRPr="009A55A7" w:rsidR="009A55A7">
        <w:t xml:space="preserve"> Board concluded that it appeared more reasonable to assume that the</w:t>
      </w:r>
      <w:r w:rsidR="00336CAD">
        <w:t xml:space="preserve"> Internal Revenue Service</w:t>
      </w:r>
      <w:r w:rsidRPr="009A55A7" w:rsidR="009A55A7">
        <w:t xml:space="preserve"> </w:t>
      </w:r>
      <w:r w:rsidR="00336CAD">
        <w:t>(</w:t>
      </w:r>
      <w:r w:rsidRPr="009A55A7" w:rsidR="009A55A7">
        <w:t>IRS</w:t>
      </w:r>
      <w:r w:rsidR="00336CAD">
        <w:t>)</w:t>
      </w:r>
      <w:r w:rsidRPr="009A55A7" w:rsidR="009A55A7">
        <w:t xml:space="preserve"> would classify the generators leads as “transmission/distribution equipment” that is not eligible for the </w:t>
      </w:r>
      <w:r w:rsidR="003C0036">
        <w:t>investment tax credit</w:t>
      </w:r>
      <w:r w:rsidRPr="009A55A7" w:rsidR="009A55A7">
        <w:t>.</w:t>
      </w:r>
      <w:r>
        <w:rPr>
          <w:rStyle w:val="FootnoteReference"/>
        </w:rPr>
        <w:footnoteReference w:id="195"/>
      </w:r>
      <w:r w:rsidR="00F4386B">
        <w:t xml:space="preserve">  </w:t>
      </w:r>
      <w:r w:rsidR="00290664">
        <w:t>Specifically,</w:t>
      </w:r>
      <w:r w:rsidR="004208DF">
        <w:t xml:space="preserve"> </w:t>
      </w:r>
      <w:r w:rsidR="00F4386B">
        <w:t xml:space="preserve">NYISO </w:t>
      </w:r>
      <w:r w:rsidR="0017717D">
        <w:t>C</w:t>
      </w:r>
      <w:r w:rsidR="00F4386B">
        <w:t xml:space="preserve">onsultant contends that </w:t>
      </w:r>
      <w:r w:rsidRPr="00F4386B" w:rsidR="00F4386B">
        <w:t>because the generator lead is located after the generator step-up transformer and does not involve any further adjustments to the voltage or other characteristics of the energy produced by the BESS prior to delivery to the transmission system, the IRS would likely deem the generator lead as “transmission/distribution equipment</w:t>
      </w:r>
      <w:r w:rsidR="00863CE9">
        <w:t>.</w:t>
      </w:r>
      <w:r w:rsidRPr="00F4386B" w:rsidR="00F4386B">
        <w:t>”</w:t>
      </w:r>
      <w:r>
        <w:rPr>
          <w:rStyle w:val="FootnoteReference"/>
        </w:rPr>
        <w:footnoteReference w:id="196"/>
      </w:r>
      <w:r w:rsidRPr="009A55A7" w:rsidR="009A55A7">
        <w:t xml:space="preserve">  </w:t>
      </w:r>
      <w:r w:rsidR="00D74844">
        <w:t>Subsequently, t</w:t>
      </w:r>
      <w:r w:rsidRPr="009A55A7" w:rsidR="009A55A7">
        <w:t xml:space="preserve">he </w:t>
      </w:r>
      <w:r w:rsidR="00863CE9">
        <w:t xml:space="preserve">NYISO </w:t>
      </w:r>
      <w:r w:rsidRPr="009A55A7" w:rsidR="009A55A7">
        <w:t xml:space="preserve">Board directed </w:t>
      </w:r>
      <w:r w:rsidR="00B41E0B">
        <w:t xml:space="preserve">NYISO to revise </w:t>
      </w:r>
      <w:r w:rsidR="00254E8B">
        <w:t>the</w:t>
      </w:r>
      <w:r w:rsidR="00B41E0B">
        <w:t xml:space="preserve"> </w:t>
      </w:r>
      <w:r w:rsidR="008628BC">
        <w:t xml:space="preserve">proposed </w:t>
      </w:r>
      <w:r w:rsidR="009C69B7">
        <w:t xml:space="preserve">2025-2029 </w:t>
      </w:r>
      <w:r w:rsidR="008628BC">
        <w:t xml:space="preserve">DCR to exclude </w:t>
      </w:r>
      <w:r w:rsidR="00156F0F">
        <w:t xml:space="preserve">the 2-hour BESS’s </w:t>
      </w:r>
      <w:r w:rsidRPr="009A55A7" w:rsidR="009A55A7">
        <w:t xml:space="preserve">generator lead costs from the eligible basis of the </w:t>
      </w:r>
      <w:r w:rsidR="003C0036">
        <w:t>investment tax credit</w:t>
      </w:r>
      <w:r w:rsidRPr="009A55A7" w:rsidR="009A55A7">
        <w:t xml:space="preserve"> benefit</w:t>
      </w:r>
      <w:r w:rsidR="003F211C">
        <w:t xml:space="preserve"> for purposes of the DCR</w:t>
      </w:r>
      <w:r w:rsidRPr="009A55A7" w:rsidR="009A55A7">
        <w:t>.</w:t>
      </w:r>
    </w:p>
    <w:p w:rsidR="0050771A" w:rsidRPr="001F0DBB" w:rsidP="00A3002E">
      <w:pPr>
        <w:pStyle w:val="Heading5"/>
      </w:pPr>
      <w:r>
        <w:t>Comments and Protests</w:t>
      </w:r>
    </w:p>
    <w:p w:rsidR="0050771A" w:rsidRPr="006A52BF" w:rsidP="00863FF9">
      <w:pPr>
        <w:pStyle w:val="FERCparanumber"/>
      </w:pPr>
      <w:r w:rsidRPr="004C70F7">
        <w:t xml:space="preserve">Consumer Stakeholders state that </w:t>
      </w:r>
      <w:r w:rsidRPr="006A52BF" w:rsidR="006C423B">
        <w:t>the generator lead</w:t>
      </w:r>
      <w:r w:rsidRPr="006A52BF" w:rsidR="0052002B">
        <w:t>s</w:t>
      </w:r>
      <w:r w:rsidRPr="006A52BF" w:rsidR="006C423B">
        <w:t xml:space="preserve"> should be included in the eligible bas</w:t>
      </w:r>
      <w:r w:rsidRPr="006A52BF" w:rsidR="00CC7504">
        <w:t>is</w:t>
      </w:r>
      <w:r w:rsidRPr="006A52BF" w:rsidR="006C423B">
        <w:t xml:space="preserve"> for the </w:t>
      </w:r>
      <w:r w:rsidRPr="006A52BF" w:rsidR="003C0036">
        <w:t>investment tax credit</w:t>
      </w:r>
      <w:r w:rsidRPr="006A52BF" w:rsidR="006C423B">
        <w:t xml:space="preserve"> benefit because </w:t>
      </w:r>
      <w:r w:rsidRPr="006A52BF">
        <w:t>IRS regulations specifically provide that “[p]roperty that is an integral part of an energy property is treated as part of that energy property”</w:t>
      </w:r>
      <w:r>
        <w:rPr>
          <w:rStyle w:val="FootnoteReference"/>
        </w:rPr>
        <w:footnoteReference w:id="197"/>
      </w:r>
      <w:r w:rsidRPr="006A52BF">
        <w:t xml:space="preserve"> and that NYISO has failed to articulate why the </w:t>
      </w:r>
      <w:r w:rsidRPr="006A52BF" w:rsidR="00B54125">
        <w:t xml:space="preserve">generator </w:t>
      </w:r>
      <w:r w:rsidRPr="006A52BF">
        <w:t>lead</w:t>
      </w:r>
      <w:r w:rsidRPr="006A52BF" w:rsidR="007973F0">
        <w:t>s are</w:t>
      </w:r>
      <w:r w:rsidRPr="006A52BF">
        <w:t xml:space="preserve"> not an integral part of the energy property </w:t>
      </w:r>
      <w:r w:rsidRPr="006A52BF" w:rsidR="006C423B">
        <w:t xml:space="preserve">or </w:t>
      </w:r>
      <w:r w:rsidRPr="006A52BF">
        <w:t>how the BESS would function as a generator without the lead line interconnecting it to the system.</w:t>
      </w:r>
      <w:r>
        <w:rPr>
          <w:rStyle w:val="FootnoteReference"/>
        </w:rPr>
        <w:footnoteReference w:id="198"/>
      </w:r>
      <w:r w:rsidRPr="006A52BF" w:rsidR="006A70F6">
        <w:t xml:space="preserve"> </w:t>
      </w:r>
      <w:r w:rsidRPr="006A52BF" w:rsidR="003B674E">
        <w:t xml:space="preserve"> </w:t>
      </w:r>
    </w:p>
    <w:p w:rsidR="00624773" w:rsidRPr="00EB2277" w:rsidP="001D3317">
      <w:pPr>
        <w:pStyle w:val="FERCparanumber"/>
        <w:spacing w:after="240"/>
      </w:pPr>
      <w:r w:rsidRPr="006A52BF">
        <w:t>NYSERDA argues that generator leads satisfy both the “functionally interdependent” and “integral part” aspects of “energy</w:t>
      </w:r>
      <w:r w:rsidRPr="00EB2277">
        <w:t xml:space="preserve"> property” as identified by </w:t>
      </w:r>
      <w:r w:rsidR="003C0036">
        <w:t>investment tax credit</w:t>
      </w:r>
      <w:r w:rsidRPr="00EB2277">
        <w:t xml:space="preserve"> guidance and final regulations issued by the IRS on December 12, 2024.</w:t>
      </w:r>
      <w:r>
        <w:rPr>
          <w:rStyle w:val="FootnoteReference"/>
        </w:rPr>
        <w:footnoteReference w:id="199"/>
      </w:r>
      <w:r w:rsidRPr="00EB2277">
        <w:t xml:space="preserve">  NYSERDA also </w:t>
      </w:r>
      <w:r w:rsidR="0001566D">
        <w:t>contends</w:t>
      </w:r>
      <w:r w:rsidRPr="00EB2277" w:rsidR="0001566D">
        <w:t xml:space="preserve"> </w:t>
      </w:r>
      <w:r w:rsidR="005A632F">
        <w:t xml:space="preserve">that </w:t>
      </w:r>
      <w:r w:rsidR="001F1630">
        <w:t xml:space="preserve">a </w:t>
      </w:r>
      <w:r w:rsidR="00042101">
        <w:t xml:space="preserve">BESS </w:t>
      </w:r>
      <w:r w:rsidR="008205B6">
        <w:t>withdraws ene</w:t>
      </w:r>
      <w:r w:rsidR="008901A2">
        <w:t xml:space="preserve">rgy from the </w:t>
      </w:r>
      <w:r w:rsidR="00C90F9E">
        <w:t>transmission</w:t>
      </w:r>
      <w:r w:rsidR="008901A2">
        <w:t xml:space="preserve"> </w:t>
      </w:r>
      <w:r w:rsidR="00B12A99">
        <w:t>system</w:t>
      </w:r>
      <w:r w:rsidR="008901A2">
        <w:t xml:space="preserve"> </w:t>
      </w:r>
      <w:r w:rsidR="004D5630">
        <w:t>to recharge</w:t>
      </w:r>
      <w:r w:rsidR="008E57E9">
        <w:t>, delivering energy</w:t>
      </w:r>
      <w:r w:rsidR="00582EA5">
        <w:t xml:space="preserve"> to a </w:t>
      </w:r>
      <w:r w:rsidR="009700D6">
        <w:t>transformer</w:t>
      </w:r>
      <w:r w:rsidR="0003458F">
        <w:t xml:space="preserve"> and, </w:t>
      </w:r>
      <w:r w:rsidR="00693399">
        <w:t>thus</w:t>
      </w:r>
      <w:r w:rsidR="0003458F">
        <w:t>, is</w:t>
      </w:r>
      <w:r w:rsidR="008A7D7D">
        <w:t xml:space="preserve"> eligible for the </w:t>
      </w:r>
      <w:r w:rsidR="003C0036">
        <w:t>investment tax credit</w:t>
      </w:r>
      <w:r w:rsidRPr="00EB2277">
        <w:t>.</w:t>
      </w:r>
      <w:r>
        <w:rPr>
          <w:rStyle w:val="FootnoteReference"/>
        </w:rPr>
        <w:footnoteReference w:id="200"/>
      </w:r>
      <w:r w:rsidRPr="00EB2277">
        <w:t xml:space="preserve">  NYSERDA argues that generator leads are functionally distinguishable from transmission lines and that the differences are reflected in Commission Order No. 807 as well as</w:t>
      </w:r>
      <w:r w:rsidR="00CB2211">
        <w:t xml:space="preserve"> the Services Tariff</w:t>
      </w:r>
      <w:r w:rsidRPr="00EB2277">
        <w:t>.</w:t>
      </w:r>
      <w:r>
        <w:rPr>
          <w:rStyle w:val="FootnoteReference"/>
        </w:rPr>
        <w:footnoteReference w:id="201"/>
      </w:r>
      <w:r w:rsidRPr="00EB2277">
        <w:t xml:space="preserve">  Additionally, NYSERDA argues that generator leads are part of </w:t>
      </w:r>
      <w:r>
        <w:t>i</w:t>
      </w:r>
      <w:r w:rsidRPr="00EB2277">
        <w:t xml:space="preserve">nterconnection </w:t>
      </w:r>
      <w:r>
        <w:t>f</w:t>
      </w:r>
      <w:r w:rsidRPr="00EB2277">
        <w:t>acilities that have the sole purpose of connecting a generator to the transmission system</w:t>
      </w:r>
      <w:r w:rsidR="00E00214">
        <w:t xml:space="preserve"> and</w:t>
      </w:r>
      <w:r w:rsidR="003B6B41">
        <w:t xml:space="preserve"> are not part of the transmission system</w:t>
      </w:r>
      <w:r w:rsidRPr="00EB2277">
        <w:t>.</w:t>
      </w:r>
      <w:r>
        <w:rPr>
          <w:rStyle w:val="FootnoteReference"/>
        </w:rPr>
        <w:footnoteReference w:id="202"/>
      </w:r>
      <w:r w:rsidRPr="00EB2277">
        <w:t xml:space="preserve">  </w:t>
      </w:r>
    </w:p>
    <w:p w:rsidR="00FB1B7D" w:rsidP="00914113">
      <w:pPr>
        <w:pStyle w:val="FERCparanumber"/>
      </w:pPr>
      <w:r>
        <w:t>NYTOs state that they</w:t>
      </w:r>
      <w:r w:rsidRPr="00D97706">
        <w:t xml:space="preserve"> </w:t>
      </w:r>
      <w:r>
        <w:t xml:space="preserve">find current guidance on </w:t>
      </w:r>
      <w:r w:rsidR="003C0036">
        <w:t>investment tax credit</w:t>
      </w:r>
      <w:r>
        <w:t xml:space="preserve"> eligibility unclear and reserve all rights in the NYISO stakeholder process and under the </w:t>
      </w:r>
      <w:r w:rsidR="00B913D9">
        <w:t>FPA</w:t>
      </w:r>
      <w:r>
        <w:t xml:space="preserve"> to seek alternate </w:t>
      </w:r>
      <w:r w:rsidR="003C0036">
        <w:t>investment tax credit</w:t>
      </w:r>
      <w:r>
        <w:t xml:space="preserve"> treatment of peaking unit generator leads in the future.</w:t>
      </w:r>
      <w:r>
        <w:rPr>
          <w:rStyle w:val="FootnoteReference"/>
        </w:rPr>
        <w:footnoteReference w:id="203"/>
      </w:r>
    </w:p>
    <w:p w:rsidR="001B43C5" w:rsidP="00A3002E">
      <w:pPr>
        <w:pStyle w:val="Heading5"/>
      </w:pPr>
      <w:r>
        <w:t>Ans</w:t>
      </w:r>
      <w:r w:rsidR="005A7187">
        <w:t>w</w:t>
      </w:r>
      <w:r>
        <w:t>er</w:t>
      </w:r>
      <w:r w:rsidR="00761C43">
        <w:t>s</w:t>
      </w:r>
    </w:p>
    <w:p w:rsidR="00D22C99" w:rsidP="00D22C99">
      <w:pPr>
        <w:pStyle w:val="FERCparanumber"/>
        <w:spacing w:after="240"/>
      </w:pPr>
      <w:r>
        <w:t xml:space="preserve">IPPNY argues that NYISO’s proposal correctly excludes generator lead cost from the </w:t>
      </w:r>
      <w:r w:rsidR="003101AA">
        <w:t>peaking plant costs</w:t>
      </w:r>
      <w:r>
        <w:t>.</w:t>
      </w:r>
      <w:r>
        <w:rPr>
          <w:rStyle w:val="FootnoteReference"/>
        </w:rPr>
        <w:footnoteReference w:id="204"/>
      </w:r>
      <w:r>
        <w:t xml:space="preserve">  According to IPPNY, the Commission should reject NYSERDA’s procedural objections because stakeholders had multiple opportunities to comment on this issue.</w:t>
      </w:r>
      <w:r>
        <w:rPr>
          <w:rStyle w:val="FootnoteReference"/>
        </w:rPr>
        <w:footnoteReference w:id="205"/>
      </w:r>
      <w:r>
        <w:t xml:space="preserve">  IPPNY also contends that the argument that NYISO misapplied IRS guidance overlooks a consistent body of IRS authority holding that any line transporting electricity to or from the grid is classified as transmission rather than energy.</w:t>
      </w:r>
      <w:r>
        <w:rPr>
          <w:rStyle w:val="FootnoteReference"/>
        </w:rPr>
        <w:footnoteReference w:id="206"/>
      </w:r>
      <w:r>
        <w:t xml:space="preserve">  For example, IPPNY</w:t>
      </w:r>
      <w:r w:rsidRPr="00DA30B1">
        <w:t xml:space="preserve"> states </w:t>
      </w:r>
      <w:r>
        <w:t>that,</w:t>
      </w:r>
      <w:r w:rsidRPr="00DA30B1">
        <w:t xml:space="preserve"> </w:t>
      </w:r>
      <w:r>
        <w:t xml:space="preserve">in December 2024, the IRS issued final regulations that continue to </w:t>
      </w:r>
      <w:r w:rsidRPr="00F3544B">
        <w:t xml:space="preserve">expressly </w:t>
      </w:r>
      <w:r>
        <w:t>e</w:t>
      </w:r>
      <w:r w:rsidRPr="00F3544B">
        <w:t>xclude “transmission or distribution</w:t>
      </w:r>
      <w:r>
        <w:t xml:space="preserve"> lines</w:t>
      </w:r>
      <w:r w:rsidRPr="00F3544B">
        <w:t xml:space="preserve">” from the categories of power conditioning and transfer equipment that qualify for the </w:t>
      </w:r>
      <w:r w:rsidR="003C0036">
        <w:t>investment tax credit</w:t>
      </w:r>
      <w:r>
        <w:t>.</w:t>
      </w:r>
      <w:r>
        <w:rPr>
          <w:rStyle w:val="FootnoteReference"/>
        </w:rPr>
        <w:footnoteReference w:id="207"/>
      </w:r>
      <w:r>
        <w:t xml:space="preserve">  </w:t>
      </w:r>
      <w:r w:rsidR="00D229C4">
        <w:t>R</w:t>
      </w:r>
      <w:r>
        <w:t xml:space="preserve">egarding the </w:t>
      </w:r>
      <w:r w:rsidRPr="008A5740">
        <w:t>protest</w:t>
      </w:r>
      <w:r w:rsidRPr="008A5740" w:rsidR="005E581F">
        <w:t>e</w:t>
      </w:r>
      <w:r w:rsidRPr="008A5740">
        <w:t xml:space="preserve">rs’ argument </w:t>
      </w:r>
      <w:r w:rsidRPr="008A5740" w:rsidR="00FF01A6">
        <w:t>that</w:t>
      </w:r>
      <w:r w:rsidR="00FF01A6">
        <w:t xml:space="preserve"> because a storage facility must have a generator lead to operate in wholesale markets, the generator lead must be </w:t>
      </w:r>
      <w:r w:rsidR="0050044A">
        <w:t>integral</w:t>
      </w:r>
      <w:r>
        <w:t xml:space="preserve">, </w:t>
      </w:r>
      <w:r w:rsidR="00D229C4">
        <w:t xml:space="preserve">IPPNY asserts that </w:t>
      </w:r>
      <w:r>
        <w:t>the IRS acknowledges that</w:t>
      </w:r>
      <w:r w:rsidR="0050044A">
        <w:t xml:space="preserve"> certain </w:t>
      </w:r>
      <w:r w:rsidR="00710CED">
        <w:t>lines can be necessary for delivering electricity but states that</w:t>
      </w:r>
      <w:r>
        <w:t xml:space="preserve"> </w:t>
      </w:r>
      <w:r w:rsidRPr="00232572">
        <w:t xml:space="preserve">necessity alone does not transform a </w:t>
      </w:r>
      <w:r w:rsidR="0072041C">
        <w:t xml:space="preserve">generator lead </w:t>
      </w:r>
      <w:r w:rsidRPr="00232572">
        <w:t>line into energy property</w:t>
      </w:r>
      <w:r>
        <w:t>.</w:t>
      </w:r>
      <w:r>
        <w:rPr>
          <w:rStyle w:val="FootnoteReference"/>
        </w:rPr>
        <w:footnoteReference w:id="208"/>
      </w:r>
      <w:r>
        <w:t xml:space="preserve">  IPPNY also argues that IRS guidance focuses on function and that the IRS has r</w:t>
      </w:r>
      <w:r w:rsidRPr="0001599D">
        <w:t>epeatedly stated that the key is whether the property modifies or conditions electricity before it enters the grid</w:t>
      </w:r>
      <w:r>
        <w:t>, which</w:t>
      </w:r>
      <w:r w:rsidRPr="0001599D">
        <w:t xml:space="preserve"> a generator lead does not.</w:t>
      </w:r>
      <w:r>
        <w:rPr>
          <w:rStyle w:val="FootnoteReference"/>
        </w:rPr>
        <w:footnoteReference w:id="209"/>
      </w:r>
      <w:r>
        <w:t xml:space="preserve">  </w:t>
      </w:r>
    </w:p>
    <w:p w:rsidR="00F27E1E" w:rsidRPr="002E1E18" w:rsidP="00F27E1E">
      <w:pPr>
        <w:pStyle w:val="FERCparanumber"/>
      </w:pPr>
      <w:r>
        <w:t>NYISO</w:t>
      </w:r>
      <w:r w:rsidR="007D1013">
        <w:t xml:space="preserve"> explains that</w:t>
      </w:r>
      <w:r>
        <w:t xml:space="preserve"> </w:t>
      </w:r>
      <w:r w:rsidR="00B210E7">
        <w:t xml:space="preserve">it carefully </w:t>
      </w:r>
      <w:r>
        <w:t xml:space="preserve">assessed the likelihood that the </w:t>
      </w:r>
      <w:r>
        <w:t xml:space="preserve">generator lead </w:t>
      </w:r>
      <w:r>
        <w:t xml:space="preserve">would be considered </w:t>
      </w:r>
      <w:r w:rsidR="00DC3809">
        <w:t xml:space="preserve">as part of the eligible basis for </w:t>
      </w:r>
      <w:r w:rsidR="00B4736D">
        <w:t xml:space="preserve">the </w:t>
      </w:r>
      <w:r w:rsidR="003C0036">
        <w:t>investment tax credit</w:t>
      </w:r>
      <w:r>
        <w:t>.</w:t>
      </w:r>
      <w:r>
        <w:rPr>
          <w:rStyle w:val="FootnoteReference"/>
        </w:rPr>
        <w:footnoteReference w:id="210"/>
      </w:r>
      <w:r>
        <w:t xml:space="preserve">  NYISO states that it reviewed the information submitted by stakeholders and engaged tax counsel with extensive experience in </w:t>
      </w:r>
      <w:r w:rsidR="003C0036">
        <w:t>investment tax credit</w:t>
      </w:r>
      <w:r w:rsidR="00777301">
        <w:t xml:space="preserve"> </w:t>
      </w:r>
      <w:r>
        <w:t>related matters.</w:t>
      </w:r>
      <w:r>
        <w:rPr>
          <w:rStyle w:val="FootnoteReference"/>
        </w:rPr>
        <w:footnoteReference w:id="211"/>
      </w:r>
      <w:r w:rsidR="00285070">
        <w:t xml:space="preserve">  </w:t>
      </w:r>
      <w:r w:rsidR="002630E2">
        <w:t>NYISO</w:t>
      </w:r>
      <w:r w:rsidR="003D7DC6">
        <w:t xml:space="preserve"> conten</w:t>
      </w:r>
      <w:r w:rsidR="006644F6">
        <w:t xml:space="preserve">ds that </w:t>
      </w:r>
      <w:r w:rsidR="003C0036">
        <w:t>investment tax credit</w:t>
      </w:r>
      <w:r w:rsidR="006644F6">
        <w:t xml:space="preserve"> eli</w:t>
      </w:r>
      <w:r w:rsidR="00E15126">
        <w:t>gib</w:t>
      </w:r>
      <w:r w:rsidR="006644F6">
        <w:t xml:space="preserve">ility matters are fact-specific and could </w:t>
      </w:r>
      <w:r w:rsidR="00E15126">
        <w:t>result in different opinions</w:t>
      </w:r>
      <w:r w:rsidR="00B7021E">
        <w:t xml:space="preserve">.  NYISO states that the IRS will assess the </w:t>
      </w:r>
      <w:r w:rsidR="00450BEF">
        <w:t>purpose</w:t>
      </w:r>
      <w:r w:rsidR="00B7021E">
        <w:t xml:space="preserve"> and function of </w:t>
      </w:r>
      <w:r w:rsidR="00450BEF">
        <w:t>interconnection and project</w:t>
      </w:r>
      <w:r w:rsidR="00127A08">
        <w:t>-</w:t>
      </w:r>
      <w:r w:rsidR="00450BEF">
        <w:t xml:space="preserve">related equipment in determining eligibility.  </w:t>
      </w:r>
    </w:p>
    <w:p w:rsidR="002E1E18" w:rsidP="002E1E18">
      <w:pPr>
        <w:pStyle w:val="FERCparanumber"/>
      </w:pPr>
      <w:r>
        <w:t xml:space="preserve">NYISO states that the generator lead </w:t>
      </w:r>
      <w:r w:rsidR="00876772">
        <w:t>is located beyond the step-up transformer for a 2-hour BESS unit and does not involve any further adjustments to the c</w:t>
      </w:r>
      <w:r w:rsidR="00852733">
        <w:t>haracteristics of energy produced by the unit</w:t>
      </w:r>
      <w:r w:rsidR="000853F2">
        <w:t xml:space="preserve">, </w:t>
      </w:r>
      <w:r w:rsidR="00F9170B">
        <w:t xml:space="preserve">stating that </w:t>
      </w:r>
      <w:r w:rsidR="001E3ACC">
        <w:t>it</w:t>
      </w:r>
      <w:r w:rsidR="000853F2">
        <w:t xml:space="preserve"> serves to </w:t>
      </w:r>
      <w:r w:rsidR="00A63ED3">
        <w:t>merely transport the final product produced by a 2-hour BESS unit to the transmission system.</w:t>
      </w:r>
      <w:r>
        <w:rPr>
          <w:rStyle w:val="FootnoteReference"/>
        </w:rPr>
        <w:footnoteReference w:id="212"/>
      </w:r>
      <w:r w:rsidR="004C0AD6">
        <w:t xml:space="preserve">  </w:t>
      </w:r>
      <w:r w:rsidR="005B7794">
        <w:t xml:space="preserve">NYISO states that, therefore, the 2-hour BESS unit </w:t>
      </w:r>
      <w:r w:rsidR="00D41EE2">
        <w:t xml:space="preserve">generator lead </w:t>
      </w:r>
      <w:r w:rsidR="005B7794">
        <w:t xml:space="preserve">is not likely to be classified as integral to the energy production function and, instead, </w:t>
      </w:r>
      <w:r w:rsidR="0044101D">
        <w:t>is</w:t>
      </w:r>
      <w:r w:rsidR="005B7794">
        <w:t xml:space="preserve"> likely to be deemed as transmission or distribution equipment</w:t>
      </w:r>
      <w:r w:rsidR="00003C79">
        <w:t xml:space="preserve"> that is not eligible for the </w:t>
      </w:r>
      <w:r w:rsidR="003C0036">
        <w:t>investment tax credit</w:t>
      </w:r>
      <w:r w:rsidR="005B7794">
        <w:t>.</w:t>
      </w:r>
      <w:r>
        <w:rPr>
          <w:rStyle w:val="FootnoteReference"/>
        </w:rPr>
        <w:footnoteReference w:id="213"/>
      </w:r>
      <w:r w:rsidR="005B7794">
        <w:t xml:space="preserve">  </w:t>
      </w:r>
      <w:r w:rsidR="008F19B3">
        <w:t xml:space="preserve">NYISO contends that </w:t>
      </w:r>
      <w:r w:rsidR="00446702">
        <w:t xml:space="preserve">the </w:t>
      </w:r>
      <w:r w:rsidR="008F19B3">
        <w:t xml:space="preserve">recent IRS regulations </w:t>
      </w:r>
      <w:r w:rsidR="001B6583">
        <w:t>expressly provide that power conditioning and transfer</w:t>
      </w:r>
      <w:r w:rsidR="00BD1120">
        <w:t xml:space="preserve"> equipment, </w:t>
      </w:r>
      <w:r w:rsidR="001F3A1A">
        <w:t>which are</w:t>
      </w:r>
      <w:r w:rsidR="00EB2EB6">
        <w:t xml:space="preserve"> eligible for the </w:t>
      </w:r>
      <w:r w:rsidR="003C0036">
        <w:t>investment tax credit</w:t>
      </w:r>
      <w:r w:rsidR="00EB2EB6">
        <w:t>,</w:t>
      </w:r>
      <w:r w:rsidR="00BD1120">
        <w:t xml:space="preserve"> </w:t>
      </w:r>
      <w:r w:rsidR="007F09D1">
        <w:t>does not include</w:t>
      </w:r>
      <w:r w:rsidR="00BD1120">
        <w:t xml:space="preserve"> transmission or distribution lines</w:t>
      </w:r>
      <w:r w:rsidR="00E2432E">
        <w:t>.</w:t>
      </w:r>
      <w:r>
        <w:rPr>
          <w:rStyle w:val="FootnoteReference"/>
        </w:rPr>
        <w:footnoteReference w:id="214"/>
      </w:r>
      <w:r w:rsidR="006600EC">
        <w:t xml:space="preserve">  </w:t>
      </w:r>
    </w:p>
    <w:p w:rsidR="004E456F" w:rsidP="002E1E18">
      <w:pPr>
        <w:pStyle w:val="FERCparanumber"/>
      </w:pPr>
      <w:r>
        <w:t xml:space="preserve">In response to IPPNY and NYISO’s assertions that the 2-hour BESS generator lead line is not eligible to receive the </w:t>
      </w:r>
      <w:r w:rsidR="003C0036">
        <w:t>investment tax credit</w:t>
      </w:r>
      <w:r>
        <w:t>, Consumer Stakeholders state that the use of the generator lead for a BESS’ withdrawal function is crucial to how the BESS “generates” electricity.</w:t>
      </w:r>
      <w:r>
        <w:rPr>
          <w:rStyle w:val="FootnoteReference"/>
        </w:rPr>
        <w:footnoteReference w:id="215"/>
      </w:r>
      <w:r>
        <w:t xml:space="preserve">  Thus, Consumer Stakeholders posit that the generator lead is an integral part of the intended function of the energy property and should receive the </w:t>
      </w:r>
      <w:r w:rsidR="003C0036">
        <w:t>investment tax credit</w:t>
      </w:r>
      <w:r>
        <w:t xml:space="preserve">.  Consumer Stakeholders </w:t>
      </w:r>
      <w:r w:rsidR="00AF4426">
        <w:t>asserts</w:t>
      </w:r>
      <w:r>
        <w:t xml:space="preserve"> that IPPNY relies on outdated IRS </w:t>
      </w:r>
      <w:r w:rsidR="00D411ED">
        <w:t xml:space="preserve">memoranda </w:t>
      </w:r>
      <w:r>
        <w:t xml:space="preserve">and notices to justify their finding that generator leads are not eligible for the </w:t>
      </w:r>
      <w:r w:rsidR="003C0036">
        <w:t>investment tax credit</w:t>
      </w:r>
      <w:r>
        <w:t xml:space="preserve">. </w:t>
      </w:r>
      <w:r w:rsidR="00272498">
        <w:t xml:space="preserve"> </w:t>
      </w:r>
      <w:r>
        <w:t xml:space="preserve">Consumer Stakeholders </w:t>
      </w:r>
      <w:r w:rsidR="00E23626">
        <w:t>also</w:t>
      </w:r>
      <w:r>
        <w:t xml:space="preserve"> argue that the recent IRS regulation does not state that the generator lead for a BESS is not an integral part of the energy property, nor does the regulation adopt a definition of transmission equipment that uses the step</w:t>
      </w:r>
      <w:r w:rsidR="00D94AC3">
        <w:t>-</w:t>
      </w:r>
      <w:r>
        <w:t>up transformer as the point of demarcation.</w:t>
      </w:r>
      <w:r>
        <w:rPr>
          <w:rStyle w:val="FootnoteReference"/>
        </w:rPr>
        <w:footnoteReference w:id="216"/>
      </w:r>
      <w:r>
        <w:t xml:space="preserve">  </w:t>
      </w:r>
    </w:p>
    <w:p w:rsidR="0050771A" w:rsidP="00A3002E">
      <w:pPr>
        <w:pStyle w:val="Heading5"/>
      </w:pPr>
      <w:r>
        <w:t>Commission Determination</w:t>
      </w:r>
    </w:p>
    <w:p w:rsidR="00E40DAE" w:rsidP="00096B37">
      <w:pPr>
        <w:pStyle w:val="FERCparanumber"/>
      </w:pPr>
      <w:r>
        <w:t xml:space="preserve">We find </w:t>
      </w:r>
      <w:r w:rsidR="005C063B">
        <w:t>NYISO</w:t>
      </w:r>
      <w:r w:rsidR="003F100E">
        <w:t>’s i</w:t>
      </w:r>
      <w:r w:rsidR="00BB4030">
        <w:t>nterpret</w:t>
      </w:r>
      <w:r w:rsidR="003F100E">
        <w:t>ation of</w:t>
      </w:r>
      <w:r w:rsidR="00BB4030">
        <w:t xml:space="preserve"> IRS regulations to</w:t>
      </w:r>
      <w:r w:rsidRPr="00F1272D" w:rsidR="00F1272D">
        <w:t xml:space="preserve"> </w:t>
      </w:r>
      <w:r w:rsidRPr="00F1272D" w:rsidR="00CC27FD">
        <w:t>exclud</w:t>
      </w:r>
      <w:r w:rsidR="00CC27FD">
        <w:t>e</w:t>
      </w:r>
      <w:r w:rsidR="00F60AB9">
        <w:t xml:space="preserve"> generator lead</w:t>
      </w:r>
      <w:r w:rsidR="003F100E">
        <w:t>s</w:t>
      </w:r>
      <w:r w:rsidRPr="00F1272D" w:rsidR="00F1272D">
        <w:t xml:space="preserve"> from </w:t>
      </w:r>
      <w:r w:rsidRPr="00BE3099" w:rsidR="003F100E">
        <w:t xml:space="preserve">eligibility for </w:t>
      </w:r>
      <w:r w:rsidRPr="00BE3099" w:rsidR="00F1272D">
        <w:t xml:space="preserve">the </w:t>
      </w:r>
      <w:r w:rsidRPr="00BE3099" w:rsidR="003C0036">
        <w:t>investment tax credit</w:t>
      </w:r>
      <w:r w:rsidRPr="00BE3099" w:rsidR="00F1272D">
        <w:t xml:space="preserve"> </w:t>
      </w:r>
      <w:r w:rsidRPr="00BE3099" w:rsidR="003F100E">
        <w:t>to be reasonable</w:t>
      </w:r>
      <w:r w:rsidRPr="002E5BCF" w:rsidR="002E5BCF">
        <w:t xml:space="preserve"> for purposes of estimating peaking plant costs in its DCR</w:t>
      </w:r>
      <w:r w:rsidRPr="00BE3099" w:rsidR="00F1272D">
        <w:t xml:space="preserve">.  </w:t>
      </w:r>
      <w:r w:rsidRPr="00BE3099" w:rsidR="00A202EE">
        <w:t xml:space="preserve">As noted by both </w:t>
      </w:r>
      <w:r w:rsidRPr="00BE3099" w:rsidR="00184195">
        <w:t>NYISO and IPPNY</w:t>
      </w:r>
      <w:r w:rsidRPr="00BE3099" w:rsidR="00A202EE">
        <w:t xml:space="preserve">, </w:t>
      </w:r>
      <w:r w:rsidRPr="00BE3099" w:rsidR="00184195">
        <w:t>the IRS</w:t>
      </w:r>
      <w:r w:rsidRPr="00BE3099" w:rsidR="00A202EE">
        <w:t xml:space="preserve"> recently issued final rules</w:t>
      </w:r>
      <w:r w:rsidRPr="00BE3099" w:rsidR="001B7F69">
        <w:t xml:space="preserve"> to </w:t>
      </w:r>
      <w:r w:rsidRPr="00BE3099" w:rsidR="002C785B">
        <w:t>clarif</w:t>
      </w:r>
      <w:r w:rsidRPr="00BE3099" w:rsidR="001B7F69">
        <w:t>y</w:t>
      </w:r>
      <w:r w:rsidRPr="00BE3099" w:rsidR="002C785B">
        <w:t xml:space="preserve"> the definition of energy property </w:t>
      </w:r>
      <w:r w:rsidRPr="00BE3099" w:rsidR="00221FF6">
        <w:t xml:space="preserve">eligible </w:t>
      </w:r>
      <w:r w:rsidRPr="00BE3099" w:rsidR="002C785B">
        <w:t xml:space="preserve">for the </w:t>
      </w:r>
      <w:r w:rsidRPr="00BE3099" w:rsidR="003C0036">
        <w:t>investment tax credit</w:t>
      </w:r>
      <w:r w:rsidRPr="00BE3099" w:rsidR="002C785B">
        <w:t>.</w:t>
      </w:r>
      <w:r>
        <w:rPr>
          <w:rStyle w:val="FootnoteReference"/>
        </w:rPr>
        <w:footnoteReference w:id="217"/>
      </w:r>
      <w:r w:rsidRPr="00BE3099" w:rsidR="002C785B">
        <w:t xml:space="preserve">  </w:t>
      </w:r>
      <w:r w:rsidRPr="00BE3099" w:rsidR="00425B51">
        <w:t xml:space="preserve">The IRS rules provide that property that is an </w:t>
      </w:r>
      <w:r w:rsidRPr="00BE3099" w:rsidR="006E3011">
        <w:t>“</w:t>
      </w:r>
      <w:r w:rsidRPr="00BE3099" w:rsidR="00425B51">
        <w:t>integral</w:t>
      </w:r>
      <w:r w:rsidRPr="00BE3099" w:rsidR="006E3011">
        <w:t>”</w:t>
      </w:r>
      <w:r w:rsidRPr="00BE3099" w:rsidR="00425B51">
        <w:t xml:space="preserve"> part of energy property </w:t>
      </w:r>
      <w:r w:rsidRPr="00BE3099" w:rsidR="00450AD9">
        <w:t xml:space="preserve">eligible for the </w:t>
      </w:r>
      <w:r w:rsidRPr="00BE3099" w:rsidR="003C0036">
        <w:t>investment tax credit</w:t>
      </w:r>
      <w:r w:rsidRPr="00BE3099" w:rsidR="00450AD9">
        <w:t xml:space="preserve"> </w:t>
      </w:r>
      <w:r w:rsidRPr="00BE3099" w:rsidR="00425B51">
        <w:t>includes power conditioning equipment and transfer equipment used to perform the intended function of the energy property</w:t>
      </w:r>
      <w:r w:rsidRPr="00BE3099" w:rsidR="007F337D">
        <w:t>,</w:t>
      </w:r>
      <w:r w:rsidRPr="00BE3099" w:rsidR="001C0044">
        <w:t xml:space="preserve"> and</w:t>
      </w:r>
      <w:r w:rsidRPr="00BE3099" w:rsidR="007A06CE">
        <w:t xml:space="preserve"> </w:t>
      </w:r>
      <w:r w:rsidRPr="00BE3099" w:rsidR="005C50C8">
        <w:t>that power conditioning and transfer equipment do</w:t>
      </w:r>
      <w:r w:rsidRPr="00BE3099" w:rsidR="00344DE0">
        <w:t>es</w:t>
      </w:r>
      <w:r w:rsidRPr="00BE3099" w:rsidR="005C50C8">
        <w:t xml:space="preserve"> not include transmission or distribution equipment.</w:t>
      </w:r>
      <w:r>
        <w:rPr>
          <w:rStyle w:val="FootnoteReference"/>
        </w:rPr>
        <w:footnoteReference w:id="218"/>
      </w:r>
      <w:r w:rsidRPr="00BE3099" w:rsidR="005C50C8">
        <w:t xml:space="preserve">  </w:t>
      </w:r>
      <w:r w:rsidRPr="00BE3099" w:rsidR="00E92778">
        <w:t>NYISO contends th</w:t>
      </w:r>
      <w:r w:rsidRPr="00BE3099" w:rsidR="00C74305">
        <w:t>at</w:t>
      </w:r>
      <w:r w:rsidRPr="00BE3099" w:rsidR="00E92778">
        <w:t xml:space="preserve"> </w:t>
      </w:r>
      <w:r w:rsidRPr="00BE3099" w:rsidR="001E1E87">
        <w:t>bec</w:t>
      </w:r>
      <w:r w:rsidRPr="00BE3099" w:rsidR="00611B6E">
        <w:t>ause</w:t>
      </w:r>
      <w:r w:rsidRPr="00BE3099" w:rsidR="00E83B2C">
        <w:t xml:space="preserve"> </w:t>
      </w:r>
      <w:r w:rsidRPr="00BE3099" w:rsidR="00E92778">
        <w:t>generator lead</w:t>
      </w:r>
      <w:r w:rsidRPr="00BE3099" w:rsidR="00C74305">
        <w:t>s</w:t>
      </w:r>
      <w:r w:rsidRPr="00BE3099" w:rsidR="00E92778">
        <w:t xml:space="preserve"> do not involve any further adjustments to the voltage or other characteristics of the energy produced prior to delivery to the transmission system</w:t>
      </w:r>
      <w:r w:rsidRPr="00BE3099" w:rsidR="00E83B2C">
        <w:t>,</w:t>
      </w:r>
      <w:r w:rsidRPr="00BE3099" w:rsidR="00657E49">
        <w:t xml:space="preserve"> generator leads </w:t>
      </w:r>
      <w:r w:rsidRPr="00BE3099" w:rsidR="004E7BFC">
        <w:t xml:space="preserve">could </w:t>
      </w:r>
      <w:r w:rsidRPr="00BE3099" w:rsidR="00657E49">
        <w:t>be classified as</w:t>
      </w:r>
      <w:r w:rsidRPr="00BE3099" w:rsidR="0084719D">
        <w:t xml:space="preserve"> transmission or distribution equipment </w:t>
      </w:r>
      <w:r w:rsidRPr="00BE3099" w:rsidR="00C61CF4">
        <w:t>but</w:t>
      </w:r>
      <w:r w:rsidRPr="00BE3099" w:rsidR="007F0BC1">
        <w:t xml:space="preserve"> not energy property,</w:t>
      </w:r>
      <w:r w:rsidRPr="00BE3099" w:rsidR="0084719D">
        <w:t xml:space="preserve"> </w:t>
      </w:r>
      <w:r w:rsidRPr="00BE3099" w:rsidR="00C61CF4">
        <w:t xml:space="preserve">and are </w:t>
      </w:r>
      <w:r w:rsidRPr="00BE3099" w:rsidR="008E70B7">
        <w:t>thus</w:t>
      </w:r>
      <w:r w:rsidRPr="00BE3099" w:rsidR="0084719D">
        <w:t xml:space="preserve"> not eligible for the </w:t>
      </w:r>
      <w:r w:rsidRPr="00BE3099" w:rsidR="003C0036">
        <w:t>investment tax credit</w:t>
      </w:r>
      <w:r w:rsidRPr="00BE3099" w:rsidR="0084719D">
        <w:t xml:space="preserve">. </w:t>
      </w:r>
      <w:r w:rsidRPr="00BE3099" w:rsidR="005977A9">
        <w:t xml:space="preserve"> </w:t>
      </w:r>
      <w:r w:rsidR="00DF3B17">
        <w:t xml:space="preserve">We </w:t>
      </w:r>
      <w:r w:rsidR="000E0FEE">
        <w:t xml:space="preserve">thus </w:t>
      </w:r>
      <w:r w:rsidR="00DF3B17">
        <w:t xml:space="preserve">find </w:t>
      </w:r>
      <w:r w:rsidR="007C6EAA">
        <w:t xml:space="preserve">that </w:t>
      </w:r>
      <w:r w:rsidR="00DF3B17">
        <w:t>NYISO</w:t>
      </w:r>
      <w:r w:rsidR="007C6EAA">
        <w:t xml:space="preserve"> has demonstrate</w:t>
      </w:r>
      <w:r w:rsidR="000E0FEE">
        <w:t>d</w:t>
      </w:r>
      <w:r w:rsidR="007C6EAA">
        <w:t xml:space="preserve"> that its proposed</w:t>
      </w:r>
      <w:r w:rsidR="00DF3B17">
        <w:t xml:space="preserve"> interpretation </w:t>
      </w:r>
      <w:r w:rsidR="007C6EAA">
        <w:t xml:space="preserve">of </w:t>
      </w:r>
      <w:r w:rsidR="00C1036C">
        <w:t xml:space="preserve">the </w:t>
      </w:r>
      <w:r w:rsidR="007C6EAA">
        <w:t>IRS</w:t>
      </w:r>
      <w:r w:rsidR="00C1036C">
        <w:t>’</w:t>
      </w:r>
      <w:r w:rsidR="007C6EAA">
        <w:t xml:space="preserve"> regulations is </w:t>
      </w:r>
      <w:r w:rsidR="00DF3B17">
        <w:t xml:space="preserve">reasonable </w:t>
      </w:r>
      <w:r w:rsidRPr="00184C92" w:rsidR="00DF3B17">
        <w:t>for purposes of estimating peaking plant costs in its DCR</w:t>
      </w:r>
      <w:r w:rsidR="005F55F7">
        <w:t xml:space="preserve">.  However, </w:t>
      </w:r>
      <w:r w:rsidRPr="00DF3B17" w:rsidR="00DF3B17">
        <w:t xml:space="preserve">we make no finding </w:t>
      </w:r>
      <w:r w:rsidR="00AD4FE8">
        <w:t xml:space="preserve">in this order </w:t>
      </w:r>
      <w:r w:rsidRPr="00DF3B17" w:rsidR="00DF3B17">
        <w:t>on whether generator leads are eligible for the investment tax credit, as that is a fact-specific question for the IRS</w:t>
      </w:r>
      <w:r w:rsidR="00BD24B8">
        <w:t xml:space="preserve">. </w:t>
      </w:r>
      <w:r w:rsidR="00AD3D6B">
        <w:t xml:space="preserve"> </w:t>
      </w:r>
    </w:p>
    <w:p w:rsidR="008B1927" w:rsidP="00DF7ED4">
      <w:pPr>
        <w:pStyle w:val="Heading4"/>
      </w:pPr>
      <w:r>
        <w:t>Cost of Equity and Cost of Debt</w:t>
      </w:r>
    </w:p>
    <w:p w:rsidR="009768CD" w:rsidRPr="009768CD" w:rsidP="009768CD">
      <w:pPr>
        <w:pStyle w:val="FERCparanumber"/>
      </w:pPr>
      <w:r w:rsidRPr="00175A79">
        <w:t xml:space="preserve">NYISO proposes to </w:t>
      </w:r>
      <w:r w:rsidRPr="0044293E">
        <w:t xml:space="preserve">adopt </w:t>
      </w:r>
      <w:r w:rsidRPr="0044293E" w:rsidR="00941D86">
        <w:t>a 1</w:t>
      </w:r>
      <w:r w:rsidRPr="0044293E" w:rsidR="004B7539">
        <w:t>4</w:t>
      </w:r>
      <w:r w:rsidRPr="0044293E" w:rsidR="00941D86">
        <w:t xml:space="preserve">.5% </w:t>
      </w:r>
      <w:r w:rsidRPr="0044293E" w:rsidR="00E24377">
        <w:t>cost of equity</w:t>
      </w:r>
      <w:r w:rsidRPr="0044293E" w:rsidR="00FE4E06">
        <w:t xml:space="preserve"> value</w:t>
      </w:r>
      <w:r w:rsidRPr="00175A79">
        <w:t xml:space="preserve"> for a 2-hour BESS unit</w:t>
      </w:r>
      <w:r w:rsidR="000F0FBD">
        <w:t xml:space="preserve"> for purposes of </w:t>
      </w:r>
      <w:r w:rsidR="00002F40">
        <w:t xml:space="preserve">its cost </w:t>
      </w:r>
      <w:r w:rsidR="000F0FBD">
        <w:t>estimates under its DCR analysis</w:t>
      </w:r>
      <w:r w:rsidRPr="00175A79">
        <w:t>.</w:t>
      </w:r>
      <w:r>
        <w:rPr>
          <w:rStyle w:val="FootnoteReference"/>
        </w:rPr>
        <w:footnoteReference w:id="219"/>
      </w:r>
      <w:r w:rsidR="00D064CE">
        <w:t xml:space="preserve"> </w:t>
      </w:r>
      <w:r w:rsidR="006A7B1F">
        <w:t xml:space="preserve"> </w:t>
      </w:r>
      <w:r w:rsidR="00EE1062">
        <w:t xml:space="preserve">NYISO states that the </w:t>
      </w:r>
      <w:r w:rsidR="00E24377">
        <w:t>cost of equity</w:t>
      </w:r>
      <w:r w:rsidR="00EE1062">
        <w:t xml:space="preserve"> value was determined </w:t>
      </w:r>
      <w:r w:rsidRPr="00A43558" w:rsidR="00A43558">
        <w:t>based on consideration of various data sources and information reflecting different potential</w:t>
      </w:r>
      <w:r w:rsidR="00984407">
        <w:t xml:space="preserve"> </w:t>
      </w:r>
      <w:r w:rsidRPr="00984407" w:rsidR="00984407">
        <w:t>financing structures for developing a new peaking plant</w:t>
      </w:r>
      <w:r w:rsidR="00810817">
        <w:t xml:space="preserve">, </w:t>
      </w:r>
      <w:r w:rsidR="008D492F">
        <w:t xml:space="preserve">primarily </w:t>
      </w:r>
      <w:r w:rsidRPr="00810817" w:rsidR="00810817">
        <w:t>rel</w:t>
      </w:r>
      <w:r w:rsidR="00810817">
        <w:t>ying</w:t>
      </w:r>
      <w:r w:rsidRPr="00810817" w:rsidR="00810817">
        <w:t xml:space="preserve"> on estimated </w:t>
      </w:r>
      <w:r w:rsidR="00E24377">
        <w:t>cost of equity</w:t>
      </w:r>
      <w:r w:rsidRPr="00810817" w:rsidR="00810817">
        <w:t xml:space="preserve"> values </w:t>
      </w:r>
      <w:r w:rsidR="00186C76">
        <w:t xml:space="preserve">from a wide </w:t>
      </w:r>
      <w:r w:rsidR="00B74B1D">
        <w:t>range of</w:t>
      </w:r>
      <w:r w:rsidRPr="00810817" w:rsidR="00810817">
        <w:t xml:space="preserve"> publicly traded </w:t>
      </w:r>
      <w:r w:rsidR="00B167AC">
        <w:t>independent power producers</w:t>
      </w:r>
      <w:r w:rsidR="008D492F">
        <w:t>.</w:t>
      </w:r>
      <w:r>
        <w:rPr>
          <w:rStyle w:val="FootnoteReference"/>
        </w:rPr>
        <w:footnoteReference w:id="220"/>
      </w:r>
      <w:r w:rsidR="004C32BA">
        <w:t xml:space="preserve">  </w:t>
      </w:r>
      <w:r w:rsidRPr="009768CD">
        <w:t xml:space="preserve">NYISO also states that NYISO Consultant acknowledged the potential need to account for stand-alone, project-specific risk factors, which tends to result in the need for a higher WACC for a single peaking plant than </w:t>
      </w:r>
      <w:r w:rsidR="002C0676">
        <w:t>a</w:t>
      </w:r>
      <w:r w:rsidR="00701D29">
        <w:t>n</w:t>
      </w:r>
      <w:r w:rsidR="002C0676">
        <w:t xml:space="preserve"> </w:t>
      </w:r>
      <w:r w:rsidRPr="009768CD">
        <w:t xml:space="preserve">independent power </w:t>
      </w:r>
      <w:r w:rsidRPr="009768CD" w:rsidR="00670551">
        <w:t>producer</w:t>
      </w:r>
      <w:r w:rsidR="00670551">
        <w:t xml:space="preserve">, </w:t>
      </w:r>
      <w:r w:rsidR="00D43AEB">
        <w:t xml:space="preserve">and </w:t>
      </w:r>
      <w:r w:rsidRPr="009768CD">
        <w:t>recommend</w:t>
      </w:r>
      <w:r w:rsidR="00D43AEB">
        <w:t>ed</w:t>
      </w:r>
      <w:r w:rsidRPr="009768CD">
        <w:t xml:space="preserve"> cost of equity and cost of debt values at the higher end of the observed range of values.</w:t>
      </w:r>
      <w:r>
        <w:rPr>
          <w:b/>
          <w:vertAlign w:val="superscript"/>
        </w:rPr>
        <w:footnoteReference w:id="221"/>
      </w:r>
      <w:r w:rsidRPr="009768CD">
        <w:t xml:space="preserve">  NYISO states that selecting a more conservative cost of debt value at the high end of the observed range of values is consistent with the approach accepted by the Commission </w:t>
      </w:r>
      <w:r w:rsidR="001D22FA">
        <w:t>in previous</w:t>
      </w:r>
      <w:r w:rsidRPr="009768CD">
        <w:t xml:space="preserve"> DCR</w:t>
      </w:r>
      <w:r w:rsidR="001D22FA">
        <w:t xml:space="preserve"> orders</w:t>
      </w:r>
      <w:r w:rsidR="00C12829">
        <w:t xml:space="preserve"> in such </w:t>
      </w:r>
      <w:r w:rsidR="0021332B">
        <w:t>circumstances</w:t>
      </w:r>
      <w:r w:rsidRPr="009768CD">
        <w:t>.</w:t>
      </w:r>
      <w:r>
        <w:rPr>
          <w:b/>
          <w:vertAlign w:val="superscript"/>
        </w:rPr>
        <w:footnoteReference w:id="222"/>
      </w:r>
      <w:r w:rsidRPr="009768CD">
        <w:t xml:space="preserve"> </w:t>
      </w:r>
    </w:p>
    <w:p w:rsidR="003E2A7A" w:rsidP="003E2A7A">
      <w:pPr>
        <w:pStyle w:val="FERCparanumber"/>
      </w:pPr>
      <w:r>
        <w:t>NYISO further explains that t</w:t>
      </w:r>
      <w:r w:rsidRPr="004C32BA">
        <w:t xml:space="preserve">he </w:t>
      </w:r>
      <w:r w:rsidRPr="0044293E">
        <w:t xml:space="preserve">recommended </w:t>
      </w:r>
      <w:r w:rsidRPr="0044293E" w:rsidR="00E24377">
        <w:t>cost of equity</w:t>
      </w:r>
      <w:r w:rsidRPr="0044293E">
        <w:t xml:space="preserve"> value is 50</w:t>
      </w:r>
      <w:r w:rsidRPr="0044293E" w:rsidR="007B471C">
        <w:t>-</w:t>
      </w:r>
      <w:r w:rsidRPr="0044293E">
        <w:t xml:space="preserve">basis points higher than the value recommended for the fossil-fired frame turbines evaluated for this </w:t>
      </w:r>
      <w:r w:rsidRPr="0044293E" w:rsidR="003C05D0">
        <w:t>DCR</w:t>
      </w:r>
      <w:r>
        <w:t>,</w:t>
      </w:r>
      <w:r w:rsidRPr="004C32BA">
        <w:t xml:space="preserve"> reflect</w:t>
      </w:r>
      <w:r w:rsidR="00666756">
        <w:t>ing</w:t>
      </w:r>
      <w:r w:rsidRPr="004C32BA">
        <w:t xml:space="preserve"> the higher risk presented by investment in </w:t>
      </w:r>
      <w:r>
        <w:t>2-hour BESS projects</w:t>
      </w:r>
      <w:r w:rsidRPr="004C32BA">
        <w:t>.</w:t>
      </w:r>
      <w:r>
        <w:rPr>
          <w:rStyle w:val="FootnoteReference"/>
        </w:rPr>
        <w:footnoteReference w:id="223"/>
      </w:r>
      <w:r w:rsidR="00D828BA">
        <w:t xml:space="preserve">  </w:t>
      </w:r>
    </w:p>
    <w:p w:rsidR="0066565C" w:rsidRPr="0066565C" w:rsidP="00D064CE">
      <w:pPr>
        <w:pStyle w:val="FERCparanumber"/>
      </w:pPr>
      <w:r w:rsidRPr="00D064CE">
        <w:t xml:space="preserve">NYISO proposes to adopt a 7.2% </w:t>
      </w:r>
      <w:r w:rsidR="009742FC">
        <w:t>cost of debt</w:t>
      </w:r>
      <w:r w:rsidRPr="00D064CE">
        <w:t xml:space="preserve"> value for a 2-hour BESS unit</w:t>
      </w:r>
      <w:r w:rsidR="000F0FBD">
        <w:t xml:space="preserve"> for purposes of its </w:t>
      </w:r>
      <w:r w:rsidR="00713175">
        <w:t xml:space="preserve">cost </w:t>
      </w:r>
      <w:r w:rsidR="000F0FBD">
        <w:t>estimates under its DCR analyses</w:t>
      </w:r>
      <w:r w:rsidRPr="00D064CE">
        <w:t>.</w:t>
      </w:r>
      <w:r>
        <w:rPr>
          <w:rStyle w:val="FootnoteReference"/>
        </w:rPr>
        <w:footnoteReference w:id="224"/>
      </w:r>
      <w:r w:rsidRPr="003D5F70" w:rsidR="003D5F70">
        <w:t xml:space="preserve"> </w:t>
      </w:r>
      <w:r w:rsidRPr="00D064CE">
        <w:t xml:space="preserve"> NYISO </w:t>
      </w:r>
      <w:r w:rsidR="00C83B1A">
        <w:t>avers</w:t>
      </w:r>
      <w:r w:rsidRPr="00D064CE">
        <w:t xml:space="preserve"> that this value is relatively consistent with the debt costs currently faced by </w:t>
      </w:r>
      <w:r w:rsidRPr="000A4474" w:rsidR="000A4474">
        <w:t>generic B, BB, and BBB rated entities, as well as debt costs by the same publicly traded independent power producers used to inform the appropriate cost of equity values</w:t>
      </w:r>
      <w:r w:rsidRPr="00D064CE">
        <w:t>.</w:t>
      </w:r>
      <w:r>
        <w:rPr>
          <w:rStyle w:val="FootnoteReference"/>
        </w:rPr>
        <w:footnoteReference w:id="225"/>
      </w:r>
      <w:r w:rsidRPr="00D064CE">
        <w:t xml:space="preserve"> </w:t>
      </w:r>
      <w:r w:rsidR="00E73B73">
        <w:t xml:space="preserve"> </w:t>
      </w:r>
      <w:r w:rsidR="006A7B1F">
        <w:t>NYISO explains that</w:t>
      </w:r>
      <w:r w:rsidRPr="00D064CE">
        <w:t xml:space="preserve"> the</w:t>
      </w:r>
      <w:r w:rsidR="00666756">
        <w:t xml:space="preserve"> </w:t>
      </w:r>
      <w:r w:rsidR="009742FC">
        <w:t>cost of debt</w:t>
      </w:r>
      <w:r w:rsidRPr="00D064CE">
        <w:t xml:space="preserve"> value is 50 basis points higher</w:t>
      </w:r>
      <w:r w:rsidR="00E73B73">
        <w:t xml:space="preserve"> than </w:t>
      </w:r>
      <w:r w:rsidR="00A86237">
        <w:t xml:space="preserve">the </w:t>
      </w:r>
      <w:r w:rsidRPr="004C32BA" w:rsidR="00E73B73">
        <w:t xml:space="preserve">value recommended for the fossil-fired frame turbines evaluated for this </w:t>
      </w:r>
      <w:r w:rsidR="007219C7">
        <w:t>DCR</w:t>
      </w:r>
      <w:r w:rsidR="00BF7F1A">
        <w:t>,</w:t>
      </w:r>
      <w:r w:rsidRPr="00D064CE">
        <w:t xml:space="preserve"> reflect</w:t>
      </w:r>
      <w:r w:rsidR="00BF7F1A">
        <w:t>ing</w:t>
      </w:r>
      <w:r w:rsidRPr="00D064CE">
        <w:t xml:space="preserve"> the higher overall risk attendant to investing in a 2-hour BESS project.</w:t>
      </w:r>
      <w:r>
        <w:rPr>
          <w:rStyle w:val="FootnoteReference"/>
        </w:rPr>
        <w:footnoteReference w:id="226"/>
      </w:r>
      <w:r w:rsidR="009A3C49">
        <w:t xml:space="preserve"> </w:t>
      </w:r>
      <w:r w:rsidRPr="00D064CE">
        <w:t xml:space="preserve"> </w:t>
      </w:r>
    </w:p>
    <w:p w:rsidR="008B1927" w:rsidP="003D5F70">
      <w:pPr>
        <w:pStyle w:val="FERCparanumber"/>
      </w:pPr>
      <w:r w:rsidRPr="0066565C">
        <w:t xml:space="preserve">NYISO proposes </w:t>
      </w:r>
      <w:r w:rsidR="000F0FBD">
        <w:t xml:space="preserve">for purposes of its </w:t>
      </w:r>
      <w:r w:rsidR="00844563">
        <w:t xml:space="preserve">cost </w:t>
      </w:r>
      <w:r w:rsidR="000F0FBD">
        <w:t xml:space="preserve">estimates under its DCR analyses </w:t>
      </w:r>
      <w:r w:rsidRPr="0066565C">
        <w:t xml:space="preserve">to adopt </w:t>
      </w:r>
      <w:r w:rsidR="00346A05">
        <w:t>a</w:t>
      </w:r>
      <w:r w:rsidRPr="0066565C">
        <w:t xml:space="preserve"> </w:t>
      </w:r>
      <w:r w:rsidR="007F6F67">
        <w:t xml:space="preserve">debt-to-equity </w:t>
      </w:r>
      <w:r w:rsidRPr="0066565C">
        <w:t xml:space="preserve">ratio of 55/45 for this </w:t>
      </w:r>
      <w:r w:rsidR="009033E2">
        <w:t>DCR</w:t>
      </w:r>
      <w:r w:rsidRPr="0066565C">
        <w:t xml:space="preserve">, which represents </w:t>
      </w:r>
      <w:r w:rsidR="00782A2A">
        <w:t xml:space="preserve">a </w:t>
      </w:r>
      <w:r w:rsidRPr="0066565C">
        <w:t xml:space="preserve">continuation of the same </w:t>
      </w:r>
      <w:r w:rsidR="00D10AA0">
        <w:t>debt-to-equity</w:t>
      </w:r>
      <w:r w:rsidRPr="0066565C">
        <w:t xml:space="preserve"> ratio the Commission has approved for the last two </w:t>
      </w:r>
      <w:r w:rsidR="00A41E83">
        <w:t>DCR</w:t>
      </w:r>
      <w:r w:rsidRPr="0066565C">
        <w:t>s.</w:t>
      </w:r>
      <w:r>
        <w:rPr>
          <w:rStyle w:val="FootnoteReference"/>
        </w:rPr>
        <w:footnoteReference w:id="227"/>
      </w:r>
      <w:r w:rsidR="00346A05">
        <w:t xml:space="preserve">  NYISO explains that t</w:t>
      </w:r>
      <w:r w:rsidRPr="00346A05" w:rsidR="00346A05">
        <w:t xml:space="preserve">he </w:t>
      </w:r>
      <w:r w:rsidR="00D10AA0">
        <w:t>debt-to-equity</w:t>
      </w:r>
      <w:r w:rsidRPr="00346A05" w:rsidR="00346A05">
        <w:t xml:space="preserve"> ratio recognizes that the appropriate capital structure for a project can vary depending on consideration of several factors, including the nature and certainty of expected project revenue streams, the structure of a project’s financing, and the nature of the capital supporting investment in the project.</w:t>
      </w:r>
      <w:r>
        <w:rPr>
          <w:rStyle w:val="FootnoteReference"/>
        </w:rPr>
        <w:footnoteReference w:id="228"/>
      </w:r>
      <w:r w:rsidR="00D30561">
        <w:t xml:space="preserve">  NYISO avers that the proposed</w:t>
      </w:r>
      <w:r w:rsidRPr="00D30561" w:rsidR="00D30561">
        <w:t xml:space="preserve"> ratio is aligned with </w:t>
      </w:r>
      <w:r w:rsidRPr="00D30561" w:rsidR="00246840">
        <w:t xml:space="preserve">observed </w:t>
      </w:r>
      <w:r w:rsidRPr="00D30561" w:rsidR="00D30561">
        <w:t xml:space="preserve">corporate level </w:t>
      </w:r>
      <w:r w:rsidRPr="00D30561" w:rsidR="00246840">
        <w:t xml:space="preserve">debt leverage </w:t>
      </w:r>
      <w:r w:rsidRPr="00D30561" w:rsidR="00D30561">
        <w:t xml:space="preserve">by </w:t>
      </w:r>
      <w:r w:rsidR="00E73E19">
        <w:t>independent power producer</w:t>
      </w:r>
      <w:r w:rsidRPr="00D30561" w:rsidR="00E73E19">
        <w:t>s</w:t>
      </w:r>
      <w:r w:rsidRPr="00D30561" w:rsidR="00D30561">
        <w:t>, as well as the assumed capital structures approved by the Commission for use in similar capacity market valuations.</w:t>
      </w:r>
      <w:r w:rsidRPr="00346A05" w:rsidR="00346A05">
        <w:t xml:space="preserve">  </w:t>
      </w:r>
    </w:p>
    <w:p w:rsidR="003E2A7A" w:rsidP="008A5740">
      <w:pPr>
        <w:pStyle w:val="FERCparanumber"/>
      </w:pPr>
      <w:r>
        <w:t>NYISO states that certain stakeholders allege that the recommended WACC for a 2-hour BESS unit fails to fully consider the risks attendant to investing in such a project in New York.  NYISO states that NYISO Consultant carefully considered the risk attendant to investing in a 2-hour BESS unit in New York, which accounts for both market and technology-specific risks.</w:t>
      </w:r>
      <w:r>
        <w:rPr>
          <w:rStyle w:val="FootnoteReference"/>
        </w:rPr>
        <w:footnoteReference w:id="229"/>
      </w:r>
      <w:r>
        <w:t xml:space="preserve">  NYISO explains that the recommended WACC accounts for risks, such as uncertainties related to future market outcomes, future changes in energy and peak demand, and the potential impacts of future topology and resources changes.</w:t>
      </w:r>
      <w:r>
        <w:rPr>
          <w:rStyle w:val="FootnoteReference"/>
        </w:rPr>
        <w:footnoteReference w:id="230"/>
      </w:r>
      <w:r>
        <w:t xml:space="preserve">  NYISO explains that NYISO Consultant also accounted for the risks presented by uncertainty in future CAF values for a 2-hour BESS unit.</w:t>
      </w:r>
    </w:p>
    <w:p w:rsidR="00B16A20" w:rsidRPr="001F0DBB" w:rsidP="00137001">
      <w:pPr>
        <w:pStyle w:val="Heading5"/>
      </w:pPr>
      <w:r>
        <w:t>Comments and Protests</w:t>
      </w:r>
    </w:p>
    <w:p w:rsidR="00322F9D" w:rsidP="00B16A20">
      <w:pPr>
        <w:pStyle w:val="FERCparanumber"/>
      </w:pPr>
      <w:r>
        <w:t xml:space="preserve">Ravenswood </w:t>
      </w:r>
      <w:r w:rsidR="00C14CCC">
        <w:t xml:space="preserve">contends that </w:t>
      </w:r>
      <w:r>
        <w:t xml:space="preserve">the </w:t>
      </w:r>
      <w:r w:rsidR="007769ED">
        <w:t xml:space="preserve">cost of debt, </w:t>
      </w:r>
      <w:r w:rsidR="00EA4E77">
        <w:t>debt-to-equity</w:t>
      </w:r>
      <w:r w:rsidR="00BC3E19">
        <w:t xml:space="preserve"> ratio</w:t>
      </w:r>
      <w:r w:rsidR="00CD6CFC">
        <w:t>, and WACC</w:t>
      </w:r>
      <w:r w:rsidR="00BC3E19">
        <w:t xml:space="preserve"> proposal</w:t>
      </w:r>
      <w:r w:rsidR="007C2E68">
        <w:t>s</w:t>
      </w:r>
      <w:r w:rsidR="00BC3E19">
        <w:t xml:space="preserve"> </w:t>
      </w:r>
      <w:r w:rsidR="00901C7F">
        <w:t>are</w:t>
      </w:r>
      <w:r w:rsidR="00BC3E19">
        <w:t xml:space="preserve"> inadequate</w:t>
      </w:r>
      <w:r w:rsidR="00243D00">
        <w:t>,</w:t>
      </w:r>
      <w:r w:rsidR="00D801DB">
        <w:t xml:space="preserve"> as they reflect costs for a pro</w:t>
      </w:r>
      <w:r w:rsidR="00671DA2">
        <w:t>xy group</w:t>
      </w:r>
      <w:r w:rsidR="004D7D41">
        <w:t xml:space="preserve"> of large publicly traded companies, not entities most likely to develop a 2-hour BESS in New York</w:t>
      </w:r>
      <w:r w:rsidR="00BC3E19">
        <w:t>.</w:t>
      </w:r>
      <w:r>
        <w:rPr>
          <w:rStyle w:val="FootnoteReference"/>
        </w:rPr>
        <w:footnoteReference w:id="231"/>
      </w:r>
      <w:r w:rsidR="0037549A">
        <w:t xml:space="preserve">  Specifically, Ravenswood </w:t>
      </w:r>
      <w:r w:rsidR="00963A2B">
        <w:t xml:space="preserve">and </w:t>
      </w:r>
      <w:r w:rsidR="00D516DD">
        <w:t xml:space="preserve">IPPNY </w:t>
      </w:r>
      <w:r w:rsidR="00243D00">
        <w:t xml:space="preserve">assert </w:t>
      </w:r>
      <w:r w:rsidR="0037549A">
        <w:t xml:space="preserve">that this </w:t>
      </w:r>
      <w:r w:rsidR="00061284">
        <w:t xml:space="preserve">proxy group does not adequately reflect the concerns of </w:t>
      </w:r>
      <w:r w:rsidR="0095335E">
        <w:t>small new-build merchant investment.</w:t>
      </w:r>
      <w:r>
        <w:rPr>
          <w:rStyle w:val="FootnoteReference"/>
        </w:rPr>
        <w:footnoteReference w:id="232"/>
      </w:r>
      <w:r w:rsidR="00823208">
        <w:t xml:space="preserve">  </w:t>
      </w:r>
      <w:r w:rsidRPr="0044293E" w:rsidR="003136BE">
        <w:t xml:space="preserve">IPPNY asserts that, based on its consultants’ </w:t>
      </w:r>
      <w:r w:rsidRPr="0044293E" w:rsidR="001D399F">
        <w:t xml:space="preserve">confidential </w:t>
      </w:r>
      <w:r w:rsidRPr="0044293E" w:rsidR="003136BE">
        <w:t>survey of a representative group of six investors investing in, lending to, or developing BESS projects in the U.S., “investors would require an ROE of 16%-19%, a pre-tax [cost of debt] of 8.6% , and a debt-to-capital ratio of 40%, which produces the NYISO real [after-tax] WACC . . . to finance a 2-hour BESS.”</w:t>
      </w:r>
      <w:r>
        <w:rPr>
          <w:b/>
          <w:vertAlign w:val="superscript"/>
        </w:rPr>
        <w:footnoteReference w:id="233"/>
      </w:r>
      <w:r w:rsidRPr="003136BE" w:rsidR="003136BE">
        <w:t xml:space="preserve">  </w:t>
      </w:r>
      <w:r w:rsidR="00431673">
        <w:t>IPPNY states that the p</w:t>
      </w:r>
      <w:r w:rsidRPr="00431673" w:rsidR="00431673">
        <w:t xml:space="preserve">roxy </w:t>
      </w:r>
      <w:r w:rsidR="00431673">
        <w:t>g</w:t>
      </w:r>
      <w:r w:rsidRPr="00431673" w:rsidR="00431673">
        <w:t xml:space="preserve">roup fails to represent the risk for the average </w:t>
      </w:r>
      <w:r w:rsidR="007B790F">
        <w:t xml:space="preserve"> </w:t>
      </w:r>
      <w:r w:rsidRPr="00431673" w:rsidR="00431673">
        <w:t>2-hour BESS investor given the size, diversification</w:t>
      </w:r>
      <w:r w:rsidR="006C3129">
        <w:t>,</w:t>
      </w:r>
      <w:r w:rsidRPr="00431673" w:rsidR="00431673">
        <w:t xml:space="preserve"> and operating history of the </w:t>
      </w:r>
      <w:r w:rsidR="002F35A1">
        <w:t>p</w:t>
      </w:r>
      <w:r w:rsidRPr="00431673" w:rsidR="00431673">
        <w:t xml:space="preserve">roxy </w:t>
      </w:r>
      <w:r w:rsidR="002F35A1">
        <w:t>g</w:t>
      </w:r>
      <w:r w:rsidRPr="00431673" w:rsidR="00431673">
        <w:t>roup versus a single-asset merchant BESS project.</w:t>
      </w:r>
      <w:r>
        <w:rPr>
          <w:rStyle w:val="FootnoteReference"/>
        </w:rPr>
        <w:footnoteReference w:id="234"/>
      </w:r>
      <w:r w:rsidR="007B5667">
        <w:t xml:space="preserve"> </w:t>
      </w:r>
    </w:p>
    <w:p w:rsidR="00242331" w:rsidP="00B16A20">
      <w:pPr>
        <w:pStyle w:val="FERCparanumber"/>
      </w:pPr>
      <w:r>
        <w:t xml:space="preserve">MMU contends that NYISO presents no </w:t>
      </w:r>
      <w:r w:rsidR="005037B5">
        <w:t xml:space="preserve">analysis or evidence as to why </w:t>
      </w:r>
      <w:r w:rsidR="008E4AED">
        <w:t xml:space="preserve">the proposed </w:t>
      </w:r>
      <w:r w:rsidRPr="0044293E" w:rsidR="00A054BC">
        <w:t>50</w:t>
      </w:r>
      <w:r w:rsidRPr="0044293E" w:rsidR="001E5865">
        <w:t>-</w:t>
      </w:r>
      <w:r w:rsidRPr="0044293E" w:rsidR="00A054BC">
        <w:t xml:space="preserve">basis point adder to the cost of equity and cost of </w:t>
      </w:r>
      <w:r w:rsidRPr="0044293E" w:rsidR="00AC644B">
        <w:t>debt</w:t>
      </w:r>
      <w:r w:rsidRPr="0044293E" w:rsidR="000A2BA1">
        <w:t xml:space="preserve"> </w:t>
      </w:r>
      <w:r w:rsidRPr="0044293E" w:rsidR="00E33773">
        <w:t>is appropriate.</w:t>
      </w:r>
      <w:r>
        <w:rPr>
          <w:rStyle w:val="FootnoteReference"/>
        </w:rPr>
        <w:footnoteReference w:id="235"/>
      </w:r>
      <w:r w:rsidRPr="0044293E" w:rsidR="00F85315">
        <w:t xml:space="preserve">  MMU </w:t>
      </w:r>
      <w:r w:rsidRPr="0044293E" w:rsidR="00DC3BB8">
        <w:t xml:space="preserve">asserts </w:t>
      </w:r>
      <w:r w:rsidRPr="0044293E" w:rsidR="00F85315">
        <w:t xml:space="preserve">that the </w:t>
      </w:r>
      <w:r w:rsidRPr="0044293E" w:rsidR="00FF7474">
        <w:t xml:space="preserve">adder is insufficient to protect against the </w:t>
      </w:r>
      <w:r w:rsidRPr="0044293E" w:rsidR="00AD232F">
        <w:t xml:space="preserve">magnitude of </w:t>
      </w:r>
      <w:r w:rsidRPr="0044293E" w:rsidR="00F44B3B">
        <w:t>likely CAF reductions</w:t>
      </w:r>
      <w:r w:rsidRPr="0044293E" w:rsidR="00FF7474">
        <w:t>.</w:t>
      </w:r>
      <w:r w:rsidRPr="0044293E" w:rsidR="005E3A57">
        <w:t xml:space="preserve">  IPPNY similarly </w:t>
      </w:r>
      <w:r w:rsidRPr="0044293E" w:rsidR="00A20896">
        <w:t>asserts</w:t>
      </w:r>
      <w:r w:rsidR="00A20896">
        <w:t xml:space="preserve"> that</w:t>
      </w:r>
      <w:r w:rsidR="00707598">
        <w:t xml:space="preserve"> NYISO </w:t>
      </w:r>
      <w:r w:rsidR="00385C9E">
        <w:t>could assume a much shorter amortization period (i.e.</w:t>
      </w:r>
      <w:r w:rsidR="00A123F3">
        <w:t>,</w:t>
      </w:r>
      <w:r w:rsidR="00385C9E">
        <w:t xml:space="preserve"> 17-18 years) and increase</w:t>
      </w:r>
      <w:r w:rsidR="000F6817">
        <w:t xml:space="preserve"> </w:t>
      </w:r>
      <w:r w:rsidR="00385C9E">
        <w:t xml:space="preserve">certain </w:t>
      </w:r>
      <w:r w:rsidR="00724359">
        <w:t>financial parameters</w:t>
      </w:r>
      <w:r w:rsidR="000D24ED">
        <w:t>,</w:t>
      </w:r>
      <w:r w:rsidR="00724359">
        <w:t xml:space="preserve"> such as the cost of debt</w:t>
      </w:r>
      <w:r w:rsidR="007F7F1C">
        <w:t>,</w:t>
      </w:r>
      <w:r w:rsidR="00442265">
        <w:t xml:space="preserve"> </w:t>
      </w:r>
      <w:r w:rsidR="0031596D">
        <w:t>to</w:t>
      </w:r>
      <w:r w:rsidR="00724359">
        <w:t xml:space="preserve"> </w:t>
      </w:r>
      <w:r w:rsidR="00442265">
        <w:t>l</w:t>
      </w:r>
      <w:r w:rsidR="0003157D">
        <w:t xml:space="preserve">imit the </w:t>
      </w:r>
      <w:r w:rsidRPr="00960768" w:rsidR="0003157D">
        <w:t xml:space="preserve">potential </w:t>
      </w:r>
      <w:r w:rsidRPr="00960768" w:rsidR="00102581">
        <w:t>that the</w:t>
      </w:r>
      <w:r w:rsidRPr="00960768" w:rsidR="0003157D">
        <w:t xml:space="preserve"> decline in CA</w:t>
      </w:r>
      <w:r w:rsidRPr="00960768" w:rsidR="00DB0EFA">
        <w:t>F values</w:t>
      </w:r>
      <w:r w:rsidR="00B120DE">
        <w:t xml:space="preserve"> would not be as consequential</w:t>
      </w:r>
      <w:r w:rsidR="00DD1E82">
        <w:t>.</w:t>
      </w:r>
      <w:r>
        <w:rPr>
          <w:rStyle w:val="FootnoteReference"/>
        </w:rPr>
        <w:footnoteReference w:id="236"/>
      </w:r>
      <w:r w:rsidR="00456B25">
        <w:t xml:space="preserve">  </w:t>
      </w:r>
      <w:r w:rsidR="00447127">
        <w:t>IPPNY also argues that t</w:t>
      </w:r>
      <w:r w:rsidR="00D00C34">
        <w:t xml:space="preserve">he 2-hour BESS faces significant uncertainty for its net </w:t>
      </w:r>
      <w:r w:rsidR="007E40F4">
        <w:t xml:space="preserve">energy and ancillary services </w:t>
      </w:r>
      <w:r w:rsidR="00D00C34">
        <w:t>revenue</w:t>
      </w:r>
      <w:r w:rsidR="007E40F4">
        <w:t>s</w:t>
      </w:r>
      <w:r w:rsidR="008A657C">
        <w:t>, because</w:t>
      </w:r>
      <w:r w:rsidR="008363BA">
        <w:t xml:space="preserve"> </w:t>
      </w:r>
      <w:r w:rsidR="00D76465">
        <w:t xml:space="preserve">the </w:t>
      </w:r>
      <w:r w:rsidR="0046329B">
        <w:t xml:space="preserve">Net CONE assumes that </w:t>
      </w:r>
      <w:r w:rsidR="00A04C37">
        <w:t>the 2-hour BESS will primarily receive revenues from the reserves market</w:t>
      </w:r>
      <w:r w:rsidR="00096370">
        <w:t>,</w:t>
      </w:r>
      <w:r w:rsidR="00A04C37">
        <w:t xml:space="preserve"> which is a thin market.</w:t>
      </w:r>
      <w:r>
        <w:rPr>
          <w:rStyle w:val="FootnoteReference"/>
        </w:rPr>
        <w:footnoteReference w:id="237"/>
      </w:r>
      <w:r w:rsidR="002012B3">
        <w:t xml:space="preserve">  IPPNY argues that</w:t>
      </w:r>
      <w:r w:rsidR="00F2402F">
        <w:t>,</w:t>
      </w:r>
      <w:r w:rsidR="002012B3">
        <w:t xml:space="preserve"> </w:t>
      </w:r>
      <w:r w:rsidR="00056BBA">
        <w:t xml:space="preserve">as with other risk factors, NYISO could assume a much shorter amortization period or higher financial parameters to limit the potential </w:t>
      </w:r>
      <w:r w:rsidR="00D17E5F">
        <w:t>impact of reserve price uncertainty.</w:t>
      </w:r>
    </w:p>
    <w:p w:rsidR="00162E10" w:rsidP="00137001">
      <w:pPr>
        <w:pStyle w:val="Heading5"/>
      </w:pPr>
      <w:r>
        <w:t>Answer</w:t>
      </w:r>
    </w:p>
    <w:p w:rsidR="007D5703" w:rsidP="00B05E1B">
      <w:pPr>
        <w:pStyle w:val="FERCparanumber"/>
      </w:pPr>
      <w:r>
        <w:t xml:space="preserve">NYISO states that </w:t>
      </w:r>
      <w:r w:rsidR="009068D2">
        <w:t>its</w:t>
      </w:r>
      <w:r>
        <w:t xml:space="preserve"> </w:t>
      </w:r>
      <w:r w:rsidRPr="00D319C4">
        <w:t>assessment accounts for both technology and market risks associated with investing in BESS projects in New York</w:t>
      </w:r>
      <w:r w:rsidR="00D30E66">
        <w:t>.</w:t>
      </w:r>
      <w:r>
        <w:rPr>
          <w:rStyle w:val="FootnoteReference"/>
        </w:rPr>
        <w:footnoteReference w:id="238"/>
      </w:r>
      <w:r w:rsidR="00D30E66">
        <w:t xml:space="preserve">  NYISO explains that it considered general market risks</w:t>
      </w:r>
      <w:r w:rsidR="00C32866">
        <w:t>,</w:t>
      </w:r>
      <w:r w:rsidR="00D30E66">
        <w:t xml:space="preserve"> such as </w:t>
      </w:r>
      <w:r w:rsidRPr="004A1845" w:rsidR="004A1845">
        <w:t>the uncertainty of future revenues</w:t>
      </w:r>
      <w:r w:rsidR="00C32866">
        <w:t xml:space="preserve"> and</w:t>
      </w:r>
      <w:r w:rsidRPr="004A1845" w:rsidR="004A1845">
        <w:t xml:space="preserve"> potential future changes to market rules and regulatory policies, as well as potential future changes in system topology, the resource mix, and load requirements</w:t>
      </w:r>
      <w:r w:rsidR="00E06E61">
        <w:t xml:space="preserve">.  NYISO states that it also considered </w:t>
      </w:r>
      <w:r w:rsidR="004A1845">
        <w:t>technology-specific risks</w:t>
      </w:r>
      <w:r w:rsidR="00463B32">
        <w:t>,</w:t>
      </w:r>
      <w:r w:rsidR="004A1845">
        <w:t xml:space="preserve"> including the potential for future BESS technologies to </w:t>
      </w:r>
      <w:r w:rsidR="0010769A">
        <w:t xml:space="preserve">benefit from technology advancements and </w:t>
      </w:r>
      <w:r w:rsidR="000B4D32">
        <w:t xml:space="preserve">uncertainty regarding future market dispatch and operating modes.  NYISO </w:t>
      </w:r>
      <w:r w:rsidR="002B17AF">
        <w:t>states that the recommended WACC also accounts for the uncertainty of future CAFs.</w:t>
      </w:r>
    </w:p>
    <w:p w:rsidR="00C57BBC" w:rsidP="00B05E1B">
      <w:pPr>
        <w:pStyle w:val="FERCparanumber"/>
      </w:pPr>
      <w:r>
        <w:t xml:space="preserve">NYISO argues that the protesters’ alternative assessments </w:t>
      </w:r>
      <w:r w:rsidR="004C0FC0">
        <w:t xml:space="preserve">include a variety of </w:t>
      </w:r>
      <w:r w:rsidR="00F75D4D">
        <w:t xml:space="preserve"> factors </w:t>
      </w:r>
      <w:r w:rsidR="00886EA2">
        <w:t xml:space="preserve">that </w:t>
      </w:r>
      <w:r w:rsidR="004C0FC0">
        <w:t xml:space="preserve">result in an overstatement of the investment risks for a 2-hour BESS in </w:t>
      </w:r>
      <w:r w:rsidR="007B790F">
        <w:t xml:space="preserve">    </w:t>
      </w:r>
      <w:r w:rsidR="004C0FC0">
        <w:t>New York.</w:t>
      </w:r>
      <w:r>
        <w:rPr>
          <w:rStyle w:val="FootnoteReference"/>
        </w:rPr>
        <w:footnoteReference w:id="239"/>
      </w:r>
      <w:r w:rsidR="004C0FC0">
        <w:t xml:space="preserve">  </w:t>
      </w:r>
      <w:r w:rsidR="00F31987">
        <w:t>NYISO asserts that the alternative assessments</w:t>
      </w:r>
      <w:r w:rsidR="00B51AD1">
        <w:t xml:space="preserve"> lack credible analysis because they</w:t>
      </w:r>
      <w:r w:rsidR="00F31987">
        <w:t xml:space="preserve"> rely on conclusory statements without </w:t>
      </w:r>
      <w:r w:rsidR="000409F4">
        <w:t>supporting information of the observations and confidential communications</w:t>
      </w:r>
      <w:r w:rsidR="001D2A17">
        <w:t xml:space="preserve"> relied on to support the alternative financial parameters</w:t>
      </w:r>
      <w:r w:rsidR="00173A2A">
        <w:t>.</w:t>
      </w:r>
      <w:r>
        <w:rPr>
          <w:rStyle w:val="FootnoteReference"/>
        </w:rPr>
        <w:footnoteReference w:id="240"/>
      </w:r>
      <w:r w:rsidR="00173A2A">
        <w:t xml:space="preserve">  NYISO argues that the alternative assessments also exclude consideration of </w:t>
      </w:r>
      <w:r w:rsidRPr="00D319C4" w:rsidR="00D319C4">
        <w:t>countervailing factors that may help to reduce or offset such risks</w:t>
      </w:r>
      <w:r w:rsidR="006B3457">
        <w:t>.</w:t>
      </w:r>
      <w:r>
        <w:rPr>
          <w:rStyle w:val="FootnoteReference"/>
        </w:rPr>
        <w:footnoteReference w:id="241"/>
      </w:r>
      <w:r w:rsidR="006B3457">
        <w:t xml:space="preserve"> </w:t>
      </w:r>
      <w:r w:rsidR="004231A9">
        <w:t xml:space="preserve"> </w:t>
      </w:r>
      <w:r w:rsidR="00104BE2">
        <w:t xml:space="preserve">In response </w:t>
      </w:r>
      <w:r w:rsidR="006B3457">
        <w:t xml:space="preserve">to claims that the </w:t>
      </w:r>
      <w:r w:rsidR="00EA4E77">
        <w:t>debt-</w:t>
      </w:r>
      <w:r w:rsidR="008C27F5">
        <w:t>to-</w:t>
      </w:r>
      <w:r w:rsidR="00EA4E77">
        <w:t>equity</w:t>
      </w:r>
      <w:r w:rsidR="006B3457">
        <w:t xml:space="preserve"> ratio is underestimated, </w:t>
      </w:r>
      <w:r w:rsidR="00104BE2">
        <w:t xml:space="preserve">NYISO Consultant states </w:t>
      </w:r>
      <w:r w:rsidR="006B3457">
        <w:t>that Ravenswood and IPPNY a</w:t>
      </w:r>
      <w:r w:rsidRPr="00BA27C3" w:rsidR="006B3457">
        <w:t>ssess financial parameters by solely accounting for downside project risks</w:t>
      </w:r>
      <w:r w:rsidR="006B3457">
        <w:t xml:space="preserve">, which </w:t>
      </w:r>
      <w:r w:rsidRPr="00BA27C3" w:rsidR="006B3457">
        <w:t>tend</w:t>
      </w:r>
      <w:r w:rsidR="006B3457">
        <w:t>s</w:t>
      </w:r>
      <w:r w:rsidRPr="00BA27C3" w:rsidR="006B3457">
        <w:t xml:space="preserve"> to</w:t>
      </w:r>
      <w:r w:rsidR="006B3457">
        <w:t xml:space="preserve"> </w:t>
      </w:r>
      <w:r w:rsidRPr="00BA27C3" w:rsidR="006B3457">
        <w:t>overstate the risk profile of a project and the resulting costs to finance such a project.</w:t>
      </w:r>
      <w:r>
        <w:rPr>
          <w:rStyle w:val="FootnoteReference"/>
        </w:rPr>
        <w:footnoteReference w:id="242"/>
      </w:r>
      <w:r w:rsidRPr="00D319C4" w:rsidR="00D319C4">
        <w:t xml:space="preserve"> </w:t>
      </w:r>
    </w:p>
    <w:p w:rsidR="00C47A53" w:rsidRPr="00162E10" w:rsidP="00162E10">
      <w:pPr>
        <w:pStyle w:val="FERCparanumber"/>
      </w:pPr>
      <w:r>
        <w:t>NYISO states that</w:t>
      </w:r>
      <w:r w:rsidR="001A1684">
        <w:t xml:space="preserve"> </w:t>
      </w:r>
      <w:r w:rsidR="00423F5A">
        <w:t>it</w:t>
      </w:r>
      <w:r w:rsidRPr="001A1684" w:rsidR="00423F5A">
        <w:t xml:space="preserve"> </w:t>
      </w:r>
      <w:r w:rsidR="007E2E6D">
        <w:t>has</w:t>
      </w:r>
      <w:r w:rsidRPr="001A1684" w:rsidR="001A1684">
        <w:t xml:space="preserve"> demonstrated that the proposed WACC for a 2-hour BESS unit was determined after careful consideration of both general risks related to investment in new capacity supply resources in New York, as well as specific market and technology risks associated with investment in a 2-hour BESS unit in New York.</w:t>
      </w:r>
      <w:r>
        <w:rPr>
          <w:rStyle w:val="FootnoteReference"/>
        </w:rPr>
        <w:footnoteReference w:id="243"/>
      </w:r>
    </w:p>
    <w:p w:rsidR="00B16A20" w:rsidP="00137001">
      <w:pPr>
        <w:pStyle w:val="Heading5"/>
      </w:pPr>
      <w:r>
        <w:t>Commission Determination</w:t>
      </w:r>
    </w:p>
    <w:p w:rsidR="003B449F" w:rsidP="00FC7D64">
      <w:pPr>
        <w:pStyle w:val="FERCparanumber"/>
      </w:pPr>
      <w:r>
        <w:t>Given the facts and circumstances before us, w</w:t>
      </w:r>
      <w:r w:rsidRPr="00FE4E06" w:rsidR="00FE4E06">
        <w:t xml:space="preserve">e find NYISO’s proposed </w:t>
      </w:r>
      <w:r>
        <w:t xml:space="preserve">use of a </w:t>
      </w:r>
      <w:r w:rsidR="00FE4E06">
        <w:t>7.2</w:t>
      </w:r>
      <w:r w:rsidRPr="00FE4E06" w:rsidR="00FE4E06">
        <w:t xml:space="preserve">% </w:t>
      </w:r>
      <w:r w:rsidR="009742FC">
        <w:t>cost of debt</w:t>
      </w:r>
      <w:r w:rsidRPr="00FE4E06" w:rsidR="00FE4E06">
        <w:t xml:space="preserve"> and </w:t>
      </w:r>
      <w:r w:rsidR="00BD74A0">
        <w:t>14.5% cost of equity</w:t>
      </w:r>
      <w:r w:rsidRPr="00FE4E06" w:rsidR="00FE4E06">
        <w:t xml:space="preserve"> </w:t>
      </w:r>
      <w:r w:rsidR="00BC3542">
        <w:t xml:space="preserve">for the 2-hour BESS </w:t>
      </w:r>
      <w:r>
        <w:t xml:space="preserve">for purposes of </w:t>
      </w:r>
      <w:r w:rsidR="00F340F1">
        <w:t xml:space="preserve">cost </w:t>
      </w:r>
      <w:r>
        <w:t xml:space="preserve">estimates </w:t>
      </w:r>
      <w:r w:rsidR="00E94CFF">
        <w:t xml:space="preserve">used </w:t>
      </w:r>
      <w:r>
        <w:t xml:space="preserve">to prepare and conduct its DCR analysis </w:t>
      </w:r>
      <w:r w:rsidRPr="00FE4E06" w:rsidR="00FE4E06">
        <w:t>to be reasonable.</w:t>
      </w:r>
      <w:r w:rsidRPr="00FC7D64" w:rsidR="00FC7D64">
        <w:rPr>
          <w:rFonts w:eastAsia="Times New Roman"/>
          <w:szCs w:val="24"/>
        </w:rPr>
        <w:t xml:space="preserve"> </w:t>
      </w:r>
      <w:r w:rsidR="00156512">
        <w:rPr>
          <w:rFonts w:eastAsia="Times New Roman"/>
          <w:szCs w:val="24"/>
        </w:rPr>
        <w:t xml:space="preserve"> </w:t>
      </w:r>
      <w:r w:rsidRPr="00FC7D64" w:rsidR="00FC7D64">
        <w:t xml:space="preserve">NYISO’s </w:t>
      </w:r>
      <w:r w:rsidR="001B350B">
        <w:t>propos</w:t>
      </w:r>
      <w:r w:rsidR="00FF63F4">
        <w:t>ed</w:t>
      </w:r>
      <w:r w:rsidR="00BC3542">
        <w:t xml:space="preserve"> cost of equity </w:t>
      </w:r>
      <w:r w:rsidR="00CD7C4D">
        <w:t xml:space="preserve">is based on </w:t>
      </w:r>
      <w:r>
        <w:t xml:space="preserve">NYISO’s </w:t>
      </w:r>
      <w:r w:rsidR="00CD7C4D">
        <w:t>estimated cost</w:t>
      </w:r>
      <w:r w:rsidR="007642F0">
        <w:t>s</w:t>
      </w:r>
      <w:r w:rsidR="00CD7C4D">
        <w:t xml:space="preserve"> of </w:t>
      </w:r>
      <w:r w:rsidR="007642F0">
        <w:t>equity</w:t>
      </w:r>
      <w:r w:rsidR="00CD7C4D">
        <w:t xml:space="preserve"> for public traded independent </w:t>
      </w:r>
      <w:r w:rsidR="00BC3542">
        <w:t>power producing companies</w:t>
      </w:r>
      <w:r w:rsidR="00937504">
        <w:t xml:space="preserve"> with a wide range of assets and risk profiles</w:t>
      </w:r>
      <w:r w:rsidR="007F270C">
        <w:t xml:space="preserve">.  </w:t>
      </w:r>
      <w:r w:rsidR="00C968EF">
        <w:t xml:space="preserve">NYISO’s proposed cost of debt is based on </w:t>
      </w:r>
      <w:r>
        <w:t xml:space="preserve">NYISO’s analyses of </w:t>
      </w:r>
      <w:r w:rsidR="00C968EF">
        <w:t xml:space="preserve">the range of values for B-rated corporate debt and the proxy group of independent power producers.  </w:t>
      </w:r>
      <w:r w:rsidR="00150361">
        <w:t xml:space="preserve">NYISO explains that </w:t>
      </w:r>
      <w:r w:rsidR="000D1553">
        <w:t xml:space="preserve">the proposed cost of equity </w:t>
      </w:r>
      <w:r w:rsidR="003B3611">
        <w:t xml:space="preserve">and cost of debt </w:t>
      </w:r>
      <w:r w:rsidR="000D1553">
        <w:t>represent value</w:t>
      </w:r>
      <w:r w:rsidR="003B3611">
        <w:t>s</w:t>
      </w:r>
      <w:r w:rsidR="000D1553">
        <w:t xml:space="preserve"> toward the higher end of the </w:t>
      </w:r>
      <w:r w:rsidR="00FE277C">
        <w:t xml:space="preserve">respective </w:t>
      </w:r>
      <w:r w:rsidR="00944EAD">
        <w:t xml:space="preserve">identified </w:t>
      </w:r>
      <w:r w:rsidR="000D1553">
        <w:t>range</w:t>
      </w:r>
      <w:r w:rsidR="00FE277C">
        <w:t>s</w:t>
      </w:r>
      <w:r w:rsidR="000D1553">
        <w:t xml:space="preserve"> because </w:t>
      </w:r>
      <w:r w:rsidR="000F2D8A">
        <w:t xml:space="preserve">corporate-level cost of equity </w:t>
      </w:r>
      <w:r w:rsidR="003B3611">
        <w:t xml:space="preserve">and cost of debt </w:t>
      </w:r>
      <w:r w:rsidR="000F2D8A">
        <w:t xml:space="preserve">values may not fully account for the risk of developing a </w:t>
      </w:r>
      <w:r w:rsidR="00F4359C">
        <w:t>new merchant generation project in New York.</w:t>
      </w:r>
      <w:r>
        <w:rPr>
          <w:rStyle w:val="FootnoteReference"/>
        </w:rPr>
        <w:footnoteReference w:id="244"/>
      </w:r>
      <w:r w:rsidR="00F4359C">
        <w:t xml:space="preserve">  </w:t>
      </w:r>
      <w:r>
        <w:t>In a prior DCR, t</w:t>
      </w:r>
      <w:r w:rsidRPr="00392DD5" w:rsidR="00392DD5">
        <w:t xml:space="preserve">he Commission held that </w:t>
      </w:r>
      <w:r w:rsidR="00E21579">
        <w:t xml:space="preserve">a proposed </w:t>
      </w:r>
      <w:r w:rsidR="00E153D9">
        <w:t xml:space="preserve">cost </w:t>
      </w:r>
      <w:r w:rsidR="001D3A68">
        <w:t>o</w:t>
      </w:r>
      <w:r w:rsidR="00E153D9">
        <w:t>f</w:t>
      </w:r>
      <w:r w:rsidR="00E21579">
        <w:t xml:space="preserve"> equity that exceed</w:t>
      </w:r>
      <w:r w:rsidR="000F0386">
        <w:t>ed</w:t>
      </w:r>
      <w:r w:rsidR="00E21579">
        <w:t xml:space="preserve"> the average </w:t>
      </w:r>
      <w:r w:rsidR="00F2262D">
        <w:t xml:space="preserve">cost of equity value </w:t>
      </w:r>
      <w:r w:rsidR="00E153D9">
        <w:t>for independent power producers</w:t>
      </w:r>
      <w:r w:rsidR="00F2262D">
        <w:t xml:space="preserve"> </w:t>
      </w:r>
      <w:r w:rsidR="000F0386">
        <w:t>was</w:t>
      </w:r>
      <w:r w:rsidR="004B6B50">
        <w:t xml:space="preserve"> reasonable </w:t>
      </w:r>
      <w:r>
        <w:t xml:space="preserve">when </w:t>
      </w:r>
      <w:r w:rsidR="00F157F4">
        <w:t>it “appropriate</w:t>
      </w:r>
      <w:r w:rsidR="00FE277C">
        <w:t>ly</w:t>
      </w:r>
      <w:r w:rsidR="00F157F4">
        <w:t xml:space="preserve"> accounts for invest</w:t>
      </w:r>
      <w:r w:rsidR="001D3A68">
        <w:t>o</w:t>
      </w:r>
      <w:r w:rsidR="00F157F4">
        <w:t>r risks in the New York market by considering the higher [</w:t>
      </w:r>
      <w:r w:rsidR="001D3A68">
        <w:t xml:space="preserve">returns on equity] </w:t>
      </w:r>
      <w:r w:rsidR="00246627">
        <w:t xml:space="preserve">for stand-alone </w:t>
      </w:r>
      <w:r w:rsidR="00E153D9">
        <w:t>project finance.”</w:t>
      </w:r>
      <w:r>
        <w:rPr>
          <w:rStyle w:val="FootnoteReference"/>
        </w:rPr>
        <w:footnoteReference w:id="245"/>
      </w:r>
      <w:r w:rsidR="00E153D9">
        <w:t xml:space="preserve">  </w:t>
      </w:r>
      <w:r w:rsidR="000F0386">
        <w:t>In that same prior DCR, t</w:t>
      </w:r>
      <w:r w:rsidRPr="00392DD5" w:rsidR="00392DD5">
        <w:t xml:space="preserve">he Commission has </w:t>
      </w:r>
      <w:r w:rsidR="004A5C20">
        <w:t>also</w:t>
      </w:r>
      <w:r w:rsidRPr="00392DD5" w:rsidR="00392DD5">
        <w:t xml:space="preserve"> held that a recommended cost of debt at the high end of observed values </w:t>
      </w:r>
      <w:r>
        <w:t>wa</w:t>
      </w:r>
      <w:r w:rsidRPr="00392DD5" w:rsidR="00392DD5">
        <w:t>s</w:t>
      </w:r>
      <w:r>
        <w:t xml:space="preserve"> appropriate when it was </w:t>
      </w:r>
      <w:r w:rsidRPr="00392DD5" w:rsidR="00392DD5">
        <w:t>“consistent with the greater risk powered by a single peaking facility, in comparison to an independent power producing company.”</w:t>
      </w:r>
      <w:r>
        <w:rPr>
          <w:rStyle w:val="FootnoteReference"/>
        </w:rPr>
        <w:footnoteReference w:id="246"/>
      </w:r>
      <w:r w:rsidRPr="00B05270" w:rsidR="00B05270">
        <w:t xml:space="preserve">  We continue to find </w:t>
      </w:r>
      <w:r w:rsidR="00AB3C88">
        <w:t>that</w:t>
      </w:r>
      <w:r w:rsidRPr="00B05270" w:rsidR="00B05270">
        <w:t xml:space="preserve"> this is </w:t>
      </w:r>
      <w:r w:rsidR="00A329C1">
        <w:t>a reasonabl</w:t>
      </w:r>
      <w:r w:rsidR="006834BA">
        <w:t>e</w:t>
      </w:r>
      <w:r w:rsidRPr="00B05270" w:rsidR="00B05270">
        <w:t xml:space="preserve"> approach to determine the cost of </w:t>
      </w:r>
      <w:r w:rsidR="00F523BB">
        <w:t xml:space="preserve">equity and </w:t>
      </w:r>
      <w:r w:rsidRPr="00B05270" w:rsidR="00B05270">
        <w:t xml:space="preserve">cost of debt estimate </w:t>
      </w:r>
      <w:r w:rsidR="006D52A0">
        <w:t xml:space="preserve">for </w:t>
      </w:r>
      <w:r w:rsidR="00912CC0">
        <w:t>a</w:t>
      </w:r>
      <w:r w:rsidR="006D52A0">
        <w:t xml:space="preserve"> </w:t>
      </w:r>
      <w:r w:rsidR="0064427C">
        <w:t>2-hour BESS</w:t>
      </w:r>
      <w:r w:rsidR="006D52A0">
        <w:t xml:space="preserve"> </w:t>
      </w:r>
      <w:r w:rsidRPr="00B05270" w:rsidR="00B05270">
        <w:t>in NYISO</w:t>
      </w:r>
      <w:r w:rsidR="000F0386">
        <w:t>, given the record here</w:t>
      </w:r>
      <w:r w:rsidRPr="00B05270" w:rsidR="00B05270">
        <w:t>.</w:t>
      </w:r>
      <w:r>
        <w:rPr>
          <w:rStyle w:val="FootnoteReference"/>
        </w:rPr>
        <w:footnoteReference w:id="247"/>
      </w:r>
      <w:r w:rsidRPr="00B05270" w:rsidR="00B05270">
        <w:t xml:space="preserve"> </w:t>
      </w:r>
      <w:r w:rsidR="00E929B9">
        <w:t xml:space="preserve"> </w:t>
      </w:r>
      <w:r w:rsidR="00D10AA0">
        <w:t>Similarly, we find that the proposed debt-to-equity</w:t>
      </w:r>
      <w:r w:rsidRPr="0066565C" w:rsidR="00D10AA0">
        <w:t xml:space="preserve"> ratio of 55/45 for this</w:t>
      </w:r>
      <w:r w:rsidR="00D10AA0">
        <w:t xml:space="preserve"> DCR</w:t>
      </w:r>
      <w:r w:rsidRPr="0066565C" w:rsidR="00D10AA0">
        <w:t xml:space="preserve"> </w:t>
      </w:r>
      <w:r w:rsidR="00C92DA9">
        <w:t>period</w:t>
      </w:r>
      <w:r w:rsidR="00D10AA0">
        <w:t xml:space="preserve"> </w:t>
      </w:r>
      <w:r w:rsidR="000F0386">
        <w:t xml:space="preserve">analysis </w:t>
      </w:r>
      <w:r w:rsidR="00D10AA0">
        <w:t>is just and reasonable.  We find that the proposed debt-to-equity ratio maintains</w:t>
      </w:r>
      <w:r w:rsidRPr="0066565C" w:rsidR="00D10AA0">
        <w:t xml:space="preserve"> the same </w:t>
      </w:r>
      <w:r w:rsidR="00D10AA0">
        <w:t>debt-to-equity</w:t>
      </w:r>
      <w:r w:rsidRPr="0066565C" w:rsidR="00D10AA0">
        <w:t xml:space="preserve"> ratio the Commission approved for the last two </w:t>
      </w:r>
      <w:r w:rsidR="00AC583B">
        <w:t>DCR</w:t>
      </w:r>
      <w:r w:rsidRPr="0066565C" w:rsidR="00D10AA0">
        <w:t>s</w:t>
      </w:r>
      <w:r w:rsidR="00D10AA0">
        <w:t xml:space="preserve"> and is aligned with the proxy group analysis.</w:t>
      </w:r>
      <w:r>
        <w:rPr>
          <w:rStyle w:val="FootnoteReference"/>
        </w:rPr>
        <w:footnoteReference w:id="248"/>
      </w:r>
      <w:r w:rsidR="003C1AE2">
        <w:t xml:space="preserve">  Thus, we disagree with IPPNY’s and Ravenswood’s arguments that the proposed return on equity and debt-to-capital ratio are underestimated.  </w:t>
      </w:r>
    </w:p>
    <w:p w:rsidR="00FC7D64" w:rsidRPr="00B05270" w:rsidP="00FC7D64">
      <w:pPr>
        <w:pStyle w:val="FERCparanumber"/>
      </w:pPr>
      <w:r>
        <w:t>We find NYISO’s proposed 50</w:t>
      </w:r>
      <w:r w:rsidR="008D71D8">
        <w:t>-</w:t>
      </w:r>
      <w:r>
        <w:t xml:space="preserve">basis point </w:t>
      </w:r>
      <w:r w:rsidR="00622CAB">
        <w:t xml:space="preserve">risk </w:t>
      </w:r>
      <w:r>
        <w:t xml:space="preserve">adder to the cost of debt and cost of equity </w:t>
      </w:r>
      <w:r w:rsidR="00C8011D">
        <w:t xml:space="preserve">for a 2-hour BESS </w:t>
      </w:r>
      <w:r w:rsidR="005B341D">
        <w:t>to be</w:t>
      </w:r>
      <w:r w:rsidR="00EC0534">
        <w:t xml:space="preserve"> a </w:t>
      </w:r>
      <w:r>
        <w:t>reasonabl</w:t>
      </w:r>
      <w:r w:rsidR="00EC0534">
        <w:t>e approach to</w:t>
      </w:r>
      <w:r>
        <w:t xml:space="preserve"> </w:t>
      </w:r>
      <w:r w:rsidR="00C94A3E">
        <w:t xml:space="preserve">account for the </w:t>
      </w:r>
      <w:r w:rsidR="00A24AA0">
        <w:t xml:space="preserve">higher investment risk for the 2-hour BESS unit compared to </w:t>
      </w:r>
      <w:r w:rsidR="00F92E3E">
        <w:t>a</w:t>
      </w:r>
      <w:r w:rsidR="00A24AA0">
        <w:t xml:space="preserve"> </w:t>
      </w:r>
      <w:r w:rsidR="00D80F5F">
        <w:t>combustion turbine</w:t>
      </w:r>
      <w:r w:rsidR="00F941E3">
        <w:t>.  This higher investment risk is</w:t>
      </w:r>
      <w:r w:rsidR="00367AC0">
        <w:t xml:space="preserve"> related, in part,</w:t>
      </w:r>
      <w:r w:rsidRPr="00F86279" w:rsidR="00F86279">
        <w:t xml:space="preserve"> to </w:t>
      </w:r>
      <w:r w:rsidR="00B15B62">
        <w:t xml:space="preserve">uncertainty related to future </w:t>
      </w:r>
      <w:r w:rsidR="008E0255">
        <w:t>BESS costs</w:t>
      </w:r>
      <w:r w:rsidR="00640A9A">
        <w:t xml:space="preserve"> and ICAP market prices</w:t>
      </w:r>
      <w:r w:rsidR="00BC4A0A">
        <w:t xml:space="preserve">, as well as </w:t>
      </w:r>
      <w:r w:rsidR="008E0255">
        <w:t xml:space="preserve">CAF </w:t>
      </w:r>
      <w:r w:rsidR="00BC4A0A">
        <w:t xml:space="preserve">and </w:t>
      </w:r>
      <w:r w:rsidR="00B31C46">
        <w:t xml:space="preserve">potential </w:t>
      </w:r>
      <w:r w:rsidR="007E40F4">
        <w:t xml:space="preserve">energy and ancillary services revenue </w:t>
      </w:r>
      <w:r w:rsidR="008E0255">
        <w:t>variability</w:t>
      </w:r>
      <w:r w:rsidR="00A24AA0">
        <w:t>.</w:t>
      </w:r>
      <w:r w:rsidR="00010087">
        <w:t xml:space="preserve"> </w:t>
      </w:r>
      <w:r w:rsidRPr="00F86279" w:rsidR="00F86279">
        <w:t xml:space="preserve"> </w:t>
      </w:r>
      <w:r w:rsidR="00584E76">
        <w:t>As</w:t>
      </w:r>
      <w:r w:rsidR="004B527B">
        <w:t xml:space="preserve"> NYISO </w:t>
      </w:r>
      <w:r w:rsidR="00342694">
        <w:t>acknowledges</w:t>
      </w:r>
      <w:r w:rsidR="00584E76">
        <w:t>, a</w:t>
      </w:r>
      <w:r w:rsidR="004B527B">
        <w:t xml:space="preserve"> 2-hour BESS may face </w:t>
      </w:r>
      <w:r w:rsidR="000D05BC">
        <w:t xml:space="preserve">specific market and technology risks, including uncertainties </w:t>
      </w:r>
      <w:r w:rsidR="00584E76">
        <w:t>related to</w:t>
      </w:r>
      <w:r w:rsidR="000D05BC">
        <w:t xml:space="preserve"> </w:t>
      </w:r>
      <w:r w:rsidRPr="000D05BC" w:rsidR="000D05BC">
        <w:t>future market outcomes</w:t>
      </w:r>
      <w:r w:rsidR="009B0125">
        <w:t xml:space="preserve"> and </w:t>
      </w:r>
      <w:r w:rsidRPr="000D05BC" w:rsidR="000D05BC">
        <w:t xml:space="preserve">future </w:t>
      </w:r>
      <w:r w:rsidRPr="00F74881" w:rsidR="009B0125">
        <w:t>CAFs</w:t>
      </w:r>
      <w:r w:rsidRPr="00F74881" w:rsidR="00584E76">
        <w:t>.</w:t>
      </w:r>
      <w:r w:rsidR="00584E76">
        <w:t xml:space="preserve"> </w:t>
      </w:r>
      <w:r w:rsidR="00CD2880">
        <w:t xml:space="preserve"> </w:t>
      </w:r>
      <w:r w:rsidR="00625C9C">
        <w:t>The 50-basis point adder reasonably mitigates the u</w:t>
      </w:r>
      <w:r w:rsidRPr="00F86279" w:rsidR="00625C9C">
        <w:t>ncertaint</w:t>
      </w:r>
      <w:r w:rsidR="009C2901">
        <w:t>ies</w:t>
      </w:r>
      <w:r w:rsidRPr="00F86279" w:rsidR="00625C9C">
        <w:t xml:space="preserve"> that may increase the investment risk for BESS.</w:t>
      </w:r>
      <w:r w:rsidR="00625C9C">
        <w:t xml:space="preserve">  </w:t>
      </w:r>
    </w:p>
    <w:p w:rsidR="00DA1D7A" w:rsidP="00DA1D7A">
      <w:pPr>
        <w:pStyle w:val="FERCparanumber"/>
      </w:pPr>
      <w:r>
        <w:t>I</w:t>
      </w:r>
      <w:r w:rsidRPr="00645E0C">
        <w:t>t is the Commission’s role to determine, not the best method, but whether “these judgements and resultant outcomes fall within a zone of reasonableness.”</w:t>
      </w:r>
      <w:r>
        <w:rPr>
          <w:b/>
          <w:vertAlign w:val="superscript"/>
        </w:rPr>
        <w:footnoteReference w:id="249"/>
      </w:r>
      <w:r w:rsidRPr="00645E0C">
        <w:t xml:space="preserve"> </w:t>
      </w:r>
      <w:r>
        <w:t xml:space="preserve"> </w:t>
      </w:r>
      <w:r w:rsidR="00B95DBD">
        <w:t xml:space="preserve">We </w:t>
      </w:r>
      <w:r w:rsidR="00046B94">
        <w:t>d</w:t>
      </w:r>
      <w:r w:rsidR="0034799B">
        <w:t xml:space="preserve">isagree with protesters </w:t>
      </w:r>
      <w:r w:rsidRPr="007F028A" w:rsidR="007F028A">
        <w:t>who argue that explicit adjustment</w:t>
      </w:r>
      <w:r w:rsidR="00C104A6">
        <w:t>s</w:t>
      </w:r>
      <w:r w:rsidRPr="007F028A" w:rsidR="007F028A">
        <w:t xml:space="preserve"> </w:t>
      </w:r>
      <w:r w:rsidR="009F4573">
        <w:t>are</w:t>
      </w:r>
      <w:r w:rsidRPr="007F028A" w:rsidR="007F028A">
        <w:t xml:space="preserve"> required to account for</w:t>
      </w:r>
      <w:r w:rsidR="00046B94">
        <w:t xml:space="preserve"> </w:t>
      </w:r>
      <w:r w:rsidR="009F4573">
        <w:t>potential risks associated with the 2-hour BESS peaking unit.</w:t>
      </w:r>
      <w:r w:rsidR="00B95DBD">
        <w:t xml:space="preserve"> </w:t>
      </w:r>
      <w:r w:rsidR="000B7384">
        <w:t xml:space="preserve"> </w:t>
      </w:r>
      <w:r>
        <w:t xml:space="preserve">Claims that the proxy group is not reflective of the entities likely to develop a 2-hour BESS in New York are unsupported </w:t>
      </w:r>
      <w:r w:rsidR="00A532EA">
        <w:t>in this record</w:t>
      </w:r>
      <w:r>
        <w:t xml:space="preserve">.  </w:t>
      </w:r>
      <w:r w:rsidR="00CA5306">
        <w:t>For example, w</w:t>
      </w:r>
      <w:r w:rsidR="00A51F05">
        <w:t xml:space="preserve">e </w:t>
      </w:r>
      <w:r w:rsidR="00083DF8">
        <w:t xml:space="preserve">find that IPPNY’s use of a </w:t>
      </w:r>
      <w:r w:rsidR="00BC7785">
        <w:t>confidential</w:t>
      </w:r>
      <w:r w:rsidR="007852E4">
        <w:t xml:space="preserve"> </w:t>
      </w:r>
      <w:r w:rsidR="00DD6447">
        <w:t xml:space="preserve">investor survey of six </w:t>
      </w:r>
      <w:r w:rsidR="00D42BC0">
        <w:t>BESS developers</w:t>
      </w:r>
      <w:r w:rsidR="00083DF8">
        <w:t xml:space="preserve"> is insufficient </w:t>
      </w:r>
      <w:r w:rsidR="000F5FF7">
        <w:t xml:space="preserve">evidence </w:t>
      </w:r>
      <w:r w:rsidR="000A7949">
        <w:t xml:space="preserve">to demonstrate that NYISO’s </w:t>
      </w:r>
      <w:r w:rsidR="00AB419B">
        <w:t>proxy group is not just and reaso</w:t>
      </w:r>
      <w:r w:rsidR="00383839">
        <w:t>na</w:t>
      </w:r>
      <w:r w:rsidR="00AB419B">
        <w:t xml:space="preserve">ble.  </w:t>
      </w:r>
      <w:r w:rsidR="00D00B11">
        <w:t xml:space="preserve">IPPNY does not demonstrate how its survey </w:t>
      </w:r>
      <w:r w:rsidR="00CB5F2E">
        <w:t>reflects</w:t>
      </w:r>
      <w:r w:rsidR="00D00B11">
        <w:t xml:space="preserve"> a “representative sample” of BESS developers or</w:t>
      </w:r>
      <w:r w:rsidR="006A1790">
        <w:t xml:space="preserve"> </w:t>
      </w:r>
      <w:r w:rsidR="000126F1">
        <w:t xml:space="preserve">provide </w:t>
      </w:r>
      <w:r w:rsidR="006A1790">
        <w:t xml:space="preserve">any supporting market data to </w:t>
      </w:r>
      <w:r w:rsidRPr="00C06D16" w:rsidR="006A1790">
        <w:t xml:space="preserve">substantiate </w:t>
      </w:r>
      <w:r w:rsidRPr="00C06D16" w:rsidR="00524512">
        <w:t xml:space="preserve">its proposed </w:t>
      </w:r>
      <w:r w:rsidRPr="00C06D16" w:rsidR="006A1790">
        <w:t>alternative financial parameter</w:t>
      </w:r>
      <w:r w:rsidRPr="00C06D16" w:rsidR="001D330E">
        <w:t xml:space="preserve"> </w:t>
      </w:r>
      <w:r w:rsidRPr="00C06D16" w:rsidR="00524512">
        <w:t>values</w:t>
      </w:r>
      <w:r w:rsidRPr="00C06D16" w:rsidR="00BC6EE9">
        <w:t>.</w:t>
      </w:r>
      <w:r w:rsidRPr="00C06D16" w:rsidR="00D00B11">
        <w:t xml:space="preserve"> </w:t>
      </w:r>
      <w:r w:rsidRPr="00C06D16" w:rsidR="00BC7785">
        <w:t xml:space="preserve"> </w:t>
      </w:r>
      <w:r w:rsidRPr="00C06D16">
        <w:t>Additionally, claims that uncertainty regarding CAF</w:t>
      </w:r>
      <w:r w:rsidRPr="00C06D16" w:rsidR="00D01CFE">
        <w:t>s</w:t>
      </w:r>
      <w:r w:rsidRPr="00C06D16">
        <w:t xml:space="preserve"> or </w:t>
      </w:r>
      <w:r w:rsidRPr="00C06D16" w:rsidR="008F39A8">
        <w:t>energy and ancillary</w:t>
      </w:r>
      <w:r w:rsidR="008F39A8">
        <w:t xml:space="preserve"> services</w:t>
      </w:r>
      <w:r>
        <w:t xml:space="preserve"> revenues require higher costs of equity or debt, or a shorter amortization period</w:t>
      </w:r>
      <w:r w:rsidR="006C3B43">
        <w:t>,</w:t>
      </w:r>
      <w:r>
        <w:t xml:space="preserve"> are similarly based on predictions as to the future </w:t>
      </w:r>
      <w:r w:rsidR="00EC058F">
        <w:t xml:space="preserve">changes </w:t>
      </w:r>
      <w:r>
        <w:t>of those revenues.</w:t>
      </w:r>
      <w:r w:rsidR="00313B01">
        <w:t xml:space="preserve">  </w:t>
      </w:r>
      <w:r w:rsidR="00983E12">
        <w:t>As discussed above,</w:t>
      </w:r>
      <w:r>
        <w:t xml:space="preserve"> </w:t>
      </w:r>
      <w:r w:rsidR="00983E12">
        <w:t xml:space="preserve">we </w:t>
      </w:r>
      <w:r>
        <w:t xml:space="preserve">find </w:t>
      </w:r>
      <w:r w:rsidR="006D3D90">
        <w:t xml:space="preserve">that NYISO’s </w:t>
      </w:r>
      <w:r w:rsidRPr="00917B78" w:rsidR="006D3D90">
        <w:t>50-basis point adder</w:t>
      </w:r>
      <w:r w:rsidR="006D3D90">
        <w:t xml:space="preserve"> to the cost of equity and cost of debt</w:t>
      </w:r>
      <w:r>
        <w:t xml:space="preserve"> </w:t>
      </w:r>
      <w:r w:rsidR="00670986">
        <w:t xml:space="preserve">values </w:t>
      </w:r>
      <w:r w:rsidR="00A532EA">
        <w:t xml:space="preserve">acts to </w:t>
      </w:r>
      <w:r w:rsidR="001522DD">
        <w:t xml:space="preserve"> mitigate the u</w:t>
      </w:r>
      <w:r w:rsidRPr="00F86279" w:rsidR="001522DD">
        <w:t>ncertaint</w:t>
      </w:r>
      <w:r w:rsidR="001522DD">
        <w:t>ies</w:t>
      </w:r>
      <w:r w:rsidRPr="00F86279" w:rsidR="001522DD">
        <w:t xml:space="preserve"> that may increase the investment risk for </w:t>
      </w:r>
      <w:r w:rsidR="00510A29">
        <w:t xml:space="preserve">a 2-hour </w:t>
      </w:r>
      <w:r w:rsidRPr="00F86279" w:rsidR="001522DD">
        <w:t>BESS</w:t>
      </w:r>
      <w:r w:rsidR="00510A29">
        <w:t xml:space="preserve"> for purposes of this DCR</w:t>
      </w:r>
      <w:r w:rsidR="00A532EA">
        <w:t xml:space="preserve"> analysis</w:t>
      </w:r>
      <w:r>
        <w:t>.</w:t>
      </w:r>
      <w:r>
        <w:rPr>
          <w:rStyle w:val="FootnoteReference"/>
        </w:rPr>
        <w:footnoteReference w:id="250"/>
      </w:r>
      <w:r>
        <w:t xml:space="preserve">  </w:t>
      </w:r>
    </w:p>
    <w:p w:rsidR="00B05270" w:rsidRPr="00B05270" w:rsidP="00B05270">
      <w:pPr>
        <w:pStyle w:val="FERCparanumber"/>
      </w:pPr>
      <w:r w:rsidRPr="00B05270">
        <w:t xml:space="preserve">For these reasons, we conclude that NYISO has justified that </w:t>
      </w:r>
      <w:r w:rsidR="00DF7A77">
        <w:t>its proposed</w:t>
      </w:r>
      <w:r w:rsidRPr="00B05270">
        <w:t xml:space="preserve"> </w:t>
      </w:r>
      <w:r w:rsidR="00FE5A9D">
        <w:t xml:space="preserve">cost of equity and </w:t>
      </w:r>
      <w:r w:rsidRPr="00B05270">
        <w:t xml:space="preserve">cost of </w:t>
      </w:r>
      <w:r w:rsidRPr="00B05270" w:rsidR="00146A3D">
        <w:t>debt</w:t>
      </w:r>
      <w:r w:rsidR="00146A3D">
        <w:t xml:space="preserve">, </w:t>
      </w:r>
      <w:r w:rsidRPr="00917B78" w:rsidR="00146A3D">
        <w:t>with the 50-basis point</w:t>
      </w:r>
      <w:r w:rsidRPr="00917B78" w:rsidR="00D65FFC">
        <w:t xml:space="preserve"> risk adder</w:t>
      </w:r>
      <w:r w:rsidR="00D65FFC">
        <w:t xml:space="preserve">, </w:t>
      </w:r>
      <w:r w:rsidRPr="00B05270">
        <w:t>fall within a range of reasonable values.</w:t>
      </w:r>
      <w:r>
        <w:rPr>
          <w:b/>
          <w:vertAlign w:val="superscript"/>
        </w:rPr>
        <w:footnoteReference w:id="251"/>
      </w:r>
      <w:r w:rsidRPr="00B05270">
        <w:t xml:space="preserve"> </w:t>
      </w:r>
    </w:p>
    <w:p w:rsidR="00CB31A6" w:rsidP="00152327">
      <w:r w:rsidRPr="00CD0B38">
        <w:rPr>
          <w:u w:val="single"/>
        </w:rPr>
        <w:t>The Commission orders</w:t>
      </w:r>
      <w:r w:rsidRPr="00CD0B38">
        <w:t>:</w:t>
      </w:r>
    </w:p>
    <w:p w:rsidR="00CB31A6" w:rsidP="00152327"/>
    <w:p w:rsidR="00CB31A6" w:rsidRPr="00CD0B38" w:rsidP="00993BB7">
      <w:pPr>
        <w:pStyle w:val="ListParagraph"/>
        <w:spacing w:after="260"/>
        <w:ind w:left="0" w:firstLine="720"/>
        <w:contextualSpacing w:val="0"/>
      </w:pPr>
      <w:r w:rsidRPr="005B281B">
        <w:t xml:space="preserve">NYISO’s proposed revisions to the Services Tariff are hereby accepted, effective </w:t>
      </w:r>
      <w:r>
        <w:t>January 29, 2025</w:t>
      </w:r>
      <w:r w:rsidRPr="005B281B">
        <w:t>, as discussed in the body of this order.</w:t>
      </w:r>
    </w:p>
    <w:p w:rsidR="00CB31A6" w:rsidP="00152327">
      <w:r w:rsidRPr="00CD0B38">
        <w:t>By the Commission.</w:t>
      </w:r>
      <w:r w:rsidR="00E63647">
        <w:t xml:space="preserve">  Commissioner Chang is not participating.</w:t>
      </w:r>
    </w:p>
    <w:p w:rsidR="007B790F" w:rsidP="00152327"/>
    <w:p w:rsidR="007B790F" w:rsidP="007B790F">
      <w:pPr>
        <w:widowControl/>
      </w:pPr>
      <w:r w:rsidRPr="007B790F">
        <w:t>( S E A L )</w:t>
      </w:r>
    </w:p>
    <w:p w:rsidR="00E63647" w:rsidP="00152327"/>
    <w:p w:rsidR="00CB31A6" w:rsidP="00E63647">
      <w:pPr>
        <w:widowControl/>
      </w:pPr>
      <w:r w:rsidRPr="00CD0B38">
        <w:tab/>
        <w:tab/>
        <w:tab/>
        <w:tab/>
        <w:tab/>
      </w:r>
    </w:p>
    <w:p w:rsidR="00E63647" w:rsidP="00E63647">
      <w:pPr>
        <w:widowControl/>
      </w:pPr>
    </w:p>
    <w:p w:rsidR="00EE5309" w:rsidP="00EE5309">
      <w:pPr>
        <w:widowControl/>
      </w:pPr>
    </w:p>
    <w:p w:rsidR="00EE5309" w:rsidP="00EE5309">
      <w:pPr>
        <w:widowControl/>
      </w:pPr>
    </w:p>
    <w:p w:rsidR="00EE5309" w:rsidRPr="00EE5309" w:rsidP="00EE5309">
      <w:pPr>
        <w:widowControl/>
        <w:ind w:firstLine="2606"/>
        <w:jc w:val="center"/>
      </w:pPr>
      <w:r w:rsidRPr="00EE5309">
        <w:t>Debbie-Anne A. Reese,</w:t>
      </w:r>
    </w:p>
    <w:p w:rsidR="00EE5309" w:rsidRPr="00EE5309" w:rsidP="00EE5309">
      <w:pPr>
        <w:widowControl/>
        <w:ind w:firstLine="2606"/>
        <w:jc w:val="center"/>
      </w:pPr>
      <w:r>
        <w:t>S</w:t>
      </w:r>
      <w:r w:rsidRPr="00EE5309">
        <w:t>ecretary.</w:t>
      </w:r>
    </w:p>
    <w:p w:rsidR="00E63647" w:rsidRPr="00401A63" w:rsidP="00E63647">
      <w:pPr>
        <w:widowControl/>
      </w:pPr>
    </w:p>
    <w:sectPr w:rsidSect="00CB31A6">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FC8" w:rsidP="0048020B">
      <w:r>
        <w:separator/>
      </w:r>
    </w:p>
  </w:endnote>
  <w:endnote w:type="continuationSeparator" w:id="1">
    <w:p w:rsidR="00457FC8" w:rsidP="0048020B">
      <w:r>
        <w:continuationSeparator/>
      </w:r>
    </w:p>
  </w:endnote>
  <w:endnote w:type="continuationNotice" w:id="2">
    <w:p w:rsidR="00457F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FC8" w:rsidP="0048020B">
      <w:r>
        <w:separator/>
      </w:r>
    </w:p>
  </w:footnote>
  <w:footnote w:type="continuationSeparator" w:id="1">
    <w:p w:rsidR="00457FC8" w:rsidP="0048020B">
      <w:r>
        <w:continuationSeparator/>
      </w:r>
    </w:p>
  </w:footnote>
  <w:footnote w:type="continuationNotice" w:id="2">
    <w:p w:rsidR="00457FC8" w:rsidRPr="00A351B5" w:rsidP="00A351B5">
      <w:pPr>
        <w:spacing w:line="14" w:lineRule="exact"/>
        <w:rPr>
          <w:sz w:val="2"/>
        </w:rPr>
      </w:pPr>
    </w:p>
  </w:footnote>
  <w:footnote w:id="3">
    <w:p w:rsidR="001E3138" w:rsidP="001E3138">
      <w:pPr>
        <w:pStyle w:val="FootnoteText"/>
      </w:pPr>
      <w:r w:rsidRPr="00E115B8">
        <w:rPr>
          <w:rStyle w:val="FootnoteReference"/>
        </w:rPr>
        <w:footnoteRef/>
      </w:r>
      <w:r>
        <w:t xml:space="preserve"> 16 U.S.C. § 824(d).  </w:t>
      </w:r>
    </w:p>
  </w:footnote>
  <w:footnote w:id="4">
    <w:p w:rsidR="001E3138">
      <w:pPr>
        <w:pStyle w:val="FootnoteText"/>
      </w:pPr>
      <w:r w:rsidRPr="00E115B8">
        <w:rPr>
          <w:rStyle w:val="FootnoteReference"/>
        </w:rPr>
        <w:footnoteRef/>
      </w:r>
      <w:r>
        <w:t xml:space="preserve"> </w:t>
      </w:r>
      <w:r w:rsidR="00A77429">
        <w:t xml:space="preserve">18 C.F.R. pt. 35 (2024).  </w:t>
      </w:r>
    </w:p>
  </w:footnote>
  <w:footnote w:id="5">
    <w:p w:rsidR="00CB31A6" w:rsidP="00CB31A6">
      <w:pPr>
        <w:pStyle w:val="FootnoteText"/>
      </w:pPr>
      <w:r w:rsidRPr="00E115B8">
        <w:rPr>
          <w:rStyle w:val="FootnoteReference"/>
        </w:rPr>
        <w:footnoteRef/>
      </w:r>
      <w:r>
        <w:t xml:space="preserve"> </w:t>
      </w:r>
      <w:bookmarkStart w:id="0" w:name="_Hlk187843946"/>
      <w:r w:rsidR="006A042C">
        <w:t>NYISO</w:t>
      </w:r>
      <w:r w:rsidRPr="00E51C12">
        <w:t xml:space="preserve">, NYISO Tariffs, </w:t>
      </w:r>
      <w:r w:rsidRPr="00377E94">
        <w:t xml:space="preserve">NYISO </w:t>
      </w:r>
      <w:r w:rsidRPr="00377E94" w:rsidR="003614F2">
        <w:t>Market Administration and Control Area Services Tariff</w:t>
      </w:r>
      <w:r w:rsidR="00DA0466">
        <w:t xml:space="preserve"> (Services Tariff)</w:t>
      </w:r>
      <w:r w:rsidRPr="00377E94" w:rsidR="003614F2">
        <w:t xml:space="preserve">, § 5.14 </w:t>
      </w:r>
      <w:r w:rsidR="00860368">
        <w:t>(</w:t>
      </w:r>
      <w:r w:rsidR="00E90D42">
        <w:t xml:space="preserve">MST </w:t>
      </w:r>
      <w:r w:rsidRPr="00377E94" w:rsidR="003614F2">
        <w:t xml:space="preserve">Installed Capacity Spot Market Auction and </w:t>
      </w:r>
      <w:r w:rsidRPr="008D1C45" w:rsidR="003614F2">
        <w:t>Installe</w:t>
      </w:r>
      <w:r w:rsidR="008D1C45">
        <w:t>d Capacity Supplier Deficiencies</w:t>
      </w:r>
      <w:r w:rsidR="00860368">
        <w:t>)</w:t>
      </w:r>
      <w:r w:rsidR="00DC1CF1">
        <w:t xml:space="preserve"> </w:t>
      </w:r>
      <w:r w:rsidRPr="00377E94" w:rsidR="003614F2">
        <w:t>(</w:t>
      </w:r>
      <w:r w:rsidRPr="00377E94" w:rsidR="00377E94">
        <w:t>4</w:t>
      </w:r>
      <w:r w:rsidR="00377E94">
        <w:t>3</w:t>
      </w:r>
      <w:r w:rsidRPr="00377E94" w:rsidR="003614F2">
        <w:t>.0.0), § 5.14.1.2.2</w:t>
      </w:r>
      <w:r w:rsidR="00B633A6">
        <w:t xml:space="preserve"> (</w:t>
      </w:r>
      <w:r w:rsidRPr="00291FC8" w:rsidR="00291FC8">
        <w:t>Periodic Reviews of ICAP Demand Curves Applicable Beginning with the 2017/2018 Capability Year</w:t>
      </w:r>
      <w:r w:rsidR="00291FC8">
        <w:t>)</w:t>
      </w:r>
      <w:r w:rsidRPr="00377E94" w:rsidR="003614F2">
        <w:t xml:space="preserve">.  </w:t>
      </w:r>
      <w:bookmarkEnd w:id="0"/>
    </w:p>
  </w:footnote>
  <w:footnote w:id="6">
    <w:p w:rsidR="00CB31A6" w:rsidP="00CB31A6">
      <w:pPr>
        <w:pStyle w:val="FootnoteText"/>
      </w:pPr>
      <w:r w:rsidRPr="00E115B8">
        <w:rPr>
          <w:rStyle w:val="FootnoteReference"/>
        </w:rPr>
        <w:footnoteRef/>
      </w:r>
      <w:r w:rsidR="00AB5E5C">
        <w:t xml:space="preserve"> </w:t>
      </w:r>
      <w:r w:rsidRPr="007A7239" w:rsidR="007A7239">
        <w:t xml:space="preserve">Capitalized terms not defined herein shall have the meaning set forth in the NYISO </w:t>
      </w:r>
      <w:r w:rsidR="00F42A3B">
        <w:t>Services Tariff</w:t>
      </w:r>
      <w:r w:rsidR="00EF122E">
        <w:t xml:space="preserve">.  </w:t>
      </w:r>
      <w:r w:rsidRPr="00CF0545">
        <w:t>NYISO’s Capability Year consists of the Summer Capability Period (May 1 through October 31) and the Winter Capability Period (November 1 through April 30).</w:t>
      </w:r>
      <w:r w:rsidR="000A3664">
        <w:t xml:space="preserve"> </w:t>
      </w:r>
    </w:p>
  </w:footnote>
  <w:footnote w:id="7">
    <w:p w:rsidR="00CB31A6" w:rsidP="00CB31A6">
      <w:pPr>
        <w:pStyle w:val="FootnoteText"/>
      </w:pPr>
      <w:r w:rsidRPr="00E115B8">
        <w:rPr>
          <w:rStyle w:val="FootnoteReference"/>
        </w:rPr>
        <w:footnoteRef/>
      </w:r>
      <w:r>
        <w:t xml:space="preserve"> </w:t>
      </w:r>
      <w:r w:rsidR="00E66675">
        <w:t>The Services Tariff defines “</w:t>
      </w:r>
      <w:r w:rsidRPr="00CF0545">
        <w:t>ICAP Demand Curve</w:t>
      </w:r>
      <w:r w:rsidR="00E66675">
        <w:t>”</w:t>
      </w:r>
      <w:r w:rsidRPr="00CF0545">
        <w:t xml:space="preserve"> as: “A series of prices which decline until reaching zero as the amount of Installed Capacity increases.”  </w:t>
      </w:r>
      <w:r w:rsidR="00D30565">
        <w:t xml:space="preserve">NYISO, </w:t>
      </w:r>
      <w:r w:rsidR="00E63647">
        <w:t xml:space="preserve">NYISO Tariffs, </w:t>
      </w:r>
      <w:r w:rsidRPr="00CF0545">
        <w:t xml:space="preserve">Services </w:t>
      </w:r>
      <w:r w:rsidR="00AD2CD3">
        <w:t>Tariff</w:t>
      </w:r>
      <w:r w:rsidR="00E202E0">
        <w:t>,</w:t>
      </w:r>
      <w:r w:rsidR="00402092">
        <w:t xml:space="preserve"> § 2.9 </w:t>
      </w:r>
      <w:r w:rsidR="00B56666">
        <w:t>(</w:t>
      </w:r>
      <w:r w:rsidR="00402092">
        <w:t xml:space="preserve">Definitions </w:t>
      </w:r>
      <w:r w:rsidR="006F5956">
        <w:t>– I</w:t>
      </w:r>
      <w:r w:rsidR="00B56666">
        <w:t>)</w:t>
      </w:r>
      <w:r w:rsidR="006F5956">
        <w:t xml:space="preserve"> (32.0.0).</w:t>
      </w:r>
      <w:r w:rsidR="00FE2953">
        <w:t xml:space="preserve">  </w:t>
      </w:r>
      <w:r w:rsidRPr="00FE2953" w:rsidR="00FE2953">
        <w:t xml:space="preserve">The quadrennial process by which the ICAP Demand Curve is established for the next four years is referred to as the Demand Curve reset (DCR).  </w:t>
      </w:r>
    </w:p>
  </w:footnote>
  <w:footnote w:id="8">
    <w:p w:rsidR="00CB31A6" w:rsidRPr="0011635B" w:rsidP="00CB31A6">
      <w:pPr>
        <w:pStyle w:val="FootnoteText"/>
      </w:pPr>
      <w:r w:rsidRPr="00E115B8">
        <w:rPr>
          <w:rStyle w:val="FootnoteReference"/>
        </w:rPr>
        <w:footnoteRef/>
      </w:r>
      <w:r>
        <w:t xml:space="preserve"> </w:t>
      </w:r>
      <w:r w:rsidR="00E63647">
        <w:rPr>
          <w:i/>
          <w:iCs/>
        </w:rPr>
        <w:t>See</w:t>
      </w:r>
      <w:r w:rsidR="00E63647">
        <w:t xml:space="preserve"> </w:t>
      </w:r>
      <w:r w:rsidRPr="00CF0545" w:rsidR="00E63647">
        <w:t>NYISO,</w:t>
      </w:r>
      <w:r w:rsidR="00E63647">
        <w:t xml:space="preserve"> NYISO Tariffs, Services Tariff</w:t>
      </w:r>
      <w:r w:rsidR="00CF6A0C">
        <w:t xml:space="preserve">, </w:t>
      </w:r>
      <w:r>
        <w:t>§ 5.</w:t>
      </w:r>
      <w:r w:rsidRPr="008D257A">
        <w:t>10</w:t>
      </w:r>
      <w:r w:rsidRPr="008D257A" w:rsidR="00DD20AD">
        <w:t xml:space="preserve"> </w:t>
      </w:r>
      <w:r w:rsidR="00B069ED">
        <w:t>(</w:t>
      </w:r>
      <w:r w:rsidRPr="008D257A" w:rsidR="00A2394C">
        <w:t xml:space="preserve">MST </w:t>
      </w:r>
      <w:r w:rsidRPr="008D257A" w:rsidR="00DD20AD">
        <w:t xml:space="preserve">NYCA Minimum Installed Capacity </w:t>
      </w:r>
      <w:r w:rsidRPr="008D257A" w:rsidR="00BF2A4E">
        <w:t>Requirement</w:t>
      </w:r>
      <w:r w:rsidR="00B069ED">
        <w:t>)</w:t>
      </w:r>
      <w:r w:rsidRPr="008D257A">
        <w:t xml:space="preserve"> (</w:t>
      </w:r>
      <w:r w:rsidRPr="008D257A" w:rsidR="00087631">
        <w:t>5</w:t>
      </w:r>
      <w:r w:rsidRPr="008D257A">
        <w:t>.0.0).</w:t>
      </w:r>
      <w:r>
        <w:t xml:space="preserve"> </w:t>
      </w:r>
    </w:p>
  </w:footnote>
  <w:footnote w:id="9">
    <w:p w:rsidR="00CB31A6" w:rsidP="00CB31A6">
      <w:pPr>
        <w:pStyle w:val="FootnoteText"/>
      </w:pPr>
      <w:r w:rsidRPr="00E115B8">
        <w:rPr>
          <w:rStyle w:val="FootnoteReference"/>
        </w:rPr>
        <w:footnoteRef/>
      </w:r>
      <w:r>
        <w:t xml:space="preserve"> NYCA includes the entire NYISO control area.</w:t>
      </w:r>
    </w:p>
  </w:footnote>
  <w:footnote w:id="10">
    <w:p w:rsidR="00CB31A6" w:rsidP="00CB31A6">
      <w:pPr>
        <w:pStyle w:val="FootnoteText"/>
      </w:pPr>
      <w:r w:rsidRPr="00E115B8">
        <w:rPr>
          <w:rStyle w:val="FootnoteReference"/>
        </w:rPr>
        <w:footnoteRef/>
      </w:r>
      <w:r>
        <w:t xml:space="preserve"> NYCA comprises New York City (load zone J), Long Island (load zone K), the G-J Locality (load zones G, H, I, and J), and Rest of State (all other load zones, which currently includes load zones A through F).</w:t>
      </w:r>
    </w:p>
  </w:footnote>
  <w:footnote w:id="11">
    <w:p w:rsidR="003178C7" w:rsidRPr="00EA4AE7" w:rsidP="003178C7">
      <w:pPr>
        <w:pStyle w:val="FootnoteText"/>
      </w:pPr>
      <w:r w:rsidRPr="00EA4AE7">
        <w:rPr>
          <w:rStyle w:val="FootnoteReference"/>
        </w:rPr>
        <w:footnoteRef/>
      </w:r>
      <w:r w:rsidRPr="00EA4AE7">
        <w:t xml:space="preserve"> </w:t>
      </w:r>
      <w:r w:rsidRPr="0047345B" w:rsidR="00A11321">
        <w:rPr>
          <w:i/>
          <w:iCs/>
        </w:rPr>
        <w:t xml:space="preserve">See Indep. </w:t>
      </w:r>
      <w:r w:rsidRPr="0047345B" w:rsidR="00C668F6">
        <w:rPr>
          <w:i/>
        </w:rPr>
        <w:t>Power Producers of N.Y., Inc. v. FERC</w:t>
      </w:r>
      <w:r w:rsidRPr="0047345B" w:rsidR="00C668F6">
        <w:t>, No. 21-1166, 2022 WL 3210362</w:t>
      </w:r>
      <w:r w:rsidR="007830F9">
        <w:t>, at</w:t>
      </w:r>
      <w:r w:rsidRPr="0047345B" w:rsidR="00C668F6">
        <w:t xml:space="preserve"> </w:t>
      </w:r>
      <w:r w:rsidR="007D5B45">
        <w:t>*</w:t>
      </w:r>
      <w:r w:rsidR="00841E77">
        <w:t xml:space="preserve">1 </w:t>
      </w:r>
      <w:r w:rsidRPr="0047345B" w:rsidR="00C668F6">
        <w:t xml:space="preserve">(D.C. Cir. Aug. </w:t>
      </w:r>
      <w:r w:rsidRPr="0047345B" w:rsidR="00A11321">
        <w:t>9, 2022</w:t>
      </w:r>
      <w:r w:rsidR="00A11321">
        <w:t>)</w:t>
      </w:r>
      <w:r w:rsidR="007D5B45">
        <w:t>.</w:t>
      </w:r>
    </w:p>
  </w:footnote>
  <w:footnote w:id="12">
    <w:p w:rsidR="00CB31A6" w:rsidRPr="00B9387F" w:rsidP="00CB31A6">
      <w:pPr>
        <w:pStyle w:val="FootnoteText"/>
      </w:pPr>
      <w:r w:rsidRPr="00EA4AE7">
        <w:rPr>
          <w:rStyle w:val="FootnoteReference"/>
        </w:rPr>
        <w:footnoteRef/>
      </w:r>
      <w:r w:rsidRPr="00EA4AE7">
        <w:t xml:space="preserve"> </w:t>
      </w:r>
      <w:bookmarkStart w:id="1" w:name="_Hlk59535008"/>
      <w:r w:rsidRPr="00EA4AE7">
        <w:t xml:space="preserve">NYISO, </w:t>
      </w:r>
      <w:r w:rsidR="00E63647">
        <w:t xml:space="preserve">NYISO Tariffs, </w:t>
      </w:r>
      <w:r w:rsidRPr="00EA4AE7">
        <w:t xml:space="preserve">Services Tariff, </w:t>
      </w:r>
      <w:r w:rsidR="00847408">
        <w:t>§</w:t>
      </w:r>
      <w:r w:rsidRPr="00EA4AE7">
        <w:t xml:space="preserve"> 5.14</w:t>
      </w:r>
      <w:r w:rsidR="004F42B9">
        <w:t xml:space="preserve"> (</w:t>
      </w:r>
      <w:r w:rsidR="00B633A6">
        <w:t xml:space="preserve">MST </w:t>
      </w:r>
      <w:r w:rsidRPr="00377E94" w:rsidR="00B633A6">
        <w:t xml:space="preserve">Installed Capacity Spot Market Auction and </w:t>
      </w:r>
      <w:r w:rsidRPr="008D1C45" w:rsidR="00B633A6">
        <w:t>Installe</w:t>
      </w:r>
      <w:r w:rsidR="00B633A6">
        <w:t>d Capacity Supplier Deficiencies)</w:t>
      </w:r>
      <w:r w:rsidR="004F42B9">
        <w:t xml:space="preserve"> (42.0.0)</w:t>
      </w:r>
      <w:r w:rsidR="00B633A6">
        <w:t>,</w:t>
      </w:r>
      <w:r w:rsidR="004F42B9">
        <w:t xml:space="preserve"> </w:t>
      </w:r>
      <w:r w:rsidR="00847408">
        <w:t>§</w:t>
      </w:r>
      <w:r w:rsidRPr="00EA4AE7">
        <w:t xml:space="preserve"> 5.14.1.2.2</w:t>
      </w:r>
      <w:bookmarkEnd w:id="1"/>
      <w:r w:rsidR="002A257C">
        <w:t xml:space="preserve"> </w:t>
      </w:r>
      <w:r w:rsidR="004F42B9">
        <w:t>(</w:t>
      </w:r>
      <w:r w:rsidRPr="004F42B9" w:rsidR="004F42B9">
        <w:t xml:space="preserve">Periodic Reviews of ICAP Demand Curves Applicable Beginning with </w:t>
      </w:r>
      <w:r w:rsidRPr="00883B9B" w:rsidR="004F42B9">
        <w:t>the 2017/2018</w:t>
      </w:r>
      <w:r w:rsidRPr="004F42B9" w:rsidR="004F42B9">
        <w:t xml:space="preserve"> Capability Year</w:t>
      </w:r>
      <w:r w:rsidR="004F42B9">
        <w:t>)</w:t>
      </w:r>
      <w:r w:rsidRPr="00EA4AE7">
        <w:t>.</w:t>
      </w:r>
      <w:r w:rsidR="00E72B30">
        <w:t xml:space="preserve">  </w:t>
      </w:r>
      <w:r w:rsidR="008F1EBD">
        <w:t xml:space="preserve">In assessing the gross peaking plant cost, NYISO </w:t>
      </w:r>
      <w:r w:rsidR="00984F0F">
        <w:t>accounts for the</w:t>
      </w:r>
      <w:r w:rsidRPr="00E72B30" w:rsidR="008F1EBD">
        <w:t xml:space="preserve"> Weighted Average Cost of Capital (WACC)</w:t>
      </w:r>
      <w:r w:rsidR="00984F0F">
        <w:t xml:space="preserve"> NYISO assumes is</w:t>
      </w:r>
      <w:r w:rsidRPr="00E72B30" w:rsidR="008F1EBD">
        <w:t xml:space="preserve"> required by a developer to recover up-front investment costs, plus a reasonable return on that investment</w:t>
      </w:r>
      <w:r w:rsidR="00984F0F">
        <w:t xml:space="preserve">, </w:t>
      </w:r>
      <w:r w:rsidRPr="00E72B30" w:rsidR="008F1EBD">
        <w:t>the term in years over which the developer is assumed to recover its up-front investment costs (amortization period)</w:t>
      </w:r>
      <w:r w:rsidR="00984F0F">
        <w:t xml:space="preserve">, and </w:t>
      </w:r>
      <w:r w:rsidR="008B6334">
        <w:t>the applicable tax rates</w:t>
      </w:r>
      <w:r w:rsidR="008F1EBD">
        <w:t xml:space="preserve">.  </w:t>
      </w:r>
      <w:r w:rsidR="008F1EBD">
        <w:rPr>
          <w:i/>
          <w:iCs/>
        </w:rPr>
        <w:t>See</w:t>
      </w:r>
      <w:r w:rsidR="008B6334">
        <w:rPr>
          <w:i/>
          <w:iCs/>
        </w:rPr>
        <w:t xml:space="preserve"> </w:t>
      </w:r>
      <w:r w:rsidRPr="003D490D" w:rsidR="002A2A58">
        <w:rPr>
          <w:i/>
          <w:iCs/>
        </w:rPr>
        <w:t>N</w:t>
      </w:r>
      <w:r w:rsidR="002A2A58">
        <w:rPr>
          <w:i/>
          <w:iCs/>
        </w:rPr>
        <w:t>.</w:t>
      </w:r>
      <w:r w:rsidRPr="003D490D" w:rsidR="002A2A58">
        <w:rPr>
          <w:i/>
          <w:iCs/>
        </w:rPr>
        <w:t>Y</w:t>
      </w:r>
      <w:r w:rsidR="002A2A58">
        <w:rPr>
          <w:i/>
          <w:iCs/>
        </w:rPr>
        <w:t>.</w:t>
      </w:r>
      <w:r w:rsidRPr="003D490D" w:rsidR="002A2A58">
        <w:rPr>
          <w:i/>
          <w:iCs/>
        </w:rPr>
        <w:t xml:space="preserve"> Indep</w:t>
      </w:r>
      <w:r w:rsidR="002A2A58">
        <w:rPr>
          <w:i/>
          <w:iCs/>
        </w:rPr>
        <w:t>.</w:t>
      </w:r>
      <w:r w:rsidRPr="003D490D" w:rsidR="002A2A58">
        <w:rPr>
          <w:i/>
          <w:iCs/>
        </w:rPr>
        <w:t xml:space="preserve"> Sys</w:t>
      </w:r>
      <w:r w:rsidR="002A2A58">
        <w:rPr>
          <w:i/>
          <w:iCs/>
        </w:rPr>
        <w:t>.</w:t>
      </w:r>
      <w:r w:rsidRPr="003D490D" w:rsidR="002A2A58">
        <w:rPr>
          <w:i/>
          <w:iCs/>
        </w:rPr>
        <w:t xml:space="preserve"> Operator, Inc.</w:t>
      </w:r>
      <w:r w:rsidR="002A2A58">
        <w:t>,</w:t>
      </w:r>
      <w:r w:rsidRPr="002A0099" w:rsidR="002A2A58">
        <w:rPr>
          <w:szCs w:val="22"/>
        </w:rPr>
        <w:t xml:space="preserve"> </w:t>
      </w:r>
      <w:r w:rsidRPr="002A0099" w:rsidR="002A2A58">
        <w:t>175 FERC ¶ 61,012</w:t>
      </w:r>
      <w:r w:rsidR="002A2A58">
        <w:t>, at P 136 (202</w:t>
      </w:r>
      <w:r w:rsidR="00A13A88">
        <w:t>1</w:t>
      </w:r>
      <w:r w:rsidR="002A2A58">
        <w:t>) (</w:t>
      </w:r>
      <w:r w:rsidRPr="00735782" w:rsidR="002A2A58">
        <w:t>2021-2025 DCR Order</w:t>
      </w:r>
      <w:r w:rsidR="002A2A58">
        <w:t>).</w:t>
      </w:r>
    </w:p>
  </w:footnote>
  <w:footnote w:id="13">
    <w:p w:rsidR="005A3692" w:rsidRPr="00B34272" w:rsidP="005A3692">
      <w:pPr>
        <w:pStyle w:val="FootnoteText"/>
      </w:pPr>
      <w:r w:rsidRPr="00E115B8">
        <w:rPr>
          <w:rStyle w:val="FootnoteReference"/>
        </w:rPr>
        <w:footnoteRef/>
      </w:r>
      <w:r>
        <w:t xml:space="preserve"> </w:t>
      </w:r>
      <w:r>
        <w:rPr>
          <w:i/>
          <w:iCs/>
        </w:rPr>
        <w:t>Id</w:t>
      </w:r>
      <w:r w:rsidRPr="00BB6272">
        <w:rPr>
          <w:i/>
        </w:rPr>
        <w:t>.</w:t>
      </w:r>
    </w:p>
  </w:footnote>
  <w:footnote w:id="14">
    <w:p w:rsidR="000B22B7">
      <w:pPr>
        <w:pStyle w:val="FootnoteText"/>
      </w:pPr>
      <w:r>
        <w:rPr>
          <w:rStyle w:val="FootnoteReference"/>
        </w:rPr>
        <w:footnoteRef/>
      </w:r>
      <w:r>
        <w:t xml:space="preserve"> </w:t>
      </w:r>
      <w:r>
        <w:rPr>
          <w:i/>
          <w:iCs/>
        </w:rPr>
        <w:t>Id</w:t>
      </w:r>
      <w:r w:rsidRPr="00BB6272">
        <w:rPr>
          <w:i/>
        </w:rPr>
        <w:t>.</w:t>
      </w:r>
    </w:p>
  </w:footnote>
  <w:footnote w:id="15">
    <w:p w:rsidR="00965DB7" w:rsidRPr="00944570" w:rsidP="00965DB7">
      <w:pPr>
        <w:pStyle w:val="FootnoteText"/>
      </w:pPr>
      <w:r w:rsidRPr="00944570">
        <w:rPr>
          <w:rStyle w:val="FootnoteReference"/>
        </w:rPr>
        <w:footnoteRef/>
      </w:r>
      <w:r w:rsidRPr="00944570">
        <w:t xml:space="preserve"> </w:t>
      </w:r>
      <w:r w:rsidRPr="00944570">
        <w:rPr>
          <w:i/>
          <w:iCs/>
        </w:rPr>
        <w:t>See</w:t>
      </w:r>
      <w:r w:rsidRPr="00944570">
        <w:t xml:space="preserve"> NYISO, </w:t>
      </w:r>
      <w:r w:rsidR="00E63647">
        <w:t xml:space="preserve">NYISO Tariffs, </w:t>
      </w:r>
      <w:r w:rsidRPr="00944570">
        <w:t xml:space="preserve">Services Tariff, </w:t>
      </w:r>
      <w:r w:rsidRPr="00EA4AE7" w:rsidR="00284A26">
        <w:t>§</w:t>
      </w:r>
      <w:r w:rsidRPr="00847408" w:rsidR="00284A26">
        <w:t xml:space="preserve"> </w:t>
      </w:r>
      <w:r w:rsidR="00284A26">
        <w:t>5.14</w:t>
      </w:r>
      <w:r w:rsidRPr="00944570">
        <w:t>.1.2</w:t>
      </w:r>
      <w:r w:rsidR="00CA58D5">
        <w:t>.</w:t>
      </w:r>
      <w:r w:rsidRPr="00944570">
        <w:t xml:space="preserve">  </w:t>
      </w:r>
    </w:p>
  </w:footnote>
  <w:footnote w:id="16">
    <w:p w:rsidR="0041058C">
      <w:pPr>
        <w:pStyle w:val="FootnoteText"/>
      </w:pPr>
      <w:r w:rsidRPr="00E115B8">
        <w:rPr>
          <w:rStyle w:val="FootnoteReference"/>
        </w:rPr>
        <w:footnoteRef/>
      </w:r>
      <w:r>
        <w:t xml:space="preserve"> </w:t>
      </w:r>
      <w:r w:rsidRPr="00944570" w:rsidR="005A5494">
        <w:t xml:space="preserve">NYISO, </w:t>
      </w:r>
      <w:r w:rsidR="00E63647">
        <w:t xml:space="preserve">NYISO Tariffs, </w:t>
      </w:r>
      <w:r w:rsidRPr="00944570" w:rsidR="005A5494">
        <w:t xml:space="preserve">Services Tariff, </w:t>
      </w:r>
      <w:r w:rsidR="00703F48">
        <w:t>§</w:t>
      </w:r>
      <w:r w:rsidR="00284A26">
        <w:t xml:space="preserve"> </w:t>
      </w:r>
      <w:r w:rsidRPr="00745D76" w:rsidR="00284A26">
        <w:t>5.14.1.2.2.4.11</w:t>
      </w:r>
      <w:r w:rsidR="00284A26">
        <w:t>.</w:t>
      </w:r>
      <w:r w:rsidR="00745D76">
        <w:t xml:space="preserve"> </w:t>
      </w:r>
    </w:p>
  </w:footnote>
  <w:footnote w:id="17">
    <w:p w:rsidR="00CB31A6" w:rsidP="00CB31A6">
      <w:pPr>
        <w:pStyle w:val="FootnoteText"/>
      </w:pPr>
      <w:r w:rsidRPr="00E115B8">
        <w:rPr>
          <w:rStyle w:val="FootnoteReference"/>
        </w:rPr>
        <w:footnoteRef/>
      </w:r>
      <w:r>
        <w:t xml:space="preserve"> </w:t>
      </w:r>
      <w:r>
        <w:rPr>
          <w:i/>
          <w:iCs/>
        </w:rPr>
        <w:t>Id</w:t>
      </w:r>
      <w:r w:rsidRPr="00BB6272">
        <w:rPr>
          <w:i/>
        </w:rPr>
        <w:t>.</w:t>
      </w:r>
      <w:r>
        <w:t xml:space="preserve"> § 5.14.1.2.</w:t>
      </w:r>
    </w:p>
  </w:footnote>
  <w:footnote w:id="18">
    <w:p w:rsidR="002373D2" w:rsidRPr="00944570" w:rsidP="002373D2">
      <w:pPr>
        <w:pStyle w:val="FootnoteText"/>
      </w:pPr>
      <w:r w:rsidRPr="00013F98">
        <w:rPr>
          <w:rStyle w:val="FootnoteReference"/>
        </w:rPr>
        <w:footnoteRef/>
      </w:r>
      <w:r w:rsidRPr="00013F98">
        <w:t xml:space="preserve"> </w:t>
      </w:r>
      <w:r w:rsidRPr="00013F98" w:rsidR="005E0AA1">
        <w:t>Tra</w:t>
      </w:r>
      <w:r w:rsidRPr="00013F98" w:rsidR="00974613">
        <w:t>nsmittal Letter at 3</w:t>
      </w:r>
      <w:r w:rsidRPr="00013F98" w:rsidR="00620876">
        <w:t xml:space="preserve">.  </w:t>
      </w:r>
      <w:r w:rsidRPr="00013F98">
        <w:t xml:space="preserve">NYISO explains its independent consultant is Analysis Group, Inc. (Analysis Group), which subcontracted with </w:t>
      </w:r>
      <w:r w:rsidRPr="00013F98" w:rsidR="00664898">
        <w:t xml:space="preserve">1898 </w:t>
      </w:r>
      <w:r w:rsidRPr="00013F98" w:rsidR="000A3808">
        <w:t xml:space="preserve">&amp; </w:t>
      </w:r>
      <w:r w:rsidRPr="00013F98" w:rsidR="00664898">
        <w:t xml:space="preserve">Co., part of </w:t>
      </w:r>
      <w:r w:rsidRPr="00013F98">
        <w:t>Burns &amp; McDonnell Engineering Company, Inc. (</w:t>
      </w:r>
      <w:r w:rsidRPr="00013F98" w:rsidR="00664898">
        <w:t>1898</w:t>
      </w:r>
      <w:r w:rsidRPr="00013F98" w:rsidR="000A3808">
        <w:t xml:space="preserve"> &amp; Co.</w:t>
      </w:r>
      <w:r w:rsidRPr="00013F98">
        <w:t xml:space="preserve">) (collectively, NYISO Consultant).  </w:t>
      </w:r>
      <w:r w:rsidR="00E557C5">
        <w:rPr>
          <w:i/>
          <w:iCs/>
        </w:rPr>
        <w:t>Id.</w:t>
      </w:r>
    </w:p>
  </w:footnote>
  <w:footnote w:id="19">
    <w:p w:rsidR="002373D2" w:rsidRPr="005F50FD" w:rsidP="002373D2">
      <w:pPr>
        <w:pStyle w:val="FootnoteText"/>
        <w:rPr>
          <w:highlight w:val="cyan"/>
        </w:rPr>
      </w:pPr>
      <w:r w:rsidRPr="00013F98">
        <w:rPr>
          <w:rStyle w:val="FootnoteReference"/>
        </w:rPr>
        <w:footnoteRef/>
      </w:r>
      <w:r w:rsidRPr="00013F98">
        <w:t xml:space="preserve"> </w:t>
      </w:r>
      <w:r w:rsidRPr="00013F98">
        <w:rPr>
          <w:i/>
          <w:iCs/>
        </w:rPr>
        <w:t>Id.</w:t>
      </w:r>
      <w:r w:rsidRPr="00013F98">
        <w:t xml:space="preserve"> </w:t>
      </w:r>
    </w:p>
  </w:footnote>
  <w:footnote w:id="20">
    <w:p w:rsidR="00956E56">
      <w:pPr>
        <w:pStyle w:val="FootnoteText"/>
      </w:pPr>
      <w:r>
        <w:rPr>
          <w:rStyle w:val="FootnoteReference"/>
        </w:rPr>
        <w:footnoteRef/>
      </w:r>
      <w:r>
        <w:t xml:space="preserve"> </w:t>
      </w:r>
      <w:r w:rsidRPr="0053718C" w:rsidR="00C830BB">
        <w:t>NYISO’s capacity accreditation construct</w:t>
      </w:r>
      <w:r w:rsidRPr="0053718C" w:rsidR="00AE11BB">
        <w:t xml:space="preserve"> </w:t>
      </w:r>
      <w:r w:rsidRPr="0053718C" w:rsidR="00C830BB">
        <w:t>accredits all resource types based on their marginal contribution to power system reliability</w:t>
      </w:r>
      <w:r w:rsidR="00E87B0F">
        <w:t xml:space="preserve">.  </w:t>
      </w:r>
      <w:r w:rsidRPr="00944570" w:rsidR="00E87B0F">
        <w:t xml:space="preserve">NYISO, </w:t>
      </w:r>
      <w:r w:rsidR="00E63647">
        <w:t xml:space="preserve">NYISO Tariffs, </w:t>
      </w:r>
      <w:r w:rsidRPr="00944570" w:rsidR="00E87B0F">
        <w:t xml:space="preserve">Services Tariff, § </w:t>
      </w:r>
      <w:r w:rsidR="00E87B0F">
        <w:t xml:space="preserve">5.12 </w:t>
      </w:r>
      <w:r w:rsidR="00CA3D95">
        <w:t>(</w:t>
      </w:r>
      <w:r w:rsidR="00E87B0F">
        <w:t xml:space="preserve">Requirements Applicable to Installed Capacity </w:t>
      </w:r>
      <w:r w:rsidRPr="00677B6B" w:rsidR="00E87B0F">
        <w:t>Suppl</w:t>
      </w:r>
      <w:r w:rsidR="00677B6B">
        <w:t>iers</w:t>
      </w:r>
      <w:r w:rsidR="00745EFC">
        <w:t>)</w:t>
      </w:r>
      <w:r w:rsidR="00E87B0F">
        <w:t xml:space="preserve"> (48.0.0), </w:t>
      </w:r>
      <w:r w:rsidR="00745EFC">
        <w:t xml:space="preserve">           </w:t>
      </w:r>
      <w:r w:rsidR="00E87B0F">
        <w:t>§</w:t>
      </w:r>
      <w:r w:rsidR="00B032B2">
        <w:t xml:space="preserve"> </w:t>
      </w:r>
      <w:r w:rsidRPr="00944570" w:rsidR="00E87B0F">
        <w:t>5.12.14.2.</w:t>
      </w:r>
    </w:p>
  </w:footnote>
  <w:footnote w:id="21">
    <w:p w:rsidR="00417B6C" w:rsidP="00417B6C">
      <w:pPr>
        <w:pStyle w:val="FootnoteText"/>
      </w:pPr>
      <w:r w:rsidRPr="00E115B8">
        <w:rPr>
          <w:rStyle w:val="FootnoteReference"/>
        </w:rPr>
        <w:footnoteRef/>
      </w:r>
      <w:r>
        <w:t xml:space="preserve"> Transmittal</w:t>
      </w:r>
      <w:r w:rsidR="00D44124">
        <w:t xml:space="preserve"> Letter</w:t>
      </w:r>
      <w:r>
        <w:t xml:space="preserve"> at 9 </w:t>
      </w:r>
      <w:r w:rsidRPr="00831CA0">
        <w:t xml:space="preserve">(citing </w:t>
      </w:r>
      <w:r w:rsidRPr="00831CA0">
        <w:rPr>
          <w:i/>
          <w:iCs/>
        </w:rPr>
        <w:t>N.Y. Indep. Sys. Operator, Inc.</w:t>
      </w:r>
      <w:r w:rsidRPr="00831CA0">
        <w:t xml:space="preserve">, 179 FERC </w:t>
      </w:r>
      <w:r w:rsidR="00745EFC">
        <w:t xml:space="preserve">          </w:t>
      </w:r>
      <w:r w:rsidRPr="00831CA0">
        <w:t>¶ 61,102 (2022))</w:t>
      </w:r>
      <w:r>
        <w:t xml:space="preserve">. </w:t>
      </w:r>
    </w:p>
  </w:footnote>
  <w:footnote w:id="22">
    <w:p w:rsidR="00417B6C" w:rsidP="00417B6C">
      <w:pPr>
        <w:pStyle w:val="FootnoteText"/>
      </w:pPr>
      <w:r w:rsidRPr="0053718C">
        <w:rPr>
          <w:rStyle w:val="FootnoteReference"/>
        </w:rPr>
        <w:footnoteRef/>
      </w:r>
      <w:r w:rsidRPr="0053718C">
        <w:t xml:space="preserve"> CAFs are defined as values to “reflect the marginal reliability contribution of</w:t>
      </w:r>
      <w:r w:rsidRPr="003C7A29">
        <w:t xml:space="preserve"> </w:t>
      </w:r>
      <w:r w:rsidRPr="0053718C">
        <w:t>ICAP Suppliers within each Capacity Accreditation Resource Class toward meeting NYSRC resource adequacy requirements for the upcoming Capability Year</w:t>
      </w:r>
      <w:r>
        <w:t xml:space="preserve">.”  </w:t>
      </w:r>
      <w:r>
        <w:rPr>
          <w:i/>
          <w:iCs/>
        </w:rPr>
        <w:t xml:space="preserve">See </w:t>
      </w:r>
      <w:r w:rsidR="009317F7">
        <w:t>NYISO,</w:t>
      </w:r>
      <w:r w:rsidRPr="00E63647" w:rsidR="00E63647">
        <w:t xml:space="preserve"> </w:t>
      </w:r>
      <w:r w:rsidR="00E63647">
        <w:t>NYISO Tariffs,</w:t>
      </w:r>
      <w:r w:rsidR="009317F7">
        <w:t xml:space="preserve"> </w:t>
      </w:r>
      <w:r w:rsidRPr="00187265">
        <w:t xml:space="preserve">Services Tariff, </w:t>
      </w:r>
      <w:r w:rsidRPr="00C34798">
        <w:t>§</w:t>
      </w:r>
      <w:r w:rsidRPr="00187265">
        <w:t xml:space="preserve"> 2.3</w:t>
      </w:r>
      <w:r>
        <w:t xml:space="preserve"> (Definitions – C) (31.0.0).</w:t>
      </w:r>
    </w:p>
  </w:footnote>
  <w:footnote w:id="23">
    <w:p w:rsidR="00417B6C" w:rsidP="00417B6C">
      <w:pPr>
        <w:pStyle w:val="FootnoteText"/>
      </w:pPr>
      <w:r w:rsidRPr="00E115B8">
        <w:rPr>
          <w:rStyle w:val="FootnoteReference"/>
        </w:rPr>
        <w:footnoteRef/>
      </w:r>
      <w:r>
        <w:t xml:space="preserve"> Transmittal </w:t>
      </w:r>
      <w:r w:rsidR="00D44124">
        <w:t xml:space="preserve">Letter </w:t>
      </w:r>
      <w:r>
        <w:t xml:space="preserve">at 9. </w:t>
      </w:r>
    </w:p>
  </w:footnote>
  <w:footnote w:id="24">
    <w:p w:rsidR="00417B6C" w:rsidP="00417B6C">
      <w:pPr>
        <w:pStyle w:val="FootnoteText"/>
      </w:pPr>
      <w:r w:rsidRPr="00E115B8">
        <w:rPr>
          <w:rStyle w:val="FootnoteReference"/>
        </w:rPr>
        <w:footnoteRef/>
      </w:r>
      <w:r>
        <w:t xml:space="preserve"> </w:t>
      </w:r>
      <w:r w:rsidRPr="00442265">
        <w:rPr>
          <w:i/>
        </w:rPr>
        <w:t>See</w:t>
      </w:r>
      <w:r>
        <w:t xml:space="preserve"> NYISO, </w:t>
      </w:r>
      <w:r w:rsidR="00E63647">
        <w:t xml:space="preserve">NYISO Tariffs, </w:t>
      </w:r>
      <w:r>
        <w:t xml:space="preserve">Services Tariff, § </w:t>
      </w:r>
      <w:r w:rsidRPr="001A013C">
        <w:t>5.14.1.2</w:t>
      </w:r>
      <w:r w:rsidR="00495257">
        <w:t>.</w:t>
      </w:r>
      <w:r w:rsidR="002B7254">
        <w:t xml:space="preserve">  NYISO explains that </w:t>
      </w:r>
      <w:r w:rsidRPr="0053718C" w:rsidR="002B7254">
        <w:t>UCAP represents the amount of ICAP that is available at a particular time; it is the amount of ICAP available, adjusted for periods that resources are not available to supply ICAP due to forced outages or other limitations on the operating capability of a resource.</w:t>
      </w:r>
      <w:r w:rsidR="002B7254">
        <w:t xml:space="preserve">  Transmittal Letter at 9 n.</w:t>
      </w:r>
      <w:r w:rsidR="00BB6167">
        <w:t>33.</w:t>
      </w:r>
    </w:p>
  </w:footnote>
  <w:footnote w:id="25">
    <w:p w:rsidR="005A03DF" w:rsidP="005A03DF">
      <w:pPr>
        <w:pStyle w:val="FootnoteText"/>
      </w:pPr>
      <w:r w:rsidRPr="00E115B8">
        <w:rPr>
          <w:rStyle w:val="FootnoteReference"/>
        </w:rPr>
        <w:footnoteRef/>
      </w:r>
      <w:r>
        <w:t xml:space="preserve"> </w:t>
      </w:r>
      <w:r w:rsidR="00E915F5">
        <w:rPr>
          <w:i/>
          <w:iCs/>
        </w:rPr>
        <w:t xml:space="preserve">Id. </w:t>
      </w:r>
      <w:r>
        <w:t xml:space="preserve">at 10.  </w:t>
      </w:r>
    </w:p>
  </w:footnote>
  <w:footnote w:id="26">
    <w:p w:rsidR="005A03DF" w:rsidP="005A03DF">
      <w:pPr>
        <w:pStyle w:val="FootnoteText"/>
      </w:pPr>
      <w:r w:rsidRPr="00E115B8">
        <w:rPr>
          <w:rStyle w:val="FootnoteReference"/>
        </w:rPr>
        <w:footnoteRef/>
      </w:r>
      <w:r>
        <w:t xml:space="preserve"> </w:t>
      </w:r>
      <w:r>
        <w:rPr>
          <w:i/>
          <w:iCs/>
        </w:rPr>
        <w:t>Id.</w:t>
      </w:r>
      <w:r>
        <w:t xml:space="preserve"> at 10, 12.  </w:t>
      </w:r>
    </w:p>
  </w:footnote>
  <w:footnote w:id="27">
    <w:p w:rsidR="005A03DF" w:rsidP="005A03DF">
      <w:pPr>
        <w:pStyle w:val="FootnoteText"/>
      </w:pPr>
      <w:r w:rsidRPr="00E115B8">
        <w:rPr>
          <w:rStyle w:val="FootnoteReference"/>
        </w:rPr>
        <w:footnoteRef/>
      </w:r>
      <w:r>
        <w:t xml:space="preserve"> </w:t>
      </w:r>
      <w:r w:rsidRPr="00296931">
        <w:t xml:space="preserve">NYISO Consultant </w:t>
      </w:r>
      <w:r>
        <w:t xml:space="preserve">also </w:t>
      </w:r>
      <w:r w:rsidRPr="00296931">
        <w:t>explain</w:t>
      </w:r>
      <w:r>
        <w:t>s</w:t>
      </w:r>
      <w:r w:rsidRPr="00296931">
        <w:t xml:space="preserve"> that </w:t>
      </w:r>
      <w:r>
        <w:t xml:space="preserve">they assumed </w:t>
      </w:r>
      <w:r w:rsidRPr="00296931">
        <w:t>developers would include dual fuel capability in all zone locations</w:t>
      </w:r>
      <w:r>
        <w:t xml:space="preserve">.  NYISO Consultant states that, among the </w:t>
      </w:r>
      <w:r w:rsidRPr="00D83452">
        <w:t>single cycle gas turbine</w:t>
      </w:r>
      <w:r>
        <w:t xml:space="preserve"> peaking unit options, these </w:t>
      </w:r>
      <w:r w:rsidRPr="009F7A1A">
        <w:t xml:space="preserve">gas turbine technologies represent the highest variable cost, lowest fixed cost </w:t>
      </w:r>
      <w:r w:rsidRPr="00D83452">
        <w:t>single cycle gas turbine</w:t>
      </w:r>
      <w:r w:rsidRPr="009F7A1A">
        <w:t xml:space="preserve"> peaking </w:t>
      </w:r>
      <w:r>
        <w:t>unit</w:t>
      </w:r>
      <w:r w:rsidRPr="009F7A1A">
        <w:t xml:space="preserve"> option</w:t>
      </w:r>
      <w:r>
        <w:t>s</w:t>
      </w:r>
      <w:r w:rsidRPr="009F7A1A">
        <w:t xml:space="preserve"> that </w:t>
      </w:r>
      <w:r>
        <w:t>are</w:t>
      </w:r>
      <w:r w:rsidRPr="009F7A1A">
        <w:t xml:space="preserve"> economically viable.  </w:t>
      </w:r>
      <w:r>
        <w:t>Transmittal Letter at 11; NYISO Filing, att</w:t>
      </w:r>
      <w:r w:rsidR="000C77BF">
        <w:t>ach</w:t>
      </w:r>
      <w:r>
        <w:t xml:space="preserve">. III, Affidavit of Paul J. Hibbard, </w:t>
      </w:r>
      <w:r>
        <w:rPr>
          <w:i/>
          <w:iCs/>
        </w:rPr>
        <w:t>et al</w:t>
      </w:r>
      <w:r>
        <w:t xml:space="preserve">. (AG Aff.), Ex. F at 120. </w:t>
      </w:r>
    </w:p>
  </w:footnote>
  <w:footnote w:id="28">
    <w:p w:rsidR="005A03DF" w:rsidP="005A03DF">
      <w:pPr>
        <w:pStyle w:val="FootnoteText"/>
      </w:pPr>
      <w:r w:rsidRPr="00E115B8">
        <w:rPr>
          <w:rStyle w:val="FootnoteReference"/>
        </w:rPr>
        <w:footnoteRef/>
      </w:r>
      <w:r>
        <w:t xml:space="preserve"> Transmittal Letter at 15.</w:t>
      </w:r>
    </w:p>
  </w:footnote>
  <w:footnote w:id="29">
    <w:p w:rsidR="005A03DF" w:rsidP="005A03DF">
      <w:pPr>
        <w:pStyle w:val="FootnoteText"/>
      </w:pPr>
      <w:r w:rsidRPr="00E115B8">
        <w:rPr>
          <w:rStyle w:val="FootnoteReference"/>
        </w:rPr>
        <w:footnoteRef/>
      </w:r>
      <w:r>
        <w:t xml:space="preserve"> </w:t>
      </w:r>
      <w:r>
        <w:rPr>
          <w:i/>
          <w:iCs/>
        </w:rPr>
        <w:t>Id.</w:t>
      </w:r>
      <w:r>
        <w:t xml:space="preserve"> at 12.</w:t>
      </w:r>
    </w:p>
  </w:footnote>
  <w:footnote w:id="30">
    <w:p w:rsidR="008B7A10" w:rsidRPr="008B7A10">
      <w:pPr>
        <w:pStyle w:val="FootnoteText"/>
      </w:pPr>
      <w:r>
        <w:rPr>
          <w:rStyle w:val="FootnoteReference"/>
        </w:rPr>
        <w:footnoteRef/>
      </w:r>
      <w:r>
        <w:t xml:space="preserve"> </w:t>
      </w:r>
      <w:r>
        <w:rPr>
          <w:i/>
          <w:iCs/>
        </w:rPr>
        <w:t xml:space="preserve">Id. </w:t>
      </w:r>
      <w:r>
        <w:t xml:space="preserve">at </w:t>
      </w:r>
      <w:r w:rsidR="003B7059">
        <w:t>56.</w:t>
      </w:r>
    </w:p>
  </w:footnote>
  <w:footnote w:id="31">
    <w:p w:rsidR="00717DE4" w:rsidRPr="00442265" w:rsidP="00717DE4">
      <w:pPr>
        <w:pStyle w:val="FootnoteText"/>
      </w:pPr>
      <w:r w:rsidRPr="00442265">
        <w:rPr>
          <w:rStyle w:val="FootnoteReference"/>
        </w:rPr>
        <w:footnoteRef/>
      </w:r>
      <w:r w:rsidRPr="00442265">
        <w:t xml:space="preserve"> </w:t>
      </w:r>
      <w:r w:rsidR="001D594A">
        <w:rPr>
          <w:i/>
          <w:iCs/>
        </w:rPr>
        <w:t>Id.</w:t>
      </w:r>
      <w:r>
        <w:rPr>
          <w:i/>
        </w:rPr>
        <w:t xml:space="preserve"> </w:t>
      </w:r>
      <w:r w:rsidRPr="00442265" w:rsidR="0069395C">
        <w:t>at 68-70</w:t>
      </w:r>
      <w:r w:rsidR="001057EC">
        <w:t>.</w:t>
      </w:r>
    </w:p>
  </w:footnote>
  <w:footnote w:id="32">
    <w:p w:rsidR="00C4618F">
      <w:pPr>
        <w:pStyle w:val="FootnoteText"/>
      </w:pPr>
      <w:r w:rsidRPr="00E115B8">
        <w:rPr>
          <w:rStyle w:val="FootnoteReference"/>
        </w:rPr>
        <w:footnoteRef/>
      </w:r>
      <w:r>
        <w:t xml:space="preserve"> </w:t>
      </w:r>
      <w:r w:rsidRPr="00447438">
        <w:t>NYTOs</w:t>
      </w:r>
      <w:r>
        <w:t xml:space="preserve"> </w:t>
      </w:r>
      <w:r w:rsidR="004E781F">
        <w:t>consist of</w:t>
      </w:r>
      <w:r w:rsidR="00672A92">
        <w:t xml:space="preserve"> </w:t>
      </w:r>
      <w:r w:rsidRPr="00672A92" w:rsidR="00672A92">
        <w:t>Central Hudson Gas &amp; Electric Corporation, Con</w:t>
      </w:r>
      <w:r w:rsidR="00672A92">
        <w:t>solidate</w:t>
      </w:r>
      <w:r w:rsidR="004D2350">
        <w:t>d</w:t>
      </w:r>
      <w:r w:rsidRPr="00672A92" w:rsidR="00672A92">
        <w:t xml:space="preserve"> Edison </w:t>
      </w:r>
      <w:r w:rsidRPr="00442265" w:rsidR="00672A92">
        <w:t>Co</w:t>
      </w:r>
      <w:r w:rsidR="00AE3A2D">
        <w:t>mpany</w:t>
      </w:r>
      <w:r w:rsidR="00A42A03">
        <w:t xml:space="preserve"> </w:t>
      </w:r>
      <w:r w:rsidRPr="007926D9" w:rsidR="00E3151A">
        <w:t>of N</w:t>
      </w:r>
      <w:r w:rsidR="00AE3A2D">
        <w:t xml:space="preserve">ew </w:t>
      </w:r>
      <w:r w:rsidRPr="007926D9" w:rsidR="00E3151A">
        <w:t>Y</w:t>
      </w:r>
      <w:r w:rsidR="00AE3A2D">
        <w:t>ork</w:t>
      </w:r>
      <w:r w:rsidR="00334212">
        <w:t>, Inc.</w:t>
      </w:r>
      <w:r w:rsidR="00672A92">
        <w:t xml:space="preserve">, </w:t>
      </w:r>
      <w:r w:rsidRPr="00672A92" w:rsidR="00672A92">
        <w:t>New York Power Authority</w:t>
      </w:r>
      <w:r w:rsidR="00F51E53">
        <w:t xml:space="preserve"> (NYPA)</w:t>
      </w:r>
      <w:r w:rsidRPr="00672A92" w:rsidR="00672A92">
        <w:t xml:space="preserve">, New York State Electric &amp; Gas Corporation, </w:t>
      </w:r>
      <w:r w:rsidRPr="00442265" w:rsidR="00672A92">
        <w:t>Niagara Mohawk</w:t>
      </w:r>
      <w:r w:rsidR="00DD672E">
        <w:t xml:space="preserve"> Power Corp</w:t>
      </w:r>
      <w:r w:rsidR="00400BF5">
        <w:t>oration</w:t>
      </w:r>
      <w:r w:rsidRPr="00672A92" w:rsidR="00672A92">
        <w:t>, Orange and Rockland</w:t>
      </w:r>
      <w:r w:rsidR="00432596">
        <w:t xml:space="preserve"> </w:t>
      </w:r>
      <w:r w:rsidRPr="00442265" w:rsidR="00432596">
        <w:t>Utilities, Inc</w:t>
      </w:r>
      <w:r w:rsidR="00432596">
        <w:t>.</w:t>
      </w:r>
      <w:r w:rsidRPr="00672A92" w:rsidR="00672A92">
        <w:t>, Power Supply Long Island, and Rochester Gas and Electric Corporation.</w:t>
      </w:r>
    </w:p>
  </w:footnote>
  <w:footnote w:id="33">
    <w:p w:rsidR="00C4618F">
      <w:pPr>
        <w:pStyle w:val="FootnoteText"/>
      </w:pPr>
      <w:r w:rsidRPr="00E115B8">
        <w:rPr>
          <w:rStyle w:val="FootnoteReference"/>
        </w:rPr>
        <w:footnoteRef/>
      </w:r>
      <w:r>
        <w:t xml:space="preserve"> Multiple Intervenors</w:t>
      </w:r>
      <w:r w:rsidR="00BD2350">
        <w:t xml:space="preserve"> is </w:t>
      </w:r>
      <w:r w:rsidRPr="00BD2350" w:rsidR="00BD2350">
        <w:t xml:space="preserve">an </w:t>
      </w:r>
      <w:r w:rsidRPr="00442265" w:rsidR="00BD2350">
        <w:t>unincorporated</w:t>
      </w:r>
      <w:r w:rsidRPr="00BD2350" w:rsidR="00BD2350">
        <w:t xml:space="preserve"> association of approximately 60 large industrial, commercial</w:t>
      </w:r>
      <w:r w:rsidR="00BA1DD5">
        <w:t>,</w:t>
      </w:r>
      <w:r w:rsidRPr="00BD2350" w:rsidR="00BD2350">
        <w:t xml:space="preserve"> and institutional energy consumers with manufacturing and other facilities located throughout New York State.  </w:t>
      </w:r>
    </w:p>
  </w:footnote>
  <w:footnote w:id="34">
    <w:p w:rsidR="009C5C21">
      <w:pPr>
        <w:pStyle w:val="FootnoteText"/>
      </w:pPr>
      <w:r w:rsidRPr="00E115B8">
        <w:rPr>
          <w:rStyle w:val="FootnoteReference"/>
        </w:rPr>
        <w:footnoteRef/>
      </w:r>
      <w:r>
        <w:t xml:space="preserve"> New York State </w:t>
      </w:r>
      <w:r w:rsidR="00830C88">
        <w:t>Entities</w:t>
      </w:r>
      <w:r>
        <w:t xml:space="preserve"> </w:t>
      </w:r>
      <w:r w:rsidR="003F4E4A">
        <w:t>consists of</w:t>
      </w:r>
      <w:r>
        <w:t xml:space="preserve"> the New York Commission, </w:t>
      </w:r>
      <w:r w:rsidRPr="00447438" w:rsidR="00830C88">
        <w:t>NYSERDA</w:t>
      </w:r>
      <w:r w:rsidR="00830C88">
        <w:t>, L</w:t>
      </w:r>
      <w:r w:rsidR="00D61D6F">
        <w:t xml:space="preserve">ong </w:t>
      </w:r>
      <w:r w:rsidR="00830C88">
        <w:t>I</w:t>
      </w:r>
      <w:r w:rsidR="00D61D6F">
        <w:t xml:space="preserve">sland </w:t>
      </w:r>
      <w:r w:rsidR="00830C88">
        <w:t>P</w:t>
      </w:r>
      <w:r w:rsidR="00D61D6F">
        <w:t xml:space="preserve">ower </w:t>
      </w:r>
      <w:r w:rsidR="00830C88">
        <w:t>A</w:t>
      </w:r>
      <w:r w:rsidR="00D61D6F">
        <w:t>uthority</w:t>
      </w:r>
      <w:r w:rsidR="00830C88">
        <w:t xml:space="preserve">, NYPA, and the New York State Department of State Utility Intervention Unit. </w:t>
      </w:r>
    </w:p>
  </w:footnote>
  <w:footnote w:id="35">
    <w:p w:rsidR="00C23819" w:rsidP="00C23819">
      <w:pPr>
        <w:pStyle w:val="FootnoteText"/>
      </w:pPr>
      <w:r w:rsidRPr="00E115B8">
        <w:rPr>
          <w:rStyle w:val="FootnoteReference"/>
        </w:rPr>
        <w:footnoteRef/>
      </w:r>
      <w:r>
        <w:t xml:space="preserve"> Consumer </w:t>
      </w:r>
      <w:r w:rsidRPr="0021251E">
        <w:t>Stakeholders</w:t>
      </w:r>
      <w:r>
        <w:t xml:space="preserve"> </w:t>
      </w:r>
      <w:r w:rsidRPr="0021251E" w:rsidR="0021251E">
        <w:t>consist of Multiple Intervenors, City of New York, Natural Resources Defense Council, and Sustainable FERC Project.</w:t>
      </w:r>
    </w:p>
  </w:footnote>
  <w:footnote w:id="36">
    <w:p w:rsidR="008D0E59">
      <w:pPr>
        <w:pStyle w:val="FootnoteText"/>
      </w:pPr>
      <w:r>
        <w:rPr>
          <w:rStyle w:val="FootnoteReference"/>
        </w:rPr>
        <w:footnoteRef/>
      </w:r>
      <w:r>
        <w:t xml:space="preserve"> Stated differently, w</w:t>
      </w:r>
      <w:r w:rsidR="00E74C11">
        <w:t>hile w</w:t>
      </w:r>
      <w:r>
        <w:t xml:space="preserve">e find the selection of the </w:t>
      </w:r>
      <w:r w:rsidR="00E74C11">
        <w:t>2-hour BESS unit by NYISO in its 2025-2029 DCR to be just and reasonable</w:t>
      </w:r>
      <w:r w:rsidR="0044293E">
        <w:t xml:space="preserve"> given the </w:t>
      </w:r>
      <w:r w:rsidR="00A40F54">
        <w:t xml:space="preserve">NYISO </w:t>
      </w:r>
      <w:r w:rsidR="005A2AC9">
        <w:t>Services T</w:t>
      </w:r>
      <w:r w:rsidR="00A40F54">
        <w:t xml:space="preserve">ariff and the </w:t>
      </w:r>
      <w:r w:rsidR="0044293E">
        <w:t>record before us</w:t>
      </w:r>
      <w:r w:rsidR="00E74C11">
        <w:t xml:space="preserve">, we do not </w:t>
      </w:r>
      <w:r w:rsidR="00D509D8">
        <w:t>find here</w:t>
      </w:r>
      <w:r w:rsidR="00E74C11">
        <w:t xml:space="preserve"> that this </w:t>
      </w:r>
      <w:r w:rsidR="0044293E">
        <w:t>selection would</w:t>
      </w:r>
      <w:r w:rsidR="00E74C11">
        <w:t xml:space="preserve"> </w:t>
      </w:r>
      <w:r w:rsidR="00D509D8">
        <w:t xml:space="preserve">necessarily be </w:t>
      </w:r>
      <w:r w:rsidR="003A2868">
        <w:t>just and reasonable</w:t>
      </w:r>
      <w:r w:rsidR="00E74C11">
        <w:t xml:space="preserve"> in a </w:t>
      </w:r>
      <w:r w:rsidR="006E2EEC">
        <w:t>future</w:t>
      </w:r>
      <w:r w:rsidR="00E74C11">
        <w:t xml:space="preserve"> NYISO DCR or in</w:t>
      </w:r>
      <w:r w:rsidR="0044293E">
        <w:t xml:space="preserve"> a</w:t>
      </w:r>
      <w:r w:rsidR="00761461">
        <w:t xml:space="preserve">n </w:t>
      </w:r>
      <w:r w:rsidR="0044293E">
        <w:t xml:space="preserve">analysis </w:t>
      </w:r>
      <w:r w:rsidR="00761461">
        <w:t xml:space="preserve">used </w:t>
      </w:r>
      <w:r w:rsidR="0044293E">
        <w:t xml:space="preserve">in </w:t>
      </w:r>
      <w:r w:rsidR="003A55B6">
        <w:t>a similar process</w:t>
      </w:r>
      <w:r w:rsidR="003269DA">
        <w:t xml:space="preserve"> in</w:t>
      </w:r>
      <w:r w:rsidR="00764E47">
        <w:t xml:space="preserve"> </w:t>
      </w:r>
      <w:r w:rsidR="00E74C11">
        <w:t>another region.</w:t>
      </w:r>
    </w:p>
  </w:footnote>
  <w:footnote w:id="37">
    <w:p w:rsidR="00355524" w:rsidP="00355524">
      <w:pPr>
        <w:pStyle w:val="FootnoteText"/>
      </w:pPr>
      <w:r>
        <w:rPr>
          <w:rStyle w:val="FootnoteReference"/>
        </w:rPr>
        <w:footnoteRef/>
      </w:r>
      <w:r>
        <w:t xml:space="preserve"> Protest</w:t>
      </w:r>
      <w:r w:rsidR="002D417B">
        <w:t>e</w:t>
      </w:r>
      <w:r>
        <w:t xml:space="preserve">rs have argued for various alternative assumptions and options that may </w:t>
      </w:r>
      <w:r w:rsidR="005255C5">
        <w:t xml:space="preserve">also </w:t>
      </w:r>
      <w:r>
        <w:t>be just and reasonable</w:t>
      </w:r>
      <w:r w:rsidR="005255C5">
        <w:t xml:space="preserve">; </w:t>
      </w:r>
      <w:r>
        <w:t>however</w:t>
      </w:r>
      <w:r w:rsidR="005255C5">
        <w:t>,</w:t>
      </w:r>
      <w:r>
        <w:t xml:space="preserve"> we note that the Commission need only find NYISO’s proposal to be just and reasonable, and not that it is the only or even the most just and reasonable proposal.</w:t>
      </w:r>
      <w:r w:rsidR="007853F3">
        <w:t xml:space="preserve"> </w:t>
      </w:r>
      <w:r w:rsidR="00C60075">
        <w:t xml:space="preserve"> </w:t>
      </w:r>
      <w:r w:rsidRPr="00171B61" w:rsidR="006D1BAD">
        <w:rPr>
          <w:i/>
        </w:rPr>
        <w:t xml:space="preserve">See </w:t>
      </w:r>
      <w:r w:rsidRPr="00171B61" w:rsidR="00C60075">
        <w:t>2021-2025 DCR Order,</w:t>
      </w:r>
      <w:r w:rsidRPr="00171B61" w:rsidR="00354C35">
        <w:t xml:space="preserve"> 175 FERC</w:t>
      </w:r>
      <w:r w:rsidRPr="002A0099" w:rsidR="00354C35">
        <w:t xml:space="preserve"> ¶ 61,012</w:t>
      </w:r>
      <w:r w:rsidR="00354C35">
        <w:t xml:space="preserve"> at P</w:t>
      </w:r>
      <w:r w:rsidR="002C6918">
        <w:t xml:space="preserve"> 130</w:t>
      </w:r>
      <w:r w:rsidR="0084626C">
        <w:t>,</w:t>
      </w:r>
      <w:r w:rsidR="002C6918">
        <w:t xml:space="preserve"> n. </w:t>
      </w:r>
      <w:r w:rsidR="006D1BAD">
        <w:t>203</w:t>
      </w:r>
      <w:r w:rsidR="008A22AD">
        <w:t>;</w:t>
      </w:r>
      <w:r w:rsidR="005E3F98">
        <w:t xml:space="preserve"> </w:t>
      </w:r>
      <w:r w:rsidR="008A22AD">
        <w:rPr>
          <w:i/>
          <w:iCs/>
        </w:rPr>
        <w:t>s</w:t>
      </w:r>
      <w:r w:rsidRPr="00467CED" w:rsidR="005E3F98">
        <w:rPr>
          <w:i/>
          <w:iCs/>
        </w:rPr>
        <w:t>ee</w:t>
      </w:r>
      <w:r w:rsidR="005E3F98">
        <w:rPr>
          <w:i/>
          <w:iCs/>
        </w:rPr>
        <w:t xml:space="preserve"> </w:t>
      </w:r>
      <w:r w:rsidR="008A22AD">
        <w:rPr>
          <w:i/>
          <w:iCs/>
        </w:rPr>
        <w:t xml:space="preserve">also </w:t>
      </w:r>
      <w:r w:rsidRPr="00314AC8" w:rsidR="005E3F98">
        <w:rPr>
          <w:i/>
          <w:iCs/>
        </w:rPr>
        <w:t>N.Y. State Pub. Serv. Comm'n v. FERC</w:t>
      </w:r>
      <w:r w:rsidRPr="00314AC8" w:rsidR="005E3F98">
        <w:t>,</w:t>
      </w:r>
      <w:r w:rsidRPr="00467CED" w:rsidR="005E3F98">
        <w:t xml:space="preserve"> 104 F.4th 886, 89</w:t>
      </w:r>
      <w:r w:rsidR="005E3F98">
        <w:t>3</w:t>
      </w:r>
      <w:r w:rsidR="00DD0E00">
        <w:t>-9</w:t>
      </w:r>
      <w:r w:rsidR="00B104BB">
        <w:t>4</w:t>
      </w:r>
      <w:r w:rsidRPr="00467CED" w:rsidR="005E3F98">
        <w:t xml:space="preserve"> (D.C. Cir. 2024)</w:t>
      </w:r>
      <w:r w:rsidRPr="00C662E4" w:rsidR="005E3F98">
        <w:t>.</w:t>
      </w:r>
      <w:r w:rsidR="008D0E59">
        <w:t xml:space="preserve"> </w:t>
      </w:r>
    </w:p>
  </w:footnote>
  <w:footnote w:id="38">
    <w:p w:rsidR="007D389A">
      <w:pPr>
        <w:pStyle w:val="FootnoteText"/>
      </w:pPr>
      <w:r>
        <w:rPr>
          <w:rStyle w:val="FootnoteReference"/>
        </w:rPr>
        <w:footnoteRef/>
      </w:r>
      <w:r>
        <w:t xml:space="preserve"> </w:t>
      </w:r>
      <w:r w:rsidRPr="00535D0D">
        <w:rPr>
          <w:szCs w:val="26"/>
        </w:rPr>
        <w:t xml:space="preserve">We note that </w:t>
      </w:r>
      <w:r>
        <w:rPr>
          <w:szCs w:val="26"/>
        </w:rPr>
        <w:t xml:space="preserve">as a single state RTO, NYISO’s proposal </w:t>
      </w:r>
      <w:r w:rsidRPr="00013C7E">
        <w:rPr>
          <w:szCs w:val="26"/>
        </w:rPr>
        <w:t xml:space="preserve">impacts the </w:t>
      </w:r>
      <w:r>
        <w:rPr>
          <w:szCs w:val="26"/>
        </w:rPr>
        <w:t xml:space="preserve">capacity </w:t>
      </w:r>
      <w:r w:rsidRPr="00535D0D">
        <w:rPr>
          <w:szCs w:val="26"/>
        </w:rPr>
        <w:t>market</w:t>
      </w:r>
      <w:r>
        <w:rPr>
          <w:szCs w:val="26"/>
        </w:rPr>
        <w:t xml:space="preserve"> in New York</w:t>
      </w:r>
      <w:r w:rsidRPr="00535D0D">
        <w:rPr>
          <w:szCs w:val="26"/>
        </w:rPr>
        <w:t xml:space="preserve"> and</w:t>
      </w:r>
      <w:r>
        <w:rPr>
          <w:szCs w:val="26"/>
        </w:rPr>
        <w:t xml:space="preserve"> the </w:t>
      </w:r>
      <w:r w:rsidRPr="00535D0D">
        <w:rPr>
          <w:szCs w:val="26"/>
        </w:rPr>
        <w:t xml:space="preserve">prices </w:t>
      </w:r>
      <w:r>
        <w:rPr>
          <w:szCs w:val="26"/>
        </w:rPr>
        <w:t xml:space="preserve">paid for electricity by </w:t>
      </w:r>
      <w:r w:rsidRPr="00535D0D">
        <w:rPr>
          <w:szCs w:val="26"/>
        </w:rPr>
        <w:t xml:space="preserve">New York’s consumers.  To that end, </w:t>
      </w:r>
      <w:r>
        <w:rPr>
          <w:szCs w:val="26"/>
        </w:rPr>
        <w:t xml:space="preserve">as noted above, we recognize in this order that </w:t>
      </w:r>
      <w:r w:rsidRPr="00535D0D">
        <w:rPr>
          <w:szCs w:val="26"/>
        </w:rPr>
        <w:t xml:space="preserve">New York </w:t>
      </w:r>
      <w:r>
        <w:rPr>
          <w:szCs w:val="26"/>
        </w:rPr>
        <w:t xml:space="preserve">State </w:t>
      </w:r>
      <w:r w:rsidRPr="00535D0D">
        <w:rPr>
          <w:szCs w:val="26"/>
        </w:rPr>
        <w:t>Entities</w:t>
      </w:r>
      <w:r>
        <w:rPr>
          <w:szCs w:val="26"/>
        </w:rPr>
        <w:t xml:space="preserve"> </w:t>
      </w:r>
      <w:r w:rsidRPr="00CA2378">
        <w:rPr>
          <w:szCs w:val="26"/>
        </w:rPr>
        <w:t>support NYISO’s proposal.</w:t>
      </w:r>
      <w:r>
        <w:rPr>
          <w:szCs w:val="26"/>
        </w:rPr>
        <w:t xml:space="preserve">  Among New York State Entities supporting NYISO’s proposal is the New York Commission which, among other New York State governmental agencies, is charged with protecting the interests of New York’s energy consumers.</w:t>
      </w:r>
    </w:p>
  </w:footnote>
  <w:footnote w:id="39">
    <w:p w:rsidR="000C4E4C" w:rsidRPr="00DA4A2C" w:rsidP="000C4E4C">
      <w:pPr>
        <w:pStyle w:val="FootnoteText"/>
        <w:rPr>
          <w:szCs w:val="26"/>
        </w:rPr>
      </w:pPr>
      <w:r w:rsidRPr="00E115B8">
        <w:rPr>
          <w:rStyle w:val="FootnoteReference"/>
        </w:rPr>
        <w:footnoteRef/>
      </w:r>
      <w:r w:rsidRPr="00DA4A2C">
        <w:rPr>
          <w:szCs w:val="26"/>
        </w:rPr>
        <w:t xml:space="preserve"> </w:t>
      </w:r>
      <w:r w:rsidR="006155A1">
        <w:rPr>
          <w:szCs w:val="26"/>
        </w:rPr>
        <w:t xml:space="preserve">Transmittal Letter at </w:t>
      </w:r>
      <w:r w:rsidR="00C72E71">
        <w:rPr>
          <w:szCs w:val="26"/>
        </w:rPr>
        <w:t>14</w:t>
      </w:r>
      <w:r w:rsidR="00EC6D08">
        <w:rPr>
          <w:szCs w:val="26"/>
        </w:rPr>
        <w:t xml:space="preserve"> (citing</w:t>
      </w:r>
      <w:r w:rsidRPr="00DA4A2C">
        <w:rPr>
          <w:szCs w:val="26"/>
        </w:rPr>
        <w:t xml:space="preserve"> </w:t>
      </w:r>
      <w:r w:rsidR="00BE61E0">
        <w:rPr>
          <w:szCs w:val="26"/>
        </w:rPr>
        <w:t xml:space="preserve">NYISO, </w:t>
      </w:r>
      <w:r w:rsidRPr="00DA4A2C">
        <w:rPr>
          <w:szCs w:val="26"/>
        </w:rPr>
        <w:t>Services Tariff</w:t>
      </w:r>
      <w:r w:rsidR="00A90C14">
        <w:rPr>
          <w:szCs w:val="26"/>
        </w:rPr>
        <w:t>,</w:t>
      </w:r>
      <w:r w:rsidRPr="00DA4A2C">
        <w:rPr>
          <w:szCs w:val="26"/>
        </w:rPr>
        <w:t xml:space="preserve"> </w:t>
      </w:r>
      <w:r>
        <w:rPr>
          <w:szCs w:val="26"/>
        </w:rPr>
        <w:t>§</w:t>
      </w:r>
      <w:r w:rsidRPr="00DA4A2C">
        <w:rPr>
          <w:szCs w:val="26"/>
        </w:rPr>
        <w:t xml:space="preserve"> 5.14.1.2</w:t>
      </w:r>
      <w:r w:rsidR="00A90C14">
        <w:rPr>
          <w:szCs w:val="26"/>
        </w:rPr>
        <w:t>.</w:t>
      </w:r>
      <w:r w:rsidR="00C72E71">
        <w:rPr>
          <w:szCs w:val="26"/>
        </w:rPr>
        <w:t>2</w:t>
      </w:r>
      <w:r w:rsidR="00EC6D08">
        <w:rPr>
          <w:szCs w:val="26"/>
        </w:rPr>
        <w:t>)</w:t>
      </w:r>
      <w:r w:rsidR="00C72E71">
        <w:rPr>
          <w:szCs w:val="26"/>
        </w:rPr>
        <w:t>.</w:t>
      </w:r>
    </w:p>
  </w:footnote>
  <w:footnote w:id="40">
    <w:p w:rsidR="000C4E4C" w:rsidRPr="00DA4A2C" w:rsidP="000C4E4C">
      <w:pPr>
        <w:pStyle w:val="FootnoteText"/>
        <w:rPr>
          <w:szCs w:val="26"/>
        </w:rPr>
      </w:pPr>
      <w:r w:rsidRPr="00E115B8">
        <w:rPr>
          <w:rStyle w:val="FootnoteReference"/>
        </w:rPr>
        <w:footnoteRef/>
      </w:r>
      <w:r w:rsidRPr="00DA4A2C">
        <w:rPr>
          <w:szCs w:val="26"/>
        </w:rPr>
        <w:t xml:space="preserve"> </w:t>
      </w:r>
      <w:r w:rsidR="006155A1">
        <w:rPr>
          <w:szCs w:val="26"/>
        </w:rPr>
        <w:t xml:space="preserve">NYISO, </w:t>
      </w:r>
      <w:r w:rsidR="00745EFC">
        <w:t xml:space="preserve">NYISO Tariffs, </w:t>
      </w:r>
      <w:r w:rsidRPr="00DA4A2C" w:rsidR="006155A1">
        <w:rPr>
          <w:szCs w:val="26"/>
        </w:rPr>
        <w:t>Services Tariff</w:t>
      </w:r>
      <w:r w:rsidR="006155A1">
        <w:rPr>
          <w:szCs w:val="26"/>
        </w:rPr>
        <w:t>,</w:t>
      </w:r>
      <w:r w:rsidRPr="00DA4A2C" w:rsidR="006155A1">
        <w:rPr>
          <w:szCs w:val="26"/>
        </w:rPr>
        <w:t xml:space="preserve"> </w:t>
      </w:r>
      <w:r w:rsidR="006155A1">
        <w:rPr>
          <w:szCs w:val="26"/>
        </w:rPr>
        <w:t>§</w:t>
      </w:r>
      <w:r w:rsidRPr="00DA4A2C" w:rsidR="006155A1">
        <w:rPr>
          <w:szCs w:val="26"/>
        </w:rPr>
        <w:t xml:space="preserve"> 5.14.1.2</w:t>
      </w:r>
      <w:r w:rsidR="006155A1">
        <w:rPr>
          <w:szCs w:val="26"/>
        </w:rPr>
        <w:t>.</w:t>
      </w:r>
    </w:p>
  </w:footnote>
  <w:footnote w:id="41">
    <w:p w:rsidR="001C407E">
      <w:pPr>
        <w:pStyle w:val="FootnoteText"/>
      </w:pPr>
      <w:r w:rsidRPr="00E115B8">
        <w:rPr>
          <w:rStyle w:val="FootnoteReference"/>
        </w:rPr>
        <w:footnoteRef/>
      </w:r>
      <w:r>
        <w:t xml:space="preserve"> </w:t>
      </w:r>
      <w:r w:rsidR="00BC0EB5">
        <w:t>Transmittal Letter at 8 (citing</w:t>
      </w:r>
      <w:r w:rsidR="00A8339E">
        <w:t xml:space="preserve"> </w:t>
      </w:r>
      <w:r w:rsidRPr="00A8339E" w:rsidR="00A8339E">
        <w:rPr>
          <w:i/>
          <w:iCs/>
        </w:rPr>
        <w:t>N.Y. Indep. Sys. Operator, Inc.</w:t>
      </w:r>
      <w:r w:rsidRPr="00A8339E" w:rsidR="00A8339E">
        <w:t>, 146 FERC ¶ 61,043</w:t>
      </w:r>
      <w:r w:rsidR="00A8339E">
        <w:t>,</w:t>
      </w:r>
      <w:r w:rsidRPr="00A8339E" w:rsidR="00A8339E">
        <w:t xml:space="preserve"> at P 60</w:t>
      </w:r>
      <w:r w:rsidR="00A8339E">
        <w:t xml:space="preserve"> (2014) (</w:t>
      </w:r>
      <w:r w:rsidRPr="00DA05B6" w:rsidR="00BC0EB5">
        <w:t>2014-2017 DCR Order</w:t>
      </w:r>
      <w:r w:rsidR="00BC0EB5">
        <w:t>)</w:t>
      </w:r>
      <w:r w:rsidRPr="00DA05B6" w:rsidR="00BC0EB5">
        <w:t>.</w:t>
      </w:r>
    </w:p>
  </w:footnote>
  <w:footnote w:id="42">
    <w:p w:rsidR="00D43008">
      <w:pPr>
        <w:pStyle w:val="FootnoteText"/>
      </w:pPr>
      <w:r w:rsidRPr="00E115B8">
        <w:rPr>
          <w:rStyle w:val="FootnoteReference"/>
        </w:rPr>
        <w:footnoteRef/>
      </w:r>
      <w:r>
        <w:t xml:space="preserve"> </w:t>
      </w:r>
      <w:r w:rsidR="00522C27">
        <w:rPr>
          <w:i/>
          <w:iCs/>
        </w:rPr>
        <w:t>Id.</w:t>
      </w:r>
      <w:r>
        <w:rPr>
          <w:i/>
        </w:rPr>
        <w:t xml:space="preserve"> </w:t>
      </w:r>
      <w:r w:rsidR="00555091">
        <w:t>(citing</w:t>
      </w:r>
      <w:r w:rsidRPr="00741252" w:rsidR="00741252">
        <w:t xml:space="preserve"> </w:t>
      </w:r>
      <w:r w:rsidRPr="003D490D" w:rsidR="00577C6F">
        <w:rPr>
          <w:i/>
          <w:iCs/>
        </w:rPr>
        <w:t>N</w:t>
      </w:r>
      <w:r w:rsidR="00577C6F">
        <w:rPr>
          <w:i/>
          <w:iCs/>
        </w:rPr>
        <w:t>.</w:t>
      </w:r>
      <w:r w:rsidRPr="003D490D" w:rsidR="00577C6F">
        <w:rPr>
          <w:i/>
          <w:iCs/>
        </w:rPr>
        <w:t>Y</w:t>
      </w:r>
      <w:r w:rsidR="00577C6F">
        <w:rPr>
          <w:i/>
          <w:iCs/>
        </w:rPr>
        <w:t>.</w:t>
      </w:r>
      <w:r w:rsidRPr="003D490D" w:rsidR="00577C6F">
        <w:rPr>
          <w:i/>
          <w:iCs/>
        </w:rPr>
        <w:t xml:space="preserve"> Indep</w:t>
      </w:r>
      <w:r w:rsidR="00577C6F">
        <w:rPr>
          <w:i/>
          <w:iCs/>
        </w:rPr>
        <w:t>.</w:t>
      </w:r>
      <w:r w:rsidRPr="003D490D" w:rsidR="00577C6F">
        <w:rPr>
          <w:i/>
          <w:iCs/>
        </w:rPr>
        <w:t xml:space="preserve"> Sys</w:t>
      </w:r>
      <w:r w:rsidR="00577C6F">
        <w:rPr>
          <w:i/>
          <w:iCs/>
        </w:rPr>
        <w:t>.</w:t>
      </w:r>
      <w:r w:rsidRPr="003D490D" w:rsidR="00577C6F">
        <w:rPr>
          <w:i/>
          <w:iCs/>
        </w:rPr>
        <w:t xml:space="preserve"> Operator, Inc</w:t>
      </w:r>
      <w:r w:rsidRPr="00741252" w:rsidR="00741252">
        <w:t>., 125 FERC ¶ 61,299</w:t>
      </w:r>
      <w:r w:rsidR="005E5C04">
        <w:t>,</w:t>
      </w:r>
      <w:r w:rsidRPr="00741252" w:rsidR="00741252">
        <w:t xml:space="preserve"> at P 20 (2008)</w:t>
      </w:r>
      <w:r w:rsidR="00FB0313">
        <w:t xml:space="preserve">; </w:t>
      </w:r>
      <w:bookmarkStart w:id="2" w:name="_Hlk188989333"/>
      <w:r w:rsidRPr="003D490D" w:rsidR="00577C6F">
        <w:rPr>
          <w:i/>
          <w:iCs/>
        </w:rPr>
        <w:t>N</w:t>
      </w:r>
      <w:r w:rsidR="00577C6F">
        <w:rPr>
          <w:i/>
          <w:iCs/>
        </w:rPr>
        <w:t>.</w:t>
      </w:r>
      <w:r w:rsidRPr="003D490D" w:rsidR="00577C6F">
        <w:rPr>
          <w:i/>
          <w:iCs/>
        </w:rPr>
        <w:t>Y</w:t>
      </w:r>
      <w:r w:rsidR="00577C6F">
        <w:rPr>
          <w:i/>
          <w:iCs/>
        </w:rPr>
        <w:t>.</w:t>
      </w:r>
      <w:r w:rsidRPr="003D490D" w:rsidR="00577C6F">
        <w:rPr>
          <w:i/>
          <w:iCs/>
        </w:rPr>
        <w:t xml:space="preserve"> Indep</w:t>
      </w:r>
      <w:r w:rsidR="00577C6F">
        <w:rPr>
          <w:i/>
          <w:iCs/>
        </w:rPr>
        <w:t>.</w:t>
      </w:r>
      <w:r w:rsidRPr="003D490D" w:rsidR="00577C6F">
        <w:rPr>
          <w:i/>
          <w:iCs/>
        </w:rPr>
        <w:t xml:space="preserve"> Sys</w:t>
      </w:r>
      <w:r w:rsidR="00577C6F">
        <w:rPr>
          <w:i/>
          <w:iCs/>
        </w:rPr>
        <w:t>.</w:t>
      </w:r>
      <w:r w:rsidRPr="003D490D" w:rsidR="00577C6F">
        <w:rPr>
          <w:i/>
          <w:iCs/>
        </w:rPr>
        <w:t xml:space="preserve"> Operator, Inc</w:t>
      </w:r>
      <w:r w:rsidRPr="00741252" w:rsidR="00741252">
        <w:t xml:space="preserve">, </w:t>
      </w:r>
      <w:bookmarkEnd w:id="2"/>
      <w:r w:rsidRPr="00741252" w:rsidR="00741252">
        <w:t>134 FERC ¶ 61,058</w:t>
      </w:r>
      <w:r w:rsidR="005E5C04">
        <w:t>,</w:t>
      </w:r>
      <w:r w:rsidRPr="00741252" w:rsidR="00741252">
        <w:t xml:space="preserve"> at P 37 (2011); </w:t>
      </w:r>
      <w:r w:rsidRPr="000D28A8" w:rsidR="00741252">
        <w:t>2014-2017 DCR Order</w:t>
      </w:r>
      <w:r w:rsidRPr="000D28A8" w:rsidR="00577C6F">
        <w:t>,</w:t>
      </w:r>
      <w:r w:rsidR="00577C6F">
        <w:t xml:space="preserve"> </w:t>
      </w:r>
      <w:r w:rsidRPr="00DA05B6" w:rsidR="00577C6F">
        <w:t xml:space="preserve">146 FERC ¶ 61,043 </w:t>
      </w:r>
      <w:r w:rsidRPr="00741252" w:rsidR="00741252">
        <w:t xml:space="preserve">at P 60; </w:t>
      </w:r>
      <w:r w:rsidRPr="003D490D" w:rsidR="007C2B9A">
        <w:rPr>
          <w:i/>
          <w:iCs/>
        </w:rPr>
        <w:t>N</w:t>
      </w:r>
      <w:r w:rsidR="007C2B9A">
        <w:rPr>
          <w:i/>
          <w:iCs/>
        </w:rPr>
        <w:t>.</w:t>
      </w:r>
      <w:r w:rsidRPr="003D490D" w:rsidR="007C2B9A">
        <w:rPr>
          <w:i/>
          <w:iCs/>
        </w:rPr>
        <w:t>Y</w:t>
      </w:r>
      <w:r w:rsidR="007C2B9A">
        <w:rPr>
          <w:i/>
          <w:iCs/>
        </w:rPr>
        <w:t>.</w:t>
      </w:r>
      <w:r w:rsidRPr="003D490D" w:rsidR="007C2B9A">
        <w:rPr>
          <w:i/>
          <w:iCs/>
        </w:rPr>
        <w:t xml:space="preserve"> Indep</w:t>
      </w:r>
      <w:r w:rsidR="007C2B9A">
        <w:rPr>
          <w:i/>
          <w:iCs/>
        </w:rPr>
        <w:t>.</w:t>
      </w:r>
      <w:r w:rsidRPr="003D490D" w:rsidR="007C2B9A">
        <w:rPr>
          <w:i/>
          <w:iCs/>
        </w:rPr>
        <w:t xml:space="preserve"> Sys</w:t>
      </w:r>
      <w:r w:rsidR="007C2B9A">
        <w:rPr>
          <w:i/>
          <w:iCs/>
        </w:rPr>
        <w:t>.</w:t>
      </w:r>
      <w:r w:rsidRPr="003D490D" w:rsidR="007C2B9A">
        <w:rPr>
          <w:i/>
          <w:iCs/>
        </w:rPr>
        <w:t xml:space="preserve"> Operator, Inc</w:t>
      </w:r>
      <w:r w:rsidR="004206A3">
        <w:t>.</w:t>
      </w:r>
      <w:r w:rsidRPr="00741252" w:rsidR="00741252">
        <w:t>, 158 FERC ¶ 61,028</w:t>
      </w:r>
      <w:r w:rsidR="001D3097">
        <w:t>,</w:t>
      </w:r>
      <w:r w:rsidRPr="00741252" w:rsidR="00741252">
        <w:t xml:space="preserve"> at P 18 (2017) (2017-2021 DCR Order)</w:t>
      </w:r>
      <w:r w:rsidR="000178D4">
        <w:t>)</w:t>
      </w:r>
      <w:r w:rsidRPr="00741252" w:rsidR="00741252">
        <w:t>.</w:t>
      </w:r>
    </w:p>
  </w:footnote>
  <w:footnote w:id="43">
    <w:p w:rsidR="00413F4C" w:rsidRPr="000A28D3" w:rsidP="00413F4C">
      <w:pPr>
        <w:pStyle w:val="FootnoteText"/>
        <w:rPr>
          <w:i/>
          <w:iCs/>
        </w:rPr>
      </w:pPr>
      <w:r>
        <w:rPr>
          <w:rStyle w:val="FootnoteReference"/>
        </w:rPr>
        <w:footnoteRef/>
      </w:r>
      <w:r>
        <w:t xml:space="preserve"> </w:t>
      </w:r>
      <w:r w:rsidR="00A11DAE">
        <w:rPr>
          <w:i/>
          <w:iCs/>
        </w:rPr>
        <w:t>Id.</w:t>
      </w:r>
      <w:r>
        <w:rPr>
          <w:i/>
        </w:rPr>
        <w:t xml:space="preserve"> </w:t>
      </w:r>
      <w:r>
        <w:t>at 15.</w:t>
      </w:r>
    </w:p>
  </w:footnote>
  <w:footnote w:id="44">
    <w:p w:rsidR="00A22706" w:rsidP="00A22706">
      <w:pPr>
        <w:pStyle w:val="FootnoteText"/>
        <w:ind w:right="-450"/>
      </w:pPr>
      <w:r w:rsidRPr="00E115B8">
        <w:rPr>
          <w:rStyle w:val="FootnoteReference"/>
        </w:rPr>
        <w:footnoteRef/>
      </w:r>
      <w:r>
        <w:t xml:space="preserve"> </w:t>
      </w:r>
      <w:r w:rsidRPr="00442265" w:rsidR="00CC39A2">
        <w:rPr>
          <w:i/>
          <w:iCs/>
        </w:rPr>
        <w:t>Id</w:t>
      </w:r>
      <w:r w:rsidR="00CC39A2">
        <w:t>.</w:t>
      </w:r>
      <w:r w:rsidRPr="003D490D">
        <w:t xml:space="preserve"> </w:t>
      </w:r>
      <w:r w:rsidR="00E34C01">
        <w:t xml:space="preserve">at 8, </w:t>
      </w:r>
      <w:r w:rsidR="0069061F">
        <w:t>9.</w:t>
      </w:r>
    </w:p>
  </w:footnote>
  <w:footnote w:id="45">
    <w:p w:rsidR="008F3206">
      <w:pPr>
        <w:pStyle w:val="FootnoteText"/>
      </w:pPr>
      <w:r w:rsidRPr="00E115B8">
        <w:rPr>
          <w:rStyle w:val="FootnoteReference"/>
        </w:rPr>
        <w:footnoteRef/>
      </w:r>
      <w:r>
        <w:t xml:space="preserve"> </w:t>
      </w:r>
      <w:r w:rsidR="00506B4C">
        <w:rPr>
          <w:i/>
          <w:iCs/>
        </w:rPr>
        <w:t>Id.</w:t>
      </w:r>
      <w:r>
        <w:rPr>
          <w:i/>
        </w:rPr>
        <w:t xml:space="preserve"> </w:t>
      </w:r>
      <w:r>
        <w:t xml:space="preserve">at 8 </w:t>
      </w:r>
      <w:r w:rsidR="00E56FF6">
        <w:t>(citing 2017-2021 DCR Order, 158 FERC ¶ 61,028 at PP 19, 65).</w:t>
      </w:r>
    </w:p>
  </w:footnote>
  <w:footnote w:id="46">
    <w:p w:rsidR="0017542A" w:rsidP="0017542A">
      <w:pPr>
        <w:pStyle w:val="FootnoteText"/>
      </w:pPr>
      <w:r w:rsidRPr="00E115B8">
        <w:rPr>
          <w:rStyle w:val="FootnoteReference"/>
        </w:rPr>
        <w:footnoteRef/>
      </w:r>
      <w:r>
        <w:t xml:space="preserve"> </w:t>
      </w:r>
      <w:r w:rsidR="00C43EE7">
        <w:rPr>
          <w:i/>
          <w:iCs/>
        </w:rPr>
        <w:t>Id.</w:t>
      </w:r>
      <w:r>
        <w:rPr>
          <w:i/>
        </w:rPr>
        <w:t xml:space="preserve"> </w:t>
      </w:r>
      <w:r w:rsidR="00E87A1A">
        <w:t xml:space="preserve">at </w:t>
      </w:r>
      <w:r w:rsidR="00DA5E28">
        <w:t>16</w:t>
      </w:r>
      <w:r>
        <w:rPr>
          <w:i/>
          <w:iCs/>
        </w:rPr>
        <w:t>.</w:t>
      </w:r>
      <w:r>
        <w:t xml:space="preserve">  NYISO Consultant further notes that, according to U.S. Energy Information Administration data, BESS implementation has </w:t>
      </w:r>
      <w:r w:rsidR="00547519">
        <w:t>“</w:t>
      </w:r>
      <w:r>
        <w:t>dramatically increased</w:t>
      </w:r>
      <w:r w:rsidR="00547519">
        <w:t>”</w:t>
      </w:r>
      <w:r>
        <w:t xml:space="preserve"> from approximately 1.0 GW at the start of 2020 to 15.5 GW at the end of 2023.  NYISO Consultant also states that BESS with 2-hour and 4-hour discharge durations are currently </w:t>
      </w:r>
      <w:r w:rsidR="00547519">
        <w:t>“</w:t>
      </w:r>
      <w:r>
        <w:t>the most common in the electric utility industry</w:t>
      </w:r>
      <w:r w:rsidR="00787B08">
        <w:t>.</w:t>
      </w:r>
      <w:r w:rsidR="00547519">
        <w:t>”</w:t>
      </w:r>
      <w:r>
        <w:t xml:space="preserve">  NYISO Filing, att</w:t>
      </w:r>
      <w:r w:rsidR="00BE1749">
        <w:t>ach</w:t>
      </w:r>
      <w:r>
        <w:t>. IV, Affidavit of Chad W. Swope</w:t>
      </w:r>
      <w:r w:rsidR="00496726">
        <w:t>,</w:t>
      </w:r>
      <w:r>
        <w:t xml:space="preserve"> et al. (1898 &amp; Co Aff.) </w:t>
      </w:r>
      <w:r w:rsidRPr="00EE5259">
        <w:t>¶¶</w:t>
      </w:r>
      <w:r>
        <w:t xml:space="preserve"> 15-16.</w:t>
      </w:r>
    </w:p>
  </w:footnote>
  <w:footnote w:id="47">
    <w:p w:rsidR="00373CC6" w:rsidP="00373CC6">
      <w:pPr>
        <w:pStyle w:val="FootnoteText"/>
      </w:pPr>
      <w:r w:rsidRPr="00E115B8">
        <w:rPr>
          <w:rStyle w:val="FootnoteReference"/>
        </w:rPr>
        <w:footnoteRef/>
      </w:r>
      <w:r>
        <w:t xml:space="preserve"> </w:t>
      </w:r>
      <w:r>
        <w:rPr>
          <w:i/>
          <w:iCs/>
        </w:rPr>
        <w:t xml:space="preserve">Id. </w:t>
      </w:r>
      <w:r>
        <w:t>at 18.</w:t>
      </w:r>
    </w:p>
  </w:footnote>
  <w:footnote w:id="48">
    <w:p w:rsidR="00A6066C" w:rsidRPr="00291645" w:rsidP="00A6066C">
      <w:pPr>
        <w:pStyle w:val="FootnoteText"/>
      </w:pPr>
      <w:r>
        <w:rPr>
          <w:rStyle w:val="FootnoteReference"/>
        </w:rPr>
        <w:footnoteRef/>
      </w:r>
      <w:r>
        <w:t xml:space="preserve"> AG Aff. ¶ 38.  </w:t>
      </w:r>
    </w:p>
  </w:footnote>
  <w:footnote w:id="49">
    <w:p w:rsidR="00373CC6" w:rsidP="00373CC6">
      <w:pPr>
        <w:pStyle w:val="FootnoteText"/>
      </w:pPr>
      <w:r w:rsidRPr="00E115B8">
        <w:rPr>
          <w:rStyle w:val="FootnoteReference"/>
        </w:rPr>
        <w:footnoteRef/>
      </w:r>
      <w:r>
        <w:t xml:space="preserve"> </w:t>
      </w:r>
      <w:r w:rsidR="00701163">
        <w:t>Transmittal Letter</w:t>
      </w:r>
      <w:r>
        <w:rPr>
          <w:i/>
          <w:iCs/>
        </w:rPr>
        <w:t xml:space="preserve"> </w:t>
      </w:r>
      <w:r>
        <w:t xml:space="preserve">at 17 (citing </w:t>
      </w:r>
      <w:r w:rsidRPr="00B7249D">
        <w:t>2014-2017 DCR Order</w:t>
      </w:r>
      <w:r>
        <w:t xml:space="preserve">, </w:t>
      </w:r>
      <w:r w:rsidRPr="004E77E4">
        <w:t>146 FERC ¶ 61,043</w:t>
      </w:r>
      <w:r>
        <w:t xml:space="preserve"> </w:t>
      </w:r>
      <w:r w:rsidRPr="00B7249D">
        <w:t xml:space="preserve">at </w:t>
      </w:r>
      <w:r w:rsidR="007B790F">
        <w:t xml:space="preserve">  </w:t>
      </w:r>
      <w:r w:rsidRPr="00B7249D">
        <w:t>P 76</w:t>
      </w:r>
      <w:r>
        <w:t>).</w:t>
      </w:r>
    </w:p>
  </w:footnote>
  <w:footnote w:id="50">
    <w:p w:rsidR="00373CC6" w:rsidP="00373CC6">
      <w:pPr>
        <w:pStyle w:val="FootnoteText"/>
      </w:pPr>
      <w:r w:rsidRPr="00E115B8">
        <w:rPr>
          <w:rStyle w:val="FootnoteReference"/>
        </w:rPr>
        <w:footnoteRef/>
      </w:r>
      <w:r>
        <w:t xml:space="preserve"> </w:t>
      </w:r>
      <w:r w:rsidR="002C482A">
        <w:rPr>
          <w:i/>
          <w:iCs/>
        </w:rPr>
        <w:t>Id.</w:t>
      </w:r>
      <w:r>
        <w:rPr>
          <w:i/>
        </w:rPr>
        <w:t xml:space="preserve"> </w:t>
      </w:r>
      <w:r>
        <w:t>at 17-18.  NYISO includes a distribution of loss</w:t>
      </w:r>
      <w:r w:rsidRPr="0067724D">
        <w:t xml:space="preserve"> of load events reflected in the model utilized for determining the 2024-2025 Capability Year LCRs</w:t>
      </w:r>
      <w:r>
        <w:t xml:space="preserve">, </w:t>
      </w:r>
      <w:r w:rsidRPr="0044293E">
        <w:t>which shows a downward shaping curve, going from approximately 75 expected 1-hour duration events,</w:t>
      </w:r>
      <w:r w:rsidRPr="0044293E" w:rsidR="00C20AED">
        <w:t xml:space="preserve"> to</w:t>
      </w:r>
      <w:r w:rsidRPr="0044293E">
        <w:t xml:space="preserve"> 25 expected 4-hour duration events, to 0 expected 14-hour duration events.</w:t>
      </w:r>
      <w:r>
        <w:t xml:space="preserve">  </w:t>
      </w:r>
      <w:r w:rsidRPr="004E77E4">
        <w:rPr>
          <w:i/>
          <w:iCs/>
        </w:rPr>
        <w:t>Id</w:t>
      </w:r>
      <w:r>
        <w:t>. at 18.</w:t>
      </w:r>
    </w:p>
  </w:footnote>
  <w:footnote w:id="51">
    <w:p w:rsidR="002B1ACE" w:rsidP="002B1ACE">
      <w:pPr>
        <w:pStyle w:val="FootnoteText"/>
      </w:pPr>
      <w:r>
        <w:rPr>
          <w:rStyle w:val="FootnoteReference"/>
        </w:rPr>
        <w:footnoteRef/>
      </w:r>
      <w:r>
        <w:t xml:space="preserve"> IPPNY Protes</w:t>
      </w:r>
      <w:r w:rsidRPr="00011574">
        <w:t xml:space="preserve">t at 7.  </w:t>
      </w:r>
    </w:p>
  </w:footnote>
  <w:footnote w:id="52">
    <w:p w:rsidR="00E02464">
      <w:pPr>
        <w:pStyle w:val="FootnoteText"/>
      </w:pPr>
      <w:r>
        <w:rPr>
          <w:rStyle w:val="FootnoteReference"/>
        </w:rPr>
        <w:footnoteRef/>
      </w:r>
      <w:r>
        <w:t xml:space="preserve"> </w:t>
      </w:r>
      <w:r w:rsidR="00C5661F">
        <w:rPr>
          <w:i/>
          <w:iCs/>
        </w:rPr>
        <w:t>Id.</w:t>
      </w:r>
      <w:r>
        <w:rPr>
          <w:i/>
        </w:rPr>
        <w:t xml:space="preserve"> </w:t>
      </w:r>
      <w:r w:rsidR="00FD2933">
        <w:t xml:space="preserve">(citing </w:t>
      </w:r>
      <w:r w:rsidRPr="00544914" w:rsidR="0031685F">
        <w:rPr>
          <w:i/>
          <w:iCs/>
        </w:rPr>
        <w:t>N.Y. Indep. Sys. Operator, Inc.</w:t>
      </w:r>
      <w:r w:rsidR="00B923ED">
        <w:t>,</w:t>
      </w:r>
      <w:r w:rsidRPr="0031685F" w:rsidR="0031685F">
        <w:t xml:space="preserve"> </w:t>
      </w:r>
      <w:r w:rsidR="004844E4">
        <w:t xml:space="preserve">Filing, </w:t>
      </w:r>
      <w:r w:rsidR="00C35E6C">
        <w:t>Docket No. ER21-502-000</w:t>
      </w:r>
      <w:r w:rsidR="0021519C">
        <w:t xml:space="preserve">, </w:t>
      </w:r>
      <w:r w:rsidRPr="0031685F" w:rsidR="0031685F">
        <w:t>at 7</w:t>
      </w:r>
      <w:r w:rsidR="000F41D3">
        <w:t xml:space="preserve"> (filed </w:t>
      </w:r>
      <w:r w:rsidRPr="0031685F" w:rsidR="000F41D3">
        <w:t>Nov. 30, 202</w:t>
      </w:r>
      <w:r w:rsidR="000F41D3">
        <w:t>0</w:t>
      </w:r>
      <w:r w:rsidR="00E6792B">
        <w:t>)</w:t>
      </w:r>
      <w:r w:rsidR="000F41D3">
        <w:t>)</w:t>
      </w:r>
      <w:r w:rsidR="00ED0678">
        <w:t>.</w:t>
      </w:r>
      <w:r w:rsidR="00C71272">
        <w:t xml:space="preserve"> </w:t>
      </w:r>
    </w:p>
  </w:footnote>
  <w:footnote w:id="53">
    <w:p w:rsidR="003C1D71">
      <w:pPr>
        <w:pStyle w:val="FootnoteText"/>
      </w:pPr>
      <w:r>
        <w:rPr>
          <w:rStyle w:val="FootnoteReference"/>
        </w:rPr>
        <w:footnoteRef/>
      </w:r>
      <w:r>
        <w:t xml:space="preserve"> </w:t>
      </w:r>
      <w:r w:rsidR="00CE5F4D">
        <w:rPr>
          <w:i/>
          <w:iCs/>
        </w:rPr>
        <w:t xml:space="preserve">Id. </w:t>
      </w:r>
      <w:r>
        <w:t xml:space="preserve">at </w:t>
      </w:r>
      <w:r w:rsidR="001A3244">
        <w:t>8.</w:t>
      </w:r>
    </w:p>
  </w:footnote>
  <w:footnote w:id="54">
    <w:p w:rsidR="002B1ACE" w:rsidP="002B1ACE">
      <w:pPr>
        <w:pStyle w:val="FootnoteText"/>
      </w:pPr>
      <w:r>
        <w:rPr>
          <w:rStyle w:val="FootnoteReference"/>
        </w:rPr>
        <w:footnoteRef/>
      </w:r>
      <w:r>
        <w:t xml:space="preserve"> </w:t>
      </w:r>
      <w:r>
        <w:rPr>
          <w:i/>
          <w:iCs/>
        </w:rPr>
        <w:t>Id.</w:t>
      </w:r>
      <w:r>
        <w:t xml:space="preserve"> at 8-9.</w:t>
      </w:r>
      <w:r w:rsidR="00E003E2">
        <w:t xml:space="preserve">  </w:t>
      </w:r>
    </w:p>
  </w:footnote>
  <w:footnote w:id="55">
    <w:p w:rsidR="00FC7E7D" w:rsidP="00FC7E7D">
      <w:pPr>
        <w:pStyle w:val="FootnoteText"/>
      </w:pPr>
      <w:r>
        <w:rPr>
          <w:rStyle w:val="FootnoteReference"/>
        </w:rPr>
        <w:footnoteRef/>
      </w:r>
      <w:r>
        <w:t xml:space="preserve"> </w:t>
      </w:r>
      <w:r>
        <w:rPr>
          <w:i/>
          <w:iCs/>
        </w:rPr>
        <w:t>Id.</w:t>
      </w:r>
      <w:r>
        <w:rPr>
          <w:i/>
        </w:rPr>
        <w:t xml:space="preserve"> </w:t>
      </w:r>
      <w:r>
        <w:t>at 11.</w:t>
      </w:r>
    </w:p>
  </w:footnote>
  <w:footnote w:id="56">
    <w:p w:rsidR="00B14360" w:rsidRPr="000C5625" w:rsidP="00B14360">
      <w:pPr>
        <w:pStyle w:val="FootnoteText"/>
      </w:pPr>
      <w:r>
        <w:rPr>
          <w:rStyle w:val="FootnoteReference"/>
        </w:rPr>
        <w:footnoteRef/>
      </w:r>
      <w:r>
        <w:t xml:space="preserve"> </w:t>
      </w:r>
      <w:r>
        <w:rPr>
          <w:i/>
          <w:iCs/>
        </w:rPr>
        <w:t>Id</w:t>
      </w:r>
      <w:r>
        <w:t xml:space="preserve">. </w:t>
      </w:r>
      <w:r w:rsidR="00A533FB">
        <w:t>at 10.</w:t>
      </w:r>
      <w:r>
        <w:t xml:space="preserve"> </w:t>
      </w:r>
      <w:r w:rsidR="007400C9">
        <w:t xml:space="preserve"> </w:t>
      </w:r>
      <w:r w:rsidR="00BC48FB">
        <w:t xml:space="preserve">IPPNY adds that </w:t>
      </w:r>
      <w:r w:rsidRPr="00BC48FB" w:rsidR="00BC48FB">
        <w:t>New York has narrowed eligibility for its bulk utility scale storage solicitations to energy storage resources with durations of at least four hours with preference for longer duration</w:t>
      </w:r>
      <w:r w:rsidR="00715970">
        <w:t xml:space="preserve">. </w:t>
      </w:r>
      <w:r w:rsidRPr="00BC48FB" w:rsidR="00BC48FB">
        <w:t xml:space="preserve"> </w:t>
      </w:r>
      <w:r w:rsidR="00300760">
        <w:rPr>
          <w:i/>
          <w:iCs/>
        </w:rPr>
        <w:t xml:space="preserve">Id. </w:t>
      </w:r>
      <w:r w:rsidR="00BF1745">
        <w:t xml:space="preserve">at 11. </w:t>
      </w:r>
    </w:p>
  </w:footnote>
  <w:footnote w:id="57">
    <w:p w:rsidR="00E60D93" w:rsidP="00887EED">
      <w:pPr>
        <w:pStyle w:val="FootnoteText"/>
      </w:pPr>
      <w:r>
        <w:rPr>
          <w:rStyle w:val="FootnoteReference"/>
        </w:rPr>
        <w:footnoteRef/>
      </w:r>
      <w:r>
        <w:t xml:space="preserve"> </w:t>
      </w:r>
      <w:r>
        <w:rPr>
          <w:i/>
          <w:iCs/>
        </w:rPr>
        <w:t>Id.</w:t>
      </w:r>
      <w:r>
        <w:t xml:space="preserve"> at 6-7 (citing</w:t>
      </w:r>
      <w:r w:rsidR="00C72A0C">
        <w:t xml:space="preserve">, </w:t>
      </w:r>
      <w:r w:rsidR="00C72A0C">
        <w:rPr>
          <w:i/>
          <w:iCs/>
        </w:rPr>
        <w:t>e.g.</w:t>
      </w:r>
      <w:r w:rsidRPr="00544914" w:rsidR="00887EED">
        <w:t>,</w:t>
      </w:r>
      <w:r>
        <w:t xml:space="preserve"> </w:t>
      </w:r>
      <w:r w:rsidRPr="00887EED">
        <w:rPr>
          <w:i/>
        </w:rPr>
        <w:t>N.Y. Indep. Sys. Operator, Inc.</w:t>
      </w:r>
      <w:r w:rsidRPr="00887EED">
        <w:t>, 103 FERC ¶ 61,201</w:t>
      </w:r>
      <w:r w:rsidR="00887EED">
        <w:t>,</w:t>
      </w:r>
      <w:r w:rsidRPr="00887EED">
        <w:t xml:space="preserve"> at </w:t>
      </w:r>
      <w:r w:rsidR="007B790F">
        <w:t xml:space="preserve"> </w:t>
      </w:r>
      <w:r w:rsidRPr="00887EED">
        <w:t>PP 4, 9, 13</w:t>
      </w:r>
      <w:r w:rsidR="00887EED">
        <w:t xml:space="preserve"> (2003</w:t>
      </w:r>
      <w:r w:rsidR="00143B75">
        <w:t>)</w:t>
      </w:r>
      <w:r w:rsidRPr="00887EED" w:rsidR="00623699">
        <w:t>)</w:t>
      </w:r>
      <w:r w:rsidRPr="00887EED">
        <w:t>.</w:t>
      </w:r>
    </w:p>
  </w:footnote>
  <w:footnote w:id="58">
    <w:p w:rsidR="002B1ACE" w:rsidP="002B1ACE">
      <w:pPr>
        <w:pStyle w:val="FootnoteText"/>
      </w:pPr>
      <w:r>
        <w:rPr>
          <w:rStyle w:val="FootnoteReference"/>
        </w:rPr>
        <w:footnoteRef/>
      </w:r>
      <w:r>
        <w:t xml:space="preserve"> </w:t>
      </w:r>
      <w:r>
        <w:rPr>
          <w:i/>
          <w:iCs/>
        </w:rPr>
        <w:t>Id.</w:t>
      </w:r>
      <w:r>
        <w:t xml:space="preserve"> at 10.</w:t>
      </w:r>
    </w:p>
  </w:footnote>
  <w:footnote w:id="59">
    <w:p w:rsidR="002B1ACE" w:rsidP="002B1ACE">
      <w:pPr>
        <w:pStyle w:val="FootnoteText"/>
      </w:pPr>
      <w:r>
        <w:rPr>
          <w:rStyle w:val="FootnoteReference"/>
        </w:rPr>
        <w:footnoteRef/>
      </w:r>
      <w:r>
        <w:t xml:space="preserve"> </w:t>
      </w:r>
      <w:r>
        <w:rPr>
          <w:i/>
          <w:iCs/>
        </w:rPr>
        <w:t>Id.</w:t>
      </w:r>
      <w:r>
        <w:t xml:space="preserve"> at 10 n.25.</w:t>
      </w:r>
    </w:p>
  </w:footnote>
  <w:footnote w:id="60">
    <w:p w:rsidR="007C03C7" w:rsidP="007C03C7">
      <w:pPr>
        <w:pStyle w:val="FootnoteText"/>
      </w:pPr>
      <w:r w:rsidRPr="00C95822">
        <w:rPr>
          <w:rStyle w:val="FootnoteReference"/>
        </w:rPr>
        <w:footnoteRef/>
      </w:r>
      <w:r>
        <w:t xml:space="preserve"> EPSA Protest at 2. </w:t>
      </w:r>
    </w:p>
  </w:footnote>
  <w:footnote w:id="61">
    <w:p w:rsidR="007C03C7" w:rsidP="007C03C7">
      <w:pPr>
        <w:pStyle w:val="FootnoteText"/>
      </w:pPr>
      <w:r w:rsidRPr="00C95822">
        <w:rPr>
          <w:rStyle w:val="FootnoteReference"/>
        </w:rPr>
        <w:footnoteRef/>
      </w:r>
      <w:r>
        <w:t xml:space="preserve"> </w:t>
      </w:r>
      <w:r w:rsidR="00074193">
        <w:rPr>
          <w:i/>
          <w:iCs/>
        </w:rPr>
        <w:t>Id.</w:t>
      </w:r>
      <w:r>
        <w:rPr>
          <w:i/>
        </w:rPr>
        <w:t xml:space="preserve"> </w:t>
      </w:r>
      <w:r>
        <w:t>at 2-3.</w:t>
      </w:r>
    </w:p>
  </w:footnote>
  <w:footnote w:id="62">
    <w:p w:rsidR="00865B34" w:rsidP="00865B34">
      <w:pPr>
        <w:pStyle w:val="FootnoteText"/>
      </w:pPr>
      <w:r w:rsidRPr="00F457DA">
        <w:rPr>
          <w:rStyle w:val="FootnoteReference"/>
        </w:rPr>
        <w:footnoteRef/>
      </w:r>
      <w:r>
        <w:t xml:space="preserve"> NYTOs Comments at 4</w:t>
      </w:r>
      <w:r w:rsidR="00C757D8">
        <w:t>; Consumer Stakeholders Comments at 9</w:t>
      </w:r>
      <w:r w:rsidR="0076533B">
        <w:t>;</w:t>
      </w:r>
      <w:r w:rsidRPr="0076533B" w:rsidR="0076533B">
        <w:rPr>
          <w:kern w:val="2"/>
          <w:szCs w:val="22"/>
        </w:rPr>
        <w:t xml:space="preserve"> </w:t>
      </w:r>
      <w:r w:rsidRPr="0076533B" w:rsidR="0076533B">
        <w:t xml:space="preserve">New York State Entities </w:t>
      </w:r>
      <w:r w:rsidR="007C4817">
        <w:t xml:space="preserve">Comments </w:t>
      </w:r>
      <w:r w:rsidRPr="0076533B" w:rsidR="0076533B">
        <w:t>at 3-4</w:t>
      </w:r>
      <w:r w:rsidR="00C757D8">
        <w:t>.</w:t>
      </w:r>
    </w:p>
  </w:footnote>
  <w:footnote w:id="63">
    <w:p w:rsidR="00063B7C">
      <w:pPr>
        <w:pStyle w:val="FootnoteText"/>
      </w:pPr>
      <w:r>
        <w:rPr>
          <w:rStyle w:val="FootnoteReference"/>
        </w:rPr>
        <w:footnoteRef/>
      </w:r>
      <w:r>
        <w:t xml:space="preserve"> NYTOs Comments at 4;</w:t>
      </w:r>
      <w:r w:rsidRPr="0076533B">
        <w:rPr>
          <w:kern w:val="2"/>
          <w:szCs w:val="22"/>
        </w:rPr>
        <w:t xml:space="preserve"> </w:t>
      </w:r>
      <w:r w:rsidRPr="0076533B">
        <w:t xml:space="preserve">New York State Entities </w:t>
      </w:r>
      <w:r w:rsidR="007C4817">
        <w:t xml:space="preserve">Comments </w:t>
      </w:r>
      <w:r w:rsidRPr="0076533B">
        <w:t>at 3-4</w:t>
      </w:r>
      <w:r>
        <w:t>.</w:t>
      </w:r>
    </w:p>
  </w:footnote>
  <w:footnote w:id="64">
    <w:p w:rsidR="00865B34" w:rsidP="00865B34">
      <w:pPr>
        <w:pStyle w:val="FootnoteText"/>
      </w:pPr>
      <w:r>
        <w:rPr>
          <w:rStyle w:val="FootnoteReference"/>
        </w:rPr>
        <w:footnoteRef/>
      </w:r>
      <w:r>
        <w:t xml:space="preserve"> </w:t>
      </w:r>
      <w:r w:rsidR="0022338B">
        <w:t xml:space="preserve">New York State Entities Comments at 4; </w:t>
      </w:r>
      <w:r>
        <w:t>NYTOs Comments at 4 (noting Key Capture Energy, LLC’s 2-hour, 20 MW BESS</w:t>
      </w:r>
      <w:r w:rsidR="003C7B5F">
        <w:t xml:space="preserve"> project that</w:t>
      </w:r>
      <w:r>
        <w:t xml:space="preserve"> is in service).</w:t>
      </w:r>
    </w:p>
  </w:footnote>
  <w:footnote w:id="65">
    <w:p w:rsidR="006343A7" w:rsidP="006343A7">
      <w:pPr>
        <w:pStyle w:val="FootnoteText"/>
      </w:pPr>
      <w:r>
        <w:rPr>
          <w:rStyle w:val="FootnoteReference"/>
        </w:rPr>
        <w:footnoteRef/>
      </w:r>
      <w:r>
        <w:t xml:space="preserve"> New York State Entities </w:t>
      </w:r>
      <w:r w:rsidR="00180DDF">
        <w:t xml:space="preserve">Comments </w:t>
      </w:r>
      <w:r>
        <w:t>at 4.</w:t>
      </w:r>
    </w:p>
  </w:footnote>
  <w:footnote w:id="66">
    <w:p w:rsidR="00AE09EA" w:rsidP="00AE09EA">
      <w:pPr>
        <w:pStyle w:val="FootnoteText"/>
      </w:pPr>
      <w:r>
        <w:rPr>
          <w:rStyle w:val="FootnoteReference"/>
        </w:rPr>
        <w:footnoteRef/>
      </w:r>
      <w:r>
        <w:t xml:space="preserve"> </w:t>
      </w:r>
      <w:r w:rsidR="00E66FDA">
        <w:rPr>
          <w:i/>
          <w:iCs/>
        </w:rPr>
        <w:t>Id.</w:t>
      </w:r>
      <w:r>
        <w:rPr>
          <w:i/>
        </w:rPr>
        <w:t xml:space="preserve"> </w:t>
      </w:r>
      <w:r>
        <w:t xml:space="preserve">at 2-3 (citing </w:t>
      </w:r>
      <w:r>
        <w:rPr>
          <w:i/>
          <w:iCs/>
        </w:rPr>
        <w:t>N.Y. Indep. Sys. Operator, Inc.</w:t>
      </w:r>
      <w:r w:rsidRPr="009A1307">
        <w:t>, 113 FERC ¶ 61,271</w:t>
      </w:r>
      <w:r w:rsidR="00975120">
        <w:t>, at</w:t>
      </w:r>
      <w:r>
        <w:t xml:space="preserve"> PP 11, 12</w:t>
      </w:r>
      <w:r w:rsidR="00975120">
        <w:t xml:space="preserve"> </w:t>
      </w:r>
      <w:r w:rsidRPr="009A1307" w:rsidR="00975120">
        <w:t>(2005</w:t>
      </w:r>
      <w:r w:rsidR="00E86376">
        <w:t>)</w:t>
      </w:r>
      <w:r w:rsidR="005E4184">
        <w:t>)</w:t>
      </w:r>
      <w:r w:rsidR="001A4EC9">
        <w:t>.</w:t>
      </w:r>
    </w:p>
  </w:footnote>
  <w:footnote w:id="67">
    <w:p w:rsidR="00E53DEE">
      <w:pPr>
        <w:pStyle w:val="FootnoteText"/>
      </w:pPr>
      <w:r>
        <w:rPr>
          <w:rStyle w:val="FootnoteReference"/>
        </w:rPr>
        <w:footnoteRef/>
      </w:r>
      <w:r>
        <w:t xml:space="preserve"> NYTOs Comments at 20-21.</w:t>
      </w:r>
    </w:p>
  </w:footnote>
  <w:footnote w:id="68">
    <w:p w:rsidR="003D1506">
      <w:pPr>
        <w:pStyle w:val="FootnoteText"/>
      </w:pPr>
      <w:r>
        <w:rPr>
          <w:rStyle w:val="FootnoteReference"/>
        </w:rPr>
        <w:footnoteRef/>
      </w:r>
      <w:r>
        <w:t xml:space="preserve"> </w:t>
      </w:r>
      <w:r w:rsidR="006D4A4D">
        <w:rPr>
          <w:i/>
          <w:iCs/>
        </w:rPr>
        <w:t>Id.</w:t>
      </w:r>
      <w:r>
        <w:rPr>
          <w:i/>
        </w:rPr>
        <w:t xml:space="preserve"> </w:t>
      </w:r>
      <w:r>
        <w:t xml:space="preserve">at 21 (citing </w:t>
      </w:r>
      <w:r w:rsidRPr="00F472B7" w:rsidR="00AA418B">
        <w:rPr>
          <w:i/>
          <w:iCs/>
        </w:rPr>
        <w:t>N.Y. Indep. Sys. Operator, Inc</w:t>
      </w:r>
      <w:r w:rsidRPr="00AA418B" w:rsidR="00AA418B">
        <w:t>., 134 FERC ¶ 61,058 at P</w:t>
      </w:r>
      <w:r w:rsidR="000C16BB">
        <w:t>P 25,</w:t>
      </w:r>
      <w:r w:rsidRPr="00AA418B" w:rsidR="00AA418B">
        <w:t xml:space="preserve"> </w:t>
      </w:r>
      <w:r w:rsidR="0022367A">
        <w:t>37).</w:t>
      </w:r>
    </w:p>
  </w:footnote>
  <w:footnote w:id="69">
    <w:p w:rsidR="00C27E87">
      <w:pPr>
        <w:pStyle w:val="FootnoteText"/>
      </w:pPr>
      <w:r>
        <w:rPr>
          <w:rStyle w:val="FootnoteReference"/>
        </w:rPr>
        <w:footnoteRef/>
      </w:r>
      <w:r>
        <w:t xml:space="preserve"> </w:t>
      </w:r>
      <w:r w:rsidR="00D464B6">
        <w:rPr>
          <w:i/>
          <w:iCs/>
        </w:rPr>
        <w:t>Id.</w:t>
      </w:r>
      <w:r>
        <w:rPr>
          <w:i/>
        </w:rPr>
        <w:t xml:space="preserve"> </w:t>
      </w:r>
      <w:r>
        <w:t>at 2</w:t>
      </w:r>
      <w:r w:rsidR="00170BF1">
        <w:t>2.</w:t>
      </w:r>
    </w:p>
  </w:footnote>
  <w:footnote w:id="70">
    <w:p w:rsidR="00611B14">
      <w:pPr>
        <w:pStyle w:val="FootnoteText"/>
      </w:pPr>
      <w:r>
        <w:rPr>
          <w:rStyle w:val="FootnoteReference"/>
        </w:rPr>
        <w:footnoteRef/>
      </w:r>
      <w:r>
        <w:t xml:space="preserve"> NYISO Answer at 6.</w:t>
      </w:r>
    </w:p>
  </w:footnote>
  <w:footnote w:id="71">
    <w:p w:rsidR="003D7954">
      <w:pPr>
        <w:pStyle w:val="FootnoteText"/>
      </w:pPr>
      <w:r>
        <w:rPr>
          <w:rStyle w:val="FootnoteReference"/>
        </w:rPr>
        <w:footnoteRef/>
      </w:r>
      <w:r>
        <w:t xml:space="preserve"> </w:t>
      </w:r>
      <w:r w:rsidR="005F0A39">
        <w:rPr>
          <w:i/>
          <w:iCs/>
        </w:rPr>
        <w:t>Id.</w:t>
      </w:r>
      <w:r>
        <w:rPr>
          <w:i/>
        </w:rPr>
        <w:t xml:space="preserve"> </w:t>
      </w:r>
      <w:r w:rsidR="00CD0163">
        <w:t>at 9-10.</w:t>
      </w:r>
    </w:p>
  </w:footnote>
  <w:footnote w:id="72">
    <w:p w:rsidR="00BC13D8">
      <w:pPr>
        <w:pStyle w:val="FootnoteText"/>
      </w:pPr>
      <w:r>
        <w:rPr>
          <w:rStyle w:val="FootnoteReference"/>
        </w:rPr>
        <w:footnoteRef/>
      </w:r>
      <w:r>
        <w:t xml:space="preserve"> </w:t>
      </w:r>
      <w:r w:rsidR="007E7EA8">
        <w:rPr>
          <w:i/>
          <w:iCs/>
        </w:rPr>
        <w:t>Id.</w:t>
      </w:r>
      <w:r>
        <w:rPr>
          <w:i/>
        </w:rPr>
        <w:t xml:space="preserve"> </w:t>
      </w:r>
      <w:r>
        <w:t xml:space="preserve">at 6 (citing Transmittal Letter at 11-12; AG Aff. </w:t>
      </w:r>
      <w:r w:rsidRPr="00DE1B29">
        <w:t>¶¶</w:t>
      </w:r>
      <w:r>
        <w:t xml:space="preserve"> </w:t>
      </w:r>
      <w:r w:rsidRPr="00DE1B29">
        <w:t>38, 59-60</w:t>
      </w:r>
      <w:r>
        <w:t xml:space="preserve">, 62, Ex. F at 19-20; </w:t>
      </w:r>
      <w:r w:rsidRPr="00DE1B29">
        <w:t>1898 &amp; Co. Aff</w:t>
      </w:r>
      <w:r>
        <w:t xml:space="preserve">. </w:t>
      </w:r>
      <w:r w:rsidRPr="00DE1B29">
        <w:t>¶</w:t>
      </w:r>
      <w:r w:rsidRPr="00A928E7" w:rsidR="00A928E7">
        <w:t xml:space="preserve">¶ </w:t>
      </w:r>
      <w:r w:rsidRPr="00DE1B29">
        <w:t>15-16</w:t>
      </w:r>
      <w:r>
        <w:t xml:space="preserve">; </w:t>
      </w:r>
      <w:r w:rsidRPr="007E0034">
        <w:t>Smith Aff</w:t>
      </w:r>
      <w:r>
        <w:t>.</w:t>
      </w:r>
      <w:r w:rsidRPr="007E0034">
        <w:t xml:space="preserve"> at ¶ 13</w:t>
      </w:r>
      <w:r>
        <w:t>).</w:t>
      </w:r>
    </w:p>
  </w:footnote>
  <w:footnote w:id="73">
    <w:p w:rsidR="004C5D88" w:rsidP="004C5D88">
      <w:pPr>
        <w:pStyle w:val="FootnoteText"/>
      </w:pPr>
      <w:r w:rsidRPr="00D57DC2">
        <w:rPr>
          <w:rStyle w:val="FootnoteReference"/>
        </w:rPr>
        <w:footnoteRef/>
      </w:r>
      <w:r>
        <w:t xml:space="preserve"> </w:t>
      </w:r>
      <w:r w:rsidR="00D7544A">
        <w:rPr>
          <w:i/>
          <w:iCs/>
        </w:rPr>
        <w:t>Id.</w:t>
      </w:r>
      <w:r>
        <w:rPr>
          <w:i/>
        </w:rPr>
        <w:t xml:space="preserve"> </w:t>
      </w:r>
      <w:r>
        <w:t>at 9.</w:t>
      </w:r>
    </w:p>
  </w:footnote>
  <w:footnote w:id="74">
    <w:p w:rsidR="004C5D88" w:rsidP="004C5D88">
      <w:pPr>
        <w:pStyle w:val="FootnoteText"/>
      </w:pPr>
      <w:r w:rsidRPr="00D57DC2">
        <w:rPr>
          <w:rStyle w:val="FootnoteReference"/>
        </w:rPr>
        <w:footnoteRef/>
      </w:r>
      <w:r>
        <w:t xml:space="preserve"> </w:t>
      </w:r>
      <w:r w:rsidR="006122FE">
        <w:rPr>
          <w:i/>
          <w:iCs/>
        </w:rPr>
        <w:t>Id.</w:t>
      </w:r>
      <w:r>
        <w:rPr>
          <w:i/>
        </w:rPr>
        <w:t xml:space="preserve"> </w:t>
      </w:r>
      <w:r>
        <w:t>at 10.</w:t>
      </w:r>
    </w:p>
  </w:footnote>
  <w:footnote w:id="75">
    <w:p w:rsidR="004C5D88" w:rsidP="004C5D88">
      <w:pPr>
        <w:pStyle w:val="FootnoteText"/>
      </w:pPr>
      <w:r w:rsidRPr="00D57DC2">
        <w:rPr>
          <w:rStyle w:val="FootnoteReference"/>
        </w:rPr>
        <w:footnoteRef/>
      </w:r>
      <w:r>
        <w:t xml:space="preserve"> </w:t>
      </w:r>
      <w:r w:rsidR="006122FE">
        <w:rPr>
          <w:i/>
          <w:iCs/>
        </w:rPr>
        <w:t>Id.</w:t>
      </w:r>
      <w:r>
        <w:rPr>
          <w:i/>
        </w:rPr>
        <w:t xml:space="preserve"> </w:t>
      </w:r>
    </w:p>
  </w:footnote>
  <w:footnote w:id="76">
    <w:p w:rsidR="00886EE1" w:rsidP="00886EE1">
      <w:pPr>
        <w:pStyle w:val="FootnoteText"/>
      </w:pPr>
      <w:r>
        <w:rPr>
          <w:rStyle w:val="FootnoteReference"/>
        </w:rPr>
        <w:footnoteRef/>
      </w:r>
      <w:r>
        <w:t xml:space="preserve"> NYTOs Answer at 3-4.</w:t>
      </w:r>
    </w:p>
  </w:footnote>
  <w:footnote w:id="77">
    <w:p w:rsidR="00886EE1" w:rsidP="00886EE1">
      <w:pPr>
        <w:pStyle w:val="FootnoteText"/>
      </w:pPr>
      <w:r>
        <w:rPr>
          <w:rStyle w:val="FootnoteReference"/>
        </w:rPr>
        <w:footnoteRef/>
      </w:r>
      <w:r>
        <w:t xml:space="preserve"> </w:t>
      </w:r>
      <w:r w:rsidR="006122FE">
        <w:rPr>
          <w:i/>
          <w:iCs/>
        </w:rPr>
        <w:t>Id.</w:t>
      </w:r>
      <w:r>
        <w:rPr>
          <w:i/>
        </w:rPr>
        <w:t xml:space="preserve"> </w:t>
      </w:r>
      <w:r>
        <w:t>at 4 (citing NYTOs Comments at 9</w:t>
      </w:r>
      <w:r w:rsidR="001576CA">
        <w:t>, tbl.</w:t>
      </w:r>
      <w:r>
        <w:t xml:space="preserve"> 3).</w:t>
      </w:r>
    </w:p>
  </w:footnote>
  <w:footnote w:id="78">
    <w:p w:rsidR="00AE3C83" w:rsidRPr="00DA4A2C" w:rsidP="00AE3C83">
      <w:pPr>
        <w:pStyle w:val="FootnoteText"/>
        <w:rPr>
          <w:szCs w:val="26"/>
        </w:rPr>
      </w:pPr>
      <w:r w:rsidRPr="00E115B8">
        <w:rPr>
          <w:rStyle w:val="FootnoteReference"/>
        </w:rPr>
        <w:footnoteRef/>
      </w:r>
      <w:r w:rsidRPr="00DA4A2C">
        <w:rPr>
          <w:szCs w:val="26"/>
        </w:rPr>
        <w:t xml:space="preserve"> </w:t>
      </w:r>
      <w:r>
        <w:rPr>
          <w:szCs w:val="26"/>
        </w:rPr>
        <w:t xml:space="preserve">NYISO, </w:t>
      </w:r>
      <w:r w:rsidR="00E63647">
        <w:rPr>
          <w:szCs w:val="26"/>
        </w:rPr>
        <w:t xml:space="preserve">NYISO Tariffs, </w:t>
      </w:r>
      <w:r w:rsidRPr="00DA4A2C">
        <w:rPr>
          <w:szCs w:val="26"/>
        </w:rPr>
        <w:t>Services Tariff</w:t>
      </w:r>
      <w:r>
        <w:rPr>
          <w:szCs w:val="26"/>
        </w:rPr>
        <w:t>,</w:t>
      </w:r>
      <w:r w:rsidRPr="00DA4A2C">
        <w:rPr>
          <w:szCs w:val="26"/>
        </w:rPr>
        <w:t xml:space="preserve"> </w:t>
      </w:r>
      <w:r>
        <w:rPr>
          <w:szCs w:val="26"/>
        </w:rPr>
        <w:t>§</w:t>
      </w:r>
      <w:r w:rsidRPr="00DA4A2C">
        <w:rPr>
          <w:szCs w:val="26"/>
        </w:rPr>
        <w:t xml:space="preserve"> 5.14.1.2</w:t>
      </w:r>
      <w:r>
        <w:rPr>
          <w:szCs w:val="26"/>
        </w:rPr>
        <w:t>.</w:t>
      </w:r>
    </w:p>
  </w:footnote>
  <w:footnote w:id="79">
    <w:p w:rsidR="00191EF9" w:rsidP="00191EF9">
      <w:pPr>
        <w:pStyle w:val="FootnoteText"/>
      </w:pPr>
      <w:r>
        <w:rPr>
          <w:rStyle w:val="FootnoteReference"/>
        </w:rPr>
        <w:footnoteRef/>
      </w:r>
      <w:r>
        <w:t xml:space="preserve"> </w:t>
      </w:r>
      <w:r w:rsidR="00BC1A5C">
        <w:rPr>
          <w:i/>
          <w:iCs/>
        </w:rPr>
        <w:t xml:space="preserve">See </w:t>
      </w:r>
      <w:r w:rsidRPr="003D490D" w:rsidR="00BC1A5C">
        <w:rPr>
          <w:i/>
          <w:iCs/>
        </w:rPr>
        <w:t>N</w:t>
      </w:r>
      <w:r w:rsidR="00BC1A5C">
        <w:rPr>
          <w:i/>
          <w:iCs/>
        </w:rPr>
        <w:t>.</w:t>
      </w:r>
      <w:r w:rsidRPr="003D490D" w:rsidR="00BC1A5C">
        <w:rPr>
          <w:i/>
          <w:iCs/>
        </w:rPr>
        <w:t>Y</w:t>
      </w:r>
      <w:r w:rsidR="00BC1A5C">
        <w:rPr>
          <w:i/>
          <w:iCs/>
        </w:rPr>
        <w:t>.</w:t>
      </w:r>
      <w:r w:rsidRPr="003D490D" w:rsidR="00BC1A5C">
        <w:rPr>
          <w:i/>
          <w:iCs/>
        </w:rPr>
        <w:t xml:space="preserve"> Indep</w:t>
      </w:r>
      <w:r w:rsidR="00BC1A5C">
        <w:rPr>
          <w:i/>
          <w:iCs/>
        </w:rPr>
        <w:t>.</w:t>
      </w:r>
      <w:r w:rsidRPr="003D490D" w:rsidR="00BC1A5C">
        <w:rPr>
          <w:i/>
          <w:iCs/>
        </w:rPr>
        <w:t xml:space="preserve"> Sys</w:t>
      </w:r>
      <w:r w:rsidR="00BC1A5C">
        <w:rPr>
          <w:i/>
          <w:iCs/>
        </w:rPr>
        <w:t>.</w:t>
      </w:r>
      <w:r w:rsidRPr="003D490D" w:rsidR="00BC1A5C">
        <w:rPr>
          <w:i/>
          <w:iCs/>
        </w:rPr>
        <w:t xml:space="preserve"> Operator, Inc</w:t>
      </w:r>
      <w:r w:rsidRPr="00741252" w:rsidR="00BC1A5C">
        <w:t>., 125 FERC ¶ 61,299 at P 20 (2008)</w:t>
      </w:r>
      <w:r w:rsidR="00BC1A5C">
        <w:t xml:space="preserve">; </w:t>
      </w:r>
      <w:r w:rsidRPr="003D490D" w:rsidR="00BC1A5C">
        <w:rPr>
          <w:i/>
          <w:iCs/>
        </w:rPr>
        <w:t>N</w:t>
      </w:r>
      <w:r w:rsidR="00BC1A5C">
        <w:rPr>
          <w:i/>
          <w:iCs/>
        </w:rPr>
        <w:t>.</w:t>
      </w:r>
      <w:r w:rsidRPr="003D490D" w:rsidR="00BC1A5C">
        <w:rPr>
          <w:i/>
          <w:iCs/>
        </w:rPr>
        <w:t>Y</w:t>
      </w:r>
      <w:r w:rsidR="00BC1A5C">
        <w:rPr>
          <w:i/>
          <w:iCs/>
        </w:rPr>
        <w:t>.</w:t>
      </w:r>
      <w:r w:rsidRPr="003D490D" w:rsidR="00BC1A5C">
        <w:rPr>
          <w:i/>
          <w:iCs/>
        </w:rPr>
        <w:t xml:space="preserve"> Indep</w:t>
      </w:r>
      <w:r w:rsidR="00BC1A5C">
        <w:rPr>
          <w:i/>
          <w:iCs/>
        </w:rPr>
        <w:t>.</w:t>
      </w:r>
      <w:r w:rsidRPr="003D490D" w:rsidR="00BC1A5C">
        <w:rPr>
          <w:i/>
          <w:iCs/>
        </w:rPr>
        <w:t xml:space="preserve"> Sys</w:t>
      </w:r>
      <w:r w:rsidR="00BC1A5C">
        <w:rPr>
          <w:i/>
          <w:iCs/>
        </w:rPr>
        <w:t>.</w:t>
      </w:r>
      <w:r w:rsidRPr="003D490D" w:rsidR="00BC1A5C">
        <w:rPr>
          <w:i/>
          <w:iCs/>
        </w:rPr>
        <w:t xml:space="preserve"> Operator, Inc</w:t>
      </w:r>
      <w:r w:rsidRPr="00741252" w:rsidR="00BC1A5C">
        <w:t xml:space="preserve">, 134 FERC ¶ 61,058 at P 37; </w:t>
      </w:r>
      <w:r w:rsidRPr="000D28A8" w:rsidR="00BC1A5C">
        <w:t>2014-2017 DCR Order,</w:t>
      </w:r>
      <w:r w:rsidR="00BC1A5C">
        <w:t xml:space="preserve"> </w:t>
      </w:r>
      <w:r w:rsidRPr="00DA05B6" w:rsidR="00BC1A5C">
        <w:t xml:space="preserve">146 FERC ¶ 61,043 </w:t>
      </w:r>
      <w:r w:rsidRPr="00741252" w:rsidR="00BC1A5C">
        <w:t>at P 60; 2017-2021 DCR Order</w:t>
      </w:r>
      <w:r w:rsidR="00DE78F3">
        <w:t xml:space="preserve">, </w:t>
      </w:r>
      <w:r w:rsidRPr="00741252" w:rsidR="00BC1A5C">
        <w:t>158 FERC ¶ 61,028 at P 18</w:t>
      </w:r>
      <w:r w:rsidR="00BC1A5C">
        <w:t>.</w:t>
      </w:r>
    </w:p>
  </w:footnote>
  <w:footnote w:id="80">
    <w:p w:rsidR="00852DB8" w:rsidRPr="00291645" w:rsidP="00852DB8">
      <w:pPr>
        <w:pStyle w:val="FootnoteText"/>
      </w:pPr>
      <w:r>
        <w:rPr>
          <w:rStyle w:val="FootnoteReference"/>
        </w:rPr>
        <w:footnoteRef/>
      </w:r>
      <w:r>
        <w:t xml:space="preserve"> AG Aff. ¶ 38.  </w:t>
      </w:r>
    </w:p>
  </w:footnote>
  <w:footnote w:id="81">
    <w:p w:rsidR="007013F9" w:rsidP="007013F9">
      <w:pPr>
        <w:pStyle w:val="FootnoteText"/>
      </w:pPr>
      <w:r>
        <w:rPr>
          <w:rStyle w:val="FootnoteReference"/>
        </w:rPr>
        <w:footnoteRef/>
      </w:r>
      <w:r>
        <w:t xml:space="preserve"> </w:t>
      </w:r>
      <w:r w:rsidRPr="009C280B">
        <w:t>2014-2017 DCR Order</w:t>
      </w:r>
      <w:r>
        <w:t>,</w:t>
      </w:r>
      <w:r w:rsidRPr="00BA6092">
        <w:t xml:space="preserve"> </w:t>
      </w:r>
      <w:r w:rsidRPr="00D21131">
        <w:t>146 FERC ¶ 61,043</w:t>
      </w:r>
      <w:r>
        <w:t xml:space="preserve"> at P 60.</w:t>
      </w:r>
    </w:p>
  </w:footnote>
  <w:footnote w:id="82">
    <w:p w:rsidR="00672F4E" w:rsidRPr="00E63647">
      <w:pPr>
        <w:pStyle w:val="FootnoteText"/>
      </w:pPr>
      <w:r>
        <w:rPr>
          <w:rStyle w:val="FootnoteReference"/>
        </w:rPr>
        <w:footnoteRef/>
      </w:r>
      <w:r>
        <w:t xml:space="preserve"> Transmittal Letter at 12 (citing </w:t>
      </w:r>
      <w:r w:rsidR="00625FB7">
        <w:t>Smith Aff. ¶ 13).</w:t>
      </w:r>
      <w:r w:rsidR="00312843">
        <w:t xml:space="preserve">  </w:t>
      </w:r>
      <w:r w:rsidR="00312843">
        <w:rPr>
          <w:i/>
          <w:iCs/>
        </w:rPr>
        <w:t xml:space="preserve">See </w:t>
      </w:r>
      <w:r w:rsidR="00312843">
        <w:t>NYISO, Services Tariff</w:t>
      </w:r>
      <w:r w:rsidR="001578F9">
        <w:t>,</w:t>
      </w:r>
      <w:r w:rsidR="00312843">
        <w:t xml:space="preserve"> </w:t>
      </w:r>
      <w:r w:rsidR="007B790F">
        <w:t xml:space="preserve">  </w:t>
      </w:r>
      <w:r w:rsidR="00312843">
        <w:rPr>
          <w:szCs w:val="26"/>
        </w:rPr>
        <w:t>§</w:t>
      </w:r>
      <w:r w:rsidR="00EA0F96">
        <w:rPr>
          <w:szCs w:val="26"/>
        </w:rPr>
        <w:t xml:space="preserve"> </w:t>
      </w:r>
      <w:r w:rsidRPr="00EA0F96" w:rsidR="00EA0F96">
        <w:rPr>
          <w:szCs w:val="26"/>
        </w:rPr>
        <w:t>5.12</w:t>
      </w:r>
      <w:r w:rsidR="00EA0F96">
        <w:rPr>
          <w:szCs w:val="26"/>
        </w:rPr>
        <w:t>.</w:t>
      </w:r>
      <w:r w:rsidR="00550F79">
        <w:rPr>
          <w:szCs w:val="26"/>
        </w:rPr>
        <w:t>1 (</w:t>
      </w:r>
      <w:r w:rsidRPr="00550F79" w:rsidR="00550F79">
        <w:rPr>
          <w:szCs w:val="26"/>
        </w:rPr>
        <w:t>Installed Capacity Supplier Qualification Requirement</w:t>
      </w:r>
      <w:r w:rsidR="00550F79">
        <w:rPr>
          <w:szCs w:val="26"/>
        </w:rPr>
        <w:t xml:space="preserve">s). </w:t>
      </w:r>
    </w:p>
  </w:footnote>
  <w:footnote w:id="83">
    <w:p w:rsidR="001319F8" w:rsidP="001319F8">
      <w:pPr>
        <w:pStyle w:val="FootnoteText"/>
      </w:pPr>
      <w:r>
        <w:rPr>
          <w:rStyle w:val="FootnoteReference"/>
        </w:rPr>
        <w:footnoteRef/>
      </w:r>
      <w:r>
        <w:t xml:space="preserve"> </w:t>
      </w:r>
      <w:r>
        <w:rPr>
          <w:i/>
          <w:iCs/>
        </w:rPr>
        <w:t xml:space="preserve">See N.Y. </w:t>
      </w:r>
      <w:r w:rsidRPr="004E77E4">
        <w:rPr>
          <w:i/>
          <w:iCs/>
        </w:rPr>
        <w:t>Indep</w:t>
      </w:r>
      <w:r>
        <w:rPr>
          <w:i/>
          <w:iCs/>
        </w:rPr>
        <w:t xml:space="preserve">. </w:t>
      </w:r>
      <w:r w:rsidRPr="004E77E4">
        <w:rPr>
          <w:i/>
          <w:iCs/>
        </w:rPr>
        <w:t>Sys</w:t>
      </w:r>
      <w:r>
        <w:rPr>
          <w:i/>
          <w:iCs/>
        </w:rPr>
        <w:t>.</w:t>
      </w:r>
      <w:r w:rsidRPr="004E77E4">
        <w:rPr>
          <w:i/>
          <w:iCs/>
        </w:rPr>
        <w:t xml:space="preserve"> Operator, Inc.</w:t>
      </w:r>
      <w:r>
        <w:t>,</w:t>
      </w:r>
      <w:r w:rsidRPr="001967CD">
        <w:t xml:space="preserve"> 179 FERC ¶ 61,102</w:t>
      </w:r>
      <w:r>
        <w:t>.</w:t>
      </w:r>
    </w:p>
  </w:footnote>
  <w:footnote w:id="84">
    <w:p w:rsidR="0087328F">
      <w:pPr>
        <w:pStyle w:val="FootnoteText"/>
      </w:pPr>
      <w:r>
        <w:rPr>
          <w:rStyle w:val="FootnoteReference"/>
        </w:rPr>
        <w:footnoteRef/>
      </w:r>
      <w:r>
        <w:t xml:space="preserve"> </w:t>
      </w:r>
      <w:r w:rsidR="00D83CFC">
        <w:t>Transmittal</w:t>
      </w:r>
      <w:r w:rsidR="00B14C8B">
        <w:t xml:space="preserve"> Letter</w:t>
      </w:r>
      <w:r w:rsidR="00D83CFC">
        <w:t xml:space="preserve"> at 2-3.</w:t>
      </w:r>
    </w:p>
  </w:footnote>
  <w:footnote w:id="85">
    <w:p w:rsidR="00482BE7">
      <w:pPr>
        <w:pStyle w:val="FootnoteText"/>
      </w:pPr>
      <w:r>
        <w:rPr>
          <w:rStyle w:val="FootnoteReference"/>
        </w:rPr>
        <w:footnoteRef/>
      </w:r>
      <w:r>
        <w:t xml:space="preserve"> </w:t>
      </w:r>
      <w:r w:rsidR="00385916">
        <w:rPr>
          <w:i/>
          <w:iCs/>
        </w:rPr>
        <w:t>See</w:t>
      </w:r>
      <w:r>
        <w:rPr>
          <w:i/>
        </w:rPr>
        <w:t xml:space="preserve"> </w:t>
      </w:r>
      <w:r>
        <w:t xml:space="preserve">2017-2021 DCR </w:t>
      </w:r>
      <w:r w:rsidRPr="004D78FD">
        <w:t>Order</w:t>
      </w:r>
      <w:r>
        <w:t xml:space="preserve">, </w:t>
      </w:r>
      <w:r w:rsidRPr="00416266">
        <w:t>158 FERC ¶ 61,028</w:t>
      </w:r>
      <w:r w:rsidRPr="004D78FD">
        <w:t xml:space="preserve"> </w:t>
      </w:r>
      <w:r>
        <w:t xml:space="preserve">at </w:t>
      </w:r>
      <w:r w:rsidR="00393A9C">
        <w:t xml:space="preserve">PP </w:t>
      </w:r>
      <w:r>
        <w:t>19, 65.</w:t>
      </w:r>
    </w:p>
  </w:footnote>
  <w:footnote w:id="86">
    <w:p w:rsidR="00413F4C" w:rsidP="00413F4C">
      <w:pPr>
        <w:pStyle w:val="FootnoteText"/>
      </w:pPr>
      <w:r>
        <w:rPr>
          <w:rStyle w:val="FootnoteReference"/>
        </w:rPr>
        <w:footnoteRef/>
      </w:r>
      <w:r>
        <w:t xml:space="preserve"> Transmittal Letter at 9, 20.</w:t>
      </w:r>
    </w:p>
  </w:footnote>
  <w:footnote w:id="87">
    <w:p w:rsidR="00413F4C" w:rsidP="00413F4C">
      <w:pPr>
        <w:pStyle w:val="FootnoteText"/>
      </w:pPr>
      <w:r>
        <w:rPr>
          <w:rStyle w:val="FootnoteReference"/>
        </w:rPr>
        <w:footnoteRef/>
      </w:r>
      <w:r>
        <w:t xml:space="preserve"> </w:t>
      </w:r>
      <w:r w:rsidR="003D15E4">
        <w:rPr>
          <w:i/>
          <w:iCs/>
        </w:rPr>
        <w:t>Id.</w:t>
      </w:r>
      <w:r>
        <w:rPr>
          <w:i/>
        </w:rPr>
        <w:t xml:space="preserve"> </w:t>
      </w:r>
      <w:r>
        <w:t>at 9.</w:t>
      </w:r>
    </w:p>
  </w:footnote>
  <w:footnote w:id="88">
    <w:p w:rsidR="00BC7D79">
      <w:pPr>
        <w:pStyle w:val="FootnoteText"/>
      </w:pPr>
      <w:r>
        <w:rPr>
          <w:rStyle w:val="FootnoteReference"/>
        </w:rPr>
        <w:footnoteRef/>
      </w:r>
      <w:r>
        <w:t xml:space="preserve"> </w:t>
      </w:r>
      <w:r w:rsidR="00E43D05">
        <w:rPr>
          <w:i/>
          <w:iCs/>
        </w:rPr>
        <w:t>Id.</w:t>
      </w:r>
      <w:r>
        <w:rPr>
          <w:i/>
        </w:rPr>
        <w:t xml:space="preserve"> </w:t>
      </w:r>
      <w:r>
        <w:t>at 19.</w:t>
      </w:r>
    </w:p>
  </w:footnote>
  <w:footnote w:id="89">
    <w:p w:rsidR="00413F4C" w:rsidP="00413F4C">
      <w:pPr>
        <w:pStyle w:val="FootnoteText"/>
      </w:pPr>
      <w:r>
        <w:rPr>
          <w:rStyle w:val="FootnoteReference"/>
        </w:rPr>
        <w:footnoteRef/>
      </w:r>
      <w:r>
        <w:t xml:space="preserve"> </w:t>
      </w:r>
      <w:r w:rsidR="00E622CF">
        <w:rPr>
          <w:i/>
          <w:iCs/>
        </w:rPr>
        <w:t>Id.</w:t>
      </w:r>
      <w:r>
        <w:rPr>
          <w:i/>
        </w:rPr>
        <w:t xml:space="preserve"> </w:t>
      </w:r>
      <w:r>
        <w:t xml:space="preserve">at 20. </w:t>
      </w:r>
    </w:p>
  </w:footnote>
  <w:footnote w:id="90">
    <w:p w:rsidR="00413F4C" w:rsidP="00413F4C">
      <w:pPr>
        <w:pStyle w:val="FootnoteText"/>
      </w:pPr>
      <w:r>
        <w:rPr>
          <w:rStyle w:val="FootnoteReference"/>
        </w:rPr>
        <w:footnoteRef/>
      </w:r>
      <w:r>
        <w:t xml:space="preserve"> </w:t>
      </w:r>
      <w:r w:rsidR="007767FE">
        <w:rPr>
          <w:i/>
          <w:iCs/>
        </w:rPr>
        <w:t>Id.</w:t>
      </w:r>
      <w:r>
        <w:rPr>
          <w:i/>
        </w:rPr>
        <w:t xml:space="preserve"> </w:t>
      </w:r>
      <w:r>
        <w:t xml:space="preserve">at 22.  </w:t>
      </w:r>
    </w:p>
  </w:footnote>
  <w:footnote w:id="91">
    <w:p w:rsidR="00413F4C" w:rsidP="00413F4C">
      <w:pPr>
        <w:pStyle w:val="FootnoteText"/>
      </w:pPr>
      <w:r w:rsidRPr="00E115B8">
        <w:rPr>
          <w:rStyle w:val="FootnoteReference"/>
        </w:rPr>
        <w:footnoteRef/>
      </w:r>
      <w:r>
        <w:t xml:space="preserve"> </w:t>
      </w:r>
      <w:r w:rsidR="00EB0CDB">
        <w:rPr>
          <w:i/>
          <w:iCs/>
        </w:rPr>
        <w:t>Id.</w:t>
      </w:r>
      <w:r>
        <w:rPr>
          <w:i/>
        </w:rPr>
        <w:t xml:space="preserve"> </w:t>
      </w:r>
      <w:r>
        <w:t>at 20.</w:t>
      </w:r>
    </w:p>
  </w:footnote>
  <w:footnote w:id="92">
    <w:p w:rsidR="000375CE" w:rsidP="000375CE">
      <w:pPr>
        <w:pStyle w:val="FootnoteText"/>
      </w:pPr>
      <w:r w:rsidRPr="00E115B8">
        <w:rPr>
          <w:rStyle w:val="FootnoteReference"/>
        </w:rPr>
        <w:footnoteRef/>
      </w:r>
      <w:r>
        <w:t xml:space="preserve"> </w:t>
      </w:r>
      <w:r>
        <w:rPr>
          <w:i/>
          <w:iCs/>
        </w:rPr>
        <w:t xml:space="preserve">Id. </w:t>
      </w:r>
      <w:r>
        <w:t xml:space="preserve">at 22.  </w:t>
      </w:r>
      <w:r>
        <w:rPr>
          <w:i/>
          <w:iCs/>
        </w:rPr>
        <w:t xml:space="preserve">See also </w:t>
      </w:r>
      <w:r>
        <w:t xml:space="preserve">Smith Aff., Ex. B.  </w:t>
      </w:r>
      <w:r w:rsidRPr="00FB25B5">
        <w:t>Specifically, NYISO reviewed four scenarios:  (1) the expected system for the current 2024/2025 Capability Year that was used to calculate the currently effective CAFs used for the UCAP reference point prices for this DCR</w:t>
      </w:r>
      <w:r w:rsidRPr="00FB25B5" w:rsidR="00EB0EC9">
        <w:t>;</w:t>
      </w:r>
      <w:r w:rsidRPr="00FB25B5">
        <w:t xml:space="preserve"> (2) the current system using the 2024/2025 Installed Reserve Margin base case with the addition of the Champlain Hudson Power Express transmission line and incremental renewables and storage additions to inform the potential trajectory of CAFs over the DCR period</w:t>
      </w:r>
      <w:r w:rsidRPr="00FB25B5" w:rsidR="00EB0EC9">
        <w:t>;</w:t>
      </w:r>
      <w:r w:rsidRPr="00FB25B5">
        <w:t xml:space="preserve"> (3) the draft base case for year 2030 of the 2024 Reliability Needs Assessment, which has modest incremental renewables and storage additions</w:t>
      </w:r>
      <w:r w:rsidRPr="00FB25B5" w:rsidR="00530C66">
        <w:t>;</w:t>
      </w:r>
      <w:r w:rsidRPr="00FB25B5">
        <w:t xml:space="preserve"> and (4) a resource fleet that could meet the 70% renewable energy by 2030 requirement established by the CLCPA.</w:t>
      </w:r>
      <w:r w:rsidRPr="00FB25B5" w:rsidR="00B80A60">
        <w:t xml:space="preserve"> </w:t>
      </w:r>
      <w:r w:rsidRPr="00FB25B5">
        <w:rPr>
          <w:b/>
          <w:vertAlign w:val="superscript"/>
        </w:rPr>
        <w:t xml:space="preserve"> </w:t>
      </w:r>
      <w:r w:rsidRPr="00FB25B5">
        <w:t>Smith Aff., Ex. B at 62-63</w:t>
      </w:r>
      <w:r>
        <w:t>.</w:t>
      </w:r>
    </w:p>
  </w:footnote>
  <w:footnote w:id="93">
    <w:p w:rsidR="00413F4C" w:rsidP="00413F4C">
      <w:pPr>
        <w:pStyle w:val="FootnoteText"/>
      </w:pPr>
      <w:r w:rsidRPr="00E115B8">
        <w:rPr>
          <w:rStyle w:val="FootnoteReference"/>
        </w:rPr>
        <w:footnoteRef/>
      </w:r>
      <w:r>
        <w:t xml:space="preserve"> </w:t>
      </w:r>
      <w:r w:rsidR="00C02312">
        <w:t>Transmittal Letter</w:t>
      </w:r>
      <w:r>
        <w:rPr>
          <w:i/>
        </w:rPr>
        <w:t xml:space="preserve"> </w:t>
      </w:r>
      <w:r>
        <w:t xml:space="preserve">at 20.  The results of the CAF sensitivity analysis (of NYISO’s various scenarios) predict that </w:t>
      </w:r>
      <w:r w:rsidR="000A5BD8">
        <w:t>R</w:t>
      </w:r>
      <w:r>
        <w:t xml:space="preserve">est of </w:t>
      </w:r>
      <w:r w:rsidR="000A5BD8">
        <w:t>S</w:t>
      </w:r>
      <w:r>
        <w:t xml:space="preserve">tate CAFs for 2-hour BESS range from 36% to 68% in </w:t>
      </w:r>
      <w:r w:rsidR="000A5BD8">
        <w:t>R</w:t>
      </w:r>
      <w:r>
        <w:t xml:space="preserve">est of </w:t>
      </w:r>
      <w:r w:rsidR="000A5BD8">
        <w:t>S</w:t>
      </w:r>
      <w:r>
        <w:t xml:space="preserve">tate zones, and from 25% to 67% in New York City zone. </w:t>
      </w:r>
      <w:r w:rsidRPr="009D6AEA">
        <w:t xml:space="preserve"> </w:t>
      </w:r>
      <w:r>
        <w:t>Smith Aff., Ex. B.</w:t>
      </w:r>
    </w:p>
  </w:footnote>
  <w:footnote w:id="94">
    <w:p w:rsidR="00413F4C" w:rsidP="00413F4C">
      <w:pPr>
        <w:pStyle w:val="FootnoteText"/>
      </w:pPr>
      <w:r w:rsidRPr="00E115B8">
        <w:rPr>
          <w:rStyle w:val="FootnoteReference"/>
        </w:rPr>
        <w:footnoteRef/>
      </w:r>
      <w:r>
        <w:t xml:space="preserve"> </w:t>
      </w:r>
      <w:r w:rsidR="00DC26A5">
        <w:rPr>
          <w:i/>
          <w:iCs/>
        </w:rPr>
        <w:t>Id.</w:t>
      </w:r>
      <w:r>
        <w:rPr>
          <w:i/>
        </w:rPr>
        <w:t xml:space="preserve"> </w:t>
      </w:r>
      <w:r>
        <w:t>at 21, 25.</w:t>
      </w:r>
    </w:p>
  </w:footnote>
  <w:footnote w:id="95">
    <w:p w:rsidR="00413F4C" w:rsidRPr="00064F37" w:rsidP="00413F4C">
      <w:pPr>
        <w:pStyle w:val="FootnoteText"/>
      </w:pPr>
      <w:r>
        <w:rPr>
          <w:rStyle w:val="FootnoteReference"/>
        </w:rPr>
        <w:footnoteRef/>
      </w:r>
      <w:r>
        <w:t xml:space="preserve"> </w:t>
      </w:r>
      <w:r w:rsidR="00E17F4B">
        <w:rPr>
          <w:i/>
          <w:iCs/>
        </w:rPr>
        <w:t>Id.</w:t>
      </w:r>
      <w:r>
        <w:rPr>
          <w:i/>
        </w:rPr>
        <w:t xml:space="preserve"> </w:t>
      </w:r>
      <w:r w:rsidRPr="00D0427B">
        <w:t>at 23.</w:t>
      </w:r>
    </w:p>
  </w:footnote>
  <w:footnote w:id="96">
    <w:p w:rsidR="00413F4C" w:rsidP="00413F4C">
      <w:pPr>
        <w:pStyle w:val="FootnoteText"/>
      </w:pPr>
      <w:r>
        <w:rPr>
          <w:rStyle w:val="FootnoteReference"/>
        </w:rPr>
        <w:footnoteRef/>
      </w:r>
      <w:r>
        <w:t xml:space="preserve"> </w:t>
      </w:r>
      <w:r w:rsidRPr="00574B70">
        <w:t>MMU</w:t>
      </w:r>
      <w:r>
        <w:t xml:space="preserve"> Protest at 4; IPPNY Protest at 19.</w:t>
      </w:r>
    </w:p>
  </w:footnote>
  <w:footnote w:id="97">
    <w:p w:rsidR="00413F4C" w:rsidP="00413F4C">
      <w:pPr>
        <w:pStyle w:val="FootnoteText"/>
      </w:pPr>
      <w:r>
        <w:rPr>
          <w:rStyle w:val="FootnoteReference"/>
        </w:rPr>
        <w:footnoteRef/>
      </w:r>
      <w:r>
        <w:t xml:space="preserve"> </w:t>
      </w:r>
      <w:r w:rsidRPr="00574B70">
        <w:t>MMU</w:t>
      </w:r>
      <w:r>
        <w:t xml:space="preserve"> Protest at 5. </w:t>
      </w:r>
    </w:p>
  </w:footnote>
  <w:footnote w:id="98">
    <w:p w:rsidR="00413F4C" w:rsidP="00413F4C">
      <w:pPr>
        <w:pStyle w:val="FootnoteText"/>
      </w:pPr>
      <w:r>
        <w:rPr>
          <w:rStyle w:val="FootnoteReference"/>
        </w:rPr>
        <w:footnoteRef/>
      </w:r>
      <w:r>
        <w:t xml:space="preserve"> </w:t>
      </w:r>
      <w:r w:rsidR="000A0B2B">
        <w:rPr>
          <w:i/>
          <w:iCs/>
        </w:rPr>
        <w:t>Id.</w:t>
      </w:r>
      <w:r>
        <w:rPr>
          <w:i/>
        </w:rPr>
        <w:t xml:space="preserve">  </w:t>
      </w:r>
      <w:r>
        <w:t>MMU adds that as battery storage penetration increases</w:t>
      </w:r>
      <w:r w:rsidR="0012412C">
        <w:t>,</w:t>
      </w:r>
      <w:r w:rsidRPr="00387876">
        <w:t xml:space="preserve"> longer duration batteries will be needed to achieve the same marginal capacity value</w:t>
      </w:r>
      <w:r>
        <w:t xml:space="preserve">.  </w:t>
      </w:r>
    </w:p>
  </w:footnote>
  <w:footnote w:id="99">
    <w:p w:rsidR="00413F4C" w:rsidP="00413F4C">
      <w:pPr>
        <w:pStyle w:val="FootnoteText"/>
      </w:pPr>
      <w:r>
        <w:rPr>
          <w:rStyle w:val="FootnoteReference"/>
        </w:rPr>
        <w:footnoteRef/>
      </w:r>
      <w:r>
        <w:t xml:space="preserve"> </w:t>
      </w:r>
      <w:r>
        <w:rPr>
          <w:i/>
          <w:iCs/>
        </w:rPr>
        <w:t>Id</w:t>
      </w:r>
      <w:r>
        <w:t>.</w:t>
      </w:r>
    </w:p>
  </w:footnote>
  <w:footnote w:id="100">
    <w:p w:rsidR="00413F4C" w:rsidP="00413F4C">
      <w:pPr>
        <w:pStyle w:val="FootnoteText"/>
      </w:pPr>
      <w:r>
        <w:rPr>
          <w:rStyle w:val="FootnoteReference"/>
        </w:rPr>
        <w:footnoteRef/>
      </w:r>
      <w:r>
        <w:t xml:space="preserve"> IPPNY Protest at 21, 23.  IPPNY states that the preliminary 2025/2026 6- and </w:t>
      </w:r>
      <w:r w:rsidR="007B790F">
        <w:t xml:space="preserve">  </w:t>
      </w:r>
      <w:r>
        <w:t xml:space="preserve">8-hour BESS CAF values deviated no more than 3% compared to the 2024/2025 CAF values.  </w:t>
      </w:r>
      <w:r w:rsidR="00BC5817">
        <w:rPr>
          <w:i/>
          <w:iCs/>
        </w:rPr>
        <w:t xml:space="preserve">Id. </w:t>
      </w:r>
      <w:r>
        <w:t>at 21.</w:t>
      </w:r>
    </w:p>
  </w:footnote>
  <w:footnote w:id="101">
    <w:p w:rsidR="00413F4C" w:rsidRPr="004C13DE" w:rsidP="00413F4C">
      <w:pPr>
        <w:pStyle w:val="FootnoteText"/>
      </w:pPr>
      <w:r>
        <w:rPr>
          <w:rStyle w:val="FootnoteReference"/>
        </w:rPr>
        <w:footnoteRef/>
      </w:r>
      <w:r>
        <w:t xml:space="preserve"> </w:t>
      </w:r>
      <w:r w:rsidRPr="00574B70">
        <w:t>MMU</w:t>
      </w:r>
      <w:r>
        <w:t xml:space="preserve"> Protest at 6.  New York has a target of 6,000 MW battery storage operating by 2030 with 1,500 MW deployed by 2025.  There are 1.8 GW of battery projects that have completed a NYISO Class Year interconnection study and accepted transmission upgrade cost allocations.  </w:t>
      </w:r>
      <w:r w:rsidR="009D69C3">
        <w:rPr>
          <w:i/>
          <w:iCs/>
        </w:rPr>
        <w:t>Id.</w:t>
      </w:r>
      <w:r w:rsidR="004C13DE">
        <w:rPr>
          <w:i/>
        </w:rPr>
        <w:t xml:space="preserve"> </w:t>
      </w:r>
      <w:r w:rsidR="004C13DE">
        <w:t xml:space="preserve"> </w:t>
      </w:r>
      <w:r w:rsidR="004C13DE">
        <w:rPr>
          <w:i/>
          <w:iCs/>
        </w:rPr>
        <w:t xml:space="preserve">See also </w:t>
      </w:r>
      <w:r w:rsidR="004C13DE">
        <w:t xml:space="preserve">IPPNY Protest, </w:t>
      </w:r>
      <w:r w:rsidR="00B651F1">
        <w:t>Ex. B</w:t>
      </w:r>
      <w:r w:rsidR="004C13DE">
        <w:t xml:space="preserve">, </w:t>
      </w:r>
      <w:r w:rsidRPr="0007163B" w:rsidR="00BE482C">
        <w:t>Affidavit of RJ Arsenault and Fengrong Li</w:t>
      </w:r>
      <w:r w:rsidR="00BE482C">
        <w:t xml:space="preserve"> </w:t>
      </w:r>
      <w:r w:rsidR="007850D8">
        <w:t>(</w:t>
      </w:r>
      <w:r w:rsidR="00827B73">
        <w:t>Arsenault Aff.</w:t>
      </w:r>
      <w:r w:rsidR="00FC552B">
        <w:t>)</w:t>
      </w:r>
      <w:r w:rsidR="00BE482C">
        <w:t xml:space="preserve"> ¶ 40.</w:t>
      </w:r>
    </w:p>
  </w:footnote>
  <w:footnote w:id="102">
    <w:p w:rsidR="00413F4C" w:rsidRPr="0087159B" w:rsidP="00413F4C">
      <w:pPr>
        <w:pStyle w:val="FootnoteText"/>
      </w:pPr>
      <w:r w:rsidRPr="007557B8">
        <w:rPr>
          <w:rStyle w:val="FootnoteReference"/>
        </w:rPr>
        <w:footnoteRef/>
      </w:r>
      <w:r>
        <w:t xml:space="preserve"> </w:t>
      </w:r>
      <w:r w:rsidRPr="00574B70">
        <w:t>MMU</w:t>
      </w:r>
      <w:r>
        <w:t xml:space="preserve"> Protest at 6-7.  </w:t>
      </w:r>
    </w:p>
  </w:footnote>
  <w:footnote w:id="103">
    <w:p w:rsidR="00413F4C" w:rsidRPr="000E3D78" w:rsidP="00413F4C">
      <w:pPr>
        <w:pStyle w:val="FootnoteText"/>
      </w:pPr>
      <w:r>
        <w:rPr>
          <w:rStyle w:val="FootnoteReference"/>
        </w:rPr>
        <w:footnoteRef/>
      </w:r>
      <w:r>
        <w:t xml:space="preserve"> </w:t>
      </w:r>
      <w:r>
        <w:rPr>
          <w:i/>
          <w:iCs/>
        </w:rPr>
        <w:t xml:space="preserve">Id. </w:t>
      </w:r>
      <w:r>
        <w:t xml:space="preserve">at 8-9.  </w:t>
      </w:r>
      <w:r w:rsidRPr="00574B70">
        <w:t>MMU</w:t>
      </w:r>
      <w:r>
        <w:t xml:space="preserve"> states that for the pessimistic CAF trajectory, </w:t>
      </w:r>
      <w:r w:rsidRPr="00574B70">
        <w:t>MMU</w:t>
      </w:r>
      <w:r>
        <w:t xml:space="preserve"> models </w:t>
      </w:r>
      <w:r w:rsidRPr="00BD65D4">
        <w:t xml:space="preserve">severe winter cold snap events, resulting in lower </w:t>
      </w:r>
      <w:r>
        <w:t>BESS</w:t>
      </w:r>
      <w:r w:rsidRPr="00BD65D4">
        <w:t xml:space="preserve"> CAFs due to inability to recharge during prolonged cold events that stress the system</w:t>
      </w:r>
      <w:r>
        <w:t xml:space="preserve">.  </w:t>
      </w:r>
      <w:r>
        <w:rPr>
          <w:i/>
          <w:iCs/>
        </w:rPr>
        <w:t xml:space="preserve">Id. </w:t>
      </w:r>
      <w:r>
        <w:t>at 8 n.12.</w:t>
      </w:r>
    </w:p>
  </w:footnote>
  <w:footnote w:id="104">
    <w:p w:rsidR="00413F4C" w:rsidP="00413F4C">
      <w:pPr>
        <w:pStyle w:val="FootnoteText"/>
      </w:pPr>
      <w:r>
        <w:rPr>
          <w:rStyle w:val="FootnoteReference"/>
        </w:rPr>
        <w:footnoteRef/>
      </w:r>
      <w:r>
        <w:t xml:space="preserve"> </w:t>
      </w:r>
      <w:r>
        <w:rPr>
          <w:i/>
          <w:iCs/>
        </w:rPr>
        <w:t>Id.</w:t>
      </w:r>
      <w:r>
        <w:t xml:space="preserve"> at 9.</w:t>
      </w:r>
    </w:p>
  </w:footnote>
  <w:footnote w:id="105">
    <w:p w:rsidR="00413F4C" w:rsidP="00413F4C">
      <w:pPr>
        <w:pStyle w:val="FootnoteText"/>
      </w:pPr>
      <w:r>
        <w:rPr>
          <w:rStyle w:val="FootnoteReference"/>
        </w:rPr>
        <w:footnoteRef/>
      </w:r>
      <w:r>
        <w:t xml:space="preserve"> </w:t>
      </w:r>
      <w:r w:rsidR="00204FD3">
        <w:rPr>
          <w:i/>
          <w:iCs/>
        </w:rPr>
        <w:t>Id.</w:t>
      </w:r>
      <w:r>
        <w:rPr>
          <w:i/>
        </w:rPr>
        <w:t xml:space="preserve"> </w:t>
      </w:r>
      <w:r>
        <w:t>at 10-11</w:t>
      </w:r>
      <w:r w:rsidR="00625BC8">
        <w:t>, 22-23</w:t>
      </w:r>
      <w:r>
        <w:t xml:space="preserve">. </w:t>
      </w:r>
      <w:r w:rsidR="004B342C">
        <w:t xml:space="preserve"> </w:t>
      </w:r>
      <w:r w:rsidR="00973DA8">
        <w:t xml:space="preserve">While the MMU references </w:t>
      </w:r>
      <w:r w:rsidRPr="00FB25B5" w:rsidR="002609B7">
        <w:t xml:space="preserve">scenarios </w:t>
      </w:r>
      <w:r w:rsidR="00973DA8">
        <w:t xml:space="preserve">set forth </w:t>
      </w:r>
      <w:r w:rsidRPr="00FB25B5" w:rsidR="002609B7">
        <w:t xml:space="preserve">in </w:t>
      </w:r>
      <w:r w:rsidRPr="00FB25B5" w:rsidR="00F35524">
        <w:t>NYISO’s 2023 System &amp; Resource Outlook</w:t>
      </w:r>
      <w:r w:rsidRPr="00FB25B5" w:rsidR="004B4B74">
        <w:t xml:space="preserve"> that </w:t>
      </w:r>
      <w:r w:rsidRPr="00FB25B5" w:rsidR="00B460EB">
        <w:t>retrofit</w:t>
      </w:r>
      <w:r w:rsidR="00973DA8">
        <w:t>ted</w:t>
      </w:r>
      <w:r w:rsidRPr="00FB25B5" w:rsidR="00B460EB">
        <w:t xml:space="preserve"> hydrogen </w:t>
      </w:r>
      <w:r w:rsidRPr="00FB25B5" w:rsidR="00A17BAA">
        <w:t xml:space="preserve">combustion generators would </w:t>
      </w:r>
      <w:r w:rsidRPr="00FB25B5" w:rsidR="00EF4282">
        <w:t xml:space="preserve">meet </w:t>
      </w:r>
      <w:r w:rsidRPr="00FB25B5" w:rsidR="00B03DFB">
        <w:t>New York State’s</w:t>
      </w:r>
      <w:r w:rsidRPr="00FB25B5" w:rsidR="00EF4282">
        <w:t xml:space="preserve"> need for renewables and storage, </w:t>
      </w:r>
      <w:r w:rsidR="00973DA8">
        <w:t xml:space="preserve">it </w:t>
      </w:r>
      <w:r w:rsidRPr="00FB25B5" w:rsidR="001E1FB9">
        <w:t xml:space="preserve">offers </w:t>
      </w:r>
      <w:r w:rsidRPr="00FB25B5" w:rsidR="00EF4282">
        <w:t xml:space="preserve">little </w:t>
      </w:r>
      <w:r w:rsidR="00973DA8">
        <w:t xml:space="preserve">additional </w:t>
      </w:r>
      <w:r w:rsidRPr="00FB25B5" w:rsidR="00EF4282">
        <w:t xml:space="preserve">detail </w:t>
      </w:r>
      <w:r w:rsidR="00973DA8">
        <w:t xml:space="preserve">concerning the </w:t>
      </w:r>
      <w:r w:rsidRPr="00FB25B5" w:rsidR="001E1FB9">
        <w:t>proposed retrofit option</w:t>
      </w:r>
      <w:r w:rsidRPr="00FB25B5" w:rsidR="00EF4282">
        <w:t xml:space="preserve">.  </w:t>
      </w:r>
      <w:r w:rsidRPr="00FB25B5" w:rsidR="00EF4282">
        <w:rPr>
          <w:i/>
          <w:iCs/>
        </w:rPr>
        <w:t>Id</w:t>
      </w:r>
      <w:r w:rsidRPr="00FB25B5" w:rsidR="00890B0E">
        <w:rPr>
          <w:i/>
          <w:iCs/>
        </w:rPr>
        <w:t>.</w:t>
      </w:r>
      <w:r w:rsidRPr="00FB25B5" w:rsidR="00EF4282">
        <w:t xml:space="preserve"> P 20.  </w:t>
      </w:r>
      <w:r w:rsidRPr="00FB25B5" w:rsidR="00734B0B">
        <w:t xml:space="preserve">MMU </w:t>
      </w:r>
      <w:r w:rsidRPr="00FB25B5" w:rsidR="00EF4282">
        <w:t>states</w:t>
      </w:r>
      <w:r w:rsidRPr="00FB25B5" w:rsidR="0070310C">
        <w:t xml:space="preserve"> that “[i]t is not necessary to </w:t>
      </w:r>
      <w:r w:rsidRPr="00FB25B5" w:rsidR="00365DE1">
        <w:t>determine</w:t>
      </w:r>
      <w:r w:rsidRPr="00FB25B5" w:rsidR="0070310C">
        <w:t xml:space="preserve"> at present what the specific future retrofit costs would be since it can be assumed that whatever revenues eventually become available</w:t>
      </w:r>
      <w:r w:rsidRPr="00FB25B5" w:rsidR="007A2FB1">
        <w:t xml:space="preserve"> will also be available to a </w:t>
      </w:r>
      <w:r w:rsidRPr="00FB25B5" w:rsidR="008423A8">
        <w:t>[combustion turbine]</w:t>
      </w:r>
      <w:r w:rsidRPr="00FB25B5" w:rsidR="007A2FB1">
        <w:t xml:space="preserve"> built in the next four years.”</w:t>
      </w:r>
      <w:r w:rsidRPr="00FB25B5" w:rsidR="00760A62">
        <w:t xml:space="preserve">  </w:t>
      </w:r>
      <w:r w:rsidRPr="00FB25B5" w:rsidR="008423A8">
        <w:rPr>
          <w:i/>
          <w:iCs/>
        </w:rPr>
        <w:t>Id</w:t>
      </w:r>
      <w:r w:rsidRPr="00FB25B5" w:rsidR="008423A8">
        <w:t xml:space="preserve">. </w:t>
      </w:r>
      <w:r w:rsidRPr="00FB25B5" w:rsidR="005313B9">
        <w:t xml:space="preserve">at 22-23.  </w:t>
      </w:r>
      <w:r w:rsidRPr="00FB25B5" w:rsidR="00760A62">
        <w:t>MMU explains that this means th</w:t>
      </w:r>
      <w:r w:rsidRPr="00FB25B5" w:rsidR="008423A8">
        <w:t>at</w:t>
      </w:r>
      <w:r w:rsidRPr="00FB25B5" w:rsidR="00760A62">
        <w:t xml:space="preserve"> high co</w:t>
      </w:r>
      <w:r w:rsidRPr="00FB25B5" w:rsidR="008423A8">
        <w:t>s</w:t>
      </w:r>
      <w:r w:rsidRPr="00FB25B5" w:rsidR="00365DE1">
        <w:t>t</w:t>
      </w:r>
      <w:r w:rsidRPr="00FB25B5" w:rsidR="00760A62">
        <w:t>s associated with hydrogen storage are not relevant</w:t>
      </w:r>
      <w:r w:rsidRPr="00FB25B5" w:rsidR="00365DE1">
        <w:t xml:space="preserve"> and that any impact on the </w:t>
      </w:r>
      <w:r w:rsidRPr="00FB25B5" w:rsidR="008423A8">
        <w:t>combustion turbine’s</w:t>
      </w:r>
      <w:r w:rsidRPr="00FB25B5" w:rsidR="00365DE1">
        <w:t xml:space="preserve"> net energy and </w:t>
      </w:r>
      <w:r w:rsidRPr="00FB25B5" w:rsidR="008423A8">
        <w:t>ancillary</w:t>
      </w:r>
      <w:r w:rsidRPr="00FB25B5" w:rsidR="00365DE1">
        <w:t xml:space="preserve"> </w:t>
      </w:r>
      <w:r w:rsidRPr="00FB25B5" w:rsidR="008423A8">
        <w:t>services</w:t>
      </w:r>
      <w:r w:rsidRPr="00FB25B5" w:rsidR="00365DE1">
        <w:t xml:space="preserve"> </w:t>
      </w:r>
      <w:r w:rsidRPr="00FB25B5" w:rsidR="008423A8">
        <w:t>revenues</w:t>
      </w:r>
      <w:r w:rsidRPr="00FB25B5" w:rsidR="00365DE1">
        <w:t xml:space="preserve"> will be offset by changes to the Net CONE in future DCRs.  </w:t>
      </w:r>
      <w:r w:rsidRPr="00FB25B5" w:rsidR="00E30136">
        <w:rPr>
          <w:i/>
          <w:iCs/>
        </w:rPr>
        <w:t>Id</w:t>
      </w:r>
      <w:r w:rsidRPr="00FB25B5" w:rsidR="00E30136">
        <w:t>. at 23</w:t>
      </w:r>
      <w:r w:rsidR="00E30136">
        <w:t>.</w:t>
      </w:r>
    </w:p>
  </w:footnote>
  <w:footnote w:id="106">
    <w:p w:rsidR="00413F4C" w:rsidP="00413F4C">
      <w:pPr>
        <w:pStyle w:val="FootnoteText"/>
      </w:pPr>
      <w:r>
        <w:rPr>
          <w:rStyle w:val="FootnoteReference"/>
        </w:rPr>
        <w:footnoteRef/>
      </w:r>
      <w:r>
        <w:t xml:space="preserve"> NYTOs Comments at 13; Consumer Stakeholders Protest at 11.</w:t>
      </w:r>
    </w:p>
  </w:footnote>
  <w:footnote w:id="107">
    <w:p w:rsidR="00413F4C" w:rsidP="00413F4C">
      <w:pPr>
        <w:pStyle w:val="FootnoteText"/>
      </w:pPr>
      <w:r>
        <w:rPr>
          <w:rStyle w:val="FootnoteReference"/>
        </w:rPr>
        <w:footnoteRef/>
      </w:r>
      <w:r>
        <w:t xml:space="preserve"> NYTOs Comments at 14-15; Consumer Stakeholders Protest at 11 (citing </w:t>
      </w:r>
      <w:r w:rsidR="008945F6">
        <w:t xml:space="preserve">NYISO, </w:t>
      </w:r>
      <w:r w:rsidRPr="00981C0E">
        <w:t>2025-2026 Capability Year Informational Capacity Accreditation Factors</w:t>
      </w:r>
      <w:r w:rsidR="00BC1A5C">
        <w:t xml:space="preserve"> 15 (</w:t>
      </w:r>
      <w:r w:rsidRPr="00981C0E">
        <w:t>Oct. 7, 2024)</w:t>
      </w:r>
      <w:r w:rsidR="00BC1A5C">
        <w:t>,</w:t>
      </w:r>
      <w:r w:rsidRPr="00BC1A5C" w:rsidR="00BC1A5C">
        <w:t xml:space="preserve"> </w:t>
      </w:r>
      <w:r w:rsidRPr="00F23221" w:rsidR="00BC1A5C">
        <w:t>https://www.nyiso.com/documents/20142/47364758/2025-2026%20Informational%20CAFs_ICAPWG_10.07.2024_Final.pdf).</w:t>
      </w:r>
    </w:p>
  </w:footnote>
  <w:footnote w:id="108">
    <w:p w:rsidR="00413F4C" w:rsidP="00413F4C">
      <w:pPr>
        <w:pStyle w:val="FootnoteText"/>
      </w:pPr>
      <w:r w:rsidRPr="00FD36A2">
        <w:rPr>
          <w:rStyle w:val="FootnoteReference"/>
        </w:rPr>
        <w:footnoteRef/>
      </w:r>
      <w:r>
        <w:t xml:space="preserve"> Consumer Stakeholder Protest at 11. </w:t>
      </w:r>
    </w:p>
  </w:footnote>
  <w:footnote w:id="109">
    <w:p w:rsidR="00413F4C" w:rsidP="00413F4C">
      <w:pPr>
        <w:pStyle w:val="FootnoteText"/>
      </w:pPr>
      <w:r>
        <w:rPr>
          <w:rStyle w:val="FootnoteReference"/>
        </w:rPr>
        <w:footnoteRef/>
      </w:r>
      <w:r>
        <w:t xml:space="preserve"> </w:t>
      </w:r>
      <w:r w:rsidR="000470C3">
        <w:rPr>
          <w:i/>
          <w:iCs/>
        </w:rPr>
        <w:t>Id.</w:t>
      </w:r>
      <w:r>
        <w:rPr>
          <w:i/>
        </w:rPr>
        <w:t xml:space="preserve"> </w:t>
      </w:r>
      <w:r>
        <w:t>at 12.</w:t>
      </w:r>
    </w:p>
  </w:footnote>
  <w:footnote w:id="110">
    <w:p w:rsidR="00413F4C" w:rsidP="00413F4C">
      <w:pPr>
        <w:pStyle w:val="FootnoteText"/>
      </w:pPr>
      <w:r>
        <w:rPr>
          <w:rStyle w:val="FootnoteReference"/>
        </w:rPr>
        <w:footnoteRef/>
      </w:r>
      <w:r>
        <w:t xml:space="preserve"> NYISO Answer at 14.</w:t>
      </w:r>
    </w:p>
  </w:footnote>
  <w:footnote w:id="111">
    <w:p w:rsidR="00413F4C" w:rsidP="00413F4C">
      <w:pPr>
        <w:pStyle w:val="FootnoteText"/>
      </w:pPr>
      <w:r w:rsidRPr="00D57DC2">
        <w:rPr>
          <w:rStyle w:val="FootnoteReference"/>
        </w:rPr>
        <w:footnoteRef/>
      </w:r>
      <w:r>
        <w:t xml:space="preserve"> </w:t>
      </w:r>
      <w:r w:rsidR="009E372D">
        <w:rPr>
          <w:i/>
          <w:iCs/>
        </w:rPr>
        <w:t>Id.</w:t>
      </w:r>
      <w:r>
        <w:rPr>
          <w:i/>
        </w:rPr>
        <w:t xml:space="preserve"> </w:t>
      </w:r>
      <w:r>
        <w:t>at 12-</w:t>
      </w:r>
      <w:r w:rsidRPr="00FC62D1">
        <w:t>13.</w:t>
      </w:r>
    </w:p>
  </w:footnote>
  <w:footnote w:id="112">
    <w:p w:rsidR="00413F4C" w:rsidP="00413F4C">
      <w:pPr>
        <w:pStyle w:val="FootnoteText"/>
      </w:pPr>
      <w:r w:rsidRPr="00D57DC2">
        <w:rPr>
          <w:rStyle w:val="FootnoteReference"/>
        </w:rPr>
        <w:footnoteRef/>
      </w:r>
      <w:r>
        <w:t xml:space="preserve"> </w:t>
      </w:r>
      <w:r w:rsidR="007C1237">
        <w:rPr>
          <w:i/>
          <w:iCs/>
        </w:rPr>
        <w:t>Id.</w:t>
      </w:r>
      <w:r>
        <w:rPr>
          <w:i/>
        </w:rPr>
        <w:t xml:space="preserve"> </w:t>
      </w:r>
      <w:r w:rsidRPr="00EA2559">
        <w:t>at 14.</w:t>
      </w:r>
    </w:p>
  </w:footnote>
  <w:footnote w:id="113">
    <w:p w:rsidR="00413F4C" w:rsidP="00413F4C">
      <w:pPr>
        <w:pStyle w:val="FootnoteText"/>
      </w:pPr>
      <w:r>
        <w:rPr>
          <w:rStyle w:val="FootnoteReference"/>
        </w:rPr>
        <w:footnoteRef/>
      </w:r>
      <w:r>
        <w:t xml:space="preserve"> </w:t>
      </w:r>
      <w:r w:rsidR="00B83BD4">
        <w:rPr>
          <w:i/>
          <w:iCs/>
        </w:rPr>
        <w:t>Id.</w:t>
      </w:r>
      <w:r>
        <w:rPr>
          <w:i/>
        </w:rPr>
        <w:t xml:space="preserve"> </w:t>
      </w:r>
      <w:r>
        <w:t>at 14-15.</w:t>
      </w:r>
    </w:p>
  </w:footnote>
  <w:footnote w:id="114">
    <w:p w:rsidR="00413F4C" w:rsidP="00413F4C">
      <w:pPr>
        <w:pStyle w:val="FootnoteText"/>
      </w:pPr>
      <w:r w:rsidRPr="00D57DC2">
        <w:rPr>
          <w:rStyle w:val="FootnoteReference"/>
        </w:rPr>
        <w:footnoteRef/>
      </w:r>
      <w:r>
        <w:t xml:space="preserve"> </w:t>
      </w:r>
      <w:r w:rsidR="009E037A">
        <w:rPr>
          <w:i/>
          <w:iCs/>
        </w:rPr>
        <w:t>Id.</w:t>
      </w:r>
      <w:r>
        <w:rPr>
          <w:i/>
        </w:rPr>
        <w:t xml:space="preserve"> </w:t>
      </w:r>
      <w:r>
        <w:t>at 16-17.</w:t>
      </w:r>
    </w:p>
  </w:footnote>
  <w:footnote w:id="115">
    <w:p w:rsidR="0015279A">
      <w:pPr>
        <w:pStyle w:val="FootnoteText"/>
      </w:pPr>
      <w:r>
        <w:rPr>
          <w:rStyle w:val="FootnoteReference"/>
        </w:rPr>
        <w:footnoteRef/>
      </w:r>
      <w:r>
        <w:t xml:space="preserve"> </w:t>
      </w:r>
      <w:r w:rsidRPr="00445CBF" w:rsidR="00445CBF">
        <w:t>Consumer Stakeholders Answer at 4-5.</w:t>
      </w:r>
    </w:p>
  </w:footnote>
  <w:footnote w:id="116">
    <w:p w:rsidR="00281756">
      <w:pPr>
        <w:pStyle w:val="FootnoteText"/>
      </w:pPr>
      <w:r>
        <w:rPr>
          <w:rStyle w:val="FootnoteReference"/>
        </w:rPr>
        <w:footnoteRef/>
      </w:r>
      <w:r w:rsidR="00445CBF">
        <w:t xml:space="preserve"> </w:t>
      </w:r>
      <w:r w:rsidR="00681DFD">
        <w:rPr>
          <w:i/>
          <w:iCs/>
        </w:rPr>
        <w:t>Id.</w:t>
      </w:r>
      <w:r>
        <w:rPr>
          <w:i/>
        </w:rPr>
        <w:t xml:space="preserve"> </w:t>
      </w:r>
      <w:r>
        <w:t>at 6.</w:t>
      </w:r>
    </w:p>
  </w:footnote>
  <w:footnote w:id="117">
    <w:p w:rsidR="009A2A06" w:rsidRPr="00DA4A2C" w:rsidP="009A2A06">
      <w:pPr>
        <w:pStyle w:val="FootnoteText"/>
        <w:rPr>
          <w:szCs w:val="26"/>
        </w:rPr>
      </w:pPr>
      <w:r w:rsidRPr="00E115B8">
        <w:rPr>
          <w:rStyle w:val="FootnoteReference"/>
        </w:rPr>
        <w:footnoteRef/>
      </w:r>
      <w:r w:rsidRPr="00DA4A2C">
        <w:rPr>
          <w:szCs w:val="26"/>
        </w:rPr>
        <w:t xml:space="preserve"> </w:t>
      </w:r>
      <w:r>
        <w:rPr>
          <w:szCs w:val="26"/>
        </w:rPr>
        <w:t xml:space="preserve">NYISO, </w:t>
      </w:r>
      <w:r w:rsidR="00CA3D95">
        <w:rPr>
          <w:szCs w:val="26"/>
        </w:rPr>
        <w:t xml:space="preserve">NYISO Tariffs, </w:t>
      </w:r>
      <w:r w:rsidRPr="00DA4A2C">
        <w:rPr>
          <w:szCs w:val="26"/>
        </w:rPr>
        <w:t>Services Tariff</w:t>
      </w:r>
      <w:r>
        <w:rPr>
          <w:szCs w:val="26"/>
        </w:rPr>
        <w:t>,</w:t>
      </w:r>
      <w:r w:rsidRPr="00DA4A2C">
        <w:rPr>
          <w:szCs w:val="26"/>
        </w:rPr>
        <w:t xml:space="preserve"> </w:t>
      </w:r>
      <w:r>
        <w:rPr>
          <w:szCs w:val="26"/>
        </w:rPr>
        <w:t>§</w:t>
      </w:r>
      <w:r w:rsidRPr="00DA4A2C">
        <w:rPr>
          <w:szCs w:val="26"/>
        </w:rPr>
        <w:t xml:space="preserve"> 5.14.1.2</w:t>
      </w:r>
      <w:r>
        <w:rPr>
          <w:szCs w:val="26"/>
        </w:rPr>
        <w:t>.</w:t>
      </w:r>
    </w:p>
  </w:footnote>
  <w:footnote w:id="118">
    <w:p w:rsidR="00413F4C" w:rsidP="00413F4C">
      <w:pPr>
        <w:pStyle w:val="FootnoteText"/>
      </w:pPr>
      <w:r>
        <w:rPr>
          <w:rStyle w:val="FootnoteReference"/>
        </w:rPr>
        <w:footnoteRef/>
      </w:r>
      <w:r>
        <w:t xml:space="preserve"> </w:t>
      </w:r>
      <w:r w:rsidRPr="0044293E">
        <w:t xml:space="preserve">As detailed, </w:t>
      </w:r>
      <w:r w:rsidRPr="0044293E" w:rsidR="00F17DDF">
        <w:rPr>
          <w:i/>
          <w:iCs/>
        </w:rPr>
        <w:t>infra</w:t>
      </w:r>
      <w:r w:rsidRPr="0044293E">
        <w:t xml:space="preserve"> P </w:t>
      </w:r>
      <w:r w:rsidRPr="0044293E" w:rsidR="00F74881">
        <w:t>7</w:t>
      </w:r>
      <w:r w:rsidRPr="0044293E" w:rsidR="00410FAE">
        <w:t>7</w:t>
      </w:r>
      <w:r w:rsidRPr="0044293E">
        <w:t>, we agree with NYISO that the combustion turbine retrofit option is not an economically viable option, which moots MMU’s argument regarding Net CONE for such a facility.</w:t>
      </w:r>
      <w:r>
        <w:t xml:space="preserve"> </w:t>
      </w:r>
    </w:p>
  </w:footnote>
  <w:footnote w:id="119">
    <w:p w:rsidR="00413F4C" w:rsidP="00413F4C">
      <w:pPr>
        <w:pStyle w:val="FootnoteText"/>
      </w:pPr>
      <w:r>
        <w:rPr>
          <w:rStyle w:val="FootnoteReference"/>
        </w:rPr>
        <w:footnoteRef/>
      </w:r>
      <w:r>
        <w:t xml:space="preserve"> MMU Protest at 9.</w:t>
      </w:r>
    </w:p>
  </w:footnote>
  <w:footnote w:id="120">
    <w:p w:rsidR="00EC5421">
      <w:pPr>
        <w:pStyle w:val="FootnoteText"/>
      </w:pPr>
      <w:r>
        <w:rPr>
          <w:rStyle w:val="FootnoteReference"/>
        </w:rPr>
        <w:footnoteRef/>
      </w:r>
      <w:r>
        <w:t xml:space="preserve"> Transmittal Letter at 21 (citing Smith Aff. ¶ 20).</w:t>
      </w:r>
    </w:p>
  </w:footnote>
  <w:footnote w:id="121">
    <w:p w:rsidR="00C65E45" w:rsidRPr="00157E43" w:rsidP="00C65E45">
      <w:pPr>
        <w:pStyle w:val="FootnoteText"/>
      </w:pPr>
      <w:r>
        <w:rPr>
          <w:rStyle w:val="FootnoteReference"/>
        </w:rPr>
        <w:footnoteRef/>
      </w:r>
      <w:r>
        <w:t xml:space="preserve"> This includes uncertainty regarding the future </w:t>
      </w:r>
      <w:r w:rsidR="004449FA">
        <w:t xml:space="preserve">revenues </w:t>
      </w:r>
      <w:r>
        <w:t xml:space="preserve">of the 2-hour BESS </w:t>
      </w:r>
      <w:r w:rsidR="00132472">
        <w:t>unit</w:t>
      </w:r>
      <w:r>
        <w:t xml:space="preserve">.  </w:t>
      </w:r>
      <w:r w:rsidRPr="00D0427B">
        <w:rPr>
          <w:i/>
          <w:iCs/>
        </w:rPr>
        <w:t>See</w:t>
      </w:r>
      <w:r>
        <w:t xml:space="preserve"> </w:t>
      </w:r>
      <w:r>
        <w:rPr>
          <w:i/>
          <w:iCs/>
        </w:rPr>
        <w:t>infra</w:t>
      </w:r>
      <w:r>
        <w:t xml:space="preserve"> </w:t>
      </w:r>
      <w:r w:rsidRPr="00592C16" w:rsidR="00EC63BF">
        <w:t xml:space="preserve">P </w:t>
      </w:r>
      <w:r w:rsidRPr="00592C16" w:rsidR="003A35B3">
        <w:t>100</w:t>
      </w:r>
      <w:r w:rsidR="00EC63BF">
        <w:t>.</w:t>
      </w:r>
    </w:p>
  </w:footnote>
  <w:footnote w:id="122">
    <w:p w:rsidR="0085109C" w:rsidP="0085109C">
      <w:pPr>
        <w:pStyle w:val="FootnoteText"/>
      </w:pPr>
      <w:r w:rsidRPr="00E115B8">
        <w:rPr>
          <w:rStyle w:val="FootnoteReference"/>
        </w:rPr>
        <w:footnoteRef/>
      </w:r>
      <w:r>
        <w:t xml:space="preserve"> Transmittal Letter at </w:t>
      </w:r>
      <w:r w:rsidR="000C492E">
        <w:t>29, 32</w:t>
      </w:r>
      <w:r>
        <w:t xml:space="preserve">.  </w:t>
      </w:r>
    </w:p>
  </w:footnote>
  <w:footnote w:id="123">
    <w:p w:rsidR="00D31E42" w:rsidP="00D31E42">
      <w:pPr>
        <w:pStyle w:val="FootnoteText"/>
      </w:pPr>
      <w:r w:rsidRPr="00E115B8">
        <w:rPr>
          <w:rStyle w:val="FootnoteReference"/>
        </w:rPr>
        <w:footnoteRef/>
      </w:r>
      <w:r>
        <w:t xml:space="preserve"> </w:t>
      </w:r>
      <w:r w:rsidR="00003C3B">
        <w:rPr>
          <w:i/>
          <w:iCs/>
        </w:rPr>
        <w:t>Id.</w:t>
      </w:r>
      <w:r>
        <w:rPr>
          <w:i/>
        </w:rPr>
        <w:t xml:space="preserve"> </w:t>
      </w:r>
      <w:r>
        <w:t>at 29.</w:t>
      </w:r>
    </w:p>
  </w:footnote>
  <w:footnote w:id="124">
    <w:p w:rsidR="00D31E42" w:rsidP="00D31E42">
      <w:pPr>
        <w:pStyle w:val="FootnoteText"/>
      </w:pPr>
      <w:r w:rsidRPr="00E115B8">
        <w:rPr>
          <w:rStyle w:val="FootnoteReference"/>
        </w:rPr>
        <w:footnoteRef/>
      </w:r>
      <w:r>
        <w:t xml:space="preserve"> </w:t>
      </w:r>
      <w:r w:rsidR="00E36DC5">
        <w:rPr>
          <w:i/>
          <w:iCs/>
        </w:rPr>
        <w:t>Id.</w:t>
      </w:r>
      <w:r>
        <w:rPr>
          <w:i/>
        </w:rPr>
        <w:t xml:space="preserve"> </w:t>
      </w:r>
      <w:r>
        <w:t>at 30</w:t>
      </w:r>
      <w:r w:rsidRPr="00046D16">
        <w:t>.</w:t>
      </w:r>
      <w:r>
        <w:t xml:space="preserve">  NYISO explains that its analysis assumes the currently effective CAF values and minimum capacity requirements for the 2024-2025 Capability Year.  </w:t>
      </w:r>
    </w:p>
  </w:footnote>
  <w:footnote w:id="125">
    <w:p w:rsidR="00283013" w:rsidP="00283013">
      <w:pPr>
        <w:pStyle w:val="FootnoteText"/>
      </w:pPr>
      <w:r w:rsidRPr="00E115B8">
        <w:rPr>
          <w:rStyle w:val="FootnoteReference"/>
        </w:rPr>
        <w:footnoteRef/>
      </w:r>
      <w:r>
        <w:t xml:space="preserve"> </w:t>
      </w:r>
      <w:r w:rsidR="00B54420">
        <w:rPr>
          <w:i/>
          <w:iCs/>
        </w:rPr>
        <w:t>Id.</w:t>
      </w:r>
      <w:r>
        <w:rPr>
          <w:i/>
        </w:rPr>
        <w:t xml:space="preserve"> </w:t>
      </w:r>
      <w:r>
        <w:t xml:space="preserve">at 32 </w:t>
      </w:r>
      <w:r w:rsidRPr="00A16958">
        <w:t xml:space="preserve">(citing </w:t>
      </w:r>
      <w:r w:rsidRPr="00F70ECC" w:rsidR="00F3426A">
        <w:rPr>
          <w:i/>
          <w:iCs/>
        </w:rPr>
        <w:t>In the Matter of Energy Storage Deployment Program</w:t>
      </w:r>
      <w:r w:rsidR="00F3426A">
        <w:t>,</w:t>
      </w:r>
      <w:r w:rsidRPr="00A16958" w:rsidR="00F3426A">
        <w:t xml:space="preserve"> </w:t>
      </w:r>
      <w:r w:rsidRPr="00A16958">
        <w:t xml:space="preserve">Case 18-E-0130 </w:t>
      </w:r>
      <w:r w:rsidR="00C15811">
        <w:t>(</w:t>
      </w:r>
      <w:r w:rsidR="00D06EF0">
        <w:t>New York Commission</w:t>
      </w:r>
      <w:r w:rsidR="006E597B">
        <w:t>,</w:t>
      </w:r>
      <w:r w:rsidR="00C15811">
        <w:t xml:space="preserve"> </w:t>
      </w:r>
      <w:r w:rsidRPr="00A16958">
        <w:t>March 15, 2024) at 30, 71-72)</w:t>
      </w:r>
      <w:r w:rsidR="00CD155C">
        <w:t>.</w:t>
      </w:r>
      <w:r w:rsidR="00B63B13">
        <w:t xml:space="preserve">  </w:t>
      </w:r>
      <w:r w:rsidRPr="00B63B13" w:rsidR="00B63B13">
        <w:t>The analysis identified that BESS project costs had increased by approximately 40% compared to cost projections developed for a prior analysis conducted in 2021.</w:t>
      </w:r>
    </w:p>
  </w:footnote>
  <w:footnote w:id="126">
    <w:p w:rsidR="00D86AC4" w:rsidP="00D86AC4">
      <w:pPr>
        <w:pStyle w:val="FootnoteText"/>
      </w:pPr>
      <w:r w:rsidRPr="00E115B8">
        <w:rPr>
          <w:rStyle w:val="FootnoteReference"/>
        </w:rPr>
        <w:footnoteRef/>
      </w:r>
      <w:r>
        <w:t xml:space="preserve"> </w:t>
      </w:r>
      <w:r w:rsidR="00882713">
        <w:rPr>
          <w:i/>
          <w:iCs/>
        </w:rPr>
        <w:t>Id.</w:t>
      </w:r>
      <w:r>
        <w:rPr>
          <w:i/>
        </w:rPr>
        <w:t xml:space="preserve"> </w:t>
      </w:r>
      <w:r>
        <w:t xml:space="preserve">at 33 (citing </w:t>
      </w:r>
      <w:r w:rsidRPr="004D78FD">
        <w:t>2014-2017 DCR Order</w:t>
      </w:r>
      <w:r>
        <w:t xml:space="preserve">, </w:t>
      </w:r>
      <w:r w:rsidRPr="0054494A">
        <w:t>146 FERC ¶ 61,043</w:t>
      </w:r>
      <w:r w:rsidRPr="004D78FD">
        <w:t xml:space="preserve"> at P 74; 2017-2021 DCR Order</w:t>
      </w:r>
      <w:r>
        <w:t xml:space="preserve">, </w:t>
      </w:r>
      <w:r w:rsidRPr="00416266">
        <w:t>158 FERC ¶ 61,028</w:t>
      </w:r>
      <w:r w:rsidRPr="004D78FD">
        <w:t xml:space="preserve"> at P 61</w:t>
      </w:r>
      <w:r>
        <w:t>;</w:t>
      </w:r>
      <w:r w:rsidRPr="007A7BD5">
        <w:rPr>
          <w:rFonts w:eastAsia="Times New Roman"/>
          <w:i/>
          <w:iCs/>
          <w:szCs w:val="24"/>
        </w:rPr>
        <w:t xml:space="preserve"> </w:t>
      </w:r>
      <w:r w:rsidRPr="007A7BD5">
        <w:rPr>
          <w:i/>
          <w:iCs/>
        </w:rPr>
        <w:t>N.Y. Indep. Sys. Operator, Inc.</w:t>
      </w:r>
      <w:r w:rsidRPr="007A7BD5">
        <w:t xml:space="preserve">, 181 FERC </w:t>
      </w:r>
      <w:r w:rsidR="007B790F">
        <w:t xml:space="preserve">       </w:t>
      </w:r>
      <w:r w:rsidRPr="007A7BD5">
        <w:t>¶ 61,227, at P 27 (2022)</w:t>
      </w:r>
      <w:r w:rsidR="00E92F87">
        <w:t>).</w:t>
      </w:r>
    </w:p>
  </w:footnote>
  <w:footnote w:id="127">
    <w:p w:rsidR="00D31E42" w:rsidP="00D31E42">
      <w:pPr>
        <w:pStyle w:val="FootnoteText"/>
      </w:pPr>
      <w:r w:rsidRPr="00E115B8">
        <w:rPr>
          <w:rStyle w:val="FootnoteReference"/>
        </w:rPr>
        <w:footnoteRef/>
      </w:r>
      <w:r>
        <w:t xml:space="preserve"> IPPNY Protest at 13</w:t>
      </w:r>
      <w:r w:rsidR="008713F0">
        <w:t>;</w:t>
      </w:r>
      <w:r w:rsidR="0078014C">
        <w:t xml:space="preserve"> EPSA Protest at 2</w:t>
      </w:r>
      <w:r>
        <w:t>.</w:t>
      </w:r>
    </w:p>
  </w:footnote>
  <w:footnote w:id="128">
    <w:p w:rsidR="00283013" w:rsidP="00283013">
      <w:pPr>
        <w:pStyle w:val="FootnoteText"/>
      </w:pPr>
      <w:r w:rsidRPr="00E115B8">
        <w:rPr>
          <w:rStyle w:val="FootnoteReference"/>
        </w:rPr>
        <w:footnoteRef/>
      </w:r>
      <w:r>
        <w:t xml:space="preserve"> IPPNY Protest at 15-16. </w:t>
      </w:r>
    </w:p>
  </w:footnote>
  <w:footnote w:id="129">
    <w:p w:rsidR="00283013" w:rsidP="00283013">
      <w:pPr>
        <w:pStyle w:val="FootnoteText"/>
      </w:pPr>
      <w:r w:rsidRPr="00E115B8">
        <w:rPr>
          <w:rStyle w:val="FootnoteReference"/>
        </w:rPr>
        <w:footnoteRef/>
      </w:r>
      <w:r>
        <w:t xml:space="preserve"> </w:t>
      </w:r>
      <w:r w:rsidR="00C658D2">
        <w:rPr>
          <w:i/>
          <w:iCs/>
        </w:rPr>
        <w:t>Id.</w:t>
      </w:r>
      <w:r>
        <w:rPr>
          <w:i/>
        </w:rPr>
        <w:t xml:space="preserve"> </w:t>
      </w:r>
      <w:r>
        <w:t xml:space="preserve">at </w:t>
      </w:r>
      <w:r w:rsidR="000D0122">
        <w:t>15</w:t>
      </w:r>
      <w:r>
        <w:t xml:space="preserve">. </w:t>
      </w:r>
    </w:p>
  </w:footnote>
  <w:footnote w:id="130">
    <w:p w:rsidR="00283013" w:rsidP="00283013">
      <w:pPr>
        <w:pStyle w:val="FootnoteText"/>
      </w:pPr>
      <w:r w:rsidRPr="00E115B8">
        <w:rPr>
          <w:rStyle w:val="FootnoteReference"/>
        </w:rPr>
        <w:footnoteRef/>
      </w:r>
      <w:r>
        <w:t xml:space="preserve"> </w:t>
      </w:r>
      <w:r w:rsidR="000D5F55">
        <w:rPr>
          <w:i/>
          <w:iCs/>
        </w:rPr>
        <w:t>Id.</w:t>
      </w:r>
      <w:r>
        <w:rPr>
          <w:i/>
        </w:rPr>
        <w:t xml:space="preserve"> </w:t>
      </w:r>
      <w:r>
        <w:t xml:space="preserve">at 17-18. </w:t>
      </w:r>
    </w:p>
  </w:footnote>
  <w:footnote w:id="131">
    <w:p w:rsidR="00283013" w:rsidP="00283013">
      <w:pPr>
        <w:pStyle w:val="FootnoteText"/>
      </w:pPr>
      <w:r w:rsidRPr="00E115B8">
        <w:rPr>
          <w:rStyle w:val="FootnoteReference"/>
        </w:rPr>
        <w:footnoteRef/>
      </w:r>
      <w:r>
        <w:t xml:space="preserve"> </w:t>
      </w:r>
      <w:r w:rsidR="00080EA7">
        <w:rPr>
          <w:i/>
          <w:iCs/>
        </w:rPr>
        <w:t>Id.</w:t>
      </w:r>
      <w:r>
        <w:rPr>
          <w:i/>
        </w:rPr>
        <w:t xml:space="preserve"> </w:t>
      </w:r>
      <w:r>
        <w:t xml:space="preserve">at 18-19. </w:t>
      </w:r>
      <w:r w:rsidR="006B7F4D">
        <w:t xml:space="preserve"> </w:t>
      </w:r>
      <w:r w:rsidRPr="006B7F4D" w:rsidR="006B7F4D">
        <w:t>IPPNY argues that incorporating assumption</w:t>
      </w:r>
      <w:r w:rsidR="00CA039D">
        <w:t>s</w:t>
      </w:r>
      <w:r w:rsidRPr="006B7F4D" w:rsidR="006B7F4D">
        <w:t xml:space="preserve"> of projected declines in BESS costs </w:t>
      </w:r>
      <w:r w:rsidR="00A13737">
        <w:t>is appropriate</w:t>
      </w:r>
      <w:r w:rsidR="006331D4">
        <w:t xml:space="preserve"> because</w:t>
      </w:r>
      <w:r w:rsidRPr="006B7F4D" w:rsidR="006B7F4D">
        <w:t xml:space="preserve"> NYISO estimates the impact of </w:t>
      </w:r>
      <w:r w:rsidR="00D96708">
        <w:t>“</w:t>
      </w:r>
      <w:r w:rsidRPr="006B7F4D" w:rsidR="006B7F4D">
        <w:t>many future factors</w:t>
      </w:r>
      <w:r w:rsidR="00D96708">
        <w:t>”</w:t>
      </w:r>
      <w:r w:rsidRPr="006B7F4D" w:rsidR="006B7F4D">
        <w:t xml:space="preserve"> in its DCR, such as future inflation levels.</w:t>
      </w:r>
      <w:r w:rsidR="00D96708">
        <w:t xml:space="preserve">  </w:t>
      </w:r>
      <w:r w:rsidR="00D96708">
        <w:rPr>
          <w:i/>
          <w:iCs/>
        </w:rPr>
        <w:t>Id</w:t>
      </w:r>
      <w:r w:rsidR="00D96708">
        <w:t>. at 19.</w:t>
      </w:r>
      <w:r w:rsidRPr="006B7F4D" w:rsidR="006B7F4D">
        <w:t xml:space="preserve">  </w:t>
      </w:r>
    </w:p>
  </w:footnote>
  <w:footnote w:id="132">
    <w:p w:rsidR="007310B6" w:rsidP="007310B6">
      <w:pPr>
        <w:pStyle w:val="FootnoteText"/>
      </w:pPr>
      <w:r w:rsidRPr="00E115B8">
        <w:rPr>
          <w:rStyle w:val="FootnoteReference"/>
        </w:rPr>
        <w:footnoteRef/>
      </w:r>
      <w:r>
        <w:t xml:space="preserve"> Ravenswood Protest at 5</w:t>
      </w:r>
      <w:r w:rsidR="008713F0">
        <w:t>;</w:t>
      </w:r>
      <w:r>
        <w:t xml:space="preserve"> IPPNY Protest at 3.</w:t>
      </w:r>
    </w:p>
  </w:footnote>
  <w:footnote w:id="133">
    <w:p w:rsidR="00D31E42" w:rsidP="00D31E42">
      <w:pPr>
        <w:pStyle w:val="FootnoteText"/>
      </w:pPr>
      <w:r>
        <w:rPr>
          <w:rStyle w:val="FootnoteReference"/>
        </w:rPr>
        <w:footnoteRef/>
      </w:r>
      <w:r>
        <w:t xml:space="preserve"> NYTOs Comments at 10, Consumer Stakeholders Protest at 8.</w:t>
      </w:r>
    </w:p>
  </w:footnote>
  <w:footnote w:id="134">
    <w:p w:rsidR="00051547" w:rsidP="002F62AB">
      <w:pPr>
        <w:pStyle w:val="FootnoteText"/>
        <w:tabs>
          <w:tab w:val="center" w:pos="5040"/>
        </w:tabs>
      </w:pPr>
      <w:r>
        <w:rPr>
          <w:rStyle w:val="FootnoteReference"/>
        </w:rPr>
        <w:footnoteRef/>
      </w:r>
      <w:r>
        <w:t xml:space="preserve"> NYTOs Comments at </w:t>
      </w:r>
      <w:r w:rsidR="004208AE">
        <w:t>7-8.</w:t>
      </w:r>
    </w:p>
  </w:footnote>
  <w:footnote w:id="135">
    <w:p w:rsidR="00D31E42" w:rsidP="00D31E42">
      <w:pPr>
        <w:pStyle w:val="FootnoteText"/>
      </w:pPr>
      <w:r>
        <w:rPr>
          <w:rStyle w:val="FootnoteReference"/>
        </w:rPr>
        <w:footnoteRef/>
      </w:r>
      <w:r w:rsidR="004565FB">
        <w:t xml:space="preserve"> </w:t>
      </w:r>
      <w:r w:rsidR="007C26D7">
        <w:rPr>
          <w:i/>
          <w:iCs/>
        </w:rPr>
        <w:t xml:space="preserve">Id. </w:t>
      </w:r>
    </w:p>
  </w:footnote>
  <w:footnote w:id="136">
    <w:p w:rsidR="00D31E42" w:rsidP="00D31E42">
      <w:pPr>
        <w:pStyle w:val="FootnoteText"/>
      </w:pPr>
      <w:r>
        <w:rPr>
          <w:rStyle w:val="FootnoteReference"/>
        </w:rPr>
        <w:footnoteRef/>
      </w:r>
      <w:r>
        <w:t xml:space="preserve"> </w:t>
      </w:r>
      <w:r>
        <w:rPr>
          <w:i/>
          <w:iCs/>
        </w:rPr>
        <w:t>Id.</w:t>
      </w:r>
      <w:r>
        <w:t xml:space="preserve"> at 11.</w:t>
      </w:r>
    </w:p>
  </w:footnote>
  <w:footnote w:id="137">
    <w:p w:rsidR="00D31E42" w:rsidP="00D31E42">
      <w:pPr>
        <w:pStyle w:val="FootnoteText"/>
      </w:pPr>
      <w:r>
        <w:rPr>
          <w:rStyle w:val="FootnoteReference"/>
        </w:rPr>
        <w:footnoteRef/>
      </w:r>
      <w:r>
        <w:t xml:space="preserve"> </w:t>
      </w:r>
      <w:r>
        <w:rPr>
          <w:i/>
          <w:iCs/>
        </w:rPr>
        <w:t xml:space="preserve">Id. </w:t>
      </w:r>
      <w:r>
        <w:t>at 12.</w:t>
      </w:r>
    </w:p>
  </w:footnote>
  <w:footnote w:id="138">
    <w:p w:rsidR="00574C23">
      <w:pPr>
        <w:pStyle w:val="FootnoteText"/>
      </w:pPr>
      <w:r>
        <w:rPr>
          <w:rStyle w:val="FootnoteReference"/>
        </w:rPr>
        <w:footnoteRef/>
      </w:r>
      <w:r>
        <w:t xml:space="preserve"> </w:t>
      </w:r>
      <w:r w:rsidR="00312DC2">
        <w:rPr>
          <w:i/>
          <w:iCs/>
        </w:rPr>
        <w:t>Id.</w:t>
      </w:r>
      <w:r>
        <w:rPr>
          <w:i/>
        </w:rPr>
        <w:t xml:space="preserve"> </w:t>
      </w:r>
      <w:r>
        <w:t xml:space="preserve">at </w:t>
      </w:r>
      <w:r w:rsidR="00B05C55">
        <w:t>22-</w:t>
      </w:r>
      <w:r>
        <w:t>23</w:t>
      </w:r>
      <w:r w:rsidR="007F3288">
        <w:t xml:space="preserve">. </w:t>
      </w:r>
    </w:p>
  </w:footnote>
  <w:footnote w:id="139">
    <w:p w:rsidR="00600DF1">
      <w:pPr>
        <w:pStyle w:val="FootnoteText"/>
      </w:pPr>
      <w:r>
        <w:rPr>
          <w:rStyle w:val="FootnoteReference"/>
        </w:rPr>
        <w:footnoteRef/>
      </w:r>
      <w:r>
        <w:t xml:space="preserve"> </w:t>
      </w:r>
      <w:r w:rsidR="00424C0A">
        <w:rPr>
          <w:i/>
          <w:iCs/>
        </w:rPr>
        <w:t>Id.</w:t>
      </w:r>
      <w:r>
        <w:rPr>
          <w:i/>
        </w:rPr>
        <w:t xml:space="preserve"> </w:t>
      </w:r>
      <w:r>
        <w:t xml:space="preserve">at 23 </w:t>
      </w:r>
      <w:r w:rsidR="00225422">
        <w:t>(</w:t>
      </w:r>
      <w:r>
        <w:t xml:space="preserve">citing </w:t>
      </w:r>
      <w:r w:rsidR="00EC6C0A">
        <w:t xml:space="preserve">NYISO, </w:t>
      </w:r>
      <w:r w:rsidR="00CA3D95">
        <w:rPr>
          <w:szCs w:val="26"/>
        </w:rPr>
        <w:t xml:space="preserve">NYISO Tariffs, </w:t>
      </w:r>
      <w:r>
        <w:t xml:space="preserve">Services </w:t>
      </w:r>
      <w:r w:rsidR="006A2447">
        <w:t>Tariff</w:t>
      </w:r>
      <w:r w:rsidR="00D260C2">
        <w:t>,</w:t>
      </w:r>
      <w:r w:rsidR="006A2447">
        <w:t xml:space="preserve"> </w:t>
      </w:r>
      <w:r w:rsidRPr="002C7933" w:rsidR="002C7933">
        <w:t>§ 5.14.1.2.2</w:t>
      </w:r>
      <w:r w:rsidR="00225422">
        <w:t>)</w:t>
      </w:r>
      <w:r w:rsidR="002C7933">
        <w:t>.</w:t>
      </w:r>
    </w:p>
  </w:footnote>
  <w:footnote w:id="140">
    <w:p w:rsidR="00CA6475" w:rsidRPr="003763E6">
      <w:pPr>
        <w:pStyle w:val="FootnoteText"/>
        <w:rPr>
          <w:i/>
          <w:iCs/>
          <w:sz w:val="24"/>
          <w:szCs w:val="18"/>
        </w:rPr>
      </w:pPr>
      <w:r>
        <w:rPr>
          <w:rStyle w:val="FootnoteReference"/>
        </w:rPr>
        <w:footnoteRef/>
      </w:r>
      <w:r>
        <w:t xml:space="preserve"> </w:t>
      </w:r>
      <w:r w:rsidR="00343207">
        <w:rPr>
          <w:i/>
          <w:iCs/>
        </w:rPr>
        <w:t>Id.</w:t>
      </w:r>
      <w:r>
        <w:rPr>
          <w:i/>
        </w:rPr>
        <w:t xml:space="preserve"> </w:t>
      </w:r>
      <w:r>
        <w:t xml:space="preserve">at 24.  </w:t>
      </w:r>
    </w:p>
  </w:footnote>
  <w:footnote w:id="141">
    <w:p w:rsidR="00283013" w:rsidP="00283013">
      <w:pPr>
        <w:pStyle w:val="FootnoteText"/>
      </w:pPr>
      <w:r w:rsidRPr="00E115B8">
        <w:rPr>
          <w:rStyle w:val="FootnoteReference"/>
        </w:rPr>
        <w:footnoteRef/>
      </w:r>
      <w:r>
        <w:t xml:space="preserve"> NYISO Answer at 21-22.</w:t>
      </w:r>
    </w:p>
  </w:footnote>
  <w:footnote w:id="142">
    <w:p w:rsidR="00283013" w:rsidP="00283013">
      <w:pPr>
        <w:pStyle w:val="FootnoteText"/>
      </w:pPr>
      <w:r w:rsidRPr="00E115B8">
        <w:rPr>
          <w:rStyle w:val="FootnoteReference"/>
        </w:rPr>
        <w:footnoteRef/>
      </w:r>
      <w:r>
        <w:t xml:space="preserve"> </w:t>
      </w:r>
      <w:r w:rsidR="007A0744">
        <w:rPr>
          <w:i/>
          <w:iCs/>
        </w:rPr>
        <w:t>Id.</w:t>
      </w:r>
      <w:r>
        <w:rPr>
          <w:i/>
        </w:rPr>
        <w:t xml:space="preserve"> </w:t>
      </w:r>
      <w:r>
        <w:t xml:space="preserve">at 22 </w:t>
      </w:r>
      <w:r w:rsidR="00EC6C0A">
        <w:t>(</w:t>
      </w:r>
      <w:r>
        <w:t xml:space="preserve">citing </w:t>
      </w:r>
      <w:r w:rsidR="0034506B">
        <w:t xml:space="preserve">NYISO, </w:t>
      </w:r>
      <w:r w:rsidR="00CA3D95">
        <w:rPr>
          <w:szCs w:val="26"/>
        </w:rPr>
        <w:t xml:space="preserve">NYISO Tariffs, </w:t>
      </w:r>
      <w:r w:rsidRPr="00FC7D82">
        <w:t>Services Tariff</w:t>
      </w:r>
      <w:r w:rsidR="005E32ED">
        <w:t>,</w:t>
      </w:r>
      <w:r w:rsidRPr="00FC7D82">
        <w:t xml:space="preserve"> § 5.14.1.2.2</w:t>
      </w:r>
      <w:r w:rsidR="00EC6C0A">
        <w:t>)</w:t>
      </w:r>
      <w:r w:rsidR="005E32ED">
        <w:t>.</w:t>
      </w:r>
    </w:p>
  </w:footnote>
  <w:footnote w:id="143">
    <w:p w:rsidR="00283013" w:rsidP="00283013">
      <w:pPr>
        <w:pStyle w:val="FootnoteText"/>
      </w:pPr>
      <w:r w:rsidRPr="00E115B8">
        <w:rPr>
          <w:rStyle w:val="FootnoteReference"/>
        </w:rPr>
        <w:footnoteRef/>
      </w:r>
      <w:r>
        <w:t xml:space="preserve"> </w:t>
      </w:r>
      <w:r w:rsidR="00476485">
        <w:rPr>
          <w:i/>
          <w:iCs/>
        </w:rPr>
        <w:t>Id.</w:t>
      </w:r>
      <w:r>
        <w:rPr>
          <w:i/>
        </w:rPr>
        <w:t xml:space="preserve"> </w:t>
      </w:r>
      <w:r>
        <w:t xml:space="preserve">at 22-23. </w:t>
      </w:r>
    </w:p>
  </w:footnote>
  <w:footnote w:id="144">
    <w:p w:rsidR="007706C3" w:rsidP="007706C3">
      <w:pPr>
        <w:pStyle w:val="FootnoteText"/>
      </w:pPr>
      <w:r>
        <w:rPr>
          <w:rStyle w:val="FootnoteReference"/>
        </w:rPr>
        <w:footnoteRef/>
      </w:r>
      <w:r>
        <w:t xml:space="preserve"> NYTOs Answer at 12. </w:t>
      </w:r>
    </w:p>
  </w:footnote>
  <w:footnote w:id="145">
    <w:p w:rsidR="007706C3" w:rsidP="007706C3">
      <w:pPr>
        <w:pStyle w:val="FootnoteText"/>
      </w:pPr>
      <w:r>
        <w:rPr>
          <w:rStyle w:val="FootnoteReference"/>
        </w:rPr>
        <w:footnoteRef/>
      </w:r>
      <w:r>
        <w:t xml:space="preserve"> </w:t>
      </w:r>
      <w:r w:rsidR="003F2124">
        <w:rPr>
          <w:i/>
          <w:iCs/>
        </w:rPr>
        <w:t>Id.</w:t>
      </w:r>
      <w:r>
        <w:rPr>
          <w:i/>
        </w:rPr>
        <w:t xml:space="preserve"> </w:t>
      </w:r>
      <w:r>
        <w:t>at 12-13.</w:t>
      </w:r>
    </w:p>
  </w:footnote>
  <w:footnote w:id="146">
    <w:p w:rsidR="007706C3" w:rsidP="007706C3">
      <w:pPr>
        <w:pStyle w:val="FootnoteText"/>
      </w:pPr>
      <w:r>
        <w:rPr>
          <w:rStyle w:val="FootnoteReference"/>
        </w:rPr>
        <w:footnoteRef/>
      </w:r>
      <w:r>
        <w:t xml:space="preserve"> </w:t>
      </w:r>
      <w:r w:rsidR="00741BEE">
        <w:rPr>
          <w:i/>
          <w:iCs/>
        </w:rPr>
        <w:t>Id.</w:t>
      </w:r>
      <w:r>
        <w:rPr>
          <w:i/>
        </w:rPr>
        <w:t xml:space="preserve"> </w:t>
      </w:r>
      <w:r>
        <w:t>at 14.</w:t>
      </w:r>
    </w:p>
  </w:footnote>
  <w:footnote w:id="147">
    <w:p w:rsidR="00283013" w:rsidP="00283013">
      <w:pPr>
        <w:pStyle w:val="FootnoteText"/>
      </w:pPr>
      <w:r w:rsidRPr="00E115B8">
        <w:rPr>
          <w:rStyle w:val="FootnoteReference"/>
        </w:rPr>
        <w:footnoteRef/>
      </w:r>
      <w:r>
        <w:t xml:space="preserve"> Transmittal </w:t>
      </w:r>
      <w:r w:rsidRPr="00100939" w:rsidR="001023F4">
        <w:t>Letter</w:t>
      </w:r>
      <w:r w:rsidRPr="00100939" w:rsidR="00D16582">
        <w:t xml:space="preserve"> </w:t>
      </w:r>
      <w:r w:rsidRPr="00100939">
        <w:t>at 32</w:t>
      </w:r>
      <w:r w:rsidRPr="00100939" w:rsidR="001023F4">
        <w:t xml:space="preserve"> </w:t>
      </w:r>
      <w:r w:rsidRPr="00100939">
        <w:t xml:space="preserve">(citing </w:t>
      </w:r>
      <w:r w:rsidRPr="00100939" w:rsidR="005C4E7D">
        <w:rPr>
          <w:i/>
          <w:iCs/>
        </w:rPr>
        <w:t>In the Matter of Energy Storage Deployment Program</w:t>
      </w:r>
      <w:r w:rsidRPr="00100939" w:rsidR="005C4E7D">
        <w:t xml:space="preserve">, Case 18-E-0130 (New York </w:t>
      </w:r>
      <w:r w:rsidRPr="00100939" w:rsidR="001D27AC">
        <w:t>Commission</w:t>
      </w:r>
      <w:r w:rsidR="005C4E7D">
        <w:t xml:space="preserve"> </w:t>
      </w:r>
      <w:r w:rsidRPr="00A16958" w:rsidR="005C4E7D">
        <w:t>March 15, 2024) at 30, 71-72</w:t>
      </w:r>
      <w:r w:rsidR="000C27A0">
        <w:t>)</w:t>
      </w:r>
      <w:r w:rsidRPr="00A16958">
        <w:t>)</w:t>
      </w:r>
      <w:r w:rsidR="000C27A0">
        <w:t>.</w:t>
      </w:r>
    </w:p>
  </w:footnote>
  <w:footnote w:id="148">
    <w:p w:rsidR="00283013" w:rsidP="00283013">
      <w:pPr>
        <w:pStyle w:val="FootnoteText"/>
      </w:pPr>
      <w:r w:rsidRPr="00E115B8">
        <w:rPr>
          <w:rStyle w:val="FootnoteReference"/>
        </w:rPr>
        <w:footnoteRef/>
      </w:r>
      <w:r>
        <w:t xml:space="preserve"> </w:t>
      </w:r>
      <w:r w:rsidRPr="00DA05B6" w:rsidR="0025271E">
        <w:t>2014-2017 DCR Order</w:t>
      </w:r>
      <w:r w:rsidRPr="0025271E">
        <w:t>, 146 FERC ¶ 61,043 at P 74</w:t>
      </w:r>
      <w:r w:rsidRPr="000A7EEF">
        <w:t>.</w:t>
      </w:r>
    </w:p>
  </w:footnote>
  <w:footnote w:id="149">
    <w:p w:rsidR="00DE3BE0" w:rsidP="00DE3BE0">
      <w:pPr>
        <w:pStyle w:val="FootnoteText"/>
      </w:pPr>
      <w:r w:rsidRPr="00E115B8">
        <w:rPr>
          <w:rStyle w:val="FootnoteReference"/>
        </w:rPr>
        <w:footnoteRef/>
      </w:r>
      <w:r>
        <w:t xml:space="preserve"> Transmittal Letter at 26 (</w:t>
      </w:r>
      <w:r w:rsidRPr="00F829FB">
        <w:t xml:space="preserve">citing NYISO, </w:t>
      </w:r>
      <w:r w:rsidRPr="00F829FB">
        <w:rPr>
          <w:i/>
        </w:rPr>
        <w:t xml:space="preserve">Short-Term Assessment of Reliability: 2023 Quarter 2 </w:t>
      </w:r>
      <w:r w:rsidRPr="00F829FB">
        <w:t>29 (July 14, 2023)).</w:t>
      </w:r>
    </w:p>
  </w:footnote>
  <w:footnote w:id="150">
    <w:p w:rsidR="00BC37A3" w:rsidP="00BC37A3">
      <w:pPr>
        <w:pStyle w:val="FootnoteText"/>
      </w:pPr>
      <w:r w:rsidRPr="00E115B8">
        <w:rPr>
          <w:rStyle w:val="FootnoteReference"/>
        </w:rPr>
        <w:footnoteRef/>
      </w:r>
      <w:r>
        <w:t xml:space="preserve"> </w:t>
      </w:r>
      <w:r w:rsidR="000213C5">
        <w:rPr>
          <w:i/>
          <w:iCs/>
        </w:rPr>
        <w:t>Id</w:t>
      </w:r>
      <w:r>
        <w:t>.</w:t>
      </w:r>
    </w:p>
  </w:footnote>
  <w:footnote w:id="151">
    <w:p w:rsidR="00BC37A3" w:rsidP="00BC37A3">
      <w:pPr>
        <w:pStyle w:val="FootnoteText"/>
      </w:pPr>
      <w:r w:rsidRPr="00E115B8">
        <w:rPr>
          <w:rStyle w:val="FootnoteReference"/>
        </w:rPr>
        <w:footnoteRef/>
      </w:r>
      <w:r>
        <w:t xml:space="preserve"> </w:t>
      </w:r>
      <w:r w:rsidR="00E53DD7">
        <w:rPr>
          <w:i/>
          <w:iCs/>
        </w:rPr>
        <w:t>Id.</w:t>
      </w:r>
      <w:r>
        <w:rPr>
          <w:i/>
        </w:rPr>
        <w:t xml:space="preserve"> </w:t>
      </w:r>
      <w:r>
        <w:t>at 27</w:t>
      </w:r>
      <w:r w:rsidR="00C2341E">
        <w:t xml:space="preserve"> (</w:t>
      </w:r>
      <w:r w:rsidR="00E23B04">
        <w:t>quoting</w:t>
      </w:r>
      <w:r w:rsidR="00932808">
        <w:t xml:space="preserve"> </w:t>
      </w:r>
      <w:r w:rsidRPr="007A7BD5" w:rsidR="000A5212">
        <w:rPr>
          <w:i/>
          <w:iCs/>
        </w:rPr>
        <w:t>N.Y. Indep. Sys. Operator, Inc.</w:t>
      </w:r>
      <w:r w:rsidRPr="002E40CC">
        <w:t>, 165 FERC ¶ 61,011</w:t>
      </w:r>
      <w:r w:rsidR="00055141">
        <w:t>,</w:t>
      </w:r>
      <w:r w:rsidRPr="002E40CC">
        <w:t xml:space="preserve"> at P 72 (2018)</w:t>
      </w:r>
      <w:r w:rsidR="00CA7274">
        <w:t xml:space="preserve"> </w:t>
      </w:r>
      <w:r w:rsidRPr="0044293E" w:rsidR="00CA7274">
        <w:t>(“</w:t>
      </w:r>
      <w:r w:rsidRPr="0044293E" w:rsidR="00055141">
        <w:t>T</w:t>
      </w:r>
      <w:r w:rsidRPr="0044293E" w:rsidR="00CA7274">
        <w:t>he ICAP market is specifically designed to ensure sufficient capacity to satisfy the statewide [Installed Reserve Margin], which itself is calculated to ensure that the 0.1 days/year LOLE reliability standard is met</w:t>
      </w:r>
      <w:r w:rsidRPr="0044293E" w:rsidR="0002668B">
        <w:t>.”</w:t>
      </w:r>
      <w:r w:rsidRPr="0044293E" w:rsidR="0022679F">
        <w:t>)</w:t>
      </w:r>
      <w:r w:rsidRPr="0044293E" w:rsidR="00C2341E">
        <w:t>)</w:t>
      </w:r>
      <w:r w:rsidRPr="0044293E" w:rsidR="003E4D9E">
        <w:t>.</w:t>
      </w:r>
    </w:p>
  </w:footnote>
  <w:footnote w:id="152">
    <w:p w:rsidR="00BC37A3" w:rsidP="00BC37A3">
      <w:pPr>
        <w:pStyle w:val="FootnoteText"/>
      </w:pPr>
      <w:r w:rsidRPr="00E115B8">
        <w:rPr>
          <w:rStyle w:val="FootnoteReference"/>
        </w:rPr>
        <w:footnoteRef/>
      </w:r>
      <w:r>
        <w:t xml:space="preserve"> </w:t>
      </w:r>
      <w:r w:rsidR="00506BA3">
        <w:rPr>
          <w:i/>
          <w:iCs/>
        </w:rPr>
        <w:t>Id.</w:t>
      </w:r>
      <w:r>
        <w:rPr>
          <w:i/>
        </w:rPr>
        <w:t xml:space="preserve"> </w:t>
      </w:r>
      <w:r>
        <w:t>at 26</w:t>
      </w:r>
      <w:r w:rsidR="000D0605">
        <w:t>.</w:t>
      </w:r>
    </w:p>
  </w:footnote>
  <w:footnote w:id="153">
    <w:p w:rsidR="00BC37A3" w:rsidP="00BC37A3">
      <w:pPr>
        <w:pStyle w:val="FootnoteText"/>
      </w:pPr>
      <w:r w:rsidRPr="00E115B8">
        <w:rPr>
          <w:rStyle w:val="FootnoteReference"/>
        </w:rPr>
        <w:footnoteRef/>
      </w:r>
      <w:r>
        <w:t xml:space="preserve"> </w:t>
      </w:r>
      <w:r w:rsidR="00ED0455">
        <w:rPr>
          <w:i/>
          <w:iCs/>
        </w:rPr>
        <w:t>Id.</w:t>
      </w:r>
      <w:r>
        <w:rPr>
          <w:i/>
        </w:rPr>
        <w:t xml:space="preserve"> </w:t>
      </w:r>
      <w:r w:rsidR="00400563">
        <w:t>(</w:t>
      </w:r>
      <w:r>
        <w:t xml:space="preserve">citing </w:t>
      </w:r>
      <w:r w:rsidRPr="008F24BB">
        <w:t>2014-2017 DCR Order</w:t>
      </w:r>
      <w:r w:rsidR="00F3028C">
        <w:t xml:space="preserve">, </w:t>
      </w:r>
      <w:r w:rsidRPr="00DA05B6" w:rsidR="00400563">
        <w:t xml:space="preserve">146 FERC ¶ 61,043 </w:t>
      </w:r>
      <w:r w:rsidRPr="008F24BB">
        <w:t>at P 76</w:t>
      </w:r>
      <w:r w:rsidR="00400563">
        <w:t>)</w:t>
      </w:r>
      <w:r w:rsidRPr="008F24BB">
        <w:t>.</w:t>
      </w:r>
    </w:p>
  </w:footnote>
  <w:footnote w:id="154">
    <w:p w:rsidR="00264479">
      <w:pPr>
        <w:pStyle w:val="FootnoteText"/>
      </w:pPr>
      <w:r>
        <w:rPr>
          <w:rStyle w:val="FootnoteReference"/>
        </w:rPr>
        <w:footnoteRef/>
      </w:r>
      <w:r>
        <w:t xml:space="preserve"> </w:t>
      </w:r>
      <w:r w:rsidR="009B4231">
        <w:rPr>
          <w:i/>
          <w:iCs/>
        </w:rPr>
        <w:t>Id.</w:t>
      </w:r>
      <w:r>
        <w:rPr>
          <w:i/>
        </w:rPr>
        <w:t xml:space="preserve"> </w:t>
      </w:r>
      <w:r>
        <w:t xml:space="preserve">at </w:t>
      </w:r>
      <w:r w:rsidR="00FE1869">
        <w:t>28.</w:t>
      </w:r>
    </w:p>
  </w:footnote>
  <w:footnote w:id="155">
    <w:p w:rsidR="00673948" w:rsidP="00673948">
      <w:pPr>
        <w:pStyle w:val="FootnoteText"/>
      </w:pPr>
      <w:r w:rsidRPr="00E115B8">
        <w:rPr>
          <w:rStyle w:val="FootnoteReference"/>
        </w:rPr>
        <w:footnoteRef/>
      </w:r>
      <w:r>
        <w:t xml:space="preserve"> </w:t>
      </w:r>
      <w:r w:rsidR="00BC77F8">
        <w:rPr>
          <w:i/>
          <w:iCs/>
        </w:rPr>
        <w:t>Id.</w:t>
      </w:r>
      <w:r>
        <w:rPr>
          <w:i/>
        </w:rPr>
        <w:t xml:space="preserve"> </w:t>
      </w:r>
    </w:p>
  </w:footnote>
  <w:footnote w:id="156">
    <w:p w:rsidR="00B75EC7" w:rsidP="00B75EC7">
      <w:pPr>
        <w:pStyle w:val="FootnoteText"/>
      </w:pPr>
      <w:r>
        <w:rPr>
          <w:rStyle w:val="FootnoteReference"/>
        </w:rPr>
        <w:footnoteRef/>
      </w:r>
      <w:r>
        <w:t xml:space="preserve"> MMU Protest at 18</w:t>
      </w:r>
      <w:r w:rsidR="00742D50">
        <w:t>;</w:t>
      </w:r>
      <w:r>
        <w:t xml:space="preserve"> IPPNY Protest at 60</w:t>
      </w:r>
      <w:r w:rsidR="00742D50">
        <w:t>;</w:t>
      </w:r>
      <w:r>
        <w:t xml:space="preserve"> Ravenswood Protest at 8-9.</w:t>
      </w:r>
    </w:p>
  </w:footnote>
  <w:footnote w:id="157">
    <w:p w:rsidR="0015582F" w:rsidP="0015582F">
      <w:pPr>
        <w:pStyle w:val="FootnoteText"/>
      </w:pPr>
      <w:r>
        <w:rPr>
          <w:rStyle w:val="FootnoteReference"/>
        </w:rPr>
        <w:footnoteRef/>
      </w:r>
      <w:r>
        <w:t xml:space="preserve"> MMU </w:t>
      </w:r>
      <w:r w:rsidR="007A3FF7">
        <w:t>P</w:t>
      </w:r>
      <w:r>
        <w:t xml:space="preserve">rotest at 15. </w:t>
      </w:r>
    </w:p>
  </w:footnote>
  <w:footnote w:id="158">
    <w:p w:rsidR="0015582F" w:rsidP="0015582F">
      <w:pPr>
        <w:pStyle w:val="FootnoteText"/>
      </w:pPr>
      <w:r>
        <w:rPr>
          <w:rStyle w:val="FootnoteReference"/>
        </w:rPr>
        <w:footnoteRef/>
      </w:r>
      <w:r>
        <w:t xml:space="preserve"> </w:t>
      </w:r>
      <w:r w:rsidR="003A7C07">
        <w:rPr>
          <w:i/>
          <w:iCs/>
        </w:rPr>
        <w:t>Id.</w:t>
      </w:r>
    </w:p>
  </w:footnote>
  <w:footnote w:id="159">
    <w:p w:rsidR="0020106C" w:rsidP="0020106C">
      <w:pPr>
        <w:pStyle w:val="FootnoteText"/>
      </w:pPr>
      <w:r>
        <w:rPr>
          <w:rStyle w:val="FootnoteReference"/>
        </w:rPr>
        <w:footnoteRef/>
      </w:r>
      <w:r>
        <w:t xml:space="preserve"> </w:t>
      </w:r>
      <w:r w:rsidR="003A7C07">
        <w:rPr>
          <w:i/>
          <w:iCs/>
        </w:rPr>
        <w:t>Id.</w:t>
      </w:r>
    </w:p>
  </w:footnote>
  <w:footnote w:id="160">
    <w:p w:rsidR="00A1201E">
      <w:pPr>
        <w:pStyle w:val="FootnoteText"/>
      </w:pPr>
      <w:r>
        <w:rPr>
          <w:rStyle w:val="FootnoteReference"/>
        </w:rPr>
        <w:footnoteRef/>
      </w:r>
      <w:r>
        <w:t xml:space="preserve"> Ravenswood </w:t>
      </w:r>
      <w:r w:rsidR="0021096C">
        <w:t xml:space="preserve">Protest </w:t>
      </w:r>
      <w:r>
        <w:t>at 9</w:t>
      </w:r>
      <w:r w:rsidR="00E05F24">
        <w:t xml:space="preserve"> (citing </w:t>
      </w:r>
      <w:r w:rsidRPr="00F9412F" w:rsidR="00A80B99">
        <w:rPr>
          <w:i/>
          <w:iCs/>
        </w:rPr>
        <w:t>N.Y. Indep. Sys. Op</w:t>
      </w:r>
      <w:r w:rsidR="00A90B39">
        <w:rPr>
          <w:i/>
          <w:iCs/>
        </w:rPr>
        <w:t>erator</w:t>
      </w:r>
      <w:r w:rsidRPr="00483ECB" w:rsidR="00A80B99">
        <w:rPr>
          <w:i/>
          <w:iCs/>
        </w:rPr>
        <w:t>, Inc.</w:t>
      </w:r>
      <w:r w:rsidR="00A80B99">
        <w:t>,</w:t>
      </w:r>
      <w:r w:rsidR="00C95867">
        <w:t xml:space="preserve"> Filing</w:t>
      </w:r>
      <w:r w:rsidR="00276F27">
        <w:t>,</w:t>
      </w:r>
      <w:r w:rsidR="004864B1">
        <w:t xml:space="preserve"> Docket No. ER18-1743</w:t>
      </w:r>
      <w:r w:rsidR="00410638">
        <w:t xml:space="preserve">, at 26 </w:t>
      </w:r>
      <w:r w:rsidR="00853CCC">
        <w:t>(filed A</w:t>
      </w:r>
      <w:r w:rsidR="0029752E">
        <w:t>ug. 9</w:t>
      </w:r>
      <w:r w:rsidR="0025321F">
        <w:t>,</w:t>
      </w:r>
      <w:r w:rsidR="0029752E">
        <w:t xml:space="preserve"> 2018)</w:t>
      </w:r>
      <w:r w:rsidR="00116A7E">
        <w:t>)</w:t>
      </w:r>
      <w:r>
        <w:t xml:space="preserve">. </w:t>
      </w:r>
    </w:p>
  </w:footnote>
  <w:footnote w:id="161">
    <w:p w:rsidR="00CE0B42" w:rsidP="00CE0B42">
      <w:pPr>
        <w:pStyle w:val="FootnoteText"/>
      </w:pPr>
      <w:r>
        <w:rPr>
          <w:rStyle w:val="FootnoteReference"/>
        </w:rPr>
        <w:footnoteRef/>
      </w:r>
      <w:r>
        <w:t xml:space="preserve"> MMU </w:t>
      </w:r>
      <w:r w:rsidR="007A3FF7">
        <w:t>P</w:t>
      </w:r>
      <w:r>
        <w:t>rotest at 15.</w:t>
      </w:r>
    </w:p>
  </w:footnote>
  <w:footnote w:id="162">
    <w:p w:rsidR="00270F64" w:rsidP="00270F64">
      <w:pPr>
        <w:pStyle w:val="FootnoteText"/>
      </w:pPr>
      <w:r>
        <w:rPr>
          <w:rStyle w:val="FootnoteReference"/>
        </w:rPr>
        <w:footnoteRef/>
      </w:r>
      <w:r>
        <w:t xml:space="preserve"> </w:t>
      </w:r>
      <w:r w:rsidR="00C31F93">
        <w:rPr>
          <w:i/>
          <w:iCs/>
        </w:rPr>
        <w:t>Id.</w:t>
      </w:r>
      <w:r>
        <w:rPr>
          <w:i/>
        </w:rPr>
        <w:t xml:space="preserve"> </w:t>
      </w:r>
      <w:r>
        <w:t>at 18.</w:t>
      </w:r>
    </w:p>
  </w:footnote>
  <w:footnote w:id="163">
    <w:p w:rsidR="00270F64" w:rsidP="00270F64">
      <w:pPr>
        <w:pStyle w:val="FootnoteText"/>
      </w:pPr>
      <w:r>
        <w:rPr>
          <w:rStyle w:val="FootnoteReference"/>
        </w:rPr>
        <w:footnoteRef/>
      </w:r>
      <w:r>
        <w:t xml:space="preserve"> </w:t>
      </w:r>
      <w:r w:rsidR="00F61D99">
        <w:rPr>
          <w:i/>
          <w:iCs/>
        </w:rPr>
        <w:t>Id.</w:t>
      </w:r>
      <w:r>
        <w:rPr>
          <w:i/>
        </w:rPr>
        <w:t xml:space="preserve"> </w:t>
      </w:r>
      <w:r>
        <w:t>at 18-19</w:t>
      </w:r>
      <w:r w:rsidR="00163055">
        <w:t xml:space="preserve"> (quoting</w:t>
      </w:r>
      <w:r w:rsidR="00E506DE">
        <w:t xml:space="preserve"> </w:t>
      </w:r>
      <w:r w:rsidR="003962C5">
        <w:t>the description of “gross peak plant costs” in Services Tariff</w:t>
      </w:r>
      <w:r w:rsidR="00EB7363">
        <w:t xml:space="preserve"> </w:t>
      </w:r>
      <w:r w:rsidR="0041795D">
        <w:t>section</w:t>
      </w:r>
      <w:r w:rsidRPr="00A079E2" w:rsidR="00A079E2">
        <w:t xml:space="preserve"> 5.14.1.2.2</w:t>
      </w:r>
      <w:r w:rsidRPr="00EB7363" w:rsidR="00EB7363">
        <w:t xml:space="preserve"> </w:t>
      </w:r>
      <w:r w:rsidR="00A079E2">
        <w:t>(</w:t>
      </w:r>
      <w:r w:rsidR="00421070">
        <w:t>“</w:t>
      </w:r>
      <w:r w:rsidR="00E36E42">
        <w:t>[T]</w:t>
      </w:r>
      <w:r w:rsidRPr="00EB7363" w:rsidR="00EB7363">
        <w:t>he current localized levelized embedded cost of a peaking plant in each NYCA Locality, the Rest of State, and any New Capacity Zone, to meet minimum capacity requirements.”</w:t>
      </w:r>
      <w:r w:rsidR="00247739">
        <w:t>)).</w:t>
      </w:r>
      <w:r w:rsidRPr="00EB7363" w:rsidR="00EB7363">
        <w:t xml:space="preserve"> </w:t>
      </w:r>
    </w:p>
  </w:footnote>
  <w:footnote w:id="164">
    <w:p w:rsidR="00270F64" w:rsidP="00270F64">
      <w:pPr>
        <w:pStyle w:val="FootnoteText"/>
      </w:pPr>
      <w:r>
        <w:rPr>
          <w:rStyle w:val="FootnoteReference"/>
        </w:rPr>
        <w:footnoteRef/>
      </w:r>
      <w:r>
        <w:t xml:space="preserve"> </w:t>
      </w:r>
      <w:r w:rsidR="0018433A">
        <w:rPr>
          <w:i/>
          <w:iCs/>
        </w:rPr>
        <w:t>Id.</w:t>
      </w:r>
      <w:r>
        <w:rPr>
          <w:i/>
        </w:rPr>
        <w:t xml:space="preserve"> </w:t>
      </w:r>
      <w:r>
        <w:t xml:space="preserve"> at 19. </w:t>
      </w:r>
    </w:p>
  </w:footnote>
  <w:footnote w:id="165">
    <w:p w:rsidR="00270F64" w:rsidP="00270F64">
      <w:pPr>
        <w:pStyle w:val="FootnoteText"/>
      </w:pPr>
      <w:r>
        <w:rPr>
          <w:rStyle w:val="FootnoteReference"/>
        </w:rPr>
        <w:footnoteRef/>
      </w:r>
      <w:r>
        <w:t xml:space="preserve"> </w:t>
      </w:r>
      <w:r w:rsidR="00A12936">
        <w:rPr>
          <w:i/>
          <w:iCs/>
        </w:rPr>
        <w:t>Id.</w:t>
      </w:r>
    </w:p>
  </w:footnote>
  <w:footnote w:id="166">
    <w:p w:rsidR="00270F64" w:rsidP="00270F64">
      <w:pPr>
        <w:pStyle w:val="FootnoteText"/>
      </w:pPr>
      <w:r>
        <w:rPr>
          <w:rStyle w:val="FootnoteReference"/>
        </w:rPr>
        <w:footnoteRef/>
      </w:r>
      <w:r>
        <w:t xml:space="preserve"> </w:t>
      </w:r>
      <w:r w:rsidR="00D87DAE">
        <w:rPr>
          <w:i/>
          <w:iCs/>
        </w:rPr>
        <w:t>Id.</w:t>
      </w:r>
      <w:r>
        <w:rPr>
          <w:i/>
        </w:rPr>
        <w:t xml:space="preserve"> </w:t>
      </w:r>
      <w:r>
        <w:t xml:space="preserve">at 20. </w:t>
      </w:r>
    </w:p>
  </w:footnote>
  <w:footnote w:id="167">
    <w:p w:rsidR="00B75EC7" w:rsidP="00B75EC7">
      <w:pPr>
        <w:pStyle w:val="FootnoteText"/>
      </w:pPr>
      <w:r>
        <w:rPr>
          <w:rStyle w:val="FootnoteReference"/>
        </w:rPr>
        <w:footnoteRef/>
      </w:r>
      <w:r>
        <w:t xml:space="preserve"> </w:t>
      </w:r>
      <w:r w:rsidR="00D100DA">
        <w:t>Consumer Stakeholder Comments at 12-13;</w:t>
      </w:r>
      <w:r>
        <w:t xml:space="preserve"> Con Edison and Orange and Rockland Comments at 3-4</w:t>
      </w:r>
      <w:r w:rsidR="000A0286">
        <w:t>;</w:t>
      </w:r>
      <w:r>
        <w:t xml:space="preserve"> NYTOs Comments at 15.</w:t>
      </w:r>
    </w:p>
  </w:footnote>
  <w:footnote w:id="168">
    <w:p w:rsidR="00C57269" w:rsidP="00C57269">
      <w:pPr>
        <w:pStyle w:val="FootnoteText"/>
      </w:pPr>
      <w:r w:rsidRPr="00E751BC">
        <w:rPr>
          <w:rStyle w:val="FootnoteReference"/>
        </w:rPr>
        <w:footnoteRef/>
      </w:r>
      <w:r>
        <w:t xml:space="preserve"> NYISO Answer at 10.</w:t>
      </w:r>
    </w:p>
  </w:footnote>
  <w:footnote w:id="169">
    <w:p w:rsidR="00C57269" w:rsidP="00C57269">
      <w:pPr>
        <w:pStyle w:val="FootnoteText"/>
      </w:pPr>
      <w:r w:rsidRPr="00E751BC">
        <w:rPr>
          <w:rStyle w:val="FootnoteReference"/>
        </w:rPr>
        <w:footnoteRef/>
      </w:r>
      <w:r>
        <w:t xml:space="preserve"> </w:t>
      </w:r>
      <w:r w:rsidR="007D31D1">
        <w:rPr>
          <w:i/>
          <w:iCs/>
        </w:rPr>
        <w:t>Id.</w:t>
      </w:r>
      <w:r>
        <w:rPr>
          <w:i/>
        </w:rPr>
        <w:t xml:space="preserve"> </w:t>
      </w:r>
      <w:r>
        <w:t>at 11.</w:t>
      </w:r>
    </w:p>
  </w:footnote>
  <w:footnote w:id="170">
    <w:p w:rsidR="00CB2853" w:rsidP="00CB2853">
      <w:pPr>
        <w:pStyle w:val="FootnoteText"/>
      </w:pPr>
      <w:r>
        <w:rPr>
          <w:rStyle w:val="FootnoteReference"/>
        </w:rPr>
        <w:footnoteRef/>
      </w:r>
      <w:r>
        <w:t xml:space="preserve"> NYTOs Answer at 5.</w:t>
      </w:r>
    </w:p>
  </w:footnote>
  <w:footnote w:id="171">
    <w:p w:rsidR="00CB2853" w:rsidP="00CB2853">
      <w:pPr>
        <w:pStyle w:val="FootnoteText"/>
      </w:pPr>
      <w:r>
        <w:rPr>
          <w:rStyle w:val="FootnoteReference"/>
        </w:rPr>
        <w:footnoteRef/>
      </w:r>
      <w:r>
        <w:t xml:space="preserve"> </w:t>
      </w:r>
      <w:r w:rsidR="00416A46">
        <w:rPr>
          <w:i/>
          <w:iCs/>
        </w:rPr>
        <w:t>Id.</w:t>
      </w:r>
      <w:r>
        <w:rPr>
          <w:i/>
        </w:rPr>
        <w:t xml:space="preserve"> </w:t>
      </w:r>
      <w:r>
        <w:t xml:space="preserve">at 6. </w:t>
      </w:r>
    </w:p>
  </w:footnote>
  <w:footnote w:id="172">
    <w:p w:rsidR="00CB2853" w:rsidP="00CB2853">
      <w:pPr>
        <w:pStyle w:val="FootnoteText"/>
      </w:pPr>
      <w:r>
        <w:rPr>
          <w:rStyle w:val="FootnoteReference"/>
        </w:rPr>
        <w:footnoteRef/>
      </w:r>
      <w:r>
        <w:t xml:space="preserve"> </w:t>
      </w:r>
      <w:r w:rsidR="00BF26F2">
        <w:rPr>
          <w:i/>
          <w:iCs/>
        </w:rPr>
        <w:t>Id.</w:t>
      </w:r>
      <w:r>
        <w:rPr>
          <w:i/>
        </w:rPr>
        <w:t xml:space="preserve"> </w:t>
      </w:r>
      <w:r>
        <w:t>at 6-7.</w:t>
      </w:r>
    </w:p>
  </w:footnote>
  <w:footnote w:id="173">
    <w:p w:rsidR="00CB2853" w:rsidP="00CB2853">
      <w:pPr>
        <w:pStyle w:val="FootnoteText"/>
      </w:pPr>
      <w:r>
        <w:rPr>
          <w:rStyle w:val="FootnoteReference"/>
        </w:rPr>
        <w:footnoteRef/>
      </w:r>
      <w:r>
        <w:t xml:space="preserve"> </w:t>
      </w:r>
      <w:r w:rsidR="000E7827">
        <w:rPr>
          <w:i/>
          <w:iCs/>
        </w:rPr>
        <w:t>Id.</w:t>
      </w:r>
      <w:r>
        <w:rPr>
          <w:i/>
        </w:rPr>
        <w:t xml:space="preserve"> </w:t>
      </w:r>
      <w:r>
        <w:t xml:space="preserve">at 8-10.  NYTO state that </w:t>
      </w:r>
      <w:r w:rsidRPr="00057F39">
        <w:t xml:space="preserve">in </w:t>
      </w:r>
      <w:r w:rsidR="006964E7">
        <w:t>prior</w:t>
      </w:r>
      <w:r w:rsidRPr="00057F39">
        <w:t xml:space="preserve"> Commission proceeding</w:t>
      </w:r>
      <w:r w:rsidR="006964E7">
        <w:t>s</w:t>
      </w:r>
      <w:r>
        <w:t xml:space="preserve"> </w:t>
      </w:r>
      <w:r w:rsidRPr="00057F39">
        <w:t xml:space="preserve">IPPNY </w:t>
      </w:r>
      <w:r w:rsidR="006964E7">
        <w:t>stated</w:t>
      </w:r>
      <w:r w:rsidRPr="00057F39">
        <w:t xml:space="preserve"> </w:t>
      </w:r>
      <w:r w:rsidR="00560C7C">
        <w:t xml:space="preserve">that </w:t>
      </w:r>
      <w:r w:rsidRPr="00057F39">
        <w:t>NYISO’s ICAP markets are only intended to ensure resource adequacy</w:t>
      </w:r>
      <w:r>
        <w:t>, which conflict</w:t>
      </w:r>
      <w:r w:rsidR="00712335">
        <w:t>s</w:t>
      </w:r>
      <w:r>
        <w:t xml:space="preserve"> </w:t>
      </w:r>
      <w:r w:rsidRPr="00973F03">
        <w:t xml:space="preserve">with </w:t>
      </w:r>
      <w:r w:rsidR="00702C4C">
        <w:t>IPPNY’s</w:t>
      </w:r>
      <w:r w:rsidRPr="00973F03">
        <w:t xml:space="preserve"> suggestion now that NYISO’s capacity market design is intended to ensure that transmission security requirements are met</w:t>
      </w:r>
      <w:r>
        <w:t xml:space="preserve">.  NYTO Answer at 8-9 </w:t>
      </w:r>
      <w:r w:rsidR="00702C4C">
        <w:t>(</w:t>
      </w:r>
      <w:r>
        <w:t xml:space="preserve">citing </w:t>
      </w:r>
      <w:r w:rsidRPr="00F74881">
        <w:rPr>
          <w:i/>
          <w:iCs/>
        </w:rPr>
        <w:t>Indep</w:t>
      </w:r>
      <w:r w:rsidRPr="00F74881" w:rsidR="006E7B7B">
        <w:rPr>
          <w:i/>
          <w:iCs/>
        </w:rPr>
        <w:t>.</w:t>
      </w:r>
      <w:r w:rsidRPr="00F74881">
        <w:rPr>
          <w:i/>
        </w:rPr>
        <w:t xml:space="preserve"> Power Producers of </w:t>
      </w:r>
      <w:r w:rsidRPr="00F74881">
        <w:rPr>
          <w:i/>
          <w:iCs/>
        </w:rPr>
        <w:t>N</w:t>
      </w:r>
      <w:r w:rsidRPr="00F74881" w:rsidR="00D53FCC">
        <w:rPr>
          <w:i/>
          <w:iCs/>
        </w:rPr>
        <w:t>.</w:t>
      </w:r>
      <w:r w:rsidRPr="00F74881">
        <w:rPr>
          <w:i/>
          <w:iCs/>
        </w:rPr>
        <w:t>Y</w:t>
      </w:r>
      <w:r w:rsidRPr="00F74881" w:rsidR="006E7B7B">
        <w:rPr>
          <w:i/>
          <w:iCs/>
        </w:rPr>
        <w:t>.</w:t>
      </w:r>
      <w:r w:rsidRPr="00F74881">
        <w:rPr>
          <w:i/>
        </w:rPr>
        <w:t>, Inc.</w:t>
      </w:r>
      <w:r w:rsidRPr="00057F39">
        <w:t>, Answer of Indep</w:t>
      </w:r>
      <w:r w:rsidR="008A0707">
        <w:t>endent</w:t>
      </w:r>
      <w:r w:rsidRPr="00057F39">
        <w:t xml:space="preserve"> Power Producers of </w:t>
      </w:r>
      <w:r w:rsidR="008A0707">
        <w:t>New York</w:t>
      </w:r>
      <w:r w:rsidRPr="00057F39">
        <w:t xml:space="preserve">, Inc., Docket </w:t>
      </w:r>
      <w:r w:rsidR="00CE7977">
        <w:t xml:space="preserve">No. </w:t>
      </w:r>
      <w:r w:rsidRPr="00057F39">
        <w:t>EL13-62-000</w:t>
      </w:r>
      <w:r w:rsidR="00CE7977">
        <w:t>,</w:t>
      </w:r>
      <w:r>
        <w:t xml:space="preserve"> </w:t>
      </w:r>
      <w:r w:rsidRPr="00057F39">
        <w:t>at 7 (</w:t>
      </w:r>
      <w:r>
        <w:t xml:space="preserve">filed </w:t>
      </w:r>
      <w:r w:rsidRPr="00057F39">
        <w:t>June 14, 2013</w:t>
      </w:r>
      <w:r w:rsidR="00BC17D3">
        <w:t>)</w:t>
      </w:r>
      <w:r w:rsidRPr="00057F39">
        <w:t>)</w:t>
      </w:r>
      <w:r>
        <w:t xml:space="preserve">.  </w:t>
      </w:r>
    </w:p>
  </w:footnote>
  <w:footnote w:id="174">
    <w:p w:rsidR="00A32B6A" w:rsidP="000D0605">
      <w:pPr>
        <w:ind w:firstLine="720"/>
      </w:pPr>
      <w:r w:rsidRPr="000A6973">
        <w:rPr>
          <w:b/>
          <w:vertAlign w:val="superscript"/>
        </w:rPr>
        <w:footnoteRef/>
      </w:r>
      <w:r>
        <w:t xml:space="preserve"> Consumer Stakeholders Answer at 8.</w:t>
      </w:r>
    </w:p>
    <w:p w:rsidR="00D45E69" w:rsidRPr="000A6973" w:rsidP="00A32B6A">
      <w:pPr>
        <w:rPr>
          <w:b/>
        </w:rPr>
      </w:pPr>
    </w:p>
  </w:footnote>
  <w:footnote w:id="175">
    <w:p w:rsidR="00CB2853" w:rsidP="00CB2853">
      <w:pPr>
        <w:pStyle w:val="FootnoteText"/>
      </w:pPr>
      <w:r>
        <w:rPr>
          <w:rStyle w:val="FootnoteReference"/>
        </w:rPr>
        <w:footnoteRef/>
      </w:r>
      <w:r>
        <w:t xml:space="preserve"> NYTOs Answer at 10.</w:t>
      </w:r>
    </w:p>
  </w:footnote>
  <w:footnote w:id="176">
    <w:p w:rsidR="001C029C" w:rsidP="00FD1959">
      <w:pPr>
        <w:ind w:firstLine="720"/>
      </w:pPr>
      <w:r w:rsidRPr="000A6973">
        <w:rPr>
          <w:b/>
          <w:vertAlign w:val="superscript"/>
        </w:rPr>
        <w:footnoteRef/>
      </w:r>
      <w:r>
        <w:t xml:space="preserve"> Consumer Stakeholders Answer at 9.</w:t>
      </w:r>
    </w:p>
    <w:p w:rsidR="00D45E69" w:rsidRPr="000A6973" w:rsidP="002F3685">
      <w:pPr>
        <w:ind w:firstLine="720"/>
        <w:rPr>
          <w:b/>
        </w:rPr>
      </w:pPr>
    </w:p>
  </w:footnote>
  <w:footnote w:id="177">
    <w:p w:rsidR="00C94BBA" w:rsidRPr="001F74FD" w:rsidP="00C94BBA">
      <w:pPr>
        <w:pStyle w:val="FootnoteText"/>
        <w:tabs>
          <w:tab w:val="left" w:pos="4068"/>
        </w:tabs>
      </w:pPr>
      <w:r>
        <w:rPr>
          <w:rStyle w:val="FootnoteReference"/>
        </w:rPr>
        <w:footnoteRef/>
      </w:r>
      <w:r>
        <w:t xml:space="preserve"> </w:t>
      </w:r>
      <w:r w:rsidR="009B554C">
        <w:t>NYISO,</w:t>
      </w:r>
      <w:r>
        <w:t xml:space="preserve"> </w:t>
      </w:r>
      <w:r w:rsidR="00CA3D95">
        <w:t xml:space="preserve">NYISO Tariffs, </w:t>
      </w:r>
      <w:r>
        <w:t>Services Tariff, § 5.14.1.2.2.</w:t>
      </w:r>
    </w:p>
  </w:footnote>
  <w:footnote w:id="178">
    <w:p w:rsidR="00742210">
      <w:pPr>
        <w:pStyle w:val="FootnoteText"/>
      </w:pPr>
      <w:r>
        <w:rPr>
          <w:rStyle w:val="FootnoteReference"/>
        </w:rPr>
        <w:footnoteRef/>
      </w:r>
      <w:r>
        <w:t xml:space="preserve"> </w:t>
      </w:r>
      <w:r w:rsidR="00B45185">
        <w:t xml:space="preserve">To the extent that MMU is arguing that transmission security is material to the question of economic viability, we find that NYISO’s method of judging economic viability is a reasonable one.   </w:t>
      </w:r>
      <w:r w:rsidR="000527B6">
        <w:rPr>
          <w:i/>
          <w:iCs/>
        </w:rPr>
        <w:t>See</w:t>
      </w:r>
      <w:r w:rsidR="00E64200">
        <w:rPr>
          <w:i/>
          <w:iCs/>
        </w:rPr>
        <w:t xml:space="preserve"> </w:t>
      </w:r>
      <w:r w:rsidR="008A3124">
        <w:t xml:space="preserve">2014-2017 DCR Order, </w:t>
      </w:r>
      <w:r w:rsidRPr="003B3AAE" w:rsidR="003B3AAE">
        <w:t>146 FERC ¶ 61,043 at P 60</w:t>
      </w:r>
      <w:r w:rsidR="00C33B78">
        <w:t xml:space="preserve"> (noting that </w:t>
      </w:r>
      <w:r w:rsidR="00A84724">
        <w:t>economic</w:t>
      </w:r>
      <w:r w:rsidR="00C33B78">
        <w:t xml:space="preserve"> viability determinations are a “matter of judgment.”)</w:t>
      </w:r>
      <w:r w:rsidR="00A84724">
        <w:t>.</w:t>
      </w:r>
      <w:r w:rsidRPr="00742210">
        <w:t xml:space="preserve"> </w:t>
      </w:r>
    </w:p>
  </w:footnote>
  <w:footnote w:id="179">
    <w:p w:rsidR="00A6788C" w:rsidP="00A6788C">
      <w:pPr>
        <w:pStyle w:val="FootnoteText"/>
      </w:pPr>
      <w:r>
        <w:rPr>
          <w:rStyle w:val="FootnoteReference"/>
        </w:rPr>
        <w:footnoteRef/>
      </w:r>
      <w:r>
        <w:t xml:space="preserve"> </w:t>
      </w:r>
      <w:r w:rsidR="007F537B">
        <w:rPr>
          <w:i/>
          <w:iCs/>
        </w:rPr>
        <w:t>Id.</w:t>
      </w:r>
      <w:r>
        <w:rPr>
          <w:i/>
        </w:rPr>
        <w:t xml:space="preserve"> </w:t>
      </w:r>
      <w:r>
        <w:t>at 28.</w:t>
      </w:r>
    </w:p>
  </w:footnote>
  <w:footnote w:id="180">
    <w:p w:rsidR="008F3203">
      <w:pPr>
        <w:pStyle w:val="FootnoteText"/>
      </w:pPr>
      <w:r>
        <w:rPr>
          <w:rStyle w:val="FootnoteReference"/>
        </w:rPr>
        <w:footnoteRef/>
      </w:r>
      <w:r>
        <w:t xml:space="preserve"> </w:t>
      </w:r>
      <w:r w:rsidR="00B54923">
        <w:rPr>
          <w:i/>
          <w:iCs/>
        </w:rPr>
        <w:t xml:space="preserve">Id. </w:t>
      </w:r>
      <w:r w:rsidR="00B54923">
        <w:t>at 10</w:t>
      </w:r>
      <w:r w:rsidR="003F3F62">
        <w:t>, 12</w:t>
      </w:r>
      <w:r w:rsidR="00B54923">
        <w:t>.</w:t>
      </w:r>
    </w:p>
  </w:footnote>
  <w:footnote w:id="181">
    <w:p w:rsidR="00787DFB" w:rsidP="00787DFB">
      <w:pPr>
        <w:pStyle w:val="FootnoteText"/>
      </w:pPr>
      <w:r w:rsidRPr="00921108">
        <w:rPr>
          <w:rStyle w:val="FootnoteReference"/>
        </w:rPr>
        <w:footnoteRef/>
      </w:r>
      <w:r>
        <w:t xml:space="preserve"> </w:t>
      </w:r>
      <w:r w:rsidR="00064FAD">
        <w:rPr>
          <w:i/>
          <w:iCs/>
        </w:rPr>
        <w:t>Id.</w:t>
      </w:r>
      <w:r>
        <w:rPr>
          <w:i/>
        </w:rPr>
        <w:t xml:space="preserve"> </w:t>
      </w:r>
      <w:r>
        <w:t xml:space="preserve">at 13-14 (citing the 2017-2021 DCR Order, 158 FERC </w:t>
      </w:r>
      <w:r w:rsidR="0013478E">
        <w:t xml:space="preserve">¶ </w:t>
      </w:r>
      <w:r>
        <w:t>61,028 at P 28).</w:t>
      </w:r>
    </w:p>
  </w:footnote>
  <w:footnote w:id="182">
    <w:p w:rsidR="003F6D3E" w:rsidP="003F6D3E">
      <w:pPr>
        <w:pStyle w:val="FootnoteText"/>
      </w:pPr>
      <w:r>
        <w:rPr>
          <w:rStyle w:val="FootnoteReference"/>
        </w:rPr>
        <w:footnoteRef/>
      </w:r>
      <w:r>
        <w:t xml:space="preserve"> </w:t>
      </w:r>
      <w:r w:rsidR="002A56BF">
        <w:rPr>
          <w:i/>
          <w:iCs/>
        </w:rPr>
        <w:t>Id.</w:t>
      </w:r>
      <w:r>
        <w:rPr>
          <w:i/>
        </w:rPr>
        <w:t xml:space="preserve"> </w:t>
      </w:r>
      <w:r>
        <w:t xml:space="preserve">at 13-15.  </w:t>
      </w:r>
    </w:p>
  </w:footnote>
  <w:footnote w:id="183">
    <w:p w:rsidR="008A4803" w:rsidP="008A4803">
      <w:pPr>
        <w:pStyle w:val="FootnoteText"/>
      </w:pPr>
      <w:r w:rsidRPr="00E115B8">
        <w:rPr>
          <w:rStyle w:val="FootnoteReference"/>
        </w:rPr>
        <w:footnoteRef/>
      </w:r>
      <w:r>
        <w:t xml:space="preserve"> MMU Protest at 2</w:t>
      </w:r>
      <w:r w:rsidR="00935AF8">
        <w:t>0</w:t>
      </w:r>
      <w:r>
        <w:t xml:space="preserve">-24. </w:t>
      </w:r>
    </w:p>
  </w:footnote>
  <w:footnote w:id="184">
    <w:p w:rsidR="00B26ADA" w:rsidP="00B26ADA">
      <w:pPr>
        <w:pStyle w:val="FootnoteText"/>
      </w:pPr>
      <w:r>
        <w:rPr>
          <w:rStyle w:val="FootnoteReference"/>
        </w:rPr>
        <w:footnoteRef/>
      </w:r>
      <w:r>
        <w:t xml:space="preserve"> </w:t>
      </w:r>
      <w:r w:rsidR="00495917">
        <w:rPr>
          <w:i/>
          <w:iCs/>
        </w:rPr>
        <w:t>Id.</w:t>
      </w:r>
      <w:r>
        <w:rPr>
          <w:i/>
        </w:rPr>
        <w:t xml:space="preserve"> </w:t>
      </w:r>
      <w:r>
        <w:t xml:space="preserve">at 20.  </w:t>
      </w:r>
      <w:r w:rsidRPr="00AA3723">
        <w:t>For the 2025-2029 DCR</w:t>
      </w:r>
      <w:r>
        <w:t xml:space="preserve">, </w:t>
      </w:r>
      <w:r w:rsidRPr="00AA3723">
        <w:t>NYISO proposes to again use an amortization period for fossil fuel only resources, such as gas turbines, that is aligned with the 2040 zero emission energy mandate in the CLCPA</w:t>
      </w:r>
      <w:r>
        <w:t>, resulting</w:t>
      </w:r>
      <w:r w:rsidRPr="00AA3723">
        <w:t xml:space="preserve"> in </w:t>
      </w:r>
      <w:r w:rsidR="007B7188">
        <w:t>a 13-year</w:t>
      </w:r>
      <w:r w:rsidRPr="00AA3723" w:rsidR="007B7188">
        <w:t xml:space="preserve"> </w:t>
      </w:r>
      <w:r w:rsidRPr="00AA3723">
        <w:t xml:space="preserve">amortization period for such resources. </w:t>
      </w:r>
      <w:r w:rsidR="009A57DB">
        <w:t xml:space="preserve"> </w:t>
      </w:r>
      <w:r w:rsidRPr="00AA3723">
        <w:t xml:space="preserve">Transmittal </w:t>
      </w:r>
      <w:r w:rsidR="004C5E4C">
        <w:t xml:space="preserve">Letter </w:t>
      </w:r>
      <w:r w:rsidRPr="00AA3723">
        <w:t>at 10, 14</w:t>
      </w:r>
      <w:r>
        <w:t xml:space="preserve">. </w:t>
      </w:r>
      <w:r w:rsidRPr="00AA3723">
        <w:t xml:space="preserve"> </w:t>
      </w:r>
    </w:p>
  </w:footnote>
  <w:footnote w:id="185">
    <w:p w:rsidR="00B26ADA" w:rsidP="00B26ADA">
      <w:pPr>
        <w:pStyle w:val="FootnoteText"/>
      </w:pPr>
      <w:r>
        <w:rPr>
          <w:rStyle w:val="FootnoteReference"/>
        </w:rPr>
        <w:footnoteRef/>
      </w:r>
      <w:r>
        <w:t xml:space="preserve"> MMU Protest at 21. </w:t>
      </w:r>
    </w:p>
  </w:footnote>
  <w:footnote w:id="186">
    <w:p w:rsidR="00B26ADA" w:rsidP="00B26ADA">
      <w:pPr>
        <w:pStyle w:val="FootnoteText"/>
      </w:pPr>
      <w:r>
        <w:rPr>
          <w:rStyle w:val="FootnoteReference"/>
        </w:rPr>
        <w:footnoteRef/>
      </w:r>
      <w:r>
        <w:t xml:space="preserve"> </w:t>
      </w:r>
      <w:r>
        <w:rPr>
          <w:i/>
          <w:iCs/>
        </w:rPr>
        <w:t>Id.</w:t>
      </w:r>
      <w:r>
        <w:t xml:space="preserve"> at 22. </w:t>
      </w:r>
    </w:p>
  </w:footnote>
  <w:footnote w:id="187">
    <w:p w:rsidR="007818C1">
      <w:pPr>
        <w:pStyle w:val="FootnoteText"/>
      </w:pPr>
      <w:r>
        <w:rPr>
          <w:rStyle w:val="FootnoteReference"/>
        </w:rPr>
        <w:footnoteRef/>
      </w:r>
      <w:r>
        <w:t xml:space="preserve"> Transmittal Letter at 13-15.  </w:t>
      </w:r>
    </w:p>
  </w:footnote>
  <w:footnote w:id="188">
    <w:p w:rsidR="00C50B06" w:rsidP="00C50B06">
      <w:pPr>
        <w:pStyle w:val="FootnoteText"/>
      </w:pPr>
      <w:r>
        <w:rPr>
          <w:rStyle w:val="FootnoteReference"/>
        </w:rPr>
        <w:footnoteRef/>
      </w:r>
      <w:r>
        <w:t xml:space="preserve"> </w:t>
      </w:r>
      <w:r w:rsidRPr="004E4A8D" w:rsidR="00614882">
        <w:rPr>
          <w:i/>
        </w:rPr>
        <w:t xml:space="preserve">See </w:t>
      </w:r>
      <w:r w:rsidR="00614882">
        <w:t xml:space="preserve">NYISO, </w:t>
      </w:r>
      <w:r w:rsidR="00CA3D95">
        <w:t xml:space="preserve">NYISO Tariffs, </w:t>
      </w:r>
      <w:r w:rsidR="00614882">
        <w:t>Services Tariff, § 5.14.1.2.2</w:t>
      </w:r>
      <w:r w:rsidR="009161E1">
        <w:t>.</w:t>
      </w:r>
    </w:p>
  </w:footnote>
  <w:footnote w:id="189">
    <w:p w:rsidR="00060F64">
      <w:pPr>
        <w:pStyle w:val="FootnoteText"/>
      </w:pPr>
      <w:r>
        <w:rPr>
          <w:rStyle w:val="FootnoteReference"/>
        </w:rPr>
        <w:footnoteRef/>
      </w:r>
      <w:r>
        <w:t xml:space="preserve"> Transmittal </w:t>
      </w:r>
      <w:r w:rsidR="00306202">
        <w:t xml:space="preserve">Letter </w:t>
      </w:r>
      <w:r>
        <w:t>at 33-3</w:t>
      </w:r>
      <w:r w:rsidR="005902A5">
        <w:t>4.</w:t>
      </w:r>
    </w:p>
  </w:footnote>
  <w:footnote w:id="190">
    <w:p w:rsidR="00377AE7">
      <w:pPr>
        <w:pStyle w:val="FootnoteText"/>
      </w:pPr>
      <w:r>
        <w:rPr>
          <w:rStyle w:val="FootnoteReference"/>
        </w:rPr>
        <w:footnoteRef/>
      </w:r>
      <w:r>
        <w:t xml:space="preserve"> </w:t>
      </w:r>
      <w:r w:rsidR="00EC55CB">
        <w:rPr>
          <w:i/>
          <w:iCs/>
        </w:rPr>
        <w:t>Id.</w:t>
      </w:r>
      <w:r>
        <w:rPr>
          <w:i/>
        </w:rPr>
        <w:t xml:space="preserve"> </w:t>
      </w:r>
      <w:r>
        <w:t xml:space="preserve">at </w:t>
      </w:r>
      <w:r w:rsidR="00331D9B">
        <w:t>35-4</w:t>
      </w:r>
      <w:r w:rsidR="00162A8C">
        <w:t>5</w:t>
      </w:r>
      <w:r w:rsidR="00331D9B">
        <w:t>.</w:t>
      </w:r>
    </w:p>
  </w:footnote>
  <w:footnote w:id="191">
    <w:p w:rsidR="007C594C" w:rsidP="007C594C">
      <w:pPr>
        <w:pStyle w:val="FootnoteText"/>
      </w:pPr>
      <w:r>
        <w:rPr>
          <w:rStyle w:val="FootnoteReference"/>
        </w:rPr>
        <w:footnoteRef/>
      </w:r>
      <w:r>
        <w:t xml:space="preserve"> </w:t>
      </w:r>
      <w:r w:rsidRPr="00D91E5D">
        <w:t>NYISO Consultant assumed a 20-year amortization period for the 2-hour BESS.</w:t>
      </w:r>
      <w:r>
        <w:t xml:space="preserve">  </w:t>
      </w:r>
      <w:r w:rsidR="000B12AB">
        <w:rPr>
          <w:i/>
          <w:iCs/>
        </w:rPr>
        <w:t xml:space="preserve">Id. </w:t>
      </w:r>
      <w:r>
        <w:t xml:space="preserve">at 59.  </w:t>
      </w:r>
    </w:p>
  </w:footnote>
  <w:footnote w:id="192">
    <w:p w:rsidR="007C594C" w:rsidP="007C594C">
      <w:pPr>
        <w:pStyle w:val="FootnoteText"/>
        <w:tabs>
          <w:tab w:val="left" w:pos="6573"/>
        </w:tabs>
      </w:pPr>
      <w:r>
        <w:rPr>
          <w:rStyle w:val="FootnoteReference"/>
        </w:rPr>
        <w:footnoteRef/>
      </w:r>
      <w:r>
        <w:t xml:space="preserve"> </w:t>
      </w:r>
      <w:r w:rsidR="001C3184">
        <w:rPr>
          <w:i/>
          <w:iCs/>
        </w:rPr>
        <w:t>Id.</w:t>
      </w:r>
      <w:r>
        <w:rPr>
          <w:i/>
        </w:rPr>
        <w:t xml:space="preserve"> </w:t>
      </w:r>
      <w:r>
        <w:t>at 53.</w:t>
      </w:r>
    </w:p>
  </w:footnote>
  <w:footnote w:id="193">
    <w:p w:rsidR="006D3621" w:rsidP="006D3621">
      <w:pPr>
        <w:pStyle w:val="FootnoteText"/>
      </w:pPr>
      <w:r w:rsidRPr="00E115B8">
        <w:rPr>
          <w:rStyle w:val="FootnoteReference"/>
        </w:rPr>
        <w:footnoteRef/>
      </w:r>
      <w:r>
        <w:t xml:space="preserve"> </w:t>
      </w:r>
      <w:r w:rsidR="00EF5D59">
        <w:rPr>
          <w:i/>
          <w:iCs/>
        </w:rPr>
        <w:t>Id.</w:t>
      </w:r>
      <w:r>
        <w:rPr>
          <w:i/>
        </w:rPr>
        <w:t xml:space="preserve"> </w:t>
      </w:r>
      <w:r>
        <w:t xml:space="preserve">at 44. </w:t>
      </w:r>
    </w:p>
  </w:footnote>
  <w:footnote w:id="194">
    <w:p w:rsidR="000110A1" w:rsidP="000110A1">
      <w:pPr>
        <w:pStyle w:val="FootnoteText"/>
      </w:pPr>
      <w:r w:rsidRPr="00E115B8">
        <w:rPr>
          <w:rStyle w:val="FootnoteReference"/>
        </w:rPr>
        <w:footnoteRef/>
      </w:r>
      <w:r>
        <w:t xml:space="preserve"> </w:t>
      </w:r>
      <w:r w:rsidR="001B2003">
        <w:rPr>
          <w:i/>
          <w:iCs/>
        </w:rPr>
        <w:t>Id.</w:t>
      </w:r>
      <w:r>
        <w:rPr>
          <w:i/>
        </w:rPr>
        <w:t xml:space="preserve"> </w:t>
      </w:r>
      <w:r>
        <w:t xml:space="preserve">at 45. </w:t>
      </w:r>
      <w:r w:rsidR="00EE23B2">
        <w:t xml:space="preserve"> </w:t>
      </w:r>
      <w:r w:rsidRPr="00EE23B2" w:rsidR="00EE23B2">
        <w:t>NYISO Consultant states that this is, in part, because the assets would be owned by the BESS projects and located prior to the point of change in ownership between the project and interconnecting transmission owner</w:t>
      </w:r>
      <w:r w:rsidR="00EE23B2">
        <w:t xml:space="preserve">.  Smith Aff. </w:t>
      </w:r>
      <w:r w:rsidRPr="005F2A48" w:rsidR="00EE23B2">
        <w:t xml:space="preserve">at </w:t>
      </w:r>
      <w:r w:rsidR="007B790F">
        <w:t xml:space="preserve">    </w:t>
      </w:r>
      <w:r w:rsidR="00776E55">
        <w:t>¶</w:t>
      </w:r>
      <w:r w:rsidRPr="005F2A48" w:rsidR="00EE23B2">
        <w:t xml:space="preserve"> 27</w:t>
      </w:r>
      <w:r w:rsidR="00EE23B2">
        <w:t>.</w:t>
      </w:r>
    </w:p>
  </w:footnote>
  <w:footnote w:id="195">
    <w:p w:rsidR="008151F4">
      <w:pPr>
        <w:pStyle w:val="FootnoteText"/>
      </w:pPr>
      <w:r>
        <w:rPr>
          <w:rStyle w:val="FootnoteReference"/>
        </w:rPr>
        <w:footnoteRef/>
      </w:r>
      <w:r>
        <w:t xml:space="preserve"> </w:t>
      </w:r>
      <w:r w:rsidR="00EC1188">
        <w:t xml:space="preserve">Transmittal </w:t>
      </w:r>
      <w:r w:rsidR="00306202">
        <w:t xml:space="preserve">Letter </w:t>
      </w:r>
      <w:r w:rsidR="00EC1188">
        <w:t>at 45.</w:t>
      </w:r>
    </w:p>
  </w:footnote>
  <w:footnote w:id="196">
    <w:p w:rsidR="00C41B68">
      <w:pPr>
        <w:pStyle w:val="FootnoteText"/>
      </w:pPr>
      <w:r>
        <w:rPr>
          <w:rStyle w:val="FootnoteReference"/>
        </w:rPr>
        <w:footnoteRef/>
      </w:r>
      <w:r>
        <w:t xml:space="preserve"> </w:t>
      </w:r>
      <w:r w:rsidR="00E0218C">
        <w:t xml:space="preserve">Smith Aff. </w:t>
      </w:r>
      <w:r w:rsidRPr="005F2A48" w:rsidR="00E0218C">
        <w:t xml:space="preserve">at </w:t>
      </w:r>
      <w:r w:rsidR="00212E9D">
        <w:t>¶</w:t>
      </w:r>
      <w:r w:rsidRPr="005F2A48" w:rsidR="00E0218C">
        <w:t xml:space="preserve"> 27</w:t>
      </w:r>
      <w:r w:rsidR="00E0218C">
        <w:t>.</w:t>
      </w:r>
    </w:p>
  </w:footnote>
  <w:footnote w:id="197">
    <w:p w:rsidR="006A70F6">
      <w:pPr>
        <w:pStyle w:val="FootnoteText"/>
      </w:pPr>
      <w:r w:rsidRPr="00E115B8">
        <w:rPr>
          <w:rStyle w:val="FootnoteReference"/>
        </w:rPr>
        <w:footnoteRef/>
      </w:r>
      <w:r>
        <w:t xml:space="preserve"> </w:t>
      </w:r>
      <w:r w:rsidR="00306202">
        <w:t>26 C.F.R</w:t>
      </w:r>
      <w:r w:rsidRPr="00CB0D1A">
        <w:t>. § 1.48-9(f)(3)(i)</w:t>
      </w:r>
      <w:r w:rsidR="00CA3D95">
        <w:t xml:space="preserve"> (2024)</w:t>
      </w:r>
      <w:r>
        <w:t>.</w:t>
      </w:r>
    </w:p>
  </w:footnote>
  <w:footnote w:id="198">
    <w:p w:rsidR="006A70F6">
      <w:pPr>
        <w:pStyle w:val="FootnoteText"/>
      </w:pPr>
      <w:r w:rsidRPr="00E115B8">
        <w:rPr>
          <w:rStyle w:val="FootnoteReference"/>
        </w:rPr>
        <w:footnoteRef/>
      </w:r>
      <w:r>
        <w:t xml:space="preserve"> Consumer Stakeholder Comments at 27.</w:t>
      </w:r>
    </w:p>
  </w:footnote>
  <w:footnote w:id="199">
    <w:p w:rsidR="00624773" w:rsidP="00624773">
      <w:pPr>
        <w:pStyle w:val="FootnoteText"/>
      </w:pPr>
      <w:r w:rsidRPr="00E115B8">
        <w:rPr>
          <w:rStyle w:val="FootnoteReference"/>
        </w:rPr>
        <w:footnoteRef/>
      </w:r>
      <w:r>
        <w:t xml:space="preserve"> NYSERDA</w:t>
      </w:r>
      <w:r w:rsidRPr="00C4146E">
        <w:t xml:space="preserve"> </w:t>
      </w:r>
      <w:r>
        <w:t>Comments at 8</w:t>
      </w:r>
      <w:r w:rsidR="00706B57">
        <w:t xml:space="preserve"> (</w:t>
      </w:r>
      <w:r w:rsidRPr="00CA3D95" w:rsidR="00706B57">
        <w:t>citing</w:t>
      </w:r>
      <w:r w:rsidRPr="00CA3D95" w:rsidR="00D176F9">
        <w:t xml:space="preserve"> Definition of Energy Property and Rules Applicable to the Energy Credit,</w:t>
      </w:r>
      <w:r w:rsidRPr="00ED2F51" w:rsidR="00D176F9">
        <w:rPr>
          <w:i/>
        </w:rPr>
        <w:t xml:space="preserve"> </w:t>
      </w:r>
      <w:r w:rsidRPr="0047345B" w:rsidR="00D176F9">
        <w:t>89 Fed</w:t>
      </w:r>
      <w:r w:rsidRPr="00ED2F51" w:rsidR="00D176F9">
        <w:t>.</w:t>
      </w:r>
      <w:r w:rsidRPr="0047345B" w:rsidR="00D176F9">
        <w:t xml:space="preserve"> </w:t>
      </w:r>
      <w:r w:rsidRPr="00ED2F51" w:rsidR="009C2924">
        <w:t>Reg.</w:t>
      </w:r>
      <w:r w:rsidRPr="0047345B" w:rsidR="009C2924">
        <w:t xml:space="preserve"> </w:t>
      </w:r>
      <w:r w:rsidRPr="00ED2F51" w:rsidR="009C2924">
        <w:t>100598 (</w:t>
      </w:r>
      <w:r w:rsidRPr="0047345B" w:rsidR="009C2924">
        <w:t>Dec. 12, 2024</w:t>
      </w:r>
      <w:r w:rsidR="00D57620">
        <w:t>)</w:t>
      </w:r>
      <w:r w:rsidRPr="00ED2F51" w:rsidR="00D176F9">
        <w:t xml:space="preserve">). </w:t>
      </w:r>
    </w:p>
  </w:footnote>
  <w:footnote w:id="200">
    <w:p w:rsidR="00624773" w:rsidP="00624773">
      <w:pPr>
        <w:pStyle w:val="FootnoteText"/>
      </w:pPr>
      <w:r w:rsidRPr="00E115B8">
        <w:rPr>
          <w:rStyle w:val="FootnoteReference"/>
        </w:rPr>
        <w:footnoteRef/>
      </w:r>
      <w:r>
        <w:t xml:space="preserve"> </w:t>
      </w:r>
      <w:r w:rsidR="009402D7">
        <w:rPr>
          <w:i/>
          <w:iCs/>
        </w:rPr>
        <w:t>Id.</w:t>
      </w:r>
      <w:r>
        <w:rPr>
          <w:i/>
        </w:rPr>
        <w:t xml:space="preserve"> </w:t>
      </w:r>
      <w:r w:rsidRPr="00E4425D">
        <w:t>at 1</w:t>
      </w:r>
      <w:r w:rsidR="009C56F8">
        <w:t>0</w:t>
      </w:r>
      <w:r w:rsidRPr="00E4425D">
        <w:t>.</w:t>
      </w:r>
    </w:p>
  </w:footnote>
  <w:footnote w:id="201">
    <w:p w:rsidR="00624773" w:rsidP="00624773">
      <w:pPr>
        <w:pStyle w:val="FootnoteText"/>
      </w:pPr>
      <w:r w:rsidRPr="00E115B8">
        <w:rPr>
          <w:rStyle w:val="FootnoteReference"/>
        </w:rPr>
        <w:footnoteRef/>
      </w:r>
      <w:r>
        <w:t xml:space="preserve"> </w:t>
      </w:r>
      <w:r w:rsidR="007648B1">
        <w:rPr>
          <w:i/>
          <w:iCs/>
        </w:rPr>
        <w:t>Id.</w:t>
      </w:r>
      <w:r>
        <w:rPr>
          <w:i/>
        </w:rPr>
        <w:t xml:space="preserve"> </w:t>
      </w:r>
      <w:r>
        <w:t>at 13</w:t>
      </w:r>
      <w:r w:rsidR="002400D3">
        <w:t>-15</w:t>
      </w:r>
      <w:r w:rsidR="00E4425D">
        <w:t>.</w:t>
      </w:r>
    </w:p>
  </w:footnote>
  <w:footnote w:id="202">
    <w:p w:rsidR="00624773" w:rsidP="00624773">
      <w:pPr>
        <w:pStyle w:val="FootnoteText"/>
      </w:pPr>
      <w:r w:rsidRPr="00E115B8">
        <w:rPr>
          <w:rStyle w:val="FootnoteReference"/>
        </w:rPr>
        <w:footnoteRef/>
      </w:r>
      <w:r>
        <w:t xml:space="preserve"> </w:t>
      </w:r>
      <w:r w:rsidR="00481574">
        <w:rPr>
          <w:i/>
          <w:iCs/>
        </w:rPr>
        <w:t>Id.</w:t>
      </w:r>
      <w:r>
        <w:rPr>
          <w:i/>
        </w:rPr>
        <w:t xml:space="preserve"> </w:t>
      </w:r>
      <w:r>
        <w:t>at 14.</w:t>
      </w:r>
    </w:p>
  </w:footnote>
  <w:footnote w:id="203">
    <w:p w:rsidR="00914113" w:rsidP="00914113">
      <w:pPr>
        <w:pStyle w:val="FootnoteText"/>
      </w:pPr>
      <w:r w:rsidRPr="00E115B8">
        <w:rPr>
          <w:rStyle w:val="FootnoteReference"/>
        </w:rPr>
        <w:footnoteRef/>
      </w:r>
      <w:r>
        <w:t xml:space="preserve"> NYTOs Comments at 25.</w:t>
      </w:r>
    </w:p>
  </w:footnote>
  <w:footnote w:id="204">
    <w:p w:rsidR="00D22C99" w:rsidP="00D22C99">
      <w:pPr>
        <w:pStyle w:val="FootnoteText"/>
      </w:pPr>
      <w:r w:rsidRPr="00E115B8">
        <w:rPr>
          <w:rStyle w:val="FootnoteReference"/>
        </w:rPr>
        <w:footnoteRef/>
      </w:r>
      <w:r>
        <w:t xml:space="preserve"> IPPNY Answer at 3.</w:t>
      </w:r>
    </w:p>
  </w:footnote>
  <w:footnote w:id="205">
    <w:p w:rsidR="00D22C99" w:rsidP="00D22C99">
      <w:pPr>
        <w:pStyle w:val="FootnoteText"/>
      </w:pPr>
      <w:r w:rsidRPr="00E115B8">
        <w:rPr>
          <w:rStyle w:val="FootnoteReference"/>
        </w:rPr>
        <w:footnoteRef/>
      </w:r>
      <w:r>
        <w:t xml:space="preserve"> </w:t>
      </w:r>
      <w:r w:rsidR="00862B80">
        <w:rPr>
          <w:i/>
          <w:iCs/>
        </w:rPr>
        <w:t>Id.</w:t>
      </w:r>
      <w:r>
        <w:rPr>
          <w:i/>
        </w:rPr>
        <w:t xml:space="preserve"> </w:t>
      </w:r>
      <w:r>
        <w:t>at 4</w:t>
      </w:r>
    </w:p>
  </w:footnote>
  <w:footnote w:id="206">
    <w:p w:rsidR="00D22C99" w:rsidP="00D22C99">
      <w:pPr>
        <w:pStyle w:val="FootnoteText"/>
      </w:pPr>
      <w:r w:rsidRPr="00E115B8">
        <w:rPr>
          <w:rStyle w:val="FootnoteReference"/>
        </w:rPr>
        <w:footnoteRef/>
      </w:r>
      <w:r>
        <w:t xml:space="preserve"> </w:t>
      </w:r>
      <w:r w:rsidR="002216A0">
        <w:rPr>
          <w:i/>
          <w:iCs/>
        </w:rPr>
        <w:t>Id.</w:t>
      </w:r>
      <w:r>
        <w:rPr>
          <w:i/>
        </w:rPr>
        <w:t xml:space="preserve"> </w:t>
      </w:r>
      <w:r>
        <w:t xml:space="preserve">at 4-5.   </w:t>
      </w:r>
    </w:p>
  </w:footnote>
  <w:footnote w:id="207">
    <w:p w:rsidR="00D22C99" w:rsidP="00D22C99">
      <w:pPr>
        <w:pStyle w:val="FootnoteText"/>
      </w:pPr>
      <w:r>
        <w:rPr>
          <w:rStyle w:val="FootnoteReference"/>
        </w:rPr>
        <w:footnoteRef/>
      </w:r>
      <w:r>
        <w:t xml:space="preserve"> </w:t>
      </w:r>
      <w:r w:rsidR="002216A0">
        <w:rPr>
          <w:i/>
          <w:iCs/>
        </w:rPr>
        <w:t>Id.</w:t>
      </w:r>
      <w:r>
        <w:rPr>
          <w:i/>
        </w:rPr>
        <w:t xml:space="preserve"> </w:t>
      </w:r>
      <w:r>
        <w:t>at 6 (citing</w:t>
      </w:r>
      <w:r w:rsidRPr="00725AF8">
        <w:rPr>
          <w:szCs w:val="22"/>
        </w:rPr>
        <w:t xml:space="preserve"> </w:t>
      </w:r>
      <w:r w:rsidRPr="00725AF8">
        <w:t>26 C.F.R §</w:t>
      </w:r>
      <w:r w:rsidR="00796DFF">
        <w:t xml:space="preserve"> </w:t>
      </w:r>
      <w:r w:rsidRPr="00725AF8">
        <w:t>1.48-9(f)(3)(ii</w:t>
      </w:r>
      <w:r>
        <w:t>)</w:t>
      </w:r>
      <w:r w:rsidRPr="00725AF8">
        <w:t>).</w:t>
      </w:r>
    </w:p>
  </w:footnote>
  <w:footnote w:id="208">
    <w:p w:rsidR="00D22C99" w:rsidRPr="00232572" w:rsidP="00D22C99">
      <w:pPr>
        <w:pStyle w:val="FootnoteText"/>
        <w:rPr>
          <w:i/>
          <w:iCs/>
        </w:rPr>
      </w:pPr>
      <w:r w:rsidRPr="00E115B8">
        <w:rPr>
          <w:rStyle w:val="FootnoteReference"/>
        </w:rPr>
        <w:footnoteRef/>
      </w:r>
      <w:r>
        <w:t xml:space="preserve"> </w:t>
      </w:r>
      <w:r w:rsidR="002216A0">
        <w:rPr>
          <w:i/>
          <w:iCs/>
        </w:rPr>
        <w:t>Id.</w:t>
      </w:r>
    </w:p>
  </w:footnote>
  <w:footnote w:id="209">
    <w:p w:rsidR="00D22C99" w:rsidP="00D22C99">
      <w:pPr>
        <w:pStyle w:val="FootnoteText"/>
      </w:pPr>
      <w:r w:rsidRPr="00E115B8">
        <w:rPr>
          <w:rStyle w:val="FootnoteReference"/>
        </w:rPr>
        <w:footnoteRef/>
      </w:r>
      <w:r>
        <w:t xml:space="preserve"> </w:t>
      </w:r>
      <w:r w:rsidR="002216A0">
        <w:rPr>
          <w:i/>
          <w:iCs/>
        </w:rPr>
        <w:t>Id.</w:t>
      </w:r>
      <w:r>
        <w:rPr>
          <w:i/>
        </w:rPr>
        <w:t xml:space="preserve"> </w:t>
      </w:r>
      <w:r>
        <w:t xml:space="preserve">at 7. </w:t>
      </w:r>
    </w:p>
  </w:footnote>
  <w:footnote w:id="210">
    <w:p w:rsidR="00F27E1E">
      <w:pPr>
        <w:pStyle w:val="FootnoteText"/>
      </w:pPr>
      <w:r>
        <w:rPr>
          <w:rStyle w:val="FootnoteReference"/>
        </w:rPr>
        <w:footnoteRef/>
      </w:r>
      <w:r>
        <w:t xml:space="preserve"> </w:t>
      </w:r>
      <w:r w:rsidR="00295FCA">
        <w:t xml:space="preserve">NYISO Answer </w:t>
      </w:r>
      <w:r>
        <w:t xml:space="preserve">at 23. </w:t>
      </w:r>
    </w:p>
  </w:footnote>
  <w:footnote w:id="211">
    <w:p w:rsidR="00F27E1E">
      <w:pPr>
        <w:pStyle w:val="FootnoteText"/>
      </w:pPr>
      <w:r>
        <w:rPr>
          <w:rStyle w:val="FootnoteReference"/>
        </w:rPr>
        <w:footnoteRef/>
      </w:r>
      <w:r>
        <w:t xml:space="preserve"> </w:t>
      </w:r>
      <w:r w:rsidR="00035718">
        <w:rPr>
          <w:i/>
          <w:iCs/>
        </w:rPr>
        <w:t>Id.</w:t>
      </w:r>
      <w:r>
        <w:rPr>
          <w:i/>
        </w:rPr>
        <w:t xml:space="preserve"> </w:t>
      </w:r>
      <w:r>
        <w:t>at 24</w:t>
      </w:r>
      <w:r w:rsidR="00E73DFB">
        <w:t>.</w:t>
      </w:r>
    </w:p>
  </w:footnote>
  <w:footnote w:id="212">
    <w:p w:rsidR="00A63ED3">
      <w:pPr>
        <w:pStyle w:val="FootnoteText"/>
      </w:pPr>
      <w:r>
        <w:rPr>
          <w:rStyle w:val="FootnoteReference"/>
        </w:rPr>
        <w:footnoteRef/>
      </w:r>
      <w:r>
        <w:t xml:space="preserve"> </w:t>
      </w:r>
      <w:r w:rsidR="0090697B">
        <w:rPr>
          <w:i/>
          <w:iCs/>
        </w:rPr>
        <w:t>Id.</w:t>
      </w:r>
      <w:r>
        <w:rPr>
          <w:i/>
        </w:rPr>
        <w:t xml:space="preserve"> </w:t>
      </w:r>
      <w:r>
        <w:t xml:space="preserve">at 25. </w:t>
      </w:r>
    </w:p>
  </w:footnote>
  <w:footnote w:id="213">
    <w:p w:rsidR="005B7794" w:rsidRPr="001F0FAC" w:rsidP="005B7794">
      <w:pPr>
        <w:pStyle w:val="FootnoteText"/>
      </w:pPr>
      <w:r>
        <w:rPr>
          <w:rStyle w:val="FootnoteReference"/>
        </w:rPr>
        <w:footnoteRef/>
      </w:r>
      <w:r>
        <w:t xml:space="preserve"> </w:t>
      </w:r>
      <w:r w:rsidR="0090697B">
        <w:rPr>
          <w:i/>
          <w:iCs/>
        </w:rPr>
        <w:t>Id.</w:t>
      </w:r>
      <w:r>
        <w:rPr>
          <w:i/>
        </w:rPr>
        <w:t xml:space="preserve"> </w:t>
      </w:r>
    </w:p>
  </w:footnote>
  <w:footnote w:id="214">
    <w:p w:rsidR="00E2432E">
      <w:pPr>
        <w:pStyle w:val="FootnoteText"/>
      </w:pPr>
      <w:r>
        <w:rPr>
          <w:rStyle w:val="FootnoteReference"/>
        </w:rPr>
        <w:footnoteRef/>
      </w:r>
      <w:r>
        <w:t xml:space="preserve"> </w:t>
      </w:r>
      <w:r w:rsidR="0090697B">
        <w:rPr>
          <w:i/>
          <w:iCs/>
        </w:rPr>
        <w:t>Id.</w:t>
      </w:r>
      <w:r>
        <w:rPr>
          <w:i/>
        </w:rPr>
        <w:t xml:space="preserve"> </w:t>
      </w:r>
      <w:r w:rsidR="00EA359A">
        <w:t>(</w:t>
      </w:r>
      <w:r>
        <w:t xml:space="preserve">citing </w:t>
      </w:r>
      <w:r w:rsidRPr="00FB6786" w:rsidR="00FB6786">
        <w:t>26 C.F.R. § 1.48-9(f)(3</w:t>
      </w:r>
      <w:r w:rsidR="00FB6786">
        <w:t>)</w:t>
      </w:r>
      <w:r w:rsidR="00EA359A">
        <w:t>)</w:t>
      </w:r>
      <w:r w:rsidRPr="00681A48" w:rsidR="00681A48">
        <w:t>.</w:t>
      </w:r>
    </w:p>
  </w:footnote>
  <w:footnote w:id="215">
    <w:p w:rsidR="00FB5895">
      <w:pPr>
        <w:pStyle w:val="FootnoteText"/>
      </w:pPr>
      <w:r>
        <w:rPr>
          <w:rStyle w:val="FootnoteReference"/>
        </w:rPr>
        <w:footnoteRef/>
      </w:r>
      <w:r>
        <w:t xml:space="preserve"> Consumer Stakeholders Answer at </w:t>
      </w:r>
      <w:r w:rsidR="005473F3">
        <w:t>11.</w:t>
      </w:r>
    </w:p>
  </w:footnote>
  <w:footnote w:id="216">
    <w:p w:rsidR="00DD19FE">
      <w:pPr>
        <w:pStyle w:val="FootnoteText"/>
      </w:pPr>
      <w:r>
        <w:rPr>
          <w:rStyle w:val="FootnoteReference"/>
        </w:rPr>
        <w:footnoteRef/>
      </w:r>
      <w:r>
        <w:t xml:space="preserve"> </w:t>
      </w:r>
      <w:r w:rsidR="00FF587D">
        <w:rPr>
          <w:i/>
          <w:iCs/>
        </w:rPr>
        <w:t xml:space="preserve">Id. </w:t>
      </w:r>
      <w:r>
        <w:t>at 12.</w:t>
      </w:r>
    </w:p>
  </w:footnote>
  <w:footnote w:id="217">
    <w:p w:rsidR="00056FB7" w:rsidRPr="00D0427B">
      <w:pPr>
        <w:pStyle w:val="FootnoteText"/>
        <w:rPr>
          <w:highlight w:val="yellow"/>
        </w:rPr>
      </w:pPr>
      <w:r>
        <w:rPr>
          <w:rStyle w:val="FootnoteReference"/>
        </w:rPr>
        <w:footnoteRef/>
      </w:r>
      <w:r w:rsidRPr="00D0427B" w:rsidR="00A322B0">
        <w:t xml:space="preserve"> </w:t>
      </w:r>
      <w:r w:rsidRPr="00CA3D95" w:rsidR="00BA1766">
        <w:rPr>
          <w:iCs/>
        </w:rPr>
        <w:t>Definition of Energy Property and Rules Applicable to the Energy Credit</w:t>
      </w:r>
      <w:r w:rsidRPr="00ED2F51" w:rsidR="00ED2F51">
        <w:t>,</w:t>
      </w:r>
      <w:r w:rsidRPr="00BA1766" w:rsidR="00BA1766">
        <w:rPr>
          <w:i/>
        </w:rPr>
        <w:t xml:space="preserve"> </w:t>
      </w:r>
      <w:r w:rsidR="007B790F">
        <w:rPr>
          <w:i/>
        </w:rPr>
        <w:t xml:space="preserve">     </w:t>
      </w:r>
      <w:r w:rsidRPr="00D0427B" w:rsidR="00A322B0">
        <w:t>89 Fed</w:t>
      </w:r>
      <w:r w:rsidRPr="00ED2F51" w:rsidR="00F266EF">
        <w:t>.</w:t>
      </w:r>
      <w:r w:rsidRPr="00D0427B" w:rsidR="00A322B0">
        <w:t xml:space="preserve"> </w:t>
      </w:r>
      <w:r w:rsidRPr="00ED2F51" w:rsidR="00A322B0">
        <w:t>Reg</w:t>
      </w:r>
      <w:r w:rsidRPr="00ED2F51" w:rsidR="00F266EF">
        <w:t>.</w:t>
      </w:r>
      <w:r w:rsidRPr="00D0427B" w:rsidR="00A322B0">
        <w:t xml:space="preserve"> </w:t>
      </w:r>
      <w:r w:rsidRPr="00ED2F51" w:rsidR="00A322B0">
        <w:t>100598 (</w:t>
      </w:r>
      <w:r w:rsidRPr="00D0427B" w:rsidR="001F1F81">
        <w:t>Dec. 12, 2024</w:t>
      </w:r>
      <w:r w:rsidRPr="00ED2F51" w:rsidR="00A322B0">
        <w:t>)</w:t>
      </w:r>
      <w:r w:rsidRPr="00ED2F51" w:rsidR="00F266EF">
        <w:t xml:space="preserve">. </w:t>
      </w:r>
    </w:p>
  </w:footnote>
  <w:footnote w:id="218">
    <w:p w:rsidR="001C0044" w:rsidP="001C0044">
      <w:pPr>
        <w:pStyle w:val="FootnoteText"/>
      </w:pPr>
      <w:r>
        <w:rPr>
          <w:rStyle w:val="FootnoteReference"/>
        </w:rPr>
        <w:footnoteRef/>
      </w:r>
      <w:r>
        <w:t xml:space="preserve"> 26 C.F.R. § 1.48-9(f)(3)(ii).</w:t>
      </w:r>
    </w:p>
  </w:footnote>
  <w:footnote w:id="219">
    <w:p w:rsidR="006A7B1F" w:rsidP="006A7B1F">
      <w:pPr>
        <w:pStyle w:val="FootnoteText"/>
      </w:pPr>
      <w:r w:rsidRPr="00E115B8">
        <w:rPr>
          <w:rStyle w:val="FootnoteReference"/>
        </w:rPr>
        <w:footnoteRef/>
      </w:r>
      <w:r>
        <w:t xml:space="preserve"> Transmittal</w:t>
      </w:r>
      <w:r w:rsidR="00582834">
        <w:t xml:space="preserve"> Letter</w:t>
      </w:r>
      <w:r>
        <w:t xml:space="preserve"> at 56.</w:t>
      </w:r>
    </w:p>
  </w:footnote>
  <w:footnote w:id="220">
    <w:p w:rsidR="008D492F">
      <w:pPr>
        <w:pStyle w:val="FootnoteText"/>
      </w:pPr>
      <w:r w:rsidRPr="00E115B8">
        <w:rPr>
          <w:rStyle w:val="FootnoteReference"/>
        </w:rPr>
        <w:footnoteRef/>
      </w:r>
      <w:r>
        <w:t xml:space="preserve"> </w:t>
      </w:r>
      <w:r w:rsidR="00AF77C6">
        <w:rPr>
          <w:i/>
          <w:iCs/>
        </w:rPr>
        <w:t>Id.</w:t>
      </w:r>
      <w:r>
        <w:rPr>
          <w:i/>
        </w:rPr>
        <w:t xml:space="preserve"> </w:t>
      </w:r>
      <w:r>
        <w:t>at 57.</w:t>
      </w:r>
    </w:p>
  </w:footnote>
  <w:footnote w:id="221">
    <w:p w:rsidR="009768CD" w:rsidP="009768CD">
      <w:pPr>
        <w:pStyle w:val="FootnoteText"/>
      </w:pPr>
      <w:r>
        <w:rPr>
          <w:rStyle w:val="FootnoteReference"/>
        </w:rPr>
        <w:footnoteRef/>
      </w:r>
      <w:r>
        <w:t xml:space="preserve"> </w:t>
      </w:r>
      <w:r w:rsidR="00B615AD">
        <w:rPr>
          <w:i/>
          <w:iCs/>
        </w:rPr>
        <w:t>Id.</w:t>
      </w:r>
      <w:r>
        <w:rPr>
          <w:i/>
        </w:rPr>
        <w:t xml:space="preserve"> </w:t>
      </w:r>
      <w:r>
        <w:t>at 57, 58.</w:t>
      </w:r>
    </w:p>
  </w:footnote>
  <w:footnote w:id="222">
    <w:p w:rsidR="009768CD" w:rsidP="009768CD">
      <w:pPr>
        <w:pStyle w:val="FootnoteText"/>
      </w:pPr>
      <w:r>
        <w:rPr>
          <w:rStyle w:val="FootnoteReference"/>
        </w:rPr>
        <w:footnoteRef/>
      </w:r>
      <w:r>
        <w:t xml:space="preserve"> </w:t>
      </w:r>
      <w:r>
        <w:rPr>
          <w:i/>
          <w:iCs/>
        </w:rPr>
        <w:t>Id.</w:t>
      </w:r>
      <w:r>
        <w:t xml:space="preserve"> at 58</w:t>
      </w:r>
      <w:r w:rsidRPr="00E33346">
        <w:t xml:space="preserve"> </w:t>
      </w:r>
      <w:r>
        <w:t xml:space="preserve">(citing </w:t>
      </w:r>
      <w:r w:rsidRPr="00735782">
        <w:t>2017-2021 DCR Order</w:t>
      </w:r>
      <w:r>
        <w:t>, 158 FERC ¶ 61,028</w:t>
      </w:r>
      <w:r w:rsidRPr="00735782">
        <w:t xml:space="preserve"> at P 180; </w:t>
      </w:r>
      <w:r w:rsidRPr="00735782" w:rsidR="002331C7">
        <w:t>2021-2025 DCR Order</w:t>
      </w:r>
      <w:r w:rsidR="002331C7">
        <w:t xml:space="preserve">, </w:t>
      </w:r>
      <w:r w:rsidRPr="002A0099">
        <w:t>175 FERC ¶ 61,012</w:t>
      </w:r>
      <w:r>
        <w:t xml:space="preserve"> at P 148 (finding that selecting a cost of debt value at the high end </w:t>
      </w:r>
      <w:r w:rsidRPr="00E33346">
        <w:t>“is consistent with the greater risk posed by a single peaking plant, in comparison to an independent power producing company.”</w:t>
      </w:r>
      <w:r>
        <w:t>))</w:t>
      </w:r>
      <w:r w:rsidR="00B208D6">
        <w:t>.</w:t>
      </w:r>
    </w:p>
  </w:footnote>
  <w:footnote w:id="223">
    <w:p w:rsidR="00F46918">
      <w:pPr>
        <w:pStyle w:val="FootnoteText"/>
      </w:pPr>
      <w:r w:rsidRPr="00E115B8">
        <w:rPr>
          <w:rStyle w:val="FootnoteReference"/>
        </w:rPr>
        <w:footnoteRef/>
      </w:r>
      <w:r>
        <w:t xml:space="preserve"> </w:t>
      </w:r>
      <w:r w:rsidR="002772F9">
        <w:rPr>
          <w:i/>
          <w:iCs/>
        </w:rPr>
        <w:t>Id.</w:t>
      </w:r>
      <w:r>
        <w:rPr>
          <w:i/>
        </w:rPr>
        <w:t xml:space="preserve"> </w:t>
      </w:r>
      <w:r>
        <w:t>at 57.</w:t>
      </w:r>
    </w:p>
  </w:footnote>
  <w:footnote w:id="224">
    <w:p w:rsidR="003D5F70" w:rsidP="003D5F70">
      <w:pPr>
        <w:pStyle w:val="FootnoteText"/>
      </w:pPr>
      <w:r w:rsidRPr="00E115B8">
        <w:rPr>
          <w:rStyle w:val="FootnoteReference"/>
        </w:rPr>
        <w:footnoteRef/>
      </w:r>
      <w:r>
        <w:t xml:space="preserve"> </w:t>
      </w:r>
      <w:r w:rsidR="002772F9">
        <w:rPr>
          <w:i/>
          <w:iCs/>
        </w:rPr>
        <w:t>Id.</w:t>
      </w:r>
      <w:r>
        <w:rPr>
          <w:i/>
        </w:rPr>
        <w:t xml:space="preserve"> </w:t>
      </w:r>
      <w:r>
        <w:t>at 57-58.</w:t>
      </w:r>
    </w:p>
  </w:footnote>
  <w:footnote w:id="225">
    <w:p w:rsidR="00D064CE" w:rsidP="00D064CE">
      <w:pPr>
        <w:pStyle w:val="FootnoteText"/>
      </w:pPr>
      <w:r w:rsidRPr="00E115B8">
        <w:rPr>
          <w:rStyle w:val="FootnoteReference"/>
        </w:rPr>
        <w:footnoteRef/>
      </w:r>
      <w:r>
        <w:t xml:space="preserve"> </w:t>
      </w:r>
      <w:r w:rsidR="002772F9">
        <w:rPr>
          <w:i/>
          <w:iCs/>
        </w:rPr>
        <w:t>Id.</w:t>
      </w:r>
      <w:r>
        <w:rPr>
          <w:i/>
        </w:rPr>
        <w:t xml:space="preserve"> </w:t>
      </w:r>
    </w:p>
  </w:footnote>
  <w:footnote w:id="226">
    <w:p w:rsidR="00455562">
      <w:pPr>
        <w:pStyle w:val="FootnoteText"/>
      </w:pPr>
      <w:r w:rsidRPr="00E115B8">
        <w:rPr>
          <w:rStyle w:val="FootnoteReference"/>
        </w:rPr>
        <w:footnoteRef/>
      </w:r>
      <w:r>
        <w:t xml:space="preserve"> </w:t>
      </w:r>
      <w:r w:rsidR="00C70692">
        <w:rPr>
          <w:i/>
          <w:iCs/>
        </w:rPr>
        <w:t>Id.</w:t>
      </w:r>
      <w:r>
        <w:rPr>
          <w:i/>
        </w:rPr>
        <w:t xml:space="preserve"> </w:t>
      </w:r>
      <w:r w:rsidR="005E2575">
        <w:t>at 5</w:t>
      </w:r>
      <w:r w:rsidR="00C83B1A">
        <w:t>8.</w:t>
      </w:r>
    </w:p>
  </w:footnote>
  <w:footnote w:id="227">
    <w:p w:rsidR="0066565C" w:rsidP="0066565C">
      <w:pPr>
        <w:pStyle w:val="FootnoteText"/>
      </w:pPr>
      <w:r w:rsidRPr="00E115B8">
        <w:rPr>
          <w:rStyle w:val="FootnoteReference"/>
        </w:rPr>
        <w:footnoteRef/>
      </w:r>
      <w:r>
        <w:t xml:space="preserve"> </w:t>
      </w:r>
      <w:r w:rsidR="00C70692">
        <w:rPr>
          <w:i/>
          <w:iCs/>
        </w:rPr>
        <w:t>Id.</w:t>
      </w:r>
      <w:r>
        <w:rPr>
          <w:i/>
        </w:rPr>
        <w:t xml:space="preserve"> </w:t>
      </w:r>
    </w:p>
  </w:footnote>
  <w:footnote w:id="228">
    <w:p w:rsidR="00D30561">
      <w:pPr>
        <w:pStyle w:val="FootnoteText"/>
      </w:pPr>
      <w:r w:rsidRPr="00E115B8">
        <w:rPr>
          <w:rStyle w:val="FootnoteReference"/>
        </w:rPr>
        <w:footnoteRef/>
      </w:r>
      <w:r>
        <w:t xml:space="preserve"> </w:t>
      </w:r>
      <w:r w:rsidR="00CC4158">
        <w:rPr>
          <w:i/>
          <w:iCs/>
        </w:rPr>
        <w:t>Id.</w:t>
      </w:r>
      <w:r>
        <w:rPr>
          <w:i/>
        </w:rPr>
        <w:t xml:space="preserve"> </w:t>
      </w:r>
      <w:r>
        <w:t>at 59.</w:t>
      </w:r>
    </w:p>
  </w:footnote>
  <w:footnote w:id="229">
    <w:p w:rsidR="003E2A7A" w:rsidP="003E2A7A">
      <w:pPr>
        <w:pStyle w:val="FootnoteText"/>
      </w:pPr>
      <w:r>
        <w:rPr>
          <w:rStyle w:val="FootnoteReference"/>
        </w:rPr>
        <w:footnoteRef/>
      </w:r>
      <w:r>
        <w:t xml:space="preserve"> </w:t>
      </w:r>
      <w:r w:rsidR="00F030BF">
        <w:rPr>
          <w:i/>
          <w:iCs/>
        </w:rPr>
        <w:t xml:space="preserve">Id. </w:t>
      </w:r>
      <w:r>
        <w:t>at 22.</w:t>
      </w:r>
    </w:p>
  </w:footnote>
  <w:footnote w:id="230">
    <w:p w:rsidR="003E2A7A" w:rsidP="003E2A7A">
      <w:pPr>
        <w:pStyle w:val="FootnoteText"/>
      </w:pPr>
      <w:r>
        <w:rPr>
          <w:rStyle w:val="FootnoteReference"/>
        </w:rPr>
        <w:footnoteRef/>
      </w:r>
      <w:r>
        <w:t xml:space="preserve"> </w:t>
      </w:r>
      <w:r w:rsidR="0097423D">
        <w:rPr>
          <w:i/>
          <w:iCs/>
        </w:rPr>
        <w:t>Id.</w:t>
      </w:r>
      <w:r>
        <w:rPr>
          <w:i/>
        </w:rPr>
        <w:t xml:space="preserve"> </w:t>
      </w:r>
      <w:r>
        <w:t>at 54.</w:t>
      </w:r>
    </w:p>
  </w:footnote>
  <w:footnote w:id="231">
    <w:p w:rsidR="00E3326C">
      <w:pPr>
        <w:pStyle w:val="FootnoteText"/>
      </w:pPr>
      <w:r>
        <w:rPr>
          <w:rStyle w:val="FootnoteReference"/>
        </w:rPr>
        <w:footnoteRef/>
      </w:r>
      <w:r>
        <w:t xml:space="preserve"> Ravenswood Protest at </w:t>
      </w:r>
      <w:r w:rsidR="0053140D">
        <w:t>26</w:t>
      </w:r>
      <w:r w:rsidR="00A27133">
        <w:t>,</w:t>
      </w:r>
      <w:r w:rsidR="00F95B43">
        <w:t xml:space="preserve"> 41</w:t>
      </w:r>
      <w:r w:rsidR="0053140D">
        <w:t>.</w:t>
      </w:r>
    </w:p>
  </w:footnote>
  <w:footnote w:id="232">
    <w:p w:rsidR="0095335E">
      <w:pPr>
        <w:pStyle w:val="FootnoteText"/>
      </w:pPr>
      <w:r>
        <w:rPr>
          <w:rStyle w:val="FootnoteReference"/>
        </w:rPr>
        <w:footnoteRef/>
      </w:r>
      <w:r>
        <w:t xml:space="preserve"> Ravenswood </w:t>
      </w:r>
      <w:r w:rsidR="00AF60E6">
        <w:t>P</w:t>
      </w:r>
      <w:r>
        <w:t>rotest at</w:t>
      </w:r>
      <w:r w:rsidR="00786767">
        <w:t xml:space="preserve"> 41</w:t>
      </w:r>
      <w:r w:rsidR="002C2129">
        <w:t>; IPPNY Protest at 14</w:t>
      </w:r>
      <w:r w:rsidR="00786767">
        <w:t>.</w:t>
      </w:r>
    </w:p>
  </w:footnote>
  <w:footnote w:id="233">
    <w:p w:rsidR="003136BE" w:rsidP="003136BE">
      <w:pPr>
        <w:pStyle w:val="FootnoteText"/>
      </w:pPr>
      <w:r>
        <w:rPr>
          <w:rStyle w:val="FootnoteReference"/>
        </w:rPr>
        <w:footnoteRef/>
      </w:r>
      <w:r>
        <w:t xml:space="preserve"> </w:t>
      </w:r>
      <w:r w:rsidRPr="00E47E96">
        <w:t>IPPNY Protest at 14</w:t>
      </w:r>
      <w:r w:rsidR="00734651">
        <w:t xml:space="preserve"> </w:t>
      </w:r>
      <w:r w:rsidRPr="00E47E96">
        <w:t xml:space="preserve">(citing </w:t>
      </w:r>
      <w:r w:rsidRPr="0007163B">
        <w:t xml:space="preserve">Arsenault </w:t>
      </w:r>
      <w:r w:rsidR="00F10C42">
        <w:t>Aff.</w:t>
      </w:r>
      <w:r w:rsidRPr="0007163B">
        <w:t xml:space="preserve"> </w:t>
      </w:r>
      <w:r w:rsidRPr="00E47E96">
        <w:t>¶ 27).</w:t>
      </w:r>
    </w:p>
  </w:footnote>
  <w:footnote w:id="234">
    <w:p w:rsidR="00594D3D">
      <w:pPr>
        <w:pStyle w:val="FootnoteText"/>
      </w:pPr>
      <w:r>
        <w:rPr>
          <w:rStyle w:val="FootnoteReference"/>
        </w:rPr>
        <w:footnoteRef/>
      </w:r>
      <w:r>
        <w:t xml:space="preserve"> </w:t>
      </w:r>
      <w:r w:rsidR="00173E0C">
        <w:rPr>
          <w:i/>
          <w:iCs/>
        </w:rPr>
        <w:t>Id.</w:t>
      </w:r>
      <w:r>
        <w:rPr>
          <w:i/>
        </w:rPr>
        <w:t xml:space="preserve"> </w:t>
      </w:r>
    </w:p>
  </w:footnote>
  <w:footnote w:id="235">
    <w:p w:rsidR="00E33773">
      <w:pPr>
        <w:pStyle w:val="FootnoteText"/>
      </w:pPr>
      <w:r>
        <w:rPr>
          <w:rStyle w:val="FootnoteReference"/>
        </w:rPr>
        <w:footnoteRef/>
      </w:r>
      <w:r>
        <w:t xml:space="preserve"> MMU </w:t>
      </w:r>
      <w:r w:rsidR="00AF60E6">
        <w:t xml:space="preserve">Protest </w:t>
      </w:r>
      <w:r>
        <w:t xml:space="preserve">at 14. </w:t>
      </w:r>
    </w:p>
  </w:footnote>
  <w:footnote w:id="236">
    <w:p w:rsidR="00DD1E82">
      <w:pPr>
        <w:pStyle w:val="FootnoteText"/>
      </w:pPr>
      <w:r>
        <w:rPr>
          <w:rStyle w:val="FootnoteReference"/>
        </w:rPr>
        <w:footnoteRef/>
      </w:r>
      <w:r>
        <w:t xml:space="preserve"> IPPNY </w:t>
      </w:r>
      <w:r w:rsidR="00827C5A">
        <w:t xml:space="preserve">Protest </w:t>
      </w:r>
      <w:r>
        <w:t xml:space="preserve">at </w:t>
      </w:r>
      <w:r w:rsidR="00827C5A">
        <w:t>27.</w:t>
      </w:r>
    </w:p>
  </w:footnote>
  <w:footnote w:id="237">
    <w:p w:rsidR="002613DF">
      <w:pPr>
        <w:pStyle w:val="FootnoteText"/>
      </w:pPr>
      <w:r>
        <w:rPr>
          <w:rStyle w:val="FootnoteReference"/>
        </w:rPr>
        <w:footnoteRef/>
      </w:r>
      <w:r>
        <w:t xml:space="preserve"> </w:t>
      </w:r>
      <w:r w:rsidR="00A811A1">
        <w:rPr>
          <w:i/>
          <w:iCs/>
        </w:rPr>
        <w:t>Id.</w:t>
      </w:r>
      <w:r>
        <w:rPr>
          <w:i/>
        </w:rPr>
        <w:t xml:space="preserve"> </w:t>
      </w:r>
      <w:r>
        <w:t>at 28.</w:t>
      </w:r>
    </w:p>
  </w:footnote>
  <w:footnote w:id="238">
    <w:p w:rsidR="00D30E66">
      <w:pPr>
        <w:pStyle w:val="FootnoteText"/>
      </w:pPr>
      <w:r>
        <w:rPr>
          <w:rStyle w:val="FootnoteReference"/>
        </w:rPr>
        <w:footnoteRef/>
      </w:r>
      <w:r>
        <w:t xml:space="preserve"> NYISO Answer at 16.</w:t>
      </w:r>
    </w:p>
  </w:footnote>
  <w:footnote w:id="239">
    <w:p w:rsidR="004C0FC0">
      <w:pPr>
        <w:pStyle w:val="FootnoteText"/>
      </w:pPr>
      <w:r>
        <w:rPr>
          <w:rStyle w:val="FootnoteReference"/>
        </w:rPr>
        <w:footnoteRef/>
      </w:r>
      <w:r>
        <w:t xml:space="preserve"> </w:t>
      </w:r>
      <w:r w:rsidR="00B04ECC">
        <w:rPr>
          <w:i/>
          <w:iCs/>
        </w:rPr>
        <w:t>Id.</w:t>
      </w:r>
      <w:r>
        <w:rPr>
          <w:i/>
        </w:rPr>
        <w:t xml:space="preserve"> </w:t>
      </w:r>
      <w:r>
        <w:t xml:space="preserve">at 17 (citing </w:t>
      </w:r>
      <w:r w:rsidR="006B23F0">
        <w:t>NYISO Answer, att</w:t>
      </w:r>
      <w:r w:rsidR="00CA3D95">
        <w:t xml:space="preserve">ach. </w:t>
      </w:r>
      <w:r w:rsidR="006B23F0">
        <w:t>I</w:t>
      </w:r>
      <w:r w:rsidR="003B5814">
        <w:t xml:space="preserve">, </w:t>
      </w:r>
      <w:r w:rsidRPr="003B5814" w:rsidR="003B5814">
        <w:t>Supplemental Affidavit of Paul J. Hibbard, Dr. Todd Schatzki, Joseph Cavicchi, Charles Wu, and Dr. Daniel Stuart</w:t>
      </w:r>
      <w:r w:rsidR="003B5814">
        <w:t xml:space="preserve"> (AG Supplemental Aff.) ¶</w:t>
      </w:r>
      <w:r w:rsidRPr="003B5814" w:rsidR="003B5814">
        <w:t>¶ 3</w:t>
      </w:r>
      <w:r w:rsidR="00D77889">
        <w:t>,</w:t>
      </w:r>
      <w:r w:rsidRPr="003B5814" w:rsidR="003B5814">
        <w:t xml:space="preserve"> 17-32</w:t>
      </w:r>
      <w:r w:rsidR="00B703A8">
        <w:t xml:space="preserve">). </w:t>
      </w:r>
    </w:p>
  </w:footnote>
  <w:footnote w:id="240">
    <w:p w:rsidR="00DD4EF1">
      <w:pPr>
        <w:pStyle w:val="FootnoteText"/>
      </w:pPr>
      <w:r>
        <w:rPr>
          <w:rStyle w:val="FootnoteReference"/>
        </w:rPr>
        <w:footnoteRef/>
      </w:r>
      <w:r>
        <w:t xml:space="preserve"> </w:t>
      </w:r>
      <w:r w:rsidR="00AA3E4F">
        <w:rPr>
          <w:i/>
          <w:iCs/>
        </w:rPr>
        <w:t>Id.</w:t>
      </w:r>
      <w:r>
        <w:rPr>
          <w:i/>
        </w:rPr>
        <w:t xml:space="preserve"> </w:t>
      </w:r>
      <w:r>
        <w:t xml:space="preserve"> </w:t>
      </w:r>
      <w:r w:rsidR="00825537">
        <w:t>NYISO Consultant assert</w:t>
      </w:r>
      <w:r w:rsidR="00C94003">
        <w:t>s</w:t>
      </w:r>
      <w:r w:rsidR="00825537">
        <w:t xml:space="preserve"> that IPPNY</w:t>
      </w:r>
      <w:r w:rsidR="004715AB">
        <w:t xml:space="preserve"> recommend</w:t>
      </w:r>
      <w:r w:rsidR="0087772A">
        <w:t>s</w:t>
      </w:r>
      <w:r w:rsidR="00825537">
        <w:t xml:space="preserve"> alternative cost of equity values based </w:t>
      </w:r>
      <w:r w:rsidR="00BF7422">
        <w:t>sole</w:t>
      </w:r>
      <w:r w:rsidR="002337AB">
        <w:t>l</w:t>
      </w:r>
      <w:r w:rsidR="00BF7422">
        <w:t>y</w:t>
      </w:r>
      <w:r w:rsidR="00825537">
        <w:t xml:space="preserve"> on discussions with certain developers and with no basis in empirical market dat</w:t>
      </w:r>
      <w:r w:rsidR="00C94003">
        <w:t>a, in contrast to NYISO Consultant’s use of estimates of cost of equity for independent power producers based on empirical market data with appropriate adjustments for specific risk factors.  AG Supplemental Aff</w:t>
      </w:r>
      <w:r w:rsidR="007A38F0">
        <w:t>.</w:t>
      </w:r>
      <w:r w:rsidR="00C94003">
        <w:t xml:space="preserve"> ¶ 28. </w:t>
      </w:r>
    </w:p>
  </w:footnote>
  <w:footnote w:id="241">
    <w:p w:rsidR="006B3457" w:rsidP="006B3457">
      <w:pPr>
        <w:pStyle w:val="FootnoteText"/>
      </w:pPr>
      <w:r>
        <w:rPr>
          <w:rStyle w:val="FootnoteReference"/>
        </w:rPr>
        <w:footnoteRef/>
      </w:r>
      <w:r>
        <w:t xml:space="preserve"> </w:t>
      </w:r>
      <w:r w:rsidR="00940959">
        <w:t xml:space="preserve">NYISO Answer </w:t>
      </w:r>
      <w:r>
        <w:t xml:space="preserve">at </w:t>
      </w:r>
      <w:r w:rsidR="008C31E0">
        <w:t>18</w:t>
      </w:r>
      <w:r>
        <w:t>.</w:t>
      </w:r>
    </w:p>
  </w:footnote>
  <w:footnote w:id="242">
    <w:p w:rsidR="006B3457" w:rsidP="006B3457">
      <w:pPr>
        <w:pStyle w:val="FootnoteText"/>
      </w:pPr>
      <w:r>
        <w:rPr>
          <w:rStyle w:val="FootnoteReference"/>
        </w:rPr>
        <w:footnoteRef/>
      </w:r>
      <w:r>
        <w:t xml:space="preserve"> </w:t>
      </w:r>
      <w:r w:rsidR="00F716C8">
        <w:t xml:space="preserve">AG Supplemental Aff. </w:t>
      </w:r>
      <w:r w:rsidRPr="003B5814" w:rsidR="00F716C8">
        <w:t>¶</w:t>
      </w:r>
      <w:r w:rsidR="00F716C8">
        <w:t xml:space="preserve"> 32</w:t>
      </w:r>
      <w:r>
        <w:t>.</w:t>
      </w:r>
    </w:p>
  </w:footnote>
  <w:footnote w:id="243">
    <w:p w:rsidR="001A1684">
      <w:pPr>
        <w:pStyle w:val="FootnoteText"/>
      </w:pPr>
      <w:r>
        <w:rPr>
          <w:rStyle w:val="FootnoteReference"/>
        </w:rPr>
        <w:footnoteRef/>
      </w:r>
      <w:r>
        <w:t xml:space="preserve"> NYISO Answer at 16.</w:t>
      </w:r>
    </w:p>
  </w:footnote>
  <w:footnote w:id="244">
    <w:p w:rsidR="00567B48">
      <w:pPr>
        <w:pStyle w:val="FootnoteText"/>
      </w:pPr>
      <w:r>
        <w:rPr>
          <w:rStyle w:val="FootnoteReference"/>
        </w:rPr>
        <w:footnoteRef/>
      </w:r>
      <w:r>
        <w:t xml:space="preserve"> </w:t>
      </w:r>
      <w:r w:rsidR="00D73344">
        <w:t xml:space="preserve">Transmittal Letter at </w:t>
      </w:r>
      <w:r w:rsidR="00E910F7">
        <w:t>57</w:t>
      </w:r>
      <w:r w:rsidR="000024BB">
        <w:t>, 58</w:t>
      </w:r>
      <w:r w:rsidR="00E910F7">
        <w:t>.</w:t>
      </w:r>
    </w:p>
  </w:footnote>
  <w:footnote w:id="245">
    <w:p w:rsidR="00C035F1">
      <w:pPr>
        <w:pStyle w:val="FootnoteText"/>
      </w:pPr>
      <w:r>
        <w:rPr>
          <w:rStyle w:val="FootnoteReference"/>
        </w:rPr>
        <w:footnoteRef/>
      </w:r>
      <w:r>
        <w:t xml:space="preserve"> 2017-2021 DCR Order,</w:t>
      </w:r>
      <w:r w:rsidRPr="004B3FDD">
        <w:rPr>
          <w:szCs w:val="24"/>
        </w:rPr>
        <w:t xml:space="preserve"> </w:t>
      </w:r>
      <w:r w:rsidRPr="004B3FDD">
        <w:t>158 FERC ¶ 61,028</w:t>
      </w:r>
      <w:r>
        <w:t xml:space="preserve"> at P 179.</w:t>
      </w:r>
    </w:p>
  </w:footnote>
  <w:footnote w:id="246">
    <w:p w:rsidR="00392DD5" w:rsidP="00392DD5">
      <w:pPr>
        <w:pStyle w:val="FootnoteText"/>
      </w:pPr>
      <w:r w:rsidRPr="00E115B8">
        <w:rPr>
          <w:rStyle w:val="FootnoteReference"/>
        </w:rPr>
        <w:footnoteRef/>
      </w:r>
      <w:r>
        <w:t xml:space="preserve"> </w:t>
      </w:r>
      <w:r w:rsidRPr="00317F25" w:rsidR="00E6138C">
        <w:rPr>
          <w:i/>
          <w:iCs/>
        </w:rPr>
        <w:t>Id</w:t>
      </w:r>
      <w:r w:rsidR="00E6138C">
        <w:t>.</w:t>
      </w:r>
      <w:r>
        <w:t xml:space="preserve"> P 180. </w:t>
      </w:r>
    </w:p>
  </w:footnote>
  <w:footnote w:id="247">
    <w:p w:rsidR="00965C94">
      <w:pPr>
        <w:pStyle w:val="FootnoteText"/>
      </w:pPr>
      <w:r>
        <w:rPr>
          <w:rStyle w:val="FootnoteReference"/>
        </w:rPr>
        <w:footnoteRef/>
      </w:r>
      <w:r>
        <w:t xml:space="preserve"> </w:t>
      </w:r>
      <w:r w:rsidR="009C1DE0">
        <w:t>W</w:t>
      </w:r>
      <w:r w:rsidR="008925D8">
        <w:t xml:space="preserve">e note as to the </w:t>
      </w:r>
      <w:r w:rsidR="00BB7357">
        <w:t>ratios, adders</w:t>
      </w:r>
      <w:r w:rsidR="00D11DD7">
        <w:t xml:space="preserve">, and other </w:t>
      </w:r>
      <w:r w:rsidR="007B2653">
        <w:t>inputs</w:t>
      </w:r>
      <w:r w:rsidR="00C638ED">
        <w:t xml:space="preserve"> </w:t>
      </w:r>
      <w:r w:rsidR="00B0045C">
        <w:t>we</w:t>
      </w:r>
      <w:r w:rsidR="00D907BB">
        <w:t xml:space="preserve"> </w:t>
      </w:r>
      <w:r w:rsidR="00EF488B">
        <w:t xml:space="preserve">find </w:t>
      </w:r>
      <w:r w:rsidR="00D061BC">
        <w:t xml:space="preserve">reasonable </w:t>
      </w:r>
      <w:r w:rsidR="009C1DE0">
        <w:t>here, we find them reasonable for purposes of the</w:t>
      </w:r>
      <w:r w:rsidRPr="009C1DE0" w:rsidR="009C1DE0">
        <w:t xml:space="preserve"> cost estimates used to prepare and conduct </w:t>
      </w:r>
      <w:r w:rsidR="009C1DE0">
        <w:t>NYISO’s</w:t>
      </w:r>
      <w:r w:rsidRPr="009C1DE0" w:rsidR="009C1DE0">
        <w:t xml:space="preserve"> DCR analysis</w:t>
      </w:r>
      <w:r w:rsidR="00D061BC">
        <w:t xml:space="preserve"> </w:t>
      </w:r>
      <w:r w:rsidR="009C1DE0">
        <w:t>and not for any other purposes</w:t>
      </w:r>
      <w:r w:rsidR="0068643B">
        <w:t xml:space="preserve">.  </w:t>
      </w:r>
    </w:p>
  </w:footnote>
  <w:footnote w:id="248">
    <w:p w:rsidR="00B245C3">
      <w:pPr>
        <w:pStyle w:val="FootnoteText"/>
      </w:pPr>
      <w:r>
        <w:rPr>
          <w:rStyle w:val="FootnoteReference"/>
        </w:rPr>
        <w:footnoteRef/>
      </w:r>
      <w:r>
        <w:t xml:space="preserve"> </w:t>
      </w:r>
      <w:r w:rsidR="00130402">
        <w:t>2021-20</w:t>
      </w:r>
      <w:r w:rsidR="004B716B">
        <w:t xml:space="preserve">24 DCR Order, </w:t>
      </w:r>
      <w:r w:rsidRPr="002A0099" w:rsidR="004B716B">
        <w:t>175 FERC ¶ 61,012</w:t>
      </w:r>
      <w:r w:rsidR="004B716B">
        <w:t xml:space="preserve"> at P </w:t>
      </w:r>
      <w:r w:rsidR="00747BB3">
        <w:t>148</w:t>
      </w:r>
      <w:r w:rsidR="004B716B">
        <w:t>;</w:t>
      </w:r>
      <w:r w:rsidR="00747BB3">
        <w:t xml:space="preserve"> </w:t>
      </w:r>
      <w:r>
        <w:t>2017-2021 DCR Order,</w:t>
      </w:r>
      <w:r w:rsidRPr="004B3FDD">
        <w:rPr>
          <w:szCs w:val="24"/>
        </w:rPr>
        <w:t xml:space="preserve"> </w:t>
      </w:r>
      <w:r w:rsidRPr="004B3FDD">
        <w:t>158 FERC ¶ 61,028</w:t>
      </w:r>
      <w:r>
        <w:t xml:space="preserve"> at P 180.</w:t>
      </w:r>
    </w:p>
  </w:footnote>
  <w:footnote w:id="249">
    <w:p w:rsidR="00DA1D7A" w:rsidP="00DA1D7A">
      <w:pPr>
        <w:pStyle w:val="FootnoteText"/>
      </w:pPr>
      <w:r>
        <w:rPr>
          <w:rStyle w:val="FootnoteReference"/>
        </w:rPr>
        <w:footnoteRef/>
      </w:r>
      <w:r>
        <w:t xml:space="preserve"> 2014-2017 DCR Order, </w:t>
      </w:r>
      <w:r w:rsidRPr="005D0259">
        <w:t>146 FERC ¶ 61,043</w:t>
      </w:r>
      <w:r>
        <w:t xml:space="preserve"> at </w:t>
      </w:r>
      <w:r w:rsidR="00735AF7">
        <w:t xml:space="preserve">P </w:t>
      </w:r>
      <w:r>
        <w:t xml:space="preserve">118. </w:t>
      </w:r>
    </w:p>
  </w:footnote>
  <w:footnote w:id="250">
    <w:p w:rsidR="00DA1D7A" w:rsidP="00DA1D7A">
      <w:pPr>
        <w:pStyle w:val="FootnoteText"/>
      </w:pPr>
      <w:r>
        <w:rPr>
          <w:rStyle w:val="FootnoteReference"/>
        </w:rPr>
        <w:footnoteRef/>
      </w:r>
      <w:r>
        <w:t xml:space="preserve"> </w:t>
      </w:r>
      <w:r w:rsidR="001522DD">
        <w:t>Moreover</w:t>
      </w:r>
      <w:r>
        <w:t xml:space="preserve">, NYISO selected cost of </w:t>
      </w:r>
      <w:r w:rsidR="00153E7E">
        <w:t xml:space="preserve">equity and </w:t>
      </w:r>
      <w:r>
        <w:t>cost of debt value</w:t>
      </w:r>
      <w:r w:rsidR="00153E7E">
        <w:t>s</w:t>
      </w:r>
      <w:r>
        <w:t xml:space="preserve"> at the high end </w:t>
      </w:r>
      <w:r w:rsidRPr="00E33346">
        <w:t>consistent with the greater risk posed by a single peaking plant, in comparison to an independent power producing company</w:t>
      </w:r>
      <w:r>
        <w:t xml:space="preserve">.  </w:t>
      </w:r>
      <w:r>
        <w:rPr>
          <w:i/>
          <w:iCs/>
        </w:rPr>
        <w:t>See</w:t>
      </w:r>
      <w:r>
        <w:t xml:space="preserve">, </w:t>
      </w:r>
      <w:r w:rsidRPr="00F74881">
        <w:rPr>
          <w:i/>
          <w:iCs/>
        </w:rPr>
        <w:t>e.g.</w:t>
      </w:r>
      <w:r>
        <w:t xml:space="preserve">, </w:t>
      </w:r>
      <w:r w:rsidRPr="00735782">
        <w:t>2021-2025 DCR Order</w:t>
      </w:r>
      <w:r>
        <w:t xml:space="preserve">, </w:t>
      </w:r>
      <w:r w:rsidRPr="002A0099">
        <w:t xml:space="preserve">175 FERC </w:t>
      </w:r>
      <w:r w:rsidR="007B790F">
        <w:t xml:space="preserve">     </w:t>
      </w:r>
      <w:r w:rsidRPr="002A0099">
        <w:t>¶ 61,012</w:t>
      </w:r>
      <w:r>
        <w:t xml:space="preserve"> at P 148. </w:t>
      </w:r>
    </w:p>
  </w:footnote>
  <w:footnote w:id="251">
    <w:p w:rsidR="002B5B6F" w:rsidP="002B5B6F">
      <w:pPr>
        <w:pStyle w:val="FootnoteText"/>
      </w:pPr>
      <w:r>
        <w:rPr>
          <w:rStyle w:val="FootnoteReference"/>
        </w:rPr>
        <w:footnoteRef/>
      </w:r>
      <w:r>
        <w:t xml:space="preserve"> 2014-2017 DCR Order, </w:t>
      </w:r>
      <w:r w:rsidRPr="005D0259">
        <w:t>146 FERC ¶ 61,043</w:t>
      </w:r>
      <w:r>
        <w:t xml:space="preserve"> at </w:t>
      </w:r>
      <w:r w:rsidR="00A35F4A">
        <w:t xml:space="preserve">P </w:t>
      </w:r>
      <w:r>
        <w:t xml:space="preserve">118.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84713B" w:rsidRPr="0084713B" w:rsidP="0084713B">
                <w:pPr>
                  <w:rPr>
                    <w:rFonts w:eastAsia="Times New Roman"/>
                    <w:noProof/>
                    <w:color w:val="FF0000"/>
                    <w:szCs w:val="26"/>
                  </w:rPr>
                </w:pPr>
                <w:r w:rsidRPr="0084713B">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B31A6">
    <w:pPr>
      <w:pStyle w:val="Header"/>
      <w:tabs>
        <w:tab w:val="clear" w:pos="4680"/>
      </w:tabs>
      <w:spacing w:after="240"/>
    </w:pPr>
    <w:r>
      <w:t>Docket No. ER25-596-000</w:t>
      <w:tab/>
    </w:r>
    <w:r>
      <w:fldChar w:fldCharType="begin"/>
    </w:r>
    <w:r>
      <w:instrText xml:space="preserve"> PAGE  \* MERGEFORMAT </w:instrText>
    </w:r>
    <w:r>
      <w:fldChar w:fldCharType="separate"/>
    </w:r>
    <w:r>
      <w:rPr>
        <w:noProof/>
      </w:rPr>
      <w:t>- 45 -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40365"/>
    <w:multiLevelType w:val="hybridMultilevel"/>
    <w:tmpl w:val="E6FA89A8"/>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E51F5E"/>
    <w:multiLevelType w:val="hybridMultilevel"/>
    <w:tmpl w:val="8F52D6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7">
    <w:nsid w:val="2C7702D3"/>
    <w:multiLevelType w:val="hybridMultilevel"/>
    <w:tmpl w:val="0066A22E"/>
    <w:lvl w:ilvl="0">
      <w:start w:val="1"/>
      <w:numFmt w:val="decimal"/>
      <w:lvlText w:val="%1."/>
      <w:lvlJc w:val="left"/>
      <w:pPr>
        <w:ind w:left="720" w:hanging="360"/>
      </w:pPr>
      <w:rPr>
        <w:rFonts w:ascii="Times New Roman" w:hAnsi="Times New Roman" w:hint="default"/>
        <w:b w:val="0"/>
        <w:i w:val="0"/>
        <w:caps w:val="0"/>
        <w:strike w:val="0"/>
        <w:dstrike w:val="0"/>
        <w:vanish w:val="0"/>
        <w:color w:val="auto"/>
        <w:sz w:val="26"/>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765E48"/>
    <w:multiLevelType w:val="hybridMultilevel"/>
    <w:tmpl w:val="9138757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5D0AA2"/>
    <w:multiLevelType w:val="hybridMultilevel"/>
    <w:tmpl w:val="2D8E10E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3">
    <w:nsid w:val="643D5647"/>
    <w:multiLevelType w:val="hybridMultilevel"/>
    <w:tmpl w:val="72C6A4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6">
    <w:nsid w:val="734446BD"/>
    <w:multiLevelType w:val="hybridMultilevel"/>
    <w:tmpl w:val="0B02AC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75062D9B"/>
    <w:multiLevelType w:val="hybridMultilevel"/>
    <w:tmpl w:val="B7ACB9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4"/>
  </w:num>
  <w:num w:numId="13">
    <w:abstractNumId w:val="15"/>
  </w:num>
  <w:num w:numId="14">
    <w:abstractNumId w:val="25"/>
  </w:num>
  <w:num w:numId="15">
    <w:abstractNumId w:val="2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16"/>
  </w:num>
  <w:num w:numId="20">
    <w:abstractNumId w:val="13"/>
  </w:num>
  <w:num w:numId="21">
    <w:abstractNumId w:val="29"/>
  </w:num>
  <w:num w:numId="22">
    <w:abstractNumId w:val="18"/>
  </w:num>
  <w:num w:numId="23">
    <w:abstractNumId w:val="20"/>
  </w:num>
  <w:num w:numId="24">
    <w:abstractNumId w:val="17"/>
  </w:num>
  <w:num w:numId="25">
    <w:abstractNumId w:val="21"/>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9"/>
  </w:num>
  <w:num w:numId="31">
    <w:abstractNumId w:val="2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CB31A6"/>
    <w:rsid w:val="000004F9"/>
    <w:rsid w:val="000006BF"/>
    <w:rsid w:val="0000081F"/>
    <w:rsid w:val="00000C5F"/>
    <w:rsid w:val="00000D69"/>
    <w:rsid w:val="00000E4C"/>
    <w:rsid w:val="00000EA4"/>
    <w:rsid w:val="0000100C"/>
    <w:rsid w:val="0000120B"/>
    <w:rsid w:val="0000146D"/>
    <w:rsid w:val="00001596"/>
    <w:rsid w:val="00001931"/>
    <w:rsid w:val="00001B26"/>
    <w:rsid w:val="00001FAC"/>
    <w:rsid w:val="00002152"/>
    <w:rsid w:val="000024BB"/>
    <w:rsid w:val="0000282D"/>
    <w:rsid w:val="00002868"/>
    <w:rsid w:val="00002AF5"/>
    <w:rsid w:val="00002DAA"/>
    <w:rsid w:val="00002DB4"/>
    <w:rsid w:val="00002DF4"/>
    <w:rsid w:val="00002E53"/>
    <w:rsid w:val="00002F40"/>
    <w:rsid w:val="000030C4"/>
    <w:rsid w:val="00003340"/>
    <w:rsid w:val="000033D8"/>
    <w:rsid w:val="00003513"/>
    <w:rsid w:val="00003C3B"/>
    <w:rsid w:val="00003C79"/>
    <w:rsid w:val="00003CD8"/>
    <w:rsid w:val="00004320"/>
    <w:rsid w:val="00004359"/>
    <w:rsid w:val="000044F9"/>
    <w:rsid w:val="00004575"/>
    <w:rsid w:val="00004603"/>
    <w:rsid w:val="000046EE"/>
    <w:rsid w:val="00004762"/>
    <w:rsid w:val="000049F9"/>
    <w:rsid w:val="00004B8C"/>
    <w:rsid w:val="00004DFB"/>
    <w:rsid w:val="00004EAD"/>
    <w:rsid w:val="000050B9"/>
    <w:rsid w:val="0000532D"/>
    <w:rsid w:val="0000599F"/>
    <w:rsid w:val="00005C3C"/>
    <w:rsid w:val="00005F83"/>
    <w:rsid w:val="00005FCC"/>
    <w:rsid w:val="00006096"/>
    <w:rsid w:val="0000610F"/>
    <w:rsid w:val="0000690E"/>
    <w:rsid w:val="000069F1"/>
    <w:rsid w:val="00006BBC"/>
    <w:rsid w:val="00006ED4"/>
    <w:rsid w:val="00006F28"/>
    <w:rsid w:val="00006F47"/>
    <w:rsid w:val="00006FE3"/>
    <w:rsid w:val="0000729D"/>
    <w:rsid w:val="0000731D"/>
    <w:rsid w:val="000073D0"/>
    <w:rsid w:val="00007445"/>
    <w:rsid w:val="0000753C"/>
    <w:rsid w:val="000076A6"/>
    <w:rsid w:val="0000770D"/>
    <w:rsid w:val="00007C73"/>
    <w:rsid w:val="00007CC6"/>
    <w:rsid w:val="00007EA6"/>
    <w:rsid w:val="00010087"/>
    <w:rsid w:val="000101CB"/>
    <w:rsid w:val="000106B7"/>
    <w:rsid w:val="00010BF7"/>
    <w:rsid w:val="00010CB6"/>
    <w:rsid w:val="00010D5C"/>
    <w:rsid w:val="00010FA6"/>
    <w:rsid w:val="000110A1"/>
    <w:rsid w:val="00011516"/>
    <w:rsid w:val="00011574"/>
    <w:rsid w:val="000117E5"/>
    <w:rsid w:val="00011801"/>
    <w:rsid w:val="000118C8"/>
    <w:rsid w:val="000118E9"/>
    <w:rsid w:val="00011A44"/>
    <w:rsid w:val="00011B1B"/>
    <w:rsid w:val="00011F87"/>
    <w:rsid w:val="00012174"/>
    <w:rsid w:val="000125D3"/>
    <w:rsid w:val="00012644"/>
    <w:rsid w:val="000126F1"/>
    <w:rsid w:val="000128E3"/>
    <w:rsid w:val="00012ADF"/>
    <w:rsid w:val="00012C28"/>
    <w:rsid w:val="00012D88"/>
    <w:rsid w:val="00012F37"/>
    <w:rsid w:val="00013559"/>
    <w:rsid w:val="00013749"/>
    <w:rsid w:val="00013834"/>
    <w:rsid w:val="00013873"/>
    <w:rsid w:val="00013C7E"/>
    <w:rsid w:val="00013CE6"/>
    <w:rsid w:val="00013F98"/>
    <w:rsid w:val="000143AA"/>
    <w:rsid w:val="00014423"/>
    <w:rsid w:val="00014620"/>
    <w:rsid w:val="00014879"/>
    <w:rsid w:val="00014A5F"/>
    <w:rsid w:val="00014B53"/>
    <w:rsid w:val="000151B1"/>
    <w:rsid w:val="0001566D"/>
    <w:rsid w:val="000156EA"/>
    <w:rsid w:val="00015768"/>
    <w:rsid w:val="0001582A"/>
    <w:rsid w:val="0001599D"/>
    <w:rsid w:val="000159B5"/>
    <w:rsid w:val="00015ABB"/>
    <w:rsid w:val="00015AD3"/>
    <w:rsid w:val="00015DB2"/>
    <w:rsid w:val="00016250"/>
    <w:rsid w:val="00016298"/>
    <w:rsid w:val="000162E3"/>
    <w:rsid w:val="000163A1"/>
    <w:rsid w:val="00016491"/>
    <w:rsid w:val="000169D9"/>
    <w:rsid w:val="00016ADC"/>
    <w:rsid w:val="00016BAF"/>
    <w:rsid w:val="00016BE9"/>
    <w:rsid w:val="00016D48"/>
    <w:rsid w:val="00017149"/>
    <w:rsid w:val="000173C7"/>
    <w:rsid w:val="000178D4"/>
    <w:rsid w:val="00017957"/>
    <w:rsid w:val="00017CBA"/>
    <w:rsid w:val="00017DF7"/>
    <w:rsid w:val="00020048"/>
    <w:rsid w:val="0002042F"/>
    <w:rsid w:val="0002063B"/>
    <w:rsid w:val="000208CF"/>
    <w:rsid w:val="00020994"/>
    <w:rsid w:val="00020A92"/>
    <w:rsid w:val="00020B68"/>
    <w:rsid w:val="00020E20"/>
    <w:rsid w:val="00020E51"/>
    <w:rsid w:val="00020F14"/>
    <w:rsid w:val="00020FBE"/>
    <w:rsid w:val="00021086"/>
    <w:rsid w:val="000213C5"/>
    <w:rsid w:val="0002145B"/>
    <w:rsid w:val="000218C6"/>
    <w:rsid w:val="000219D4"/>
    <w:rsid w:val="00021C38"/>
    <w:rsid w:val="00021CF1"/>
    <w:rsid w:val="000221B9"/>
    <w:rsid w:val="00022456"/>
    <w:rsid w:val="000224C9"/>
    <w:rsid w:val="0002268F"/>
    <w:rsid w:val="00022818"/>
    <w:rsid w:val="0002286B"/>
    <w:rsid w:val="00022A33"/>
    <w:rsid w:val="00022EF7"/>
    <w:rsid w:val="00023356"/>
    <w:rsid w:val="0002348B"/>
    <w:rsid w:val="000234A7"/>
    <w:rsid w:val="0002355F"/>
    <w:rsid w:val="000236DF"/>
    <w:rsid w:val="00023847"/>
    <w:rsid w:val="00023857"/>
    <w:rsid w:val="000238B7"/>
    <w:rsid w:val="00023C1A"/>
    <w:rsid w:val="000245D3"/>
    <w:rsid w:val="00024666"/>
    <w:rsid w:val="00024801"/>
    <w:rsid w:val="000249C0"/>
    <w:rsid w:val="00024D47"/>
    <w:rsid w:val="00024FC4"/>
    <w:rsid w:val="000251F7"/>
    <w:rsid w:val="0002548E"/>
    <w:rsid w:val="00025851"/>
    <w:rsid w:val="00025DCC"/>
    <w:rsid w:val="00025F65"/>
    <w:rsid w:val="00026146"/>
    <w:rsid w:val="0002631D"/>
    <w:rsid w:val="000263D6"/>
    <w:rsid w:val="000263F8"/>
    <w:rsid w:val="0002668B"/>
    <w:rsid w:val="00026815"/>
    <w:rsid w:val="00026CA7"/>
    <w:rsid w:val="00026CB4"/>
    <w:rsid w:val="00026F55"/>
    <w:rsid w:val="00026F84"/>
    <w:rsid w:val="00026F99"/>
    <w:rsid w:val="00027251"/>
    <w:rsid w:val="0002739E"/>
    <w:rsid w:val="00027582"/>
    <w:rsid w:val="000278DC"/>
    <w:rsid w:val="000279C3"/>
    <w:rsid w:val="00027EEF"/>
    <w:rsid w:val="00030878"/>
    <w:rsid w:val="00030B65"/>
    <w:rsid w:val="00030EF0"/>
    <w:rsid w:val="00030FE0"/>
    <w:rsid w:val="0003125B"/>
    <w:rsid w:val="0003157D"/>
    <w:rsid w:val="000315E5"/>
    <w:rsid w:val="00031709"/>
    <w:rsid w:val="00031C2E"/>
    <w:rsid w:val="00031CCA"/>
    <w:rsid w:val="00031DB3"/>
    <w:rsid w:val="000322AE"/>
    <w:rsid w:val="00032331"/>
    <w:rsid w:val="00032473"/>
    <w:rsid w:val="00032495"/>
    <w:rsid w:val="00032557"/>
    <w:rsid w:val="00032590"/>
    <w:rsid w:val="00032632"/>
    <w:rsid w:val="00032935"/>
    <w:rsid w:val="00032BA8"/>
    <w:rsid w:val="00032CEB"/>
    <w:rsid w:val="00032F41"/>
    <w:rsid w:val="0003302F"/>
    <w:rsid w:val="000334AF"/>
    <w:rsid w:val="0003351D"/>
    <w:rsid w:val="0003357E"/>
    <w:rsid w:val="00033716"/>
    <w:rsid w:val="0003382F"/>
    <w:rsid w:val="00033A24"/>
    <w:rsid w:val="00033CBF"/>
    <w:rsid w:val="00033F72"/>
    <w:rsid w:val="00034414"/>
    <w:rsid w:val="0003458F"/>
    <w:rsid w:val="000345D0"/>
    <w:rsid w:val="00034807"/>
    <w:rsid w:val="00034AA0"/>
    <w:rsid w:val="00034E89"/>
    <w:rsid w:val="00034EC7"/>
    <w:rsid w:val="00035064"/>
    <w:rsid w:val="000350EE"/>
    <w:rsid w:val="00035576"/>
    <w:rsid w:val="00035718"/>
    <w:rsid w:val="00035905"/>
    <w:rsid w:val="00035FA4"/>
    <w:rsid w:val="000360E7"/>
    <w:rsid w:val="00036234"/>
    <w:rsid w:val="00036BC6"/>
    <w:rsid w:val="00036C24"/>
    <w:rsid w:val="00036E47"/>
    <w:rsid w:val="00036EFC"/>
    <w:rsid w:val="0003712D"/>
    <w:rsid w:val="00037197"/>
    <w:rsid w:val="000375CE"/>
    <w:rsid w:val="00037793"/>
    <w:rsid w:val="00037829"/>
    <w:rsid w:val="00037A8A"/>
    <w:rsid w:val="00037A8E"/>
    <w:rsid w:val="00037CA1"/>
    <w:rsid w:val="00037DEF"/>
    <w:rsid w:val="000400D3"/>
    <w:rsid w:val="00040121"/>
    <w:rsid w:val="000403D0"/>
    <w:rsid w:val="00040552"/>
    <w:rsid w:val="000405B8"/>
    <w:rsid w:val="000409F4"/>
    <w:rsid w:val="00040C7A"/>
    <w:rsid w:val="00040F8B"/>
    <w:rsid w:val="00041222"/>
    <w:rsid w:val="00041311"/>
    <w:rsid w:val="000415DF"/>
    <w:rsid w:val="0004162D"/>
    <w:rsid w:val="00041880"/>
    <w:rsid w:val="00041B25"/>
    <w:rsid w:val="00041B3B"/>
    <w:rsid w:val="00041C18"/>
    <w:rsid w:val="00041C4A"/>
    <w:rsid w:val="00041FD5"/>
    <w:rsid w:val="00042101"/>
    <w:rsid w:val="00042245"/>
    <w:rsid w:val="00042412"/>
    <w:rsid w:val="000428C4"/>
    <w:rsid w:val="00042AE2"/>
    <w:rsid w:val="00042B92"/>
    <w:rsid w:val="00042C6A"/>
    <w:rsid w:val="00042FA8"/>
    <w:rsid w:val="00043819"/>
    <w:rsid w:val="000439CD"/>
    <w:rsid w:val="00043DE3"/>
    <w:rsid w:val="000441EC"/>
    <w:rsid w:val="000444B8"/>
    <w:rsid w:val="000444D6"/>
    <w:rsid w:val="000445FF"/>
    <w:rsid w:val="0004465D"/>
    <w:rsid w:val="0004470E"/>
    <w:rsid w:val="00044731"/>
    <w:rsid w:val="00044A84"/>
    <w:rsid w:val="00044DD6"/>
    <w:rsid w:val="00044ECE"/>
    <w:rsid w:val="00044F75"/>
    <w:rsid w:val="00044FFC"/>
    <w:rsid w:val="0004533D"/>
    <w:rsid w:val="0004533E"/>
    <w:rsid w:val="00045374"/>
    <w:rsid w:val="00045598"/>
    <w:rsid w:val="00045853"/>
    <w:rsid w:val="00045987"/>
    <w:rsid w:val="00045A55"/>
    <w:rsid w:val="00045AE9"/>
    <w:rsid w:val="00045B41"/>
    <w:rsid w:val="00045BFE"/>
    <w:rsid w:val="00046236"/>
    <w:rsid w:val="0004624A"/>
    <w:rsid w:val="00046512"/>
    <w:rsid w:val="000468B6"/>
    <w:rsid w:val="00046B94"/>
    <w:rsid w:val="00046CAF"/>
    <w:rsid w:val="00046CB4"/>
    <w:rsid w:val="00046D16"/>
    <w:rsid w:val="00046E0B"/>
    <w:rsid w:val="00046F87"/>
    <w:rsid w:val="000470C3"/>
    <w:rsid w:val="000470E4"/>
    <w:rsid w:val="0004748C"/>
    <w:rsid w:val="00047661"/>
    <w:rsid w:val="000476E5"/>
    <w:rsid w:val="000477EE"/>
    <w:rsid w:val="000477F4"/>
    <w:rsid w:val="00047D02"/>
    <w:rsid w:val="00047E44"/>
    <w:rsid w:val="00047FAA"/>
    <w:rsid w:val="0005003A"/>
    <w:rsid w:val="000500B7"/>
    <w:rsid w:val="00050209"/>
    <w:rsid w:val="0005025C"/>
    <w:rsid w:val="0005034F"/>
    <w:rsid w:val="0005079A"/>
    <w:rsid w:val="000507C3"/>
    <w:rsid w:val="000509C8"/>
    <w:rsid w:val="00050E49"/>
    <w:rsid w:val="00051164"/>
    <w:rsid w:val="0005135D"/>
    <w:rsid w:val="0005142C"/>
    <w:rsid w:val="00051547"/>
    <w:rsid w:val="000518A5"/>
    <w:rsid w:val="000518CF"/>
    <w:rsid w:val="00051A78"/>
    <w:rsid w:val="00051D01"/>
    <w:rsid w:val="00051ED1"/>
    <w:rsid w:val="000520FF"/>
    <w:rsid w:val="000523A8"/>
    <w:rsid w:val="000524F7"/>
    <w:rsid w:val="00052706"/>
    <w:rsid w:val="00052760"/>
    <w:rsid w:val="000527B6"/>
    <w:rsid w:val="000527BE"/>
    <w:rsid w:val="00052935"/>
    <w:rsid w:val="00052951"/>
    <w:rsid w:val="0005299C"/>
    <w:rsid w:val="00052C93"/>
    <w:rsid w:val="00052D93"/>
    <w:rsid w:val="000530C8"/>
    <w:rsid w:val="000534FE"/>
    <w:rsid w:val="00053916"/>
    <w:rsid w:val="00053B1F"/>
    <w:rsid w:val="00053BFC"/>
    <w:rsid w:val="00054058"/>
    <w:rsid w:val="00054173"/>
    <w:rsid w:val="00054780"/>
    <w:rsid w:val="00054784"/>
    <w:rsid w:val="00054B36"/>
    <w:rsid w:val="00054B4F"/>
    <w:rsid w:val="00054BDB"/>
    <w:rsid w:val="00054C24"/>
    <w:rsid w:val="00054E85"/>
    <w:rsid w:val="000550DC"/>
    <w:rsid w:val="00055141"/>
    <w:rsid w:val="0005532D"/>
    <w:rsid w:val="00055795"/>
    <w:rsid w:val="000559B0"/>
    <w:rsid w:val="00055B5C"/>
    <w:rsid w:val="00055DEC"/>
    <w:rsid w:val="00055F5F"/>
    <w:rsid w:val="00056012"/>
    <w:rsid w:val="00056321"/>
    <w:rsid w:val="00056648"/>
    <w:rsid w:val="0005668B"/>
    <w:rsid w:val="00056965"/>
    <w:rsid w:val="000569A8"/>
    <w:rsid w:val="00056BBA"/>
    <w:rsid w:val="00056E30"/>
    <w:rsid w:val="00056E62"/>
    <w:rsid w:val="00056E8D"/>
    <w:rsid w:val="00056FB7"/>
    <w:rsid w:val="0005710A"/>
    <w:rsid w:val="00057708"/>
    <w:rsid w:val="00057741"/>
    <w:rsid w:val="00057758"/>
    <w:rsid w:val="00057F39"/>
    <w:rsid w:val="00060068"/>
    <w:rsid w:val="000600CC"/>
    <w:rsid w:val="00060145"/>
    <w:rsid w:val="000601F4"/>
    <w:rsid w:val="000603E3"/>
    <w:rsid w:val="00060F64"/>
    <w:rsid w:val="00060FFD"/>
    <w:rsid w:val="0006102C"/>
    <w:rsid w:val="0006117F"/>
    <w:rsid w:val="00061284"/>
    <w:rsid w:val="000615BF"/>
    <w:rsid w:val="00061A62"/>
    <w:rsid w:val="00061AD3"/>
    <w:rsid w:val="00061CF9"/>
    <w:rsid w:val="00061D8F"/>
    <w:rsid w:val="00061F4A"/>
    <w:rsid w:val="00061F74"/>
    <w:rsid w:val="00061FD8"/>
    <w:rsid w:val="000623AA"/>
    <w:rsid w:val="0006267B"/>
    <w:rsid w:val="00062732"/>
    <w:rsid w:val="00062741"/>
    <w:rsid w:val="000628A9"/>
    <w:rsid w:val="00062C98"/>
    <w:rsid w:val="00063049"/>
    <w:rsid w:val="00063164"/>
    <w:rsid w:val="00063331"/>
    <w:rsid w:val="000633DE"/>
    <w:rsid w:val="00063421"/>
    <w:rsid w:val="00063B7C"/>
    <w:rsid w:val="00063D5B"/>
    <w:rsid w:val="000643F9"/>
    <w:rsid w:val="000645A5"/>
    <w:rsid w:val="00064ECE"/>
    <w:rsid w:val="00064F37"/>
    <w:rsid w:val="00064F41"/>
    <w:rsid w:val="00064FAD"/>
    <w:rsid w:val="00064FBE"/>
    <w:rsid w:val="00065023"/>
    <w:rsid w:val="000652F4"/>
    <w:rsid w:val="00065445"/>
    <w:rsid w:val="00065512"/>
    <w:rsid w:val="00065556"/>
    <w:rsid w:val="000656BA"/>
    <w:rsid w:val="00065BAA"/>
    <w:rsid w:val="00065D92"/>
    <w:rsid w:val="00065F96"/>
    <w:rsid w:val="00066161"/>
    <w:rsid w:val="000661FD"/>
    <w:rsid w:val="00066259"/>
    <w:rsid w:val="00066468"/>
    <w:rsid w:val="00066500"/>
    <w:rsid w:val="000666B6"/>
    <w:rsid w:val="000669D8"/>
    <w:rsid w:val="00066F42"/>
    <w:rsid w:val="00067695"/>
    <w:rsid w:val="00067704"/>
    <w:rsid w:val="0006781F"/>
    <w:rsid w:val="00067844"/>
    <w:rsid w:val="00067A14"/>
    <w:rsid w:val="00067C6A"/>
    <w:rsid w:val="00067DC4"/>
    <w:rsid w:val="00067FB0"/>
    <w:rsid w:val="00067FF6"/>
    <w:rsid w:val="00070040"/>
    <w:rsid w:val="00070345"/>
    <w:rsid w:val="0007043E"/>
    <w:rsid w:val="00070665"/>
    <w:rsid w:val="000706BE"/>
    <w:rsid w:val="000706F3"/>
    <w:rsid w:val="00070857"/>
    <w:rsid w:val="00070AB0"/>
    <w:rsid w:val="00070D88"/>
    <w:rsid w:val="00070DBF"/>
    <w:rsid w:val="000710A4"/>
    <w:rsid w:val="0007137F"/>
    <w:rsid w:val="00071426"/>
    <w:rsid w:val="0007163B"/>
    <w:rsid w:val="0007168F"/>
    <w:rsid w:val="000716D8"/>
    <w:rsid w:val="00071875"/>
    <w:rsid w:val="00071B2E"/>
    <w:rsid w:val="00072375"/>
    <w:rsid w:val="000727DA"/>
    <w:rsid w:val="00072AD5"/>
    <w:rsid w:val="00072C90"/>
    <w:rsid w:val="00072DC3"/>
    <w:rsid w:val="00072E3A"/>
    <w:rsid w:val="00072FF9"/>
    <w:rsid w:val="0007337F"/>
    <w:rsid w:val="000734B5"/>
    <w:rsid w:val="0007377C"/>
    <w:rsid w:val="00073BFD"/>
    <w:rsid w:val="00073D0F"/>
    <w:rsid w:val="00073E50"/>
    <w:rsid w:val="00074193"/>
    <w:rsid w:val="000745C9"/>
    <w:rsid w:val="0007473D"/>
    <w:rsid w:val="00074B4B"/>
    <w:rsid w:val="00074BEF"/>
    <w:rsid w:val="00074E8F"/>
    <w:rsid w:val="00074FD6"/>
    <w:rsid w:val="00074FD8"/>
    <w:rsid w:val="0007527C"/>
    <w:rsid w:val="000752CB"/>
    <w:rsid w:val="000753C1"/>
    <w:rsid w:val="00075957"/>
    <w:rsid w:val="000759C9"/>
    <w:rsid w:val="00075A0C"/>
    <w:rsid w:val="00075B27"/>
    <w:rsid w:val="00075B8E"/>
    <w:rsid w:val="000761FC"/>
    <w:rsid w:val="0007636C"/>
    <w:rsid w:val="000764B9"/>
    <w:rsid w:val="0007673C"/>
    <w:rsid w:val="00076835"/>
    <w:rsid w:val="00076904"/>
    <w:rsid w:val="00076B4F"/>
    <w:rsid w:val="00076B73"/>
    <w:rsid w:val="00076BFB"/>
    <w:rsid w:val="0007724C"/>
    <w:rsid w:val="00077579"/>
    <w:rsid w:val="000775E3"/>
    <w:rsid w:val="00077868"/>
    <w:rsid w:val="0007793B"/>
    <w:rsid w:val="00077DE4"/>
    <w:rsid w:val="00077E2E"/>
    <w:rsid w:val="00077EE2"/>
    <w:rsid w:val="00080007"/>
    <w:rsid w:val="000800E4"/>
    <w:rsid w:val="000804DD"/>
    <w:rsid w:val="000805FE"/>
    <w:rsid w:val="00080AAB"/>
    <w:rsid w:val="00080BB5"/>
    <w:rsid w:val="00080EA7"/>
    <w:rsid w:val="00080F02"/>
    <w:rsid w:val="00081390"/>
    <w:rsid w:val="000813B7"/>
    <w:rsid w:val="000819D2"/>
    <w:rsid w:val="00081A36"/>
    <w:rsid w:val="00081B77"/>
    <w:rsid w:val="00082807"/>
    <w:rsid w:val="000828CB"/>
    <w:rsid w:val="00082A50"/>
    <w:rsid w:val="00082B33"/>
    <w:rsid w:val="00082C95"/>
    <w:rsid w:val="00082F66"/>
    <w:rsid w:val="000830AB"/>
    <w:rsid w:val="000834CD"/>
    <w:rsid w:val="000836FA"/>
    <w:rsid w:val="000837C5"/>
    <w:rsid w:val="0008382F"/>
    <w:rsid w:val="00083A88"/>
    <w:rsid w:val="00083BEE"/>
    <w:rsid w:val="00083CC8"/>
    <w:rsid w:val="00083DF8"/>
    <w:rsid w:val="00083E2C"/>
    <w:rsid w:val="0008401E"/>
    <w:rsid w:val="000842E7"/>
    <w:rsid w:val="00084383"/>
    <w:rsid w:val="00084444"/>
    <w:rsid w:val="00084636"/>
    <w:rsid w:val="000846EB"/>
    <w:rsid w:val="0008478C"/>
    <w:rsid w:val="000847EE"/>
    <w:rsid w:val="00084878"/>
    <w:rsid w:val="00084901"/>
    <w:rsid w:val="00084A31"/>
    <w:rsid w:val="00084E57"/>
    <w:rsid w:val="000850E1"/>
    <w:rsid w:val="000853F2"/>
    <w:rsid w:val="000854FA"/>
    <w:rsid w:val="00085809"/>
    <w:rsid w:val="00085A57"/>
    <w:rsid w:val="00085BCD"/>
    <w:rsid w:val="00085DCE"/>
    <w:rsid w:val="00085E25"/>
    <w:rsid w:val="00085E34"/>
    <w:rsid w:val="000861D2"/>
    <w:rsid w:val="0008627B"/>
    <w:rsid w:val="0008657A"/>
    <w:rsid w:val="000867D6"/>
    <w:rsid w:val="00086987"/>
    <w:rsid w:val="00086D98"/>
    <w:rsid w:val="00086E9B"/>
    <w:rsid w:val="0008718B"/>
    <w:rsid w:val="00087347"/>
    <w:rsid w:val="000874DD"/>
    <w:rsid w:val="00087587"/>
    <w:rsid w:val="00087592"/>
    <w:rsid w:val="00087631"/>
    <w:rsid w:val="0008778D"/>
    <w:rsid w:val="00087A0B"/>
    <w:rsid w:val="00087C74"/>
    <w:rsid w:val="00087DD3"/>
    <w:rsid w:val="00087E2A"/>
    <w:rsid w:val="00087F7F"/>
    <w:rsid w:val="000900D5"/>
    <w:rsid w:val="00090195"/>
    <w:rsid w:val="00090627"/>
    <w:rsid w:val="00090653"/>
    <w:rsid w:val="000907A7"/>
    <w:rsid w:val="00090BC2"/>
    <w:rsid w:val="00090D72"/>
    <w:rsid w:val="00090F66"/>
    <w:rsid w:val="00090F95"/>
    <w:rsid w:val="00091054"/>
    <w:rsid w:val="000910E5"/>
    <w:rsid w:val="00091337"/>
    <w:rsid w:val="00091946"/>
    <w:rsid w:val="000920F7"/>
    <w:rsid w:val="0009210C"/>
    <w:rsid w:val="00092634"/>
    <w:rsid w:val="0009280B"/>
    <w:rsid w:val="00092ED4"/>
    <w:rsid w:val="00092F04"/>
    <w:rsid w:val="000933FB"/>
    <w:rsid w:val="00093B6E"/>
    <w:rsid w:val="00093C64"/>
    <w:rsid w:val="00093CA9"/>
    <w:rsid w:val="00093CFD"/>
    <w:rsid w:val="00093D08"/>
    <w:rsid w:val="00093E9C"/>
    <w:rsid w:val="000945D9"/>
    <w:rsid w:val="00094A0E"/>
    <w:rsid w:val="00094F73"/>
    <w:rsid w:val="00095562"/>
    <w:rsid w:val="000955B6"/>
    <w:rsid w:val="000955C2"/>
    <w:rsid w:val="00095AA7"/>
    <w:rsid w:val="00095EA2"/>
    <w:rsid w:val="00095F18"/>
    <w:rsid w:val="000960C9"/>
    <w:rsid w:val="00096370"/>
    <w:rsid w:val="00096B37"/>
    <w:rsid w:val="00096C18"/>
    <w:rsid w:val="000970F6"/>
    <w:rsid w:val="00097944"/>
    <w:rsid w:val="000979E3"/>
    <w:rsid w:val="00097A2A"/>
    <w:rsid w:val="00097C05"/>
    <w:rsid w:val="00097E1E"/>
    <w:rsid w:val="000A0286"/>
    <w:rsid w:val="000A05E3"/>
    <w:rsid w:val="000A089A"/>
    <w:rsid w:val="000A0B2B"/>
    <w:rsid w:val="000A0D81"/>
    <w:rsid w:val="000A0E7D"/>
    <w:rsid w:val="000A110E"/>
    <w:rsid w:val="000A1279"/>
    <w:rsid w:val="000A136F"/>
    <w:rsid w:val="000A13A5"/>
    <w:rsid w:val="000A1479"/>
    <w:rsid w:val="000A17C4"/>
    <w:rsid w:val="000A1BA4"/>
    <w:rsid w:val="000A1DAB"/>
    <w:rsid w:val="000A1E0E"/>
    <w:rsid w:val="000A1E3D"/>
    <w:rsid w:val="000A1E97"/>
    <w:rsid w:val="000A1FD1"/>
    <w:rsid w:val="000A2077"/>
    <w:rsid w:val="000A20A7"/>
    <w:rsid w:val="000A2298"/>
    <w:rsid w:val="000A22EB"/>
    <w:rsid w:val="000A23F2"/>
    <w:rsid w:val="000A243B"/>
    <w:rsid w:val="000A24D2"/>
    <w:rsid w:val="000A28D3"/>
    <w:rsid w:val="000A2A45"/>
    <w:rsid w:val="000A2A9B"/>
    <w:rsid w:val="000A2AE9"/>
    <w:rsid w:val="000A2BA1"/>
    <w:rsid w:val="000A2F8A"/>
    <w:rsid w:val="000A3065"/>
    <w:rsid w:val="000A30C4"/>
    <w:rsid w:val="000A32F9"/>
    <w:rsid w:val="000A3351"/>
    <w:rsid w:val="000A354F"/>
    <w:rsid w:val="000A3664"/>
    <w:rsid w:val="000A3808"/>
    <w:rsid w:val="000A3921"/>
    <w:rsid w:val="000A3ADD"/>
    <w:rsid w:val="000A3D2F"/>
    <w:rsid w:val="000A3E66"/>
    <w:rsid w:val="000A3EEA"/>
    <w:rsid w:val="000A3F49"/>
    <w:rsid w:val="000A3F86"/>
    <w:rsid w:val="000A4373"/>
    <w:rsid w:val="000A4474"/>
    <w:rsid w:val="000A4834"/>
    <w:rsid w:val="000A4B7C"/>
    <w:rsid w:val="000A4D47"/>
    <w:rsid w:val="000A4E23"/>
    <w:rsid w:val="000A50DD"/>
    <w:rsid w:val="000A5212"/>
    <w:rsid w:val="000A525E"/>
    <w:rsid w:val="000A530C"/>
    <w:rsid w:val="000A5543"/>
    <w:rsid w:val="000A567C"/>
    <w:rsid w:val="000A5BD8"/>
    <w:rsid w:val="000A5C11"/>
    <w:rsid w:val="000A5EBA"/>
    <w:rsid w:val="000A662F"/>
    <w:rsid w:val="000A6714"/>
    <w:rsid w:val="000A67B2"/>
    <w:rsid w:val="000A6835"/>
    <w:rsid w:val="000A6973"/>
    <w:rsid w:val="000A6AD8"/>
    <w:rsid w:val="000A6C08"/>
    <w:rsid w:val="000A7163"/>
    <w:rsid w:val="000A72E7"/>
    <w:rsid w:val="000A73B1"/>
    <w:rsid w:val="000A75FD"/>
    <w:rsid w:val="000A7949"/>
    <w:rsid w:val="000A7989"/>
    <w:rsid w:val="000A7D1F"/>
    <w:rsid w:val="000A7D26"/>
    <w:rsid w:val="000A7E1A"/>
    <w:rsid w:val="000A7EEF"/>
    <w:rsid w:val="000B0109"/>
    <w:rsid w:val="000B0149"/>
    <w:rsid w:val="000B0169"/>
    <w:rsid w:val="000B01E7"/>
    <w:rsid w:val="000B0580"/>
    <w:rsid w:val="000B05DC"/>
    <w:rsid w:val="000B0845"/>
    <w:rsid w:val="000B0980"/>
    <w:rsid w:val="000B098A"/>
    <w:rsid w:val="000B0C32"/>
    <w:rsid w:val="000B1239"/>
    <w:rsid w:val="000B12AB"/>
    <w:rsid w:val="000B143C"/>
    <w:rsid w:val="000B1472"/>
    <w:rsid w:val="000B1533"/>
    <w:rsid w:val="000B156C"/>
    <w:rsid w:val="000B1849"/>
    <w:rsid w:val="000B1C7D"/>
    <w:rsid w:val="000B225F"/>
    <w:rsid w:val="000B22B7"/>
    <w:rsid w:val="000B234A"/>
    <w:rsid w:val="000B2381"/>
    <w:rsid w:val="000B26DE"/>
    <w:rsid w:val="000B2796"/>
    <w:rsid w:val="000B27AD"/>
    <w:rsid w:val="000B2870"/>
    <w:rsid w:val="000B2B07"/>
    <w:rsid w:val="000B2E68"/>
    <w:rsid w:val="000B3008"/>
    <w:rsid w:val="000B3192"/>
    <w:rsid w:val="000B31C7"/>
    <w:rsid w:val="000B3362"/>
    <w:rsid w:val="000B34DD"/>
    <w:rsid w:val="000B3553"/>
    <w:rsid w:val="000B39E6"/>
    <w:rsid w:val="000B4099"/>
    <w:rsid w:val="000B411B"/>
    <w:rsid w:val="000B4124"/>
    <w:rsid w:val="000B4965"/>
    <w:rsid w:val="000B496C"/>
    <w:rsid w:val="000B4AA9"/>
    <w:rsid w:val="000B4B0F"/>
    <w:rsid w:val="000B4BB3"/>
    <w:rsid w:val="000B4D32"/>
    <w:rsid w:val="000B4E45"/>
    <w:rsid w:val="000B4E53"/>
    <w:rsid w:val="000B5185"/>
    <w:rsid w:val="000B51E5"/>
    <w:rsid w:val="000B557E"/>
    <w:rsid w:val="000B56A0"/>
    <w:rsid w:val="000B56BE"/>
    <w:rsid w:val="000B56E5"/>
    <w:rsid w:val="000B5736"/>
    <w:rsid w:val="000B576F"/>
    <w:rsid w:val="000B58C0"/>
    <w:rsid w:val="000B5AAF"/>
    <w:rsid w:val="000B5C91"/>
    <w:rsid w:val="000B5E66"/>
    <w:rsid w:val="000B605F"/>
    <w:rsid w:val="000B6203"/>
    <w:rsid w:val="000B6234"/>
    <w:rsid w:val="000B62B7"/>
    <w:rsid w:val="000B6541"/>
    <w:rsid w:val="000B654C"/>
    <w:rsid w:val="000B6780"/>
    <w:rsid w:val="000B6EB3"/>
    <w:rsid w:val="000B71FB"/>
    <w:rsid w:val="000B72BA"/>
    <w:rsid w:val="000B7316"/>
    <w:rsid w:val="000B7346"/>
    <w:rsid w:val="000B7362"/>
    <w:rsid w:val="000B7384"/>
    <w:rsid w:val="000B74FA"/>
    <w:rsid w:val="000B7552"/>
    <w:rsid w:val="000B7553"/>
    <w:rsid w:val="000B75E6"/>
    <w:rsid w:val="000B7687"/>
    <w:rsid w:val="000B7711"/>
    <w:rsid w:val="000B7884"/>
    <w:rsid w:val="000B78B2"/>
    <w:rsid w:val="000B7CF7"/>
    <w:rsid w:val="000B7E62"/>
    <w:rsid w:val="000C0171"/>
    <w:rsid w:val="000C01A4"/>
    <w:rsid w:val="000C0253"/>
    <w:rsid w:val="000C0276"/>
    <w:rsid w:val="000C04A1"/>
    <w:rsid w:val="000C0B50"/>
    <w:rsid w:val="000C0BF1"/>
    <w:rsid w:val="000C10CA"/>
    <w:rsid w:val="000C11D7"/>
    <w:rsid w:val="000C1452"/>
    <w:rsid w:val="000C16BB"/>
    <w:rsid w:val="000C17A8"/>
    <w:rsid w:val="000C17E8"/>
    <w:rsid w:val="000C18E7"/>
    <w:rsid w:val="000C1DCB"/>
    <w:rsid w:val="000C1F08"/>
    <w:rsid w:val="000C1FCA"/>
    <w:rsid w:val="000C22C2"/>
    <w:rsid w:val="000C231D"/>
    <w:rsid w:val="000C2326"/>
    <w:rsid w:val="000C233D"/>
    <w:rsid w:val="000C23A4"/>
    <w:rsid w:val="000C261E"/>
    <w:rsid w:val="000C274D"/>
    <w:rsid w:val="000C2769"/>
    <w:rsid w:val="000C27A0"/>
    <w:rsid w:val="000C27D8"/>
    <w:rsid w:val="000C2907"/>
    <w:rsid w:val="000C2C04"/>
    <w:rsid w:val="000C2C79"/>
    <w:rsid w:val="000C2C97"/>
    <w:rsid w:val="000C3063"/>
    <w:rsid w:val="000C3183"/>
    <w:rsid w:val="000C32C0"/>
    <w:rsid w:val="000C364F"/>
    <w:rsid w:val="000C37D0"/>
    <w:rsid w:val="000C3822"/>
    <w:rsid w:val="000C38FC"/>
    <w:rsid w:val="000C397D"/>
    <w:rsid w:val="000C3B08"/>
    <w:rsid w:val="000C3C33"/>
    <w:rsid w:val="000C3EC7"/>
    <w:rsid w:val="000C4004"/>
    <w:rsid w:val="000C438A"/>
    <w:rsid w:val="000C4511"/>
    <w:rsid w:val="000C4631"/>
    <w:rsid w:val="000C4839"/>
    <w:rsid w:val="000C492E"/>
    <w:rsid w:val="000C4A0B"/>
    <w:rsid w:val="000C4DF2"/>
    <w:rsid w:val="000C4E05"/>
    <w:rsid w:val="000C4E4C"/>
    <w:rsid w:val="000C4FD5"/>
    <w:rsid w:val="000C50B3"/>
    <w:rsid w:val="000C5353"/>
    <w:rsid w:val="000C5625"/>
    <w:rsid w:val="000C5776"/>
    <w:rsid w:val="000C5C60"/>
    <w:rsid w:val="000C5FD6"/>
    <w:rsid w:val="000C6031"/>
    <w:rsid w:val="000C61BF"/>
    <w:rsid w:val="000C6426"/>
    <w:rsid w:val="000C6869"/>
    <w:rsid w:val="000C692B"/>
    <w:rsid w:val="000C6B89"/>
    <w:rsid w:val="000C6C17"/>
    <w:rsid w:val="000C6CB7"/>
    <w:rsid w:val="000C6EF3"/>
    <w:rsid w:val="000C6F21"/>
    <w:rsid w:val="000C7336"/>
    <w:rsid w:val="000C7381"/>
    <w:rsid w:val="000C746F"/>
    <w:rsid w:val="000C77BF"/>
    <w:rsid w:val="000C7871"/>
    <w:rsid w:val="000C7949"/>
    <w:rsid w:val="000C7A23"/>
    <w:rsid w:val="000C7AE7"/>
    <w:rsid w:val="000C7AF8"/>
    <w:rsid w:val="000C7CF9"/>
    <w:rsid w:val="000C7D00"/>
    <w:rsid w:val="000C7D25"/>
    <w:rsid w:val="000C7E2F"/>
    <w:rsid w:val="000D0122"/>
    <w:rsid w:val="000D034C"/>
    <w:rsid w:val="000D04AA"/>
    <w:rsid w:val="000D05BC"/>
    <w:rsid w:val="000D05DD"/>
    <w:rsid w:val="000D0605"/>
    <w:rsid w:val="000D062C"/>
    <w:rsid w:val="000D0902"/>
    <w:rsid w:val="000D0A07"/>
    <w:rsid w:val="000D0ADC"/>
    <w:rsid w:val="000D0CEB"/>
    <w:rsid w:val="000D0D39"/>
    <w:rsid w:val="000D0D5D"/>
    <w:rsid w:val="000D0EE6"/>
    <w:rsid w:val="000D1190"/>
    <w:rsid w:val="000D130E"/>
    <w:rsid w:val="000D148E"/>
    <w:rsid w:val="000D1553"/>
    <w:rsid w:val="000D1838"/>
    <w:rsid w:val="000D186C"/>
    <w:rsid w:val="000D1B06"/>
    <w:rsid w:val="000D1D4B"/>
    <w:rsid w:val="000D1FB6"/>
    <w:rsid w:val="000D21A7"/>
    <w:rsid w:val="000D21AB"/>
    <w:rsid w:val="000D2365"/>
    <w:rsid w:val="000D24ED"/>
    <w:rsid w:val="000D2689"/>
    <w:rsid w:val="000D28A8"/>
    <w:rsid w:val="000D2A63"/>
    <w:rsid w:val="000D2D18"/>
    <w:rsid w:val="000D2FB7"/>
    <w:rsid w:val="000D303E"/>
    <w:rsid w:val="000D361D"/>
    <w:rsid w:val="000D3662"/>
    <w:rsid w:val="000D3802"/>
    <w:rsid w:val="000D39CC"/>
    <w:rsid w:val="000D3A7D"/>
    <w:rsid w:val="000D42E9"/>
    <w:rsid w:val="000D4353"/>
    <w:rsid w:val="000D4395"/>
    <w:rsid w:val="000D43E4"/>
    <w:rsid w:val="000D46CA"/>
    <w:rsid w:val="000D4912"/>
    <w:rsid w:val="000D4AED"/>
    <w:rsid w:val="000D4EBD"/>
    <w:rsid w:val="000D51C7"/>
    <w:rsid w:val="000D52A1"/>
    <w:rsid w:val="000D5545"/>
    <w:rsid w:val="000D5F55"/>
    <w:rsid w:val="000D61FE"/>
    <w:rsid w:val="000D62B1"/>
    <w:rsid w:val="000D6580"/>
    <w:rsid w:val="000D676B"/>
    <w:rsid w:val="000D6919"/>
    <w:rsid w:val="000D6B3E"/>
    <w:rsid w:val="000D6DC3"/>
    <w:rsid w:val="000D728C"/>
    <w:rsid w:val="000D730C"/>
    <w:rsid w:val="000D7358"/>
    <w:rsid w:val="000D739B"/>
    <w:rsid w:val="000D753F"/>
    <w:rsid w:val="000D7634"/>
    <w:rsid w:val="000D7857"/>
    <w:rsid w:val="000D7ABA"/>
    <w:rsid w:val="000D7DD4"/>
    <w:rsid w:val="000D7E4E"/>
    <w:rsid w:val="000D7E83"/>
    <w:rsid w:val="000D7E96"/>
    <w:rsid w:val="000E0620"/>
    <w:rsid w:val="000E065C"/>
    <w:rsid w:val="000E07C5"/>
    <w:rsid w:val="000E0857"/>
    <w:rsid w:val="000E08E3"/>
    <w:rsid w:val="000E0A34"/>
    <w:rsid w:val="000E0AE6"/>
    <w:rsid w:val="000E0FB3"/>
    <w:rsid w:val="000E0FEE"/>
    <w:rsid w:val="000E130A"/>
    <w:rsid w:val="000E1490"/>
    <w:rsid w:val="000E1804"/>
    <w:rsid w:val="000E1AC6"/>
    <w:rsid w:val="000E1B4D"/>
    <w:rsid w:val="000E1E3D"/>
    <w:rsid w:val="000E1FC8"/>
    <w:rsid w:val="000E1FF2"/>
    <w:rsid w:val="000E2100"/>
    <w:rsid w:val="000E2479"/>
    <w:rsid w:val="000E255B"/>
    <w:rsid w:val="000E2BFA"/>
    <w:rsid w:val="000E2DEF"/>
    <w:rsid w:val="000E2F99"/>
    <w:rsid w:val="000E2FCF"/>
    <w:rsid w:val="000E2FF0"/>
    <w:rsid w:val="000E30CB"/>
    <w:rsid w:val="000E3436"/>
    <w:rsid w:val="000E3507"/>
    <w:rsid w:val="000E3558"/>
    <w:rsid w:val="000E3661"/>
    <w:rsid w:val="000E3898"/>
    <w:rsid w:val="000E3C20"/>
    <w:rsid w:val="000E3D78"/>
    <w:rsid w:val="000E4348"/>
    <w:rsid w:val="000E4378"/>
    <w:rsid w:val="000E5543"/>
    <w:rsid w:val="000E575B"/>
    <w:rsid w:val="000E59AF"/>
    <w:rsid w:val="000E5C3A"/>
    <w:rsid w:val="000E5D91"/>
    <w:rsid w:val="000E618E"/>
    <w:rsid w:val="000E6207"/>
    <w:rsid w:val="000E62C4"/>
    <w:rsid w:val="000E67AE"/>
    <w:rsid w:val="000E6C9B"/>
    <w:rsid w:val="000E6CC0"/>
    <w:rsid w:val="000E717A"/>
    <w:rsid w:val="000E71DE"/>
    <w:rsid w:val="000E7827"/>
    <w:rsid w:val="000E783D"/>
    <w:rsid w:val="000E7F8B"/>
    <w:rsid w:val="000F00FF"/>
    <w:rsid w:val="000F0386"/>
    <w:rsid w:val="000F03FB"/>
    <w:rsid w:val="000F04E7"/>
    <w:rsid w:val="000F0936"/>
    <w:rsid w:val="000F0B0A"/>
    <w:rsid w:val="000F0B29"/>
    <w:rsid w:val="000F0BF0"/>
    <w:rsid w:val="000F0DDA"/>
    <w:rsid w:val="000F0E3C"/>
    <w:rsid w:val="000F0E42"/>
    <w:rsid w:val="000F0FBD"/>
    <w:rsid w:val="000F132C"/>
    <w:rsid w:val="000F1767"/>
    <w:rsid w:val="000F1AA3"/>
    <w:rsid w:val="000F1CC1"/>
    <w:rsid w:val="000F1E95"/>
    <w:rsid w:val="000F1FF3"/>
    <w:rsid w:val="000F2114"/>
    <w:rsid w:val="000F2135"/>
    <w:rsid w:val="000F232F"/>
    <w:rsid w:val="000F2541"/>
    <w:rsid w:val="000F271D"/>
    <w:rsid w:val="000F2A7C"/>
    <w:rsid w:val="000F2BED"/>
    <w:rsid w:val="000F2D8A"/>
    <w:rsid w:val="000F2DC1"/>
    <w:rsid w:val="000F2F9D"/>
    <w:rsid w:val="000F2FC5"/>
    <w:rsid w:val="000F3211"/>
    <w:rsid w:val="000F3689"/>
    <w:rsid w:val="000F36C7"/>
    <w:rsid w:val="000F372C"/>
    <w:rsid w:val="000F3C75"/>
    <w:rsid w:val="000F3D6C"/>
    <w:rsid w:val="000F3FB7"/>
    <w:rsid w:val="000F3FE0"/>
    <w:rsid w:val="000F417A"/>
    <w:rsid w:val="000F41D3"/>
    <w:rsid w:val="000F42E9"/>
    <w:rsid w:val="000F4421"/>
    <w:rsid w:val="000F445E"/>
    <w:rsid w:val="000F46AF"/>
    <w:rsid w:val="000F4741"/>
    <w:rsid w:val="000F4B53"/>
    <w:rsid w:val="000F4BC5"/>
    <w:rsid w:val="000F4C10"/>
    <w:rsid w:val="000F4EE5"/>
    <w:rsid w:val="000F511E"/>
    <w:rsid w:val="000F51BA"/>
    <w:rsid w:val="000F52EE"/>
    <w:rsid w:val="000F533F"/>
    <w:rsid w:val="000F5389"/>
    <w:rsid w:val="000F55D1"/>
    <w:rsid w:val="000F567D"/>
    <w:rsid w:val="000F58A0"/>
    <w:rsid w:val="000F595C"/>
    <w:rsid w:val="000F5C55"/>
    <w:rsid w:val="000F5CFF"/>
    <w:rsid w:val="000F5D06"/>
    <w:rsid w:val="000F5D81"/>
    <w:rsid w:val="000F5D91"/>
    <w:rsid w:val="000F5DF6"/>
    <w:rsid w:val="000F5F44"/>
    <w:rsid w:val="000F5FAE"/>
    <w:rsid w:val="000F5FF7"/>
    <w:rsid w:val="000F603B"/>
    <w:rsid w:val="000F6077"/>
    <w:rsid w:val="000F63D1"/>
    <w:rsid w:val="000F6403"/>
    <w:rsid w:val="000F6817"/>
    <w:rsid w:val="000F691F"/>
    <w:rsid w:val="000F6A8A"/>
    <w:rsid w:val="000F6BBE"/>
    <w:rsid w:val="000F6C7F"/>
    <w:rsid w:val="000F6C83"/>
    <w:rsid w:val="000F70C7"/>
    <w:rsid w:val="000F7297"/>
    <w:rsid w:val="000F72EC"/>
    <w:rsid w:val="000F777B"/>
    <w:rsid w:val="000F77F6"/>
    <w:rsid w:val="000F7FBC"/>
    <w:rsid w:val="00100083"/>
    <w:rsid w:val="00100333"/>
    <w:rsid w:val="001008F1"/>
    <w:rsid w:val="00100939"/>
    <w:rsid w:val="00100947"/>
    <w:rsid w:val="00100CD2"/>
    <w:rsid w:val="00100E1B"/>
    <w:rsid w:val="00100E79"/>
    <w:rsid w:val="00100F33"/>
    <w:rsid w:val="0010104A"/>
    <w:rsid w:val="00101107"/>
    <w:rsid w:val="001012D0"/>
    <w:rsid w:val="001015C8"/>
    <w:rsid w:val="00101825"/>
    <w:rsid w:val="0010198B"/>
    <w:rsid w:val="00101FCF"/>
    <w:rsid w:val="00102057"/>
    <w:rsid w:val="0010207B"/>
    <w:rsid w:val="001022D0"/>
    <w:rsid w:val="001023F4"/>
    <w:rsid w:val="00102581"/>
    <w:rsid w:val="00102736"/>
    <w:rsid w:val="0010290F"/>
    <w:rsid w:val="00102B30"/>
    <w:rsid w:val="00102D88"/>
    <w:rsid w:val="00103047"/>
    <w:rsid w:val="001030C5"/>
    <w:rsid w:val="001030F7"/>
    <w:rsid w:val="0010363A"/>
    <w:rsid w:val="00103780"/>
    <w:rsid w:val="00103AEF"/>
    <w:rsid w:val="00103BEB"/>
    <w:rsid w:val="00103E0C"/>
    <w:rsid w:val="00103F24"/>
    <w:rsid w:val="00104122"/>
    <w:rsid w:val="00104134"/>
    <w:rsid w:val="001046A9"/>
    <w:rsid w:val="00104768"/>
    <w:rsid w:val="00104B91"/>
    <w:rsid w:val="00104BE2"/>
    <w:rsid w:val="00104F76"/>
    <w:rsid w:val="00105252"/>
    <w:rsid w:val="00105258"/>
    <w:rsid w:val="00105397"/>
    <w:rsid w:val="00105404"/>
    <w:rsid w:val="00105538"/>
    <w:rsid w:val="0010573D"/>
    <w:rsid w:val="001057EC"/>
    <w:rsid w:val="00105E18"/>
    <w:rsid w:val="00106088"/>
    <w:rsid w:val="00106572"/>
    <w:rsid w:val="0010681E"/>
    <w:rsid w:val="001075B1"/>
    <w:rsid w:val="0010769A"/>
    <w:rsid w:val="00107772"/>
    <w:rsid w:val="00107A20"/>
    <w:rsid w:val="00107B60"/>
    <w:rsid w:val="00107BC0"/>
    <w:rsid w:val="00107CBE"/>
    <w:rsid w:val="00107DD9"/>
    <w:rsid w:val="00107EE6"/>
    <w:rsid w:val="00110073"/>
    <w:rsid w:val="00110101"/>
    <w:rsid w:val="00110328"/>
    <w:rsid w:val="001107B1"/>
    <w:rsid w:val="00110864"/>
    <w:rsid w:val="00110916"/>
    <w:rsid w:val="00110EBC"/>
    <w:rsid w:val="00110F1F"/>
    <w:rsid w:val="00111157"/>
    <w:rsid w:val="0011145E"/>
    <w:rsid w:val="0011170D"/>
    <w:rsid w:val="00111957"/>
    <w:rsid w:val="00111B5C"/>
    <w:rsid w:val="00111E87"/>
    <w:rsid w:val="00111FB6"/>
    <w:rsid w:val="0011205D"/>
    <w:rsid w:val="00112192"/>
    <w:rsid w:val="001121D1"/>
    <w:rsid w:val="0011263A"/>
    <w:rsid w:val="00112641"/>
    <w:rsid w:val="001126A5"/>
    <w:rsid w:val="0011294B"/>
    <w:rsid w:val="00112986"/>
    <w:rsid w:val="00112A46"/>
    <w:rsid w:val="00112B4C"/>
    <w:rsid w:val="001133A6"/>
    <w:rsid w:val="001133BD"/>
    <w:rsid w:val="00113898"/>
    <w:rsid w:val="00113A3F"/>
    <w:rsid w:val="00113A6D"/>
    <w:rsid w:val="00113BDB"/>
    <w:rsid w:val="00113DF2"/>
    <w:rsid w:val="00113E40"/>
    <w:rsid w:val="00113E64"/>
    <w:rsid w:val="00114030"/>
    <w:rsid w:val="00114188"/>
    <w:rsid w:val="001141F2"/>
    <w:rsid w:val="00114246"/>
    <w:rsid w:val="00114276"/>
    <w:rsid w:val="00114314"/>
    <w:rsid w:val="0011461D"/>
    <w:rsid w:val="001146C2"/>
    <w:rsid w:val="00114706"/>
    <w:rsid w:val="00114779"/>
    <w:rsid w:val="00114B5B"/>
    <w:rsid w:val="00115368"/>
    <w:rsid w:val="001156B2"/>
    <w:rsid w:val="00115B29"/>
    <w:rsid w:val="0011635B"/>
    <w:rsid w:val="00116994"/>
    <w:rsid w:val="00116A7E"/>
    <w:rsid w:val="00117011"/>
    <w:rsid w:val="00117534"/>
    <w:rsid w:val="001179DE"/>
    <w:rsid w:val="00117C18"/>
    <w:rsid w:val="00117FF5"/>
    <w:rsid w:val="00120347"/>
    <w:rsid w:val="00120603"/>
    <w:rsid w:val="001208A2"/>
    <w:rsid w:val="00120927"/>
    <w:rsid w:val="001209D7"/>
    <w:rsid w:val="001209EF"/>
    <w:rsid w:val="00120E5F"/>
    <w:rsid w:val="00120E65"/>
    <w:rsid w:val="00121150"/>
    <w:rsid w:val="00121174"/>
    <w:rsid w:val="00121265"/>
    <w:rsid w:val="00121481"/>
    <w:rsid w:val="0012148D"/>
    <w:rsid w:val="00121634"/>
    <w:rsid w:val="001217B2"/>
    <w:rsid w:val="00121951"/>
    <w:rsid w:val="00121D13"/>
    <w:rsid w:val="00122262"/>
    <w:rsid w:val="0012226B"/>
    <w:rsid w:val="00122412"/>
    <w:rsid w:val="0012276E"/>
    <w:rsid w:val="001229B3"/>
    <w:rsid w:val="00122BF3"/>
    <w:rsid w:val="00122CA6"/>
    <w:rsid w:val="00122D6F"/>
    <w:rsid w:val="00122D99"/>
    <w:rsid w:val="00122F8D"/>
    <w:rsid w:val="001233DE"/>
    <w:rsid w:val="001236E4"/>
    <w:rsid w:val="00123892"/>
    <w:rsid w:val="00123A64"/>
    <w:rsid w:val="00123BE7"/>
    <w:rsid w:val="0012412C"/>
    <w:rsid w:val="001245A7"/>
    <w:rsid w:val="001245DA"/>
    <w:rsid w:val="00124724"/>
    <w:rsid w:val="00124B5A"/>
    <w:rsid w:val="00124C66"/>
    <w:rsid w:val="0012506E"/>
    <w:rsid w:val="00125088"/>
    <w:rsid w:val="001254AF"/>
    <w:rsid w:val="00125A0D"/>
    <w:rsid w:val="00125B71"/>
    <w:rsid w:val="00125BCC"/>
    <w:rsid w:val="00125EF3"/>
    <w:rsid w:val="0012606B"/>
    <w:rsid w:val="0012626F"/>
    <w:rsid w:val="00126A97"/>
    <w:rsid w:val="00126D1D"/>
    <w:rsid w:val="00126EE6"/>
    <w:rsid w:val="00126F5E"/>
    <w:rsid w:val="00126F96"/>
    <w:rsid w:val="0012713F"/>
    <w:rsid w:val="001273BD"/>
    <w:rsid w:val="00127478"/>
    <w:rsid w:val="0012758F"/>
    <w:rsid w:val="0012769E"/>
    <w:rsid w:val="001279B9"/>
    <w:rsid w:val="00127A08"/>
    <w:rsid w:val="00127AA9"/>
    <w:rsid w:val="00127E39"/>
    <w:rsid w:val="00127F9B"/>
    <w:rsid w:val="00130402"/>
    <w:rsid w:val="00130736"/>
    <w:rsid w:val="00130791"/>
    <w:rsid w:val="00130A95"/>
    <w:rsid w:val="00130CCE"/>
    <w:rsid w:val="00130D34"/>
    <w:rsid w:val="00130F94"/>
    <w:rsid w:val="00131127"/>
    <w:rsid w:val="00131272"/>
    <w:rsid w:val="001316E7"/>
    <w:rsid w:val="001319F8"/>
    <w:rsid w:val="001321C1"/>
    <w:rsid w:val="00132469"/>
    <w:rsid w:val="00132472"/>
    <w:rsid w:val="00132954"/>
    <w:rsid w:val="00132D57"/>
    <w:rsid w:val="00132FCF"/>
    <w:rsid w:val="00132FE4"/>
    <w:rsid w:val="0013333F"/>
    <w:rsid w:val="001334C0"/>
    <w:rsid w:val="0013356A"/>
    <w:rsid w:val="00133A67"/>
    <w:rsid w:val="00133AE0"/>
    <w:rsid w:val="00133F5E"/>
    <w:rsid w:val="0013441F"/>
    <w:rsid w:val="0013478E"/>
    <w:rsid w:val="00134E38"/>
    <w:rsid w:val="00134F78"/>
    <w:rsid w:val="001351B4"/>
    <w:rsid w:val="00135255"/>
    <w:rsid w:val="00135988"/>
    <w:rsid w:val="001359D7"/>
    <w:rsid w:val="00135B62"/>
    <w:rsid w:val="00136237"/>
    <w:rsid w:val="001363CC"/>
    <w:rsid w:val="001363EE"/>
    <w:rsid w:val="0013649E"/>
    <w:rsid w:val="0013680E"/>
    <w:rsid w:val="00136A8F"/>
    <w:rsid w:val="00136B16"/>
    <w:rsid w:val="00136DCF"/>
    <w:rsid w:val="00136ED8"/>
    <w:rsid w:val="00136F63"/>
    <w:rsid w:val="00137001"/>
    <w:rsid w:val="00137489"/>
    <w:rsid w:val="0013750B"/>
    <w:rsid w:val="0013780B"/>
    <w:rsid w:val="00137A73"/>
    <w:rsid w:val="00137ABD"/>
    <w:rsid w:val="00137B3A"/>
    <w:rsid w:val="00137B4F"/>
    <w:rsid w:val="0014007F"/>
    <w:rsid w:val="00140130"/>
    <w:rsid w:val="0014039F"/>
    <w:rsid w:val="001404F6"/>
    <w:rsid w:val="001406E8"/>
    <w:rsid w:val="00141356"/>
    <w:rsid w:val="0014148A"/>
    <w:rsid w:val="00141720"/>
    <w:rsid w:val="00141E5A"/>
    <w:rsid w:val="0014206D"/>
    <w:rsid w:val="001421AA"/>
    <w:rsid w:val="001426E3"/>
    <w:rsid w:val="00142786"/>
    <w:rsid w:val="001427D9"/>
    <w:rsid w:val="00142961"/>
    <w:rsid w:val="00142F07"/>
    <w:rsid w:val="00142F6D"/>
    <w:rsid w:val="0014312A"/>
    <w:rsid w:val="001432B0"/>
    <w:rsid w:val="0014388D"/>
    <w:rsid w:val="00143B75"/>
    <w:rsid w:val="00143B99"/>
    <w:rsid w:val="00143D08"/>
    <w:rsid w:val="00143E5D"/>
    <w:rsid w:val="00144023"/>
    <w:rsid w:val="001442FB"/>
    <w:rsid w:val="00144524"/>
    <w:rsid w:val="001447D3"/>
    <w:rsid w:val="00144842"/>
    <w:rsid w:val="00144A5F"/>
    <w:rsid w:val="00144F6E"/>
    <w:rsid w:val="0014521D"/>
    <w:rsid w:val="0014528D"/>
    <w:rsid w:val="001453E8"/>
    <w:rsid w:val="001459AB"/>
    <w:rsid w:val="00145C7B"/>
    <w:rsid w:val="00145FAA"/>
    <w:rsid w:val="00146074"/>
    <w:rsid w:val="0014614A"/>
    <w:rsid w:val="0014657D"/>
    <w:rsid w:val="001465AA"/>
    <w:rsid w:val="00146619"/>
    <w:rsid w:val="00146639"/>
    <w:rsid w:val="0014673E"/>
    <w:rsid w:val="0014689A"/>
    <w:rsid w:val="00146A3D"/>
    <w:rsid w:val="00146A50"/>
    <w:rsid w:val="00146B76"/>
    <w:rsid w:val="00146B79"/>
    <w:rsid w:val="00147007"/>
    <w:rsid w:val="001474A1"/>
    <w:rsid w:val="0014778E"/>
    <w:rsid w:val="00147C18"/>
    <w:rsid w:val="00147DF3"/>
    <w:rsid w:val="00147EA1"/>
    <w:rsid w:val="00150361"/>
    <w:rsid w:val="00150471"/>
    <w:rsid w:val="00150623"/>
    <w:rsid w:val="001506FF"/>
    <w:rsid w:val="0015086E"/>
    <w:rsid w:val="00150B78"/>
    <w:rsid w:val="00150B7E"/>
    <w:rsid w:val="00150ED9"/>
    <w:rsid w:val="00151089"/>
    <w:rsid w:val="001512A7"/>
    <w:rsid w:val="001517BD"/>
    <w:rsid w:val="00151CAB"/>
    <w:rsid w:val="00151CED"/>
    <w:rsid w:val="00151D73"/>
    <w:rsid w:val="00151EE2"/>
    <w:rsid w:val="00151FA0"/>
    <w:rsid w:val="0015209F"/>
    <w:rsid w:val="001520D4"/>
    <w:rsid w:val="001520F2"/>
    <w:rsid w:val="00152135"/>
    <w:rsid w:val="0015219E"/>
    <w:rsid w:val="001522DD"/>
    <w:rsid w:val="00152327"/>
    <w:rsid w:val="001524B3"/>
    <w:rsid w:val="0015279A"/>
    <w:rsid w:val="0015285E"/>
    <w:rsid w:val="001528DB"/>
    <w:rsid w:val="00152B11"/>
    <w:rsid w:val="00153009"/>
    <w:rsid w:val="00153176"/>
    <w:rsid w:val="0015338B"/>
    <w:rsid w:val="001533B8"/>
    <w:rsid w:val="001533BD"/>
    <w:rsid w:val="001533E8"/>
    <w:rsid w:val="001536BE"/>
    <w:rsid w:val="00153A7A"/>
    <w:rsid w:val="00153E12"/>
    <w:rsid w:val="00153E7E"/>
    <w:rsid w:val="00154637"/>
    <w:rsid w:val="0015492C"/>
    <w:rsid w:val="001549DE"/>
    <w:rsid w:val="00154AA7"/>
    <w:rsid w:val="00154BD5"/>
    <w:rsid w:val="00154C7A"/>
    <w:rsid w:val="0015520D"/>
    <w:rsid w:val="0015539C"/>
    <w:rsid w:val="00155451"/>
    <w:rsid w:val="001554DD"/>
    <w:rsid w:val="0015556C"/>
    <w:rsid w:val="001556D8"/>
    <w:rsid w:val="0015571D"/>
    <w:rsid w:val="0015582F"/>
    <w:rsid w:val="001559CD"/>
    <w:rsid w:val="00155A8F"/>
    <w:rsid w:val="00155D14"/>
    <w:rsid w:val="001560C6"/>
    <w:rsid w:val="001560F0"/>
    <w:rsid w:val="001562C8"/>
    <w:rsid w:val="001563EF"/>
    <w:rsid w:val="001564FE"/>
    <w:rsid w:val="00156512"/>
    <w:rsid w:val="0015659D"/>
    <w:rsid w:val="00156824"/>
    <w:rsid w:val="00156897"/>
    <w:rsid w:val="00156950"/>
    <w:rsid w:val="00156958"/>
    <w:rsid w:val="00156A68"/>
    <w:rsid w:val="00156F0F"/>
    <w:rsid w:val="001576CA"/>
    <w:rsid w:val="0015770B"/>
    <w:rsid w:val="001577A4"/>
    <w:rsid w:val="00157893"/>
    <w:rsid w:val="001578F9"/>
    <w:rsid w:val="00157A57"/>
    <w:rsid w:val="00157C44"/>
    <w:rsid w:val="00157CFC"/>
    <w:rsid w:val="00157D5C"/>
    <w:rsid w:val="00157E43"/>
    <w:rsid w:val="00157F22"/>
    <w:rsid w:val="00160084"/>
    <w:rsid w:val="001606E1"/>
    <w:rsid w:val="00160884"/>
    <w:rsid w:val="001609EE"/>
    <w:rsid w:val="00160AF3"/>
    <w:rsid w:val="00160BB6"/>
    <w:rsid w:val="0016105B"/>
    <w:rsid w:val="001613C1"/>
    <w:rsid w:val="00161441"/>
    <w:rsid w:val="00161466"/>
    <w:rsid w:val="001614DA"/>
    <w:rsid w:val="0016174F"/>
    <w:rsid w:val="001619C5"/>
    <w:rsid w:val="00161E2A"/>
    <w:rsid w:val="0016213E"/>
    <w:rsid w:val="0016214B"/>
    <w:rsid w:val="0016267B"/>
    <w:rsid w:val="00162A1D"/>
    <w:rsid w:val="00162A8C"/>
    <w:rsid w:val="00162BF1"/>
    <w:rsid w:val="00162E10"/>
    <w:rsid w:val="00162FD4"/>
    <w:rsid w:val="00163055"/>
    <w:rsid w:val="001630F5"/>
    <w:rsid w:val="001634B4"/>
    <w:rsid w:val="00163FA1"/>
    <w:rsid w:val="00163FD3"/>
    <w:rsid w:val="00164026"/>
    <w:rsid w:val="00164047"/>
    <w:rsid w:val="00164122"/>
    <w:rsid w:val="00164129"/>
    <w:rsid w:val="001648D4"/>
    <w:rsid w:val="001648DC"/>
    <w:rsid w:val="0016494D"/>
    <w:rsid w:val="00164B61"/>
    <w:rsid w:val="00164BF6"/>
    <w:rsid w:val="00164D48"/>
    <w:rsid w:val="0016531B"/>
    <w:rsid w:val="0016540E"/>
    <w:rsid w:val="0016578C"/>
    <w:rsid w:val="00165896"/>
    <w:rsid w:val="00165E69"/>
    <w:rsid w:val="0016601B"/>
    <w:rsid w:val="00166081"/>
    <w:rsid w:val="00166105"/>
    <w:rsid w:val="00166459"/>
    <w:rsid w:val="0016685C"/>
    <w:rsid w:val="001669D4"/>
    <w:rsid w:val="00166B55"/>
    <w:rsid w:val="00166BC6"/>
    <w:rsid w:val="00166C67"/>
    <w:rsid w:val="0016722D"/>
    <w:rsid w:val="001672B4"/>
    <w:rsid w:val="0016749F"/>
    <w:rsid w:val="001674F7"/>
    <w:rsid w:val="00167620"/>
    <w:rsid w:val="001676CA"/>
    <w:rsid w:val="00167813"/>
    <w:rsid w:val="00167897"/>
    <w:rsid w:val="001679F4"/>
    <w:rsid w:val="00167BE1"/>
    <w:rsid w:val="00167E99"/>
    <w:rsid w:val="00167EAA"/>
    <w:rsid w:val="00167EDE"/>
    <w:rsid w:val="00167F3B"/>
    <w:rsid w:val="00167F67"/>
    <w:rsid w:val="00170BF1"/>
    <w:rsid w:val="001710B7"/>
    <w:rsid w:val="00171123"/>
    <w:rsid w:val="0017144D"/>
    <w:rsid w:val="00171647"/>
    <w:rsid w:val="0017175D"/>
    <w:rsid w:val="00171787"/>
    <w:rsid w:val="001717AE"/>
    <w:rsid w:val="00171ACD"/>
    <w:rsid w:val="00171B61"/>
    <w:rsid w:val="00171B69"/>
    <w:rsid w:val="00171C3B"/>
    <w:rsid w:val="00171C47"/>
    <w:rsid w:val="00171D25"/>
    <w:rsid w:val="00171FBC"/>
    <w:rsid w:val="00172866"/>
    <w:rsid w:val="0017293F"/>
    <w:rsid w:val="00172A41"/>
    <w:rsid w:val="001737F9"/>
    <w:rsid w:val="00173A2A"/>
    <w:rsid w:val="00173A3B"/>
    <w:rsid w:val="00173B24"/>
    <w:rsid w:val="00173E0C"/>
    <w:rsid w:val="00173EDE"/>
    <w:rsid w:val="00173F28"/>
    <w:rsid w:val="00174019"/>
    <w:rsid w:val="0017413B"/>
    <w:rsid w:val="00174488"/>
    <w:rsid w:val="001744BE"/>
    <w:rsid w:val="00174800"/>
    <w:rsid w:val="00174B22"/>
    <w:rsid w:val="00174B78"/>
    <w:rsid w:val="00174F08"/>
    <w:rsid w:val="00174F66"/>
    <w:rsid w:val="00175125"/>
    <w:rsid w:val="0017542A"/>
    <w:rsid w:val="001757BF"/>
    <w:rsid w:val="00175A79"/>
    <w:rsid w:val="00175C09"/>
    <w:rsid w:val="00175F49"/>
    <w:rsid w:val="001762FB"/>
    <w:rsid w:val="0017696A"/>
    <w:rsid w:val="001769C2"/>
    <w:rsid w:val="00176DCA"/>
    <w:rsid w:val="00176F0E"/>
    <w:rsid w:val="0017701D"/>
    <w:rsid w:val="001770D4"/>
    <w:rsid w:val="0017717D"/>
    <w:rsid w:val="001775FA"/>
    <w:rsid w:val="00177652"/>
    <w:rsid w:val="001776DA"/>
    <w:rsid w:val="0017772A"/>
    <w:rsid w:val="00177766"/>
    <w:rsid w:val="00177997"/>
    <w:rsid w:val="00177E18"/>
    <w:rsid w:val="00177FB6"/>
    <w:rsid w:val="001800CE"/>
    <w:rsid w:val="00180186"/>
    <w:rsid w:val="0018030B"/>
    <w:rsid w:val="0018043A"/>
    <w:rsid w:val="00180555"/>
    <w:rsid w:val="0018062C"/>
    <w:rsid w:val="00180869"/>
    <w:rsid w:val="00180C6B"/>
    <w:rsid w:val="00180CA8"/>
    <w:rsid w:val="00180DC3"/>
    <w:rsid w:val="00180DDF"/>
    <w:rsid w:val="00180E88"/>
    <w:rsid w:val="00181005"/>
    <w:rsid w:val="00181487"/>
    <w:rsid w:val="00181E28"/>
    <w:rsid w:val="00182133"/>
    <w:rsid w:val="00182178"/>
    <w:rsid w:val="00182355"/>
    <w:rsid w:val="0018236B"/>
    <w:rsid w:val="001824C5"/>
    <w:rsid w:val="001827C0"/>
    <w:rsid w:val="00182A64"/>
    <w:rsid w:val="00182CA0"/>
    <w:rsid w:val="00183132"/>
    <w:rsid w:val="001831A1"/>
    <w:rsid w:val="00183280"/>
    <w:rsid w:val="0018332E"/>
    <w:rsid w:val="00183507"/>
    <w:rsid w:val="001835EE"/>
    <w:rsid w:val="00183690"/>
    <w:rsid w:val="00183C65"/>
    <w:rsid w:val="00183D6F"/>
    <w:rsid w:val="00183D9C"/>
    <w:rsid w:val="00183E44"/>
    <w:rsid w:val="00183F88"/>
    <w:rsid w:val="00183FE6"/>
    <w:rsid w:val="00184195"/>
    <w:rsid w:val="0018433A"/>
    <w:rsid w:val="001844DA"/>
    <w:rsid w:val="001846A5"/>
    <w:rsid w:val="00184920"/>
    <w:rsid w:val="00184A3B"/>
    <w:rsid w:val="00184C92"/>
    <w:rsid w:val="00184EE9"/>
    <w:rsid w:val="00184F1E"/>
    <w:rsid w:val="001851B8"/>
    <w:rsid w:val="00185344"/>
    <w:rsid w:val="0018554D"/>
    <w:rsid w:val="00186014"/>
    <w:rsid w:val="0018613D"/>
    <w:rsid w:val="001862A2"/>
    <w:rsid w:val="00186347"/>
    <w:rsid w:val="001864B8"/>
    <w:rsid w:val="001864DB"/>
    <w:rsid w:val="0018654D"/>
    <w:rsid w:val="00186564"/>
    <w:rsid w:val="001865B8"/>
    <w:rsid w:val="00186678"/>
    <w:rsid w:val="0018672F"/>
    <w:rsid w:val="001867A6"/>
    <w:rsid w:val="00186C76"/>
    <w:rsid w:val="0018711F"/>
    <w:rsid w:val="0018725E"/>
    <w:rsid w:val="00187265"/>
    <w:rsid w:val="00187318"/>
    <w:rsid w:val="0018758C"/>
    <w:rsid w:val="00187786"/>
    <w:rsid w:val="001877A2"/>
    <w:rsid w:val="0018781C"/>
    <w:rsid w:val="00187A08"/>
    <w:rsid w:val="0019034E"/>
    <w:rsid w:val="0019045E"/>
    <w:rsid w:val="001906EB"/>
    <w:rsid w:val="00190875"/>
    <w:rsid w:val="00191143"/>
    <w:rsid w:val="0019121B"/>
    <w:rsid w:val="00191617"/>
    <w:rsid w:val="001919C3"/>
    <w:rsid w:val="00191EF9"/>
    <w:rsid w:val="00191F0B"/>
    <w:rsid w:val="001920C1"/>
    <w:rsid w:val="00192388"/>
    <w:rsid w:val="001926EE"/>
    <w:rsid w:val="0019292E"/>
    <w:rsid w:val="001929EF"/>
    <w:rsid w:val="00192B21"/>
    <w:rsid w:val="00193248"/>
    <w:rsid w:val="00193305"/>
    <w:rsid w:val="0019355A"/>
    <w:rsid w:val="0019371A"/>
    <w:rsid w:val="001938B2"/>
    <w:rsid w:val="00193C8F"/>
    <w:rsid w:val="00193DA3"/>
    <w:rsid w:val="00193FBE"/>
    <w:rsid w:val="00194163"/>
    <w:rsid w:val="001945BE"/>
    <w:rsid w:val="0019460B"/>
    <w:rsid w:val="00194780"/>
    <w:rsid w:val="00194E2A"/>
    <w:rsid w:val="00194E5D"/>
    <w:rsid w:val="00194FD1"/>
    <w:rsid w:val="00195716"/>
    <w:rsid w:val="00195CAB"/>
    <w:rsid w:val="00195F9D"/>
    <w:rsid w:val="001960DD"/>
    <w:rsid w:val="00196297"/>
    <w:rsid w:val="00196639"/>
    <w:rsid w:val="001967CD"/>
    <w:rsid w:val="001968B5"/>
    <w:rsid w:val="0019691F"/>
    <w:rsid w:val="00196BE9"/>
    <w:rsid w:val="0019763E"/>
    <w:rsid w:val="001976DC"/>
    <w:rsid w:val="0019773F"/>
    <w:rsid w:val="001977C3"/>
    <w:rsid w:val="00197A39"/>
    <w:rsid w:val="00197BEE"/>
    <w:rsid w:val="00197C60"/>
    <w:rsid w:val="00197DE8"/>
    <w:rsid w:val="00197E13"/>
    <w:rsid w:val="001A00AA"/>
    <w:rsid w:val="001A013C"/>
    <w:rsid w:val="001A036C"/>
    <w:rsid w:val="001A0403"/>
    <w:rsid w:val="001A0527"/>
    <w:rsid w:val="001A092D"/>
    <w:rsid w:val="001A0AE7"/>
    <w:rsid w:val="001A0AEB"/>
    <w:rsid w:val="001A0C82"/>
    <w:rsid w:val="001A0D7E"/>
    <w:rsid w:val="001A0DE2"/>
    <w:rsid w:val="001A0E9E"/>
    <w:rsid w:val="001A1048"/>
    <w:rsid w:val="001A126B"/>
    <w:rsid w:val="001A163A"/>
    <w:rsid w:val="001A1641"/>
    <w:rsid w:val="001A1684"/>
    <w:rsid w:val="001A1693"/>
    <w:rsid w:val="001A1C53"/>
    <w:rsid w:val="001A2021"/>
    <w:rsid w:val="001A204F"/>
    <w:rsid w:val="001A21E6"/>
    <w:rsid w:val="001A27E1"/>
    <w:rsid w:val="001A2AA5"/>
    <w:rsid w:val="001A2AF1"/>
    <w:rsid w:val="001A2B0A"/>
    <w:rsid w:val="001A2E46"/>
    <w:rsid w:val="001A2E67"/>
    <w:rsid w:val="001A30DA"/>
    <w:rsid w:val="001A315C"/>
    <w:rsid w:val="001A3244"/>
    <w:rsid w:val="001A33D6"/>
    <w:rsid w:val="001A35E5"/>
    <w:rsid w:val="001A3B7E"/>
    <w:rsid w:val="001A3C89"/>
    <w:rsid w:val="001A4189"/>
    <w:rsid w:val="001A4551"/>
    <w:rsid w:val="001A4586"/>
    <w:rsid w:val="001A464E"/>
    <w:rsid w:val="001A47D6"/>
    <w:rsid w:val="001A487C"/>
    <w:rsid w:val="001A4917"/>
    <w:rsid w:val="001A4CB0"/>
    <w:rsid w:val="001A4E0A"/>
    <w:rsid w:val="001A4EC9"/>
    <w:rsid w:val="001A5013"/>
    <w:rsid w:val="001A5341"/>
    <w:rsid w:val="001A534C"/>
    <w:rsid w:val="001A539C"/>
    <w:rsid w:val="001A540E"/>
    <w:rsid w:val="001A5528"/>
    <w:rsid w:val="001A563A"/>
    <w:rsid w:val="001A5747"/>
    <w:rsid w:val="001A5803"/>
    <w:rsid w:val="001A5BB1"/>
    <w:rsid w:val="001A5D3E"/>
    <w:rsid w:val="001A5DDB"/>
    <w:rsid w:val="001A5ED5"/>
    <w:rsid w:val="001A5FD6"/>
    <w:rsid w:val="001A6471"/>
    <w:rsid w:val="001A65A2"/>
    <w:rsid w:val="001A676E"/>
    <w:rsid w:val="001A6C81"/>
    <w:rsid w:val="001A6D9B"/>
    <w:rsid w:val="001A701C"/>
    <w:rsid w:val="001A7469"/>
    <w:rsid w:val="001A7549"/>
    <w:rsid w:val="001A7779"/>
    <w:rsid w:val="001A789F"/>
    <w:rsid w:val="001B010E"/>
    <w:rsid w:val="001B0204"/>
    <w:rsid w:val="001B042B"/>
    <w:rsid w:val="001B070B"/>
    <w:rsid w:val="001B0869"/>
    <w:rsid w:val="001B0BA1"/>
    <w:rsid w:val="001B0BB0"/>
    <w:rsid w:val="001B0BB3"/>
    <w:rsid w:val="001B0D40"/>
    <w:rsid w:val="001B11BF"/>
    <w:rsid w:val="001B14E8"/>
    <w:rsid w:val="001B1548"/>
    <w:rsid w:val="001B1631"/>
    <w:rsid w:val="001B1783"/>
    <w:rsid w:val="001B1BB9"/>
    <w:rsid w:val="001B1DFF"/>
    <w:rsid w:val="001B1FBF"/>
    <w:rsid w:val="001B1FE9"/>
    <w:rsid w:val="001B2003"/>
    <w:rsid w:val="001B263E"/>
    <w:rsid w:val="001B290A"/>
    <w:rsid w:val="001B29A5"/>
    <w:rsid w:val="001B29F2"/>
    <w:rsid w:val="001B2A19"/>
    <w:rsid w:val="001B2C6D"/>
    <w:rsid w:val="001B2D40"/>
    <w:rsid w:val="001B2DF9"/>
    <w:rsid w:val="001B2E3E"/>
    <w:rsid w:val="001B323B"/>
    <w:rsid w:val="001B3389"/>
    <w:rsid w:val="001B33CC"/>
    <w:rsid w:val="001B34C1"/>
    <w:rsid w:val="001B350B"/>
    <w:rsid w:val="001B362D"/>
    <w:rsid w:val="001B37B3"/>
    <w:rsid w:val="001B3B29"/>
    <w:rsid w:val="001B3B34"/>
    <w:rsid w:val="001B3F93"/>
    <w:rsid w:val="001B43C5"/>
    <w:rsid w:val="001B4832"/>
    <w:rsid w:val="001B49F3"/>
    <w:rsid w:val="001B4B44"/>
    <w:rsid w:val="001B4B68"/>
    <w:rsid w:val="001B4CFA"/>
    <w:rsid w:val="001B4FB2"/>
    <w:rsid w:val="001B4FE6"/>
    <w:rsid w:val="001B5007"/>
    <w:rsid w:val="001B52B5"/>
    <w:rsid w:val="001B536B"/>
    <w:rsid w:val="001B53C0"/>
    <w:rsid w:val="001B5541"/>
    <w:rsid w:val="001B59D4"/>
    <w:rsid w:val="001B5BA7"/>
    <w:rsid w:val="001B5F73"/>
    <w:rsid w:val="001B6047"/>
    <w:rsid w:val="001B62F8"/>
    <w:rsid w:val="001B654C"/>
    <w:rsid w:val="001B6583"/>
    <w:rsid w:val="001B68D4"/>
    <w:rsid w:val="001B6A83"/>
    <w:rsid w:val="001B7437"/>
    <w:rsid w:val="001B7511"/>
    <w:rsid w:val="001B7939"/>
    <w:rsid w:val="001B7F69"/>
    <w:rsid w:val="001B7FE9"/>
    <w:rsid w:val="001C0044"/>
    <w:rsid w:val="001C029C"/>
    <w:rsid w:val="001C03C0"/>
    <w:rsid w:val="001C0724"/>
    <w:rsid w:val="001C0883"/>
    <w:rsid w:val="001C095B"/>
    <w:rsid w:val="001C0AD9"/>
    <w:rsid w:val="001C0C3B"/>
    <w:rsid w:val="001C0EB5"/>
    <w:rsid w:val="001C112A"/>
    <w:rsid w:val="001C1901"/>
    <w:rsid w:val="001C19EF"/>
    <w:rsid w:val="001C1E50"/>
    <w:rsid w:val="001C1F1E"/>
    <w:rsid w:val="001C2341"/>
    <w:rsid w:val="001C234A"/>
    <w:rsid w:val="001C2682"/>
    <w:rsid w:val="001C2689"/>
    <w:rsid w:val="001C2821"/>
    <w:rsid w:val="001C2AC8"/>
    <w:rsid w:val="001C2B06"/>
    <w:rsid w:val="001C2EA0"/>
    <w:rsid w:val="001C2ED7"/>
    <w:rsid w:val="001C2EF7"/>
    <w:rsid w:val="001C2FBB"/>
    <w:rsid w:val="001C2FC6"/>
    <w:rsid w:val="001C3007"/>
    <w:rsid w:val="001C3173"/>
    <w:rsid w:val="001C3184"/>
    <w:rsid w:val="001C3422"/>
    <w:rsid w:val="001C363C"/>
    <w:rsid w:val="001C3AD0"/>
    <w:rsid w:val="001C3B01"/>
    <w:rsid w:val="001C407E"/>
    <w:rsid w:val="001C41DE"/>
    <w:rsid w:val="001C4948"/>
    <w:rsid w:val="001C50D8"/>
    <w:rsid w:val="001C5738"/>
    <w:rsid w:val="001C5B55"/>
    <w:rsid w:val="001C5E63"/>
    <w:rsid w:val="001C6067"/>
    <w:rsid w:val="001C616A"/>
    <w:rsid w:val="001C62FD"/>
    <w:rsid w:val="001C64C7"/>
    <w:rsid w:val="001C69B7"/>
    <w:rsid w:val="001C6E15"/>
    <w:rsid w:val="001C6E16"/>
    <w:rsid w:val="001C6E26"/>
    <w:rsid w:val="001C6EAB"/>
    <w:rsid w:val="001C6F8F"/>
    <w:rsid w:val="001C7041"/>
    <w:rsid w:val="001C74CD"/>
    <w:rsid w:val="001C760B"/>
    <w:rsid w:val="001C7863"/>
    <w:rsid w:val="001C793F"/>
    <w:rsid w:val="001D027C"/>
    <w:rsid w:val="001D030E"/>
    <w:rsid w:val="001D03FE"/>
    <w:rsid w:val="001D06BE"/>
    <w:rsid w:val="001D0739"/>
    <w:rsid w:val="001D0F61"/>
    <w:rsid w:val="001D128D"/>
    <w:rsid w:val="001D1452"/>
    <w:rsid w:val="001D1652"/>
    <w:rsid w:val="001D180B"/>
    <w:rsid w:val="001D19B2"/>
    <w:rsid w:val="001D1CA0"/>
    <w:rsid w:val="001D1CDE"/>
    <w:rsid w:val="001D1DCF"/>
    <w:rsid w:val="001D22FA"/>
    <w:rsid w:val="001D2476"/>
    <w:rsid w:val="001D252D"/>
    <w:rsid w:val="001D264B"/>
    <w:rsid w:val="001D27AC"/>
    <w:rsid w:val="001D28C0"/>
    <w:rsid w:val="001D2A17"/>
    <w:rsid w:val="001D2A2C"/>
    <w:rsid w:val="001D2AEA"/>
    <w:rsid w:val="001D2F4E"/>
    <w:rsid w:val="001D302F"/>
    <w:rsid w:val="001D3031"/>
    <w:rsid w:val="001D3097"/>
    <w:rsid w:val="001D3271"/>
    <w:rsid w:val="001D330E"/>
    <w:rsid w:val="001D3317"/>
    <w:rsid w:val="001D3686"/>
    <w:rsid w:val="001D399F"/>
    <w:rsid w:val="001D3A68"/>
    <w:rsid w:val="001D3B0D"/>
    <w:rsid w:val="001D3CCF"/>
    <w:rsid w:val="001D3CE0"/>
    <w:rsid w:val="001D3D61"/>
    <w:rsid w:val="001D3DEC"/>
    <w:rsid w:val="001D4241"/>
    <w:rsid w:val="001D425B"/>
    <w:rsid w:val="001D4361"/>
    <w:rsid w:val="001D448E"/>
    <w:rsid w:val="001D453F"/>
    <w:rsid w:val="001D4A59"/>
    <w:rsid w:val="001D4AAE"/>
    <w:rsid w:val="001D4B4C"/>
    <w:rsid w:val="001D4DE3"/>
    <w:rsid w:val="001D520C"/>
    <w:rsid w:val="001D594A"/>
    <w:rsid w:val="001D59B8"/>
    <w:rsid w:val="001D5D37"/>
    <w:rsid w:val="001D5D9A"/>
    <w:rsid w:val="001D5E29"/>
    <w:rsid w:val="001D60B9"/>
    <w:rsid w:val="001D6189"/>
    <w:rsid w:val="001D6515"/>
    <w:rsid w:val="001D6641"/>
    <w:rsid w:val="001D6811"/>
    <w:rsid w:val="001D6916"/>
    <w:rsid w:val="001D6CA6"/>
    <w:rsid w:val="001D6D7B"/>
    <w:rsid w:val="001D6DF7"/>
    <w:rsid w:val="001D6EF9"/>
    <w:rsid w:val="001D6FF6"/>
    <w:rsid w:val="001D71DE"/>
    <w:rsid w:val="001D72DE"/>
    <w:rsid w:val="001D735C"/>
    <w:rsid w:val="001D751E"/>
    <w:rsid w:val="001D7583"/>
    <w:rsid w:val="001D7927"/>
    <w:rsid w:val="001D7BC0"/>
    <w:rsid w:val="001D7D20"/>
    <w:rsid w:val="001D7F2C"/>
    <w:rsid w:val="001E030E"/>
    <w:rsid w:val="001E0562"/>
    <w:rsid w:val="001E06D3"/>
    <w:rsid w:val="001E07D0"/>
    <w:rsid w:val="001E0CEB"/>
    <w:rsid w:val="001E1007"/>
    <w:rsid w:val="001E1352"/>
    <w:rsid w:val="001E15F9"/>
    <w:rsid w:val="001E175C"/>
    <w:rsid w:val="001E1973"/>
    <w:rsid w:val="001E1BCB"/>
    <w:rsid w:val="001E1CD3"/>
    <w:rsid w:val="001E1D4C"/>
    <w:rsid w:val="001E1E87"/>
    <w:rsid w:val="001E1FB9"/>
    <w:rsid w:val="001E23C0"/>
    <w:rsid w:val="001E2918"/>
    <w:rsid w:val="001E2A4A"/>
    <w:rsid w:val="001E2A95"/>
    <w:rsid w:val="001E2EBC"/>
    <w:rsid w:val="001E2EBE"/>
    <w:rsid w:val="001E3138"/>
    <w:rsid w:val="001E34EC"/>
    <w:rsid w:val="001E35D9"/>
    <w:rsid w:val="001E36FD"/>
    <w:rsid w:val="001E3ACC"/>
    <w:rsid w:val="001E3B51"/>
    <w:rsid w:val="001E3C9C"/>
    <w:rsid w:val="001E4092"/>
    <w:rsid w:val="001E40E5"/>
    <w:rsid w:val="001E419E"/>
    <w:rsid w:val="001E4D57"/>
    <w:rsid w:val="001E4DAF"/>
    <w:rsid w:val="001E511C"/>
    <w:rsid w:val="001E52CF"/>
    <w:rsid w:val="001E5333"/>
    <w:rsid w:val="001E53C6"/>
    <w:rsid w:val="001E55F5"/>
    <w:rsid w:val="001E5865"/>
    <w:rsid w:val="001E59F9"/>
    <w:rsid w:val="001E5FE0"/>
    <w:rsid w:val="001E615C"/>
    <w:rsid w:val="001E62F9"/>
    <w:rsid w:val="001E6D53"/>
    <w:rsid w:val="001E6F79"/>
    <w:rsid w:val="001E70DE"/>
    <w:rsid w:val="001E71B5"/>
    <w:rsid w:val="001E753E"/>
    <w:rsid w:val="001E785F"/>
    <w:rsid w:val="001E7A8F"/>
    <w:rsid w:val="001E7CA5"/>
    <w:rsid w:val="001E7D32"/>
    <w:rsid w:val="001F00C1"/>
    <w:rsid w:val="001F030B"/>
    <w:rsid w:val="001F06AF"/>
    <w:rsid w:val="001F083B"/>
    <w:rsid w:val="001F0A2B"/>
    <w:rsid w:val="001F0B77"/>
    <w:rsid w:val="001F0DBB"/>
    <w:rsid w:val="001F0F92"/>
    <w:rsid w:val="001F0FAC"/>
    <w:rsid w:val="001F127E"/>
    <w:rsid w:val="001F156B"/>
    <w:rsid w:val="001F1630"/>
    <w:rsid w:val="001F1686"/>
    <w:rsid w:val="001F1762"/>
    <w:rsid w:val="001F193E"/>
    <w:rsid w:val="001F1BC2"/>
    <w:rsid w:val="001F1F81"/>
    <w:rsid w:val="001F2090"/>
    <w:rsid w:val="001F22E9"/>
    <w:rsid w:val="001F2C84"/>
    <w:rsid w:val="001F2E4F"/>
    <w:rsid w:val="001F3019"/>
    <w:rsid w:val="001F315A"/>
    <w:rsid w:val="001F3393"/>
    <w:rsid w:val="001F3485"/>
    <w:rsid w:val="001F3818"/>
    <w:rsid w:val="001F3920"/>
    <w:rsid w:val="001F3A10"/>
    <w:rsid w:val="001F3A1A"/>
    <w:rsid w:val="001F3CD8"/>
    <w:rsid w:val="001F3CEF"/>
    <w:rsid w:val="001F3D26"/>
    <w:rsid w:val="001F3DFF"/>
    <w:rsid w:val="001F3F1C"/>
    <w:rsid w:val="001F3F7A"/>
    <w:rsid w:val="001F44C4"/>
    <w:rsid w:val="001F4521"/>
    <w:rsid w:val="001F47B7"/>
    <w:rsid w:val="001F51A0"/>
    <w:rsid w:val="001F54CF"/>
    <w:rsid w:val="001F563A"/>
    <w:rsid w:val="001F5729"/>
    <w:rsid w:val="001F5756"/>
    <w:rsid w:val="001F58B3"/>
    <w:rsid w:val="001F5A66"/>
    <w:rsid w:val="001F5ADF"/>
    <w:rsid w:val="001F5CC6"/>
    <w:rsid w:val="001F6176"/>
    <w:rsid w:val="001F6206"/>
    <w:rsid w:val="001F6305"/>
    <w:rsid w:val="001F6345"/>
    <w:rsid w:val="001F6582"/>
    <w:rsid w:val="001F658E"/>
    <w:rsid w:val="001F671C"/>
    <w:rsid w:val="001F6724"/>
    <w:rsid w:val="001F67E5"/>
    <w:rsid w:val="001F70EA"/>
    <w:rsid w:val="001F7388"/>
    <w:rsid w:val="001F7405"/>
    <w:rsid w:val="001F74FD"/>
    <w:rsid w:val="001F7602"/>
    <w:rsid w:val="001F77FD"/>
    <w:rsid w:val="001F7933"/>
    <w:rsid w:val="00200023"/>
    <w:rsid w:val="00200369"/>
    <w:rsid w:val="0020039B"/>
    <w:rsid w:val="00200596"/>
    <w:rsid w:val="00200943"/>
    <w:rsid w:val="00200ADD"/>
    <w:rsid w:val="00200B1F"/>
    <w:rsid w:val="00200B99"/>
    <w:rsid w:val="00200EA2"/>
    <w:rsid w:val="00200FAE"/>
    <w:rsid w:val="0020102E"/>
    <w:rsid w:val="0020106C"/>
    <w:rsid w:val="002012B3"/>
    <w:rsid w:val="002012F6"/>
    <w:rsid w:val="00201307"/>
    <w:rsid w:val="00201618"/>
    <w:rsid w:val="00201951"/>
    <w:rsid w:val="002019AE"/>
    <w:rsid w:val="00201A07"/>
    <w:rsid w:val="00201BFB"/>
    <w:rsid w:val="00201D38"/>
    <w:rsid w:val="002020F3"/>
    <w:rsid w:val="00202106"/>
    <w:rsid w:val="002025C1"/>
    <w:rsid w:val="00202682"/>
    <w:rsid w:val="00202B40"/>
    <w:rsid w:val="00202BC3"/>
    <w:rsid w:val="00202FA8"/>
    <w:rsid w:val="0020301A"/>
    <w:rsid w:val="00203236"/>
    <w:rsid w:val="002033A5"/>
    <w:rsid w:val="002033F8"/>
    <w:rsid w:val="002036F8"/>
    <w:rsid w:val="0020389D"/>
    <w:rsid w:val="00203911"/>
    <w:rsid w:val="00203D40"/>
    <w:rsid w:val="00204220"/>
    <w:rsid w:val="002047AF"/>
    <w:rsid w:val="00204830"/>
    <w:rsid w:val="00204B18"/>
    <w:rsid w:val="00204C0B"/>
    <w:rsid w:val="00204D7A"/>
    <w:rsid w:val="00204E0B"/>
    <w:rsid w:val="00204FD3"/>
    <w:rsid w:val="0020506A"/>
    <w:rsid w:val="002051BC"/>
    <w:rsid w:val="002051E6"/>
    <w:rsid w:val="0020532B"/>
    <w:rsid w:val="0020533D"/>
    <w:rsid w:val="00205416"/>
    <w:rsid w:val="0020583E"/>
    <w:rsid w:val="00205A26"/>
    <w:rsid w:val="002060A4"/>
    <w:rsid w:val="00206270"/>
    <w:rsid w:val="00206272"/>
    <w:rsid w:val="002063C9"/>
    <w:rsid w:val="00206D7C"/>
    <w:rsid w:val="00206F96"/>
    <w:rsid w:val="002072CF"/>
    <w:rsid w:val="0020799D"/>
    <w:rsid w:val="00207A61"/>
    <w:rsid w:val="00207FDE"/>
    <w:rsid w:val="0021003F"/>
    <w:rsid w:val="002105E5"/>
    <w:rsid w:val="0021095D"/>
    <w:rsid w:val="0021096C"/>
    <w:rsid w:val="00210F42"/>
    <w:rsid w:val="00211049"/>
    <w:rsid w:val="002110D3"/>
    <w:rsid w:val="002110DC"/>
    <w:rsid w:val="0021130F"/>
    <w:rsid w:val="0021153F"/>
    <w:rsid w:val="00211765"/>
    <w:rsid w:val="002117DB"/>
    <w:rsid w:val="002119CE"/>
    <w:rsid w:val="00211E2A"/>
    <w:rsid w:val="00211E54"/>
    <w:rsid w:val="00211F97"/>
    <w:rsid w:val="0021216A"/>
    <w:rsid w:val="00212174"/>
    <w:rsid w:val="00212398"/>
    <w:rsid w:val="0021249F"/>
    <w:rsid w:val="0021251E"/>
    <w:rsid w:val="00212554"/>
    <w:rsid w:val="00212704"/>
    <w:rsid w:val="0021270D"/>
    <w:rsid w:val="00212E9D"/>
    <w:rsid w:val="0021312D"/>
    <w:rsid w:val="0021325E"/>
    <w:rsid w:val="00213269"/>
    <w:rsid w:val="0021332B"/>
    <w:rsid w:val="002133C3"/>
    <w:rsid w:val="002133EE"/>
    <w:rsid w:val="00213683"/>
    <w:rsid w:val="002136B3"/>
    <w:rsid w:val="002136E7"/>
    <w:rsid w:val="002137E1"/>
    <w:rsid w:val="00213DD2"/>
    <w:rsid w:val="002141C9"/>
    <w:rsid w:val="00214205"/>
    <w:rsid w:val="00214258"/>
    <w:rsid w:val="0021432F"/>
    <w:rsid w:val="00214332"/>
    <w:rsid w:val="00214487"/>
    <w:rsid w:val="00214613"/>
    <w:rsid w:val="00214627"/>
    <w:rsid w:val="00214C48"/>
    <w:rsid w:val="00214CED"/>
    <w:rsid w:val="0021519C"/>
    <w:rsid w:val="00215222"/>
    <w:rsid w:val="00215272"/>
    <w:rsid w:val="0021543E"/>
    <w:rsid w:val="00215612"/>
    <w:rsid w:val="00215897"/>
    <w:rsid w:val="00215DDF"/>
    <w:rsid w:val="002160D8"/>
    <w:rsid w:val="00216159"/>
    <w:rsid w:val="00216408"/>
    <w:rsid w:val="00216458"/>
    <w:rsid w:val="0021645D"/>
    <w:rsid w:val="002164D1"/>
    <w:rsid w:val="0021652F"/>
    <w:rsid w:val="002165C5"/>
    <w:rsid w:val="00216D28"/>
    <w:rsid w:val="00216D36"/>
    <w:rsid w:val="00216D3B"/>
    <w:rsid w:val="00216D4B"/>
    <w:rsid w:val="00216EA1"/>
    <w:rsid w:val="00217729"/>
    <w:rsid w:val="002178F1"/>
    <w:rsid w:val="0022045A"/>
    <w:rsid w:val="002204D3"/>
    <w:rsid w:val="00220606"/>
    <w:rsid w:val="002206DB"/>
    <w:rsid w:val="002208A3"/>
    <w:rsid w:val="0022095D"/>
    <w:rsid w:val="00220A7A"/>
    <w:rsid w:val="00220C3B"/>
    <w:rsid w:val="00220C4A"/>
    <w:rsid w:val="00220E46"/>
    <w:rsid w:val="00221006"/>
    <w:rsid w:val="00221021"/>
    <w:rsid w:val="002210C5"/>
    <w:rsid w:val="00221296"/>
    <w:rsid w:val="002213B6"/>
    <w:rsid w:val="00221456"/>
    <w:rsid w:val="00221617"/>
    <w:rsid w:val="002216A0"/>
    <w:rsid w:val="0022182D"/>
    <w:rsid w:val="00221881"/>
    <w:rsid w:val="00221914"/>
    <w:rsid w:val="00221CA2"/>
    <w:rsid w:val="00221D85"/>
    <w:rsid w:val="00221D8C"/>
    <w:rsid w:val="00221E74"/>
    <w:rsid w:val="00221FC3"/>
    <w:rsid w:val="00221FF6"/>
    <w:rsid w:val="00222042"/>
    <w:rsid w:val="00222109"/>
    <w:rsid w:val="00222113"/>
    <w:rsid w:val="0022222A"/>
    <w:rsid w:val="0022269E"/>
    <w:rsid w:val="00222951"/>
    <w:rsid w:val="00222B20"/>
    <w:rsid w:val="0022304E"/>
    <w:rsid w:val="002231E3"/>
    <w:rsid w:val="0022338B"/>
    <w:rsid w:val="00223613"/>
    <w:rsid w:val="0022367A"/>
    <w:rsid w:val="002236A7"/>
    <w:rsid w:val="00223C8A"/>
    <w:rsid w:val="00223FEB"/>
    <w:rsid w:val="002244E1"/>
    <w:rsid w:val="0022464F"/>
    <w:rsid w:val="00224859"/>
    <w:rsid w:val="00224A45"/>
    <w:rsid w:val="00224A91"/>
    <w:rsid w:val="00224AA9"/>
    <w:rsid w:val="002252A3"/>
    <w:rsid w:val="00225422"/>
    <w:rsid w:val="00225649"/>
    <w:rsid w:val="00225781"/>
    <w:rsid w:val="00225A12"/>
    <w:rsid w:val="00225D73"/>
    <w:rsid w:val="002261B3"/>
    <w:rsid w:val="0022679F"/>
    <w:rsid w:val="002267EC"/>
    <w:rsid w:val="00226B15"/>
    <w:rsid w:val="00226BB3"/>
    <w:rsid w:val="00226FB8"/>
    <w:rsid w:val="002270DB"/>
    <w:rsid w:val="00227256"/>
    <w:rsid w:val="00227495"/>
    <w:rsid w:val="002276A5"/>
    <w:rsid w:val="0022775C"/>
    <w:rsid w:val="0022778E"/>
    <w:rsid w:val="00227FC1"/>
    <w:rsid w:val="00230285"/>
    <w:rsid w:val="00230A3C"/>
    <w:rsid w:val="00230FF4"/>
    <w:rsid w:val="0023107D"/>
    <w:rsid w:val="0023117A"/>
    <w:rsid w:val="00231461"/>
    <w:rsid w:val="00231462"/>
    <w:rsid w:val="00231715"/>
    <w:rsid w:val="00231769"/>
    <w:rsid w:val="002318B6"/>
    <w:rsid w:val="0023193C"/>
    <w:rsid w:val="00231A51"/>
    <w:rsid w:val="00232137"/>
    <w:rsid w:val="002321EF"/>
    <w:rsid w:val="00232572"/>
    <w:rsid w:val="002325C5"/>
    <w:rsid w:val="002326AB"/>
    <w:rsid w:val="002326CC"/>
    <w:rsid w:val="002329AA"/>
    <w:rsid w:val="00232B79"/>
    <w:rsid w:val="00232F1E"/>
    <w:rsid w:val="00232F8C"/>
    <w:rsid w:val="00232FC5"/>
    <w:rsid w:val="00233096"/>
    <w:rsid w:val="00233164"/>
    <w:rsid w:val="002331C7"/>
    <w:rsid w:val="00233488"/>
    <w:rsid w:val="00233492"/>
    <w:rsid w:val="00233585"/>
    <w:rsid w:val="002337AB"/>
    <w:rsid w:val="002337C8"/>
    <w:rsid w:val="002338FA"/>
    <w:rsid w:val="0023397E"/>
    <w:rsid w:val="00233A1C"/>
    <w:rsid w:val="00233CEF"/>
    <w:rsid w:val="00233E0D"/>
    <w:rsid w:val="00233E72"/>
    <w:rsid w:val="00233FBD"/>
    <w:rsid w:val="00233FD0"/>
    <w:rsid w:val="002341D5"/>
    <w:rsid w:val="0023458C"/>
    <w:rsid w:val="00234884"/>
    <w:rsid w:val="00234DC7"/>
    <w:rsid w:val="00234F6E"/>
    <w:rsid w:val="00234FC4"/>
    <w:rsid w:val="00235290"/>
    <w:rsid w:val="002352B0"/>
    <w:rsid w:val="002353E7"/>
    <w:rsid w:val="002354A6"/>
    <w:rsid w:val="002354E4"/>
    <w:rsid w:val="0023560E"/>
    <w:rsid w:val="00235741"/>
    <w:rsid w:val="00235895"/>
    <w:rsid w:val="00235A04"/>
    <w:rsid w:val="00235ADF"/>
    <w:rsid w:val="00235E9F"/>
    <w:rsid w:val="00235F51"/>
    <w:rsid w:val="002362B6"/>
    <w:rsid w:val="0023632C"/>
    <w:rsid w:val="002365B3"/>
    <w:rsid w:val="002367B2"/>
    <w:rsid w:val="00236815"/>
    <w:rsid w:val="0023683E"/>
    <w:rsid w:val="00236ABC"/>
    <w:rsid w:val="00236ABE"/>
    <w:rsid w:val="00236B52"/>
    <w:rsid w:val="00236B95"/>
    <w:rsid w:val="00236B99"/>
    <w:rsid w:val="00236FF0"/>
    <w:rsid w:val="00237070"/>
    <w:rsid w:val="002370FF"/>
    <w:rsid w:val="002373D2"/>
    <w:rsid w:val="002374B7"/>
    <w:rsid w:val="00237812"/>
    <w:rsid w:val="00237A72"/>
    <w:rsid w:val="00237C53"/>
    <w:rsid w:val="002400D3"/>
    <w:rsid w:val="002403E0"/>
    <w:rsid w:val="00240493"/>
    <w:rsid w:val="002405BF"/>
    <w:rsid w:val="00240856"/>
    <w:rsid w:val="002408CD"/>
    <w:rsid w:val="00240B42"/>
    <w:rsid w:val="00240C90"/>
    <w:rsid w:val="00240E30"/>
    <w:rsid w:val="0024101B"/>
    <w:rsid w:val="00241893"/>
    <w:rsid w:val="00241AB8"/>
    <w:rsid w:val="00241C74"/>
    <w:rsid w:val="00241FEB"/>
    <w:rsid w:val="00242331"/>
    <w:rsid w:val="00242729"/>
    <w:rsid w:val="002428E2"/>
    <w:rsid w:val="002429CA"/>
    <w:rsid w:val="00242A35"/>
    <w:rsid w:val="00243040"/>
    <w:rsid w:val="0024318B"/>
    <w:rsid w:val="00243234"/>
    <w:rsid w:val="002433D7"/>
    <w:rsid w:val="00243942"/>
    <w:rsid w:val="00243A38"/>
    <w:rsid w:val="00243B72"/>
    <w:rsid w:val="00243C79"/>
    <w:rsid w:val="00243D00"/>
    <w:rsid w:val="00243F16"/>
    <w:rsid w:val="00244D94"/>
    <w:rsid w:val="00245008"/>
    <w:rsid w:val="00245780"/>
    <w:rsid w:val="0024586D"/>
    <w:rsid w:val="002459F7"/>
    <w:rsid w:val="00245C16"/>
    <w:rsid w:val="00245D98"/>
    <w:rsid w:val="0024604C"/>
    <w:rsid w:val="00246294"/>
    <w:rsid w:val="002464E8"/>
    <w:rsid w:val="00246627"/>
    <w:rsid w:val="00246840"/>
    <w:rsid w:val="00246B26"/>
    <w:rsid w:val="00246B8D"/>
    <w:rsid w:val="00246C82"/>
    <w:rsid w:val="00246E66"/>
    <w:rsid w:val="0024710C"/>
    <w:rsid w:val="00247577"/>
    <w:rsid w:val="0024765E"/>
    <w:rsid w:val="00247739"/>
    <w:rsid w:val="0024793B"/>
    <w:rsid w:val="00247C05"/>
    <w:rsid w:val="00250362"/>
    <w:rsid w:val="0025056F"/>
    <w:rsid w:val="00250926"/>
    <w:rsid w:val="0025108C"/>
    <w:rsid w:val="00251678"/>
    <w:rsid w:val="00251688"/>
    <w:rsid w:val="00251E8A"/>
    <w:rsid w:val="00251EFB"/>
    <w:rsid w:val="00251F3A"/>
    <w:rsid w:val="002521B7"/>
    <w:rsid w:val="0025271E"/>
    <w:rsid w:val="00252753"/>
    <w:rsid w:val="002527DB"/>
    <w:rsid w:val="00252A74"/>
    <w:rsid w:val="00252C2B"/>
    <w:rsid w:val="00252F3A"/>
    <w:rsid w:val="00253164"/>
    <w:rsid w:val="0025321F"/>
    <w:rsid w:val="0025342F"/>
    <w:rsid w:val="00253776"/>
    <w:rsid w:val="00254115"/>
    <w:rsid w:val="0025420D"/>
    <w:rsid w:val="00254651"/>
    <w:rsid w:val="002546E7"/>
    <w:rsid w:val="00254E8B"/>
    <w:rsid w:val="00255417"/>
    <w:rsid w:val="002555CC"/>
    <w:rsid w:val="0025598F"/>
    <w:rsid w:val="002559E6"/>
    <w:rsid w:val="00255C48"/>
    <w:rsid w:val="00255EBA"/>
    <w:rsid w:val="00255FD4"/>
    <w:rsid w:val="00256017"/>
    <w:rsid w:val="00256108"/>
    <w:rsid w:val="002561C8"/>
    <w:rsid w:val="00256497"/>
    <w:rsid w:val="002564C6"/>
    <w:rsid w:val="0025679A"/>
    <w:rsid w:val="00256C61"/>
    <w:rsid w:val="002571FD"/>
    <w:rsid w:val="00257304"/>
    <w:rsid w:val="00257447"/>
    <w:rsid w:val="00257641"/>
    <w:rsid w:val="00257989"/>
    <w:rsid w:val="002602BE"/>
    <w:rsid w:val="0026041E"/>
    <w:rsid w:val="00260517"/>
    <w:rsid w:val="002607A4"/>
    <w:rsid w:val="002609B7"/>
    <w:rsid w:val="00260A13"/>
    <w:rsid w:val="00260A8F"/>
    <w:rsid w:val="00260BF0"/>
    <w:rsid w:val="00261354"/>
    <w:rsid w:val="002613DF"/>
    <w:rsid w:val="002613EF"/>
    <w:rsid w:val="0026148D"/>
    <w:rsid w:val="002614B3"/>
    <w:rsid w:val="002614B4"/>
    <w:rsid w:val="002614CC"/>
    <w:rsid w:val="002618A3"/>
    <w:rsid w:val="00261A2E"/>
    <w:rsid w:val="00261FBD"/>
    <w:rsid w:val="00262021"/>
    <w:rsid w:val="00262190"/>
    <w:rsid w:val="00262623"/>
    <w:rsid w:val="00262643"/>
    <w:rsid w:val="00262FED"/>
    <w:rsid w:val="002630E2"/>
    <w:rsid w:val="00263480"/>
    <w:rsid w:val="00263686"/>
    <w:rsid w:val="002636EF"/>
    <w:rsid w:val="002637A5"/>
    <w:rsid w:val="0026387D"/>
    <w:rsid w:val="00263B71"/>
    <w:rsid w:val="00264420"/>
    <w:rsid w:val="00264479"/>
    <w:rsid w:val="00264A60"/>
    <w:rsid w:val="00264C50"/>
    <w:rsid w:val="00264C72"/>
    <w:rsid w:val="002657B9"/>
    <w:rsid w:val="00265A4F"/>
    <w:rsid w:val="00265AF3"/>
    <w:rsid w:val="00265C00"/>
    <w:rsid w:val="00265DE0"/>
    <w:rsid w:val="00266019"/>
    <w:rsid w:val="0026624D"/>
    <w:rsid w:val="00266537"/>
    <w:rsid w:val="0026685A"/>
    <w:rsid w:val="00266945"/>
    <w:rsid w:val="0026699D"/>
    <w:rsid w:val="00266ECC"/>
    <w:rsid w:val="00266F6D"/>
    <w:rsid w:val="00267279"/>
    <w:rsid w:val="0026730E"/>
    <w:rsid w:val="00267328"/>
    <w:rsid w:val="00267609"/>
    <w:rsid w:val="0026761C"/>
    <w:rsid w:val="00267A44"/>
    <w:rsid w:val="00267B5A"/>
    <w:rsid w:val="00267E2A"/>
    <w:rsid w:val="002707A5"/>
    <w:rsid w:val="00270A09"/>
    <w:rsid w:val="00270AD7"/>
    <w:rsid w:val="00270C58"/>
    <w:rsid w:val="00270D0F"/>
    <w:rsid w:val="00270EF3"/>
    <w:rsid w:val="00270F64"/>
    <w:rsid w:val="00271288"/>
    <w:rsid w:val="00271481"/>
    <w:rsid w:val="0027155C"/>
    <w:rsid w:val="00271575"/>
    <w:rsid w:val="00271902"/>
    <w:rsid w:val="002719BF"/>
    <w:rsid w:val="00272183"/>
    <w:rsid w:val="00272429"/>
    <w:rsid w:val="0027246A"/>
    <w:rsid w:val="00272498"/>
    <w:rsid w:val="002726AE"/>
    <w:rsid w:val="0027287B"/>
    <w:rsid w:val="00272A18"/>
    <w:rsid w:val="00272AF5"/>
    <w:rsid w:val="00272C40"/>
    <w:rsid w:val="00272C7D"/>
    <w:rsid w:val="00272D9D"/>
    <w:rsid w:val="00272DF6"/>
    <w:rsid w:val="00273115"/>
    <w:rsid w:val="00273161"/>
    <w:rsid w:val="002733B9"/>
    <w:rsid w:val="002736FF"/>
    <w:rsid w:val="00273865"/>
    <w:rsid w:val="002738CC"/>
    <w:rsid w:val="0027391F"/>
    <w:rsid w:val="002739A7"/>
    <w:rsid w:val="00273B59"/>
    <w:rsid w:val="00273C38"/>
    <w:rsid w:val="00273C5A"/>
    <w:rsid w:val="00273D8A"/>
    <w:rsid w:val="00273ECC"/>
    <w:rsid w:val="00273F25"/>
    <w:rsid w:val="00273F54"/>
    <w:rsid w:val="002741B8"/>
    <w:rsid w:val="00274668"/>
    <w:rsid w:val="00274712"/>
    <w:rsid w:val="00274827"/>
    <w:rsid w:val="00274944"/>
    <w:rsid w:val="00274963"/>
    <w:rsid w:val="00274B96"/>
    <w:rsid w:val="00274FBA"/>
    <w:rsid w:val="00275187"/>
    <w:rsid w:val="00275511"/>
    <w:rsid w:val="00275EA5"/>
    <w:rsid w:val="002764B7"/>
    <w:rsid w:val="00276510"/>
    <w:rsid w:val="002766CF"/>
    <w:rsid w:val="002767E8"/>
    <w:rsid w:val="00276A31"/>
    <w:rsid w:val="00276BBC"/>
    <w:rsid w:val="00276E8E"/>
    <w:rsid w:val="00276F27"/>
    <w:rsid w:val="00276FF0"/>
    <w:rsid w:val="002770E1"/>
    <w:rsid w:val="0027716D"/>
    <w:rsid w:val="002772F9"/>
    <w:rsid w:val="0027735C"/>
    <w:rsid w:val="002775C3"/>
    <w:rsid w:val="00277714"/>
    <w:rsid w:val="0027792D"/>
    <w:rsid w:val="00277946"/>
    <w:rsid w:val="00277F19"/>
    <w:rsid w:val="00277FA0"/>
    <w:rsid w:val="002803A3"/>
    <w:rsid w:val="002803BC"/>
    <w:rsid w:val="00280473"/>
    <w:rsid w:val="00280621"/>
    <w:rsid w:val="00280BB8"/>
    <w:rsid w:val="002813D5"/>
    <w:rsid w:val="002815C8"/>
    <w:rsid w:val="00281756"/>
    <w:rsid w:val="00281784"/>
    <w:rsid w:val="002817CE"/>
    <w:rsid w:val="0028187B"/>
    <w:rsid w:val="00281883"/>
    <w:rsid w:val="002819AF"/>
    <w:rsid w:val="00281A46"/>
    <w:rsid w:val="00281CFD"/>
    <w:rsid w:val="00281EBF"/>
    <w:rsid w:val="00281FF1"/>
    <w:rsid w:val="00282017"/>
    <w:rsid w:val="00282137"/>
    <w:rsid w:val="002821BE"/>
    <w:rsid w:val="00282206"/>
    <w:rsid w:val="00282461"/>
    <w:rsid w:val="00282578"/>
    <w:rsid w:val="0028261C"/>
    <w:rsid w:val="00282729"/>
    <w:rsid w:val="00282A9A"/>
    <w:rsid w:val="00282B55"/>
    <w:rsid w:val="00282BEC"/>
    <w:rsid w:val="00282D24"/>
    <w:rsid w:val="00282F1F"/>
    <w:rsid w:val="00282FC2"/>
    <w:rsid w:val="00283013"/>
    <w:rsid w:val="0028350F"/>
    <w:rsid w:val="00283983"/>
    <w:rsid w:val="00283AA6"/>
    <w:rsid w:val="00283C3D"/>
    <w:rsid w:val="00283C8D"/>
    <w:rsid w:val="00283FB1"/>
    <w:rsid w:val="00284174"/>
    <w:rsid w:val="0028432C"/>
    <w:rsid w:val="00284500"/>
    <w:rsid w:val="00284558"/>
    <w:rsid w:val="002847CF"/>
    <w:rsid w:val="002848C4"/>
    <w:rsid w:val="0028492B"/>
    <w:rsid w:val="00284A26"/>
    <w:rsid w:val="00284D7C"/>
    <w:rsid w:val="00284DCD"/>
    <w:rsid w:val="00284E46"/>
    <w:rsid w:val="00285070"/>
    <w:rsid w:val="0028511D"/>
    <w:rsid w:val="0028534E"/>
    <w:rsid w:val="0028536F"/>
    <w:rsid w:val="00285789"/>
    <w:rsid w:val="002857E2"/>
    <w:rsid w:val="00285EF6"/>
    <w:rsid w:val="00285FFF"/>
    <w:rsid w:val="002860D4"/>
    <w:rsid w:val="002861F8"/>
    <w:rsid w:val="00286277"/>
    <w:rsid w:val="002863AE"/>
    <w:rsid w:val="00286974"/>
    <w:rsid w:val="00286D5E"/>
    <w:rsid w:val="002870A9"/>
    <w:rsid w:val="00287306"/>
    <w:rsid w:val="002874DA"/>
    <w:rsid w:val="00287542"/>
    <w:rsid w:val="002876C1"/>
    <w:rsid w:val="002879E9"/>
    <w:rsid w:val="00287B6F"/>
    <w:rsid w:val="00287DA5"/>
    <w:rsid w:val="00287E06"/>
    <w:rsid w:val="00287FDF"/>
    <w:rsid w:val="00287FF2"/>
    <w:rsid w:val="00290169"/>
    <w:rsid w:val="002902C0"/>
    <w:rsid w:val="00290408"/>
    <w:rsid w:val="0029045E"/>
    <w:rsid w:val="00290664"/>
    <w:rsid w:val="00290ABD"/>
    <w:rsid w:val="00290EB0"/>
    <w:rsid w:val="0029127B"/>
    <w:rsid w:val="00291284"/>
    <w:rsid w:val="00291645"/>
    <w:rsid w:val="002918DF"/>
    <w:rsid w:val="00291D15"/>
    <w:rsid w:val="00291D60"/>
    <w:rsid w:val="00291F77"/>
    <w:rsid w:val="00291FB9"/>
    <w:rsid w:val="00291FC8"/>
    <w:rsid w:val="00292303"/>
    <w:rsid w:val="0029234F"/>
    <w:rsid w:val="002923D2"/>
    <w:rsid w:val="0029243E"/>
    <w:rsid w:val="00292743"/>
    <w:rsid w:val="00292B8D"/>
    <w:rsid w:val="00292DAB"/>
    <w:rsid w:val="00292DB8"/>
    <w:rsid w:val="00292DE1"/>
    <w:rsid w:val="002931D8"/>
    <w:rsid w:val="002936F3"/>
    <w:rsid w:val="00293BE6"/>
    <w:rsid w:val="00293E05"/>
    <w:rsid w:val="00293EB7"/>
    <w:rsid w:val="002944D4"/>
    <w:rsid w:val="00294587"/>
    <w:rsid w:val="00294A55"/>
    <w:rsid w:val="00294CEE"/>
    <w:rsid w:val="00294F2F"/>
    <w:rsid w:val="00294FAB"/>
    <w:rsid w:val="00294FB1"/>
    <w:rsid w:val="00295011"/>
    <w:rsid w:val="002957A0"/>
    <w:rsid w:val="0029583A"/>
    <w:rsid w:val="00295A6B"/>
    <w:rsid w:val="00295C06"/>
    <w:rsid w:val="00295FCA"/>
    <w:rsid w:val="00296153"/>
    <w:rsid w:val="002965C1"/>
    <w:rsid w:val="002965F8"/>
    <w:rsid w:val="002966FF"/>
    <w:rsid w:val="00296931"/>
    <w:rsid w:val="00296990"/>
    <w:rsid w:val="002969DF"/>
    <w:rsid w:val="00296CE1"/>
    <w:rsid w:val="00296D27"/>
    <w:rsid w:val="00296D38"/>
    <w:rsid w:val="002971E4"/>
    <w:rsid w:val="00297294"/>
    <w:rsid w:val="002972B1"/>
    <w:rsid w:val="00297446"/>
    <w:rsid w:val="0029752E"/>
    <w:rsid w:val="0029765A"/>
    <w:rsid w:val="0029787B"/>
    <w:rsid w:val="00297C07"/>
    <w:rsid w:val="002A0099"/>
    <w:rsid w:val="002A0B4A"/>
    <w:rsid w:val="002A0CE3"/>
    <w:rsid w:val="002A13C6"/>
    <w:rsid w:val="002A21AF"/>
    <w:rsid w:val="002A2274"/>
    <w:rsid w:val="002A2502"/>
    <w:rsid w:val="002A257C"/>
    <w:rsid w:val="002A25BF"/>
    <w:rsid w:val="002A2A58"/>
    <w:rsid w:val="002A2BD2"/>
    <w:rsid w:val="002A3078"/>
    <w:rsid w:val="002A308D"/>
    <w:rsid w:val="002A309A"/>
    <w:rsid w:val="002A31C5"/>
    <w:rsid w:val="002A323E"/>
    <w:rsid w:val="002A3388"/>
    <w:rsid w:val="002A34C1"/>
    <w:rsid w:val="002A358C"/>
    <w:rsid w:val="002A38BF"/>
    <w:rsid w:val="002A4170"/>
    <w:rsid w:val="002A42B7"/>
    <w:rsid w:val="002A4300"/>
    <w:rsid w:val="002A43A0"/>
    <w:rsid w:val="002A43B7"/>
    <w:rsid w:val="002A4541"/>
    <w:rsid w:val="002A4567"/>
    <w:rsid w:val="002A4B3A"/>
    <w:rsid w:val="002A4EBC"/>
    <w:rsid w:val="002A4FB6"/>
    <w:rsid w:val="002A51A5"/>
    <w:rsid w:val="002A5543"/>
    <w:rsid w:val="002A56BF"/>
    <w:rsid w:val="002A5708"/>
    <w:rsid w:val="002A5799"/>
    <w:rsid w:val="002A5A3E"/>
    <w:rsid w:val="002A5AE4"/>
    <w:rsid w:val="002A5B54"/>
    <w:rsid w:val="002A5C43"/>
    <w:rsid w:val="002A5C4D"/>
    <w:rsid w:val="002A6158"/>
    <w:rsid w:val="002A66F7"/>
    <w:rsid w:val="002A67AE"/>
    <w:rsid w:val="002A6A37"/>
    <w:rsid w:val="002A6ADA"/>
    <w:rsid w:val="002A6D6D"/>
    <w:rsid w:val="002A6D99"/>
    <w:rsid w:val="002A729E"/>
    <w:rsid w:val="002A735D"/>
    <w:rsid w:val="002A74AB"/>
    <w:rsid w:val="002A7676"/>
    <w:rsid w:val="002A77C6"/>
    <w:rsid w:val="002A78B4"/>
    <w:rsid w:val="002A78D8"/>
    <w:rsid w:val="002A7E5C"/>
    <w:rsid w:val="002A7E75"/>
    <w:rsid w:val="002A7FB5"/>
    <w:rsid w:val="002B011D"/>
    <w:rsid w:val="002B0388"/>
    <w:rsid w:val="002B05EC"/>
    <w:rsid w:val="002B0649"/>
    <w:rsid w:val="002B0856"/>
    <w:rsid w:val="002B092F"/>
    <w:rsid w:val="002B09C7"/>
    <w:rsid w:val="002B0A1F"/>
    <w:rsid w:val="002B0A35"/>
    <w:rsid w:val="002B0C18"/>
    <w:rsid w:val="002B0C51"/>
    <w:rsid w:val="002B0FAB"/>
    <w:rsid w:val="002B1072"/>
    <w:rsid w:val="002B1179"/>
    <w:rsid w:val="002B1209"/>
    <w:rsid w:val="002B138A"/>
    <w:rsid w:val="002B17AF"/>
    <w:rsid w:val="002B1813"/>
    <w:rsid w:val="002B1980"/>
    <w:rsid w:val="002B1ACE"/>
    <w:rsid w:val="002B1B65"/>
    <w:rsid w:val="002B1F7D"/>
    <w:rsid w:val="002B221C"/>
    <w:rsid w:val="002B2297"/>
    <w:rsid w:val="002B262D"/>
    <w:rsid w:val="002B2945"/>
    <w:rsid w:val="002B2976"/>
    <w:rsid w:val="002B2A33"/>
    <w:rsid w:val="002B2AE7"/>
    <w:rsid w:val="002B2C4E"/>
    <w:rsid w:val="002B2D02"/>
    <w:rsid w:val="002B2D2A"/>
    <w:rsid w:val="002B30F6"/>
    <w:rsid w:val="002B3164"/>
    <w:rsid w:val="002B35F2"/>
    <w:rsid w:val="002B38DD"/>
    <w:rsid w:val="002B3A60"/>
    <w:rsid w:val="002B3B7D"/>
    <w:rsid w:val="002B3DC6"/>
    <w:rsid w:val="002B41CF"/>
    <w:rsid w:val="002B42CE"/>
    <w:rsid w:val="002B4375"/>
    <w:rsid w:val="002B49A5"/>
    <w:rsid w:val="002B4B48"/>
    <w:rsid w:val="002B4B65"/>
    <w:rsid w:val="002B4CD2"/>
    <w:rsid w:val="002B4F92"/>
    <w:rsid w:val="002B5113"/>
    <w:rsid w:val="002B51CC"/>
    <w:rsid w:val="002B53E8"/>
    <w:rsid w:val="002B55A2"/>
    <w:rsid w:val="002B56AC"/>
    <w:rsid w:val="002B585C"/>
    <w:rsid w:val="002B59A9"/>
    <w:rsid w:val="002B5A45"/>
    <w:rsid w:val="002B5B6F"/>
    <w:rsid w:val="002B5EC2"/>
    <w:rsid w:val="002B5EC9"/>
    <w:rsid w:val="002B6125"/>
    <w:rsid w:val="002B613D"/>
    <w:rsid w:val="002B61C1"/>
    <w:rsid w:val="002B63A2"/>
    <w:rsid w:val="002B647B"/>
    <w:rsid w:val="002B6680"/>
    <w:rsid w:val="002B69B5"/>
    <w:rsid w:val="002B703E"/>
    <w:rsid w:val="002B7104"/>
    <w:rsid w:val="002B7254"/>
    <w:rsid w:val="002B746F"/>
    <w:rsid w:val="002B75A8"/>
    <w:rsid w:val="002B784D"/>
    <w:rsid w:val="002B7C9E"/>
    <w:rsid w:val="002B7D30"/>
    <w:rsid w:val="002C0168"/>
    <w:rsid w:val="002C0220"/>
    <w:rsid w:val="002C02E8"/>
    <w:rsid w:val="002C0333"/>
    <w:rsid w:val="002C04C1"/>
    <w:rsid w:val="002C0643"/>
    <w:rsid w:val="002C0676"/>
    <w:rsid w:val="002C07FA"/>
    <w:rsid w:val="002C0895"/>
    <w:rsid w:val="002C0DC9"/>
    <w:rsid w:val="002C10FA"/>
    <w:rsid w:val="002C112C"/>
    <w:rsid w:val="002C11B3"/>
    <w:rsid w:val="002C13D7"/>
    <w:rsid w:val="002C1A24"/>
    <w:rsid w:val="002C1CF5"/>
    <w:rsid w:val="002C2129"/>
    <w:rsid w:val="002C2275"/>
    <w:rsid w:val="002C23D2"/>
    <w:rsid w:val="002C2639"/>
    <w:rsid w:val="002C2676"/>
    <w:rsid w:val="002C26AC"/>
    <w:rsid w:val="002C26BD"/>
    <w:rsid w:val="002C277C"/>
    <w:rsid w:val="002C284F"/>
    <w:rsid w:val="002C2AE7"/>
    <w:rsid w:val="002C2B6A"/>
    <w:rsid w:val="002C2B9A"/>
    <w:rsid w:val="002C2C29"/>
    <w:rsid w:val="002C2C2B"/>
    <w:rsid w:val="002C338C"/>
    <w:rsid w:val="002C373A"/>
    <w:rsid w:val="002C391F"/>
    <w:rsid w:val="002C39F0"/>
    <w:rsid w:val="002C3B14"/>
    <w:rsid w:val="002C40DC"/>
    <w:rsid w:val="002C41F8"/>
    <w:rsid w:val="002C433D"/>
    <w:rsid w:val="002C4542"/>
    <w:rsid w:val="002C482A"/>
    <w:rsid w:val="002C48FD"/>
    <w:rsid w:val="002C4A20"/>
    <w:rsid w:val="002C4C3B"/>
    <w:rsid w:val="002C4FA3"/>
    <w:rsid w:val="002C516F"/>
    <w:rsid w:val="002C51B5"/>
    <w:rsid w:val="002C51E1"/>
    <w:rsid w:val="002C540B"/>
    <w:rsid w:val="002C570A"/>
    <w:rsid w:val="002C57CA"/>
    <w:rsid w:val="002C57E5"/>
    <w:rsid w:val="002C5ABB"/>
    <w:rsid w:val="002C5CC2"/>
    <w:rsid w:val="002C5F9C"/>
    <w:rsid w:val="002C5FB3"/>
    <w:rsid w:val="002C60D1"/>
    <w:rsid w:val="002C612D"/>
    <w:rsid w:val="002C632B"/>
    <w:rsid w:val="002C6378"/>
    <w:rsid w:val="002C6499"/>
    <w:rsid w:val="002C6645"/>
    <w:rsid w:val="002C6918"/>
    <w:rsid w:val="002C69BB"/>
    <w:rsid w:val="002C6AD3"/>
    <w:rsid w:val="002C6D22"/>
    <w:rsid w:val="002C6E1B"/>
    <w:rsid w:val="002C74F4"/>
    <w:rsid w:val="002C7704"/>
    <w:rsid w:val="002C7784"/>
    <w:rsid w:val="002C785B"/>
    <w:rsid w:val="002C78B2"/>
    <w:rsid w:val="002C78F9"/>
    <w:rsid w:val="002C7933"/>
    <w:rsid w:val="002C7B70"/>
    <w:rsid w:val="002C7DA2"/>
    <w:rsid w:val="002C7DC8"/>
    <w:rsid w:val="002C7F13"/>
    <w:rsid w:val="002C7F54"/>
    <w:rsid w:val="002D0143"/>
    <w:rsid w:val="002D03E1"/>
    <w:rsid w:val="002D065C"/>
    <w:rsid w:val="002D09C7"/>
    <w:rsid w:val="002D0B56"/>
    <w:rsid w:val="002D0B67"/>
    <w:rsid w:val="002D0CBE"/>
    <w:rsid w:val="002D0E09"/>
    <w:rsid w:val="002D0E45"/>
    <w:rsid w:val="002D1047"/>
    <w:rsid w:val="002D105D"/>
    <w:rsid w:val="002D12AA"/>
    <w:rsid w:val="002D133A"/>
    <w:rsid w:val="002D1528"/>
    <w:rsid w:val="002D1816"/>
    <w:rsid w:val="002D188C"/>
    <w:rsid w:val="002D1913"/>
    <w:rsid w:val="002D1A11"/>
    <w:rsid w:val="002D1A7D"/>
    <w:rsid w:val="002D1B00"/>
    <w:rsid w:val="002D1D2C"/>
    <w:rsid w:val="002D1ECC"/>
    <w:rsid w:val="002D206A"/>
    <w:rsid w:val="002D2121"/>
    <w:rsid w:val="002D2145"/>
    <w:rsid w:val="002D22A1"/>
    <w:rsid w:val="002D2448"/>
    <w:rsid w:val="002D24E9"/>
    <w:rsid w:val="002D2582"/>
    <w:rsid w:val="002D25F6"/>
    <w:rsid w:val="002D26B0"/>
    <w:rsid w:val="002D2744"/>
    <w:rsid w:val="002D28A1"/>
    <w:rsid w:val="002D2A01"/>
    <w:rsid w:val="002D2D26"/>
    <w:rsid w:val="002D301D"/>
    <w:rsid w:val="002D32B9"/>
    <w:rsid w:val="002D334D"/>
    <w:rsid w:val="002D358E"/>
    <w:rsid w:val="002D3B91"/>
    <w:rsid w:val="002D3CD8"/>
    <w:rsid w:val="002D417B"/>
    <w:rsid w:val="002D4542"/>
    <w:rsid w:val="002D4563"/>
    <w:rsid w:val="002D46A4"/>
    <w:rsid w:val="002D4AC2"/>
    <w:rsid w:val="002D4B95"/>
    <w:rsid w:val="002D4CD6"/>
    <w:rsid w:val="002D4D9D"/>
    <w:rsid w:val="002D4E3E"/>
    <w:rsid w:val="002D4E66"/>
    <w:rsid w:val="002D4FD6"/>
    <w:rsid w:val="002D51DF"/>
    <w:rsid w:val="002D56BD"/>
    <w:rsid w:val="002D58BC"/>
    <w:rsid w:val="002D5B3B"/>
    <w:rsid w:val="002D5D1D"/>
    <w:rsid w:val="002D5F83"/>
    <w:rsid w:val="002D63D8"/>
    <w:rsid w:val="002D65B3"/>
    <w:rsid w:val="002D68EE"/>
    <w:rsid w:val="002D6F3A"/>
    <w:rsid w:val="002D71D9"/>
    <w:rsid w:val="002D7423"/>
    <w:rsid w:val="002D75FB"/>
    <w:rsid w:val="002D7656"/>
    <w:rsid w:val="002D79FE"/>
    <w:rsid w:val="002D7D62"/>
    <w:rsid w:val="002D7D6B"/>
    <w:rsid w:val="002E033F"/>
    <w:rsid w:val="002E0414"/>
    <w:rsid w:val="002E0620"/>
    <w:rsid w:val="002E0976"/>
    <w:rsid w:val="002E0A95"/>
    <w:rsid w:val="002E0AF4"/>
    <w:rsid w:val="002E0BD9"/>
    <w:rsid w:val="002E0CC8"/>
    <w:rsid w:val="002E0D5A"/>
    <w:rsid w:val="002E0EDC"/>
    <w:rsid w:val="002E11C2"/>
    <w:rsid w:val="002E12CB"/>
    <w:rsid w:val="002E1486"/>
    <w:rsid w:val="002E1619"/>
    <w:rsid w:val="002E1910"/>
    <w:rsid w:val="002E1E18"/>
    <w:rsid w:val="002E1F6D"/>
    <w:rsid w:val="002E2247"/>
    <w:rsid w:val="002E226D"/>
    <w:rsid w:val="002E24F3"/>
    <w:rsid w:val="002E273B"/>
    <w:rsid w:val="002E2A31"/>
    <w:rsid w:val="002E2BF0"/>
    <w:rsid w:val="002E2C0E"/>
    <w:rsid w:val="002E2CEC"/>
    <w:rsid w:val="002E2D20"/>
    <w:rsid w:val="002E34B4"/>
    <w:rsid w:val="002E3B1F"/>
    <w:rsid w:val="002E3B6B"/>
    <w:rsid w:val="002E3BF1"/>
    <w:rsid w:val="002E3CBE"/>
    <w:rsid w:val="002E3D67"/>
    <w:rsid w:val="002E40CC"/>
    <w:rsid w:val="002E41EA"/>
    <w:rsid w:val="002E42D0"/>
    <w:rsid w:val="002E435C"/>
    <w:rsid w:val="002E4794"/>
    <w:rsid w:val="002E4813"/>
    <w:rsid w:val="002E481E"/>
    <w:rsid w:val="002E49A9"/>
    <w:rsid w:val="002E4DF1"/>
    <w:rsid w:val="002E4E2E"/>
    <w:rsid w:val="002E4E8A"/>
    <w:rsid w:val="002E548F"/>
    <w:rsid w:val="002E5651"/>
    <w:rsid w:val="002E578C"/>
    <w:rsid w:val="002E5BCF"/>
    <w:rsid w:val="002E5C45"/>
    <w:rsid w:val="002E6291"/>
    <w:rsid w:val="002E640E"/>
    <w:rsid w:val="002E644F"/>
    <w:rsid w:val="002E6465"/>
    <w:rsid w:val="002E669F"/>
    <w:rsid w:val="002E6A7A"/>
    <w:rsid w:val="002E6FE1"/>
    <w:rsid w:val="002E79DB"/>
    <w:rsid w:val="002E7C42"/>
    <w:rsid w:val="002E7F8D"/>
    <w:rsid w:val="002F034E"/>
    <w:rsid w:val="002F03E1"/>
    <w:rsid w:val="002F07A9"/>
    <w:rsid w:val="002F08DF"/>
    <w:rsid w:val="002F0EF0"/>
    <w:rsid w:val="002F0FC1"/>
    <w:rsid w:val="002F11DC"/>
    <w:rsid w:val="002F1254"/>
    <w:rsid w:val="002F14BA"/>
    <w:rsid w:val="002F18CC"/>
    <w:rsid w:val="002F1922"/>
    <w:rsid w:val="002F1A5A"/>
    <w:rsid w:val="002F1D8C"/>
    <w:rsid w:val="002F1DF8"/>
    <w:rsid w:val="002F1E5B"/>
    <w:rsid w:val="002F2161"/>
    <w:rsid w:val="002F21AA"/>
    <w:rsid w:val="002F23DE"/>
    <w:rsid w:val="002F24DE"/>
    <w:rsid w:val="002F25D5"/>
    <w:rsid w:val="002F2855"/>
    <w:rsid w:val="002F2AC9"/>
    <w:rsid w:val="002F2AF9"/>
    <w:rsid w:val="002F2C40"/>
    <w:rsid w:val="002F2C95"/>
    <w:rsid w:val="002F2EBB"/>
    <w:rsid w:val="002F310E"/>
    <w:rsid w:val="002F3520"/>
    <w:rsid w:val="002F353B"/>
    <w:rsid w:val="002F35A1"/>
    <w:rsid w:val="002F3685"/>
    <w:rsid w:val="002F37BA"/>
    <w:rsid w:val="002F3A1D"/>
    <w:rsid w:val="002F3E72"/>
    <w:rsid w:val="002F3FBD"/>
    <w:rsid w:val="002F409A"/>
    <w:rsid w:val="002F42A1"/>
    <w:rsid w:val="002F461E"/>
    <w:rsid w:val="002F4796"/>
    <w:rsid w:val="002F4BD7"/>
    <w:rsid w:val="002F4CD5"/>
    <w:rsid w:val="002F4EFD"/>
    <w:rsid w:val="002F4F83"/>
    <w:rsid w:val="002F5291"/>
    <w:rsid w:val="002F52A9"/>
    <w:rsid w:val="002F52FC"/>
    <w:rsid w:val="002F5AA1"/>
    <w:rsid w:val="002F5ABD"/>
    <w:rsid w:val="002F5AE1"/>
    <w:rsid w:val="002F5D41"/>
    <w:rsid w:val="002F6029"/>
    <w:rsid w:val="002F61A2"/>
    <w:rsid w:val="002F62AB"/>
    <w:rsid w:val="002F62FE"/>
    <w:rsid w:val="002F6337"/>
    <w:rsid w:val="002F649B"/>
    <w:rsid w:val="002F6A5B"/>
    <w:rsid w:val="002F6AD4"/>
    <w:rsid w:val="002F709D"/>
    <w:rsid w:val="002F743E"/>
    <w:rsid w:val="002F7702"/>
    <w:rsid w:val="002F77E3"/>
    <w:rsid w:val="002F786A"/>
    <w:rsid w:val="002F79AE"/>
    <w:rsid w:val="002F7BE9"/>
    <w:rsid w:val="0030000C"/>
    <w:rsid w:val="0030016B"/>
    <w:rsid w:val="00300760"/>
    <w:rsid w:val="0030078F"/>
    <w:rsid w:val="00300849"/>
    <w:rsid w:val="00300B57"/>
    <w:rsid w:val="00300D67"/>
    <w:rsid w:val="00300F5C"/>
    <w:rsid w:val="003010CD"/>
    <w:rsid w:val="0030126A"/>
    <w:rsid w:val="0030129E"/>
    <w:rsid w:val="003014D4"/>
    <w:rsid w:val="003015E0"/>
    <w:rsid w:val="00301692"/>
    <w:rsid w:val="00301927"/>
    <w:rsid w:val="00301942"/>
    <w:rsid w:val="00301D14"/>
    <w:rsid w:val="00301D68"/>
    <w:rsid w:val="00302072"/>
    <w:rsid w:val="00302130"/>
    <w:rsid w:val="00302201"/>
    <w:rsid w:val="0030234B"/>
    <w:rsid w:val="003023C8"/>
    <w:rsid w:val="003023FA"/>
    <w:rsid w:val="00302428"/>
    <w:rsid w:val="003029DF"/>
    <w:rsid w:val="003031DA"/>
    <w:rsid w:val="00303468"/>
    <w:rsid w:val="0030353A"/>
    <w:rsid w:val="003036AB"/>
    <w:rsid w:val="00303B64"/>
    <w:rsid w:val="00303C4B"/>
    <w:rsid w:val="00304630"/>
    <w:rsid w:val="0030471F"/>
    <w:rsid w:val="003047D7"/>
    <w:rsid w:val="00304A6D"/>
    <w:rsid w:val="00304D42"/>
    <w:rsid w:val="00304D80"/>
    <w:rsid w:val="00304E6A"/>
    <w:rsid w:val="003051C4"/>
    <w:rsid w:val="00305326"/>
    <w:rsid w:val="0030580D"/>
    <w:rsid w:val="003058E3"/>
    <w:rsid w:val="00305984"/>
    <w:rsid w:val="00305B55"/>
    <w:rsid w:val="00305BA9"/>
    <w:rsid w:val="00305CED"/>
    <w:rsid w:val="00305CF5"/>
    <w:rsid w:val="00305DEA"/>
    <w:rsid w:val="00306202"/>
    <w:rsid w:val="003062A6"/>
    <w:rsid w:val="003065CB"/>
    <w:rsid w:val="00306841"/>
    <w:rsid w:val="00306B18"/>
    <w:rsid w:val="00306B79"/>
    <w:rsid w:val="00306C1A"/>
    <w:rsid w:val="00306C83"/>
    <w:rsid w:val="00306D35"/>
    <w:rsid w:val="00307572"/>
    <w:rsid w:val="003075BE"/>
    <w:rsid w:val="00307793"/>
    <w:rsid w:val="003077DE"/>
    <w:rsid w:val="00307C73"/>
    <w:rsid w:val="00307EE5"/>
    <w:rsid w:val="00310190"/>
    <w:rsid w:val="003101AA"/>
    <w:rsid w:val="003101E0"/>
    <w:rsid w:val="0031045F"/>
    <w:rsid w:val="003104A8"/>
    <w:rsid w:val="003107AF"/>
    <w:rsid w:val="00310810"/>
    <w:rsid w:val="0031098C"/>
    <w:rsid w:val="00310BEC"/>
    <w:rsid w:val="00310C4C"/>
    <w:rsid w:val="00310C8F"/>
    <w:rsid w:val="00310F71"/>
    <w:rsid w:val="003111EA"/>
    <w:rsid w:val="003112D6"/>
    <w:rsid w:val="003113BE"/>
    <w:rsid w:val="00311422"/>
    <w:rsid w:val="003115B4"/>
    <w:rsid w:val="00311B47"/>
    <w:rsid w:val="003120F6"/>
    <w:rsid w:val="00312328"/>
    <w:rsid w:val="00312651"/>
    <w:rsid w:val="003126DD"/>
    <w:rsid w:val="00312843"/>
    <w:rsid w:val="00312DA2"/>
    <w:rsid w:val="00312DC2"/>
    <w:rsid w:val="00312E05"/>
    <w:rsid w:val="00312E18"/>
    <w:rsid w:val="0031321F"/>
    <w:rsid w:val="003133EB"/>
    <w:rsid w:val="00313634"/>
    <w:rsid w:val="003136BE"/>
    <w:rsid w:val="003136DA"/>
    <w:rsid w:val="00313725"/>
    <w:rsid w:val="00313B01"/>
    <w:rsid w:val="00313B63"/>
    <w:rsid w:val="00314020"/>
    <w:rsid w:val="003140FB"/>
    <w:rsid w:val="0031413B"/>
    <w:rsid w:val="00314191"/>
    <w:rsid w:val="00314364"/>
    <w:rsid w:val="00314454"/>
    <w:rsid w:val="00314502"/>
    <w:rsid w:val="0031474F"/>
    <w:rsid w:val="003147A6"/>
    <w:rsid w:val="00314AC8"/>
    <w:rsid w:val="00314C42"/>
    <w:rsid w:val="00315128"/>
    <w:rsid w:val="00315152"/>
    <w:rsid w:val="003152A7"/>
    <w:rsid w:val="0031593F"/>
    <w:rsid w:val="0031596D"/>
    <w:rsid w:val="00315B3D"/>
    <w:rsid w:val="00315D66"/>
    <w:rsid w:val="00315F7E"/>
    <w:rsid w:val="00316104"/>
    <w:rsid w:val="00316180"/>
    <w:rsid w:val="003163AA"/>
    <w:rsid w:val="0031678A"/>
    <w:rsid w:val="0031685F"/>
    <w:rsid w:val="0031691A"/>
    <w:rsid w:val="003169FC"/>
    <w:rsid w:val="0031728E"/>
    <w:rsid w:val="003176D4"/>
    <w:rsid w:val="003177F4"/>
    <w:rsid w:val="003178C7"/>
    <w:rsid w:val="003178CC"/>
    <w:rsid w:val="00317F25"/>
    <w:rsid w:val="00320045"/>
    <w:rsid w:val="00320523"/>
    <w:rsid w:val="00320533"/>
    <w:rsid w:val="003205A7"/>
    <w:rsid w:val="00320637"/>
    <w:rsid w:val="003210C0"/>
    <w:rsid w:val="003212E8"/>
    <w:rsid w:val="00321777"/>
    <w:rsid w:val="003217A2"/>
    <w:rsid w:val="00321BFC"/>
    <w:rsid w:val="00321D23"/>
    <w:rsid w:val="00321DB6"/>
    <w:rsid w:val="00322171"/>
    <w:rsid w:val="003222D9"/>
    <w:rsid w:val="0032239F"/>
    <w:rsid w:val="00322414"/>
    <w:rsid w:val="00322A4B"/>
    <w:rsid w:val="00322B65"/>
    <w:rsid w:val="00322BD5"/>
    <w:rsid w:val="00322C41"/>
    <w:rsid w:val="00322F05"/>
    <w:rsid w:val="00322F9D"/>
    <w:rsid w:val="00323265"/>
    <w:rsid w:val="0032328F"/>
    <w:rsid w:val="0032346B"/>
    <w:rsid w:val="0032348B"/>
    <w:rsid w:val="00323B47"/>
    <w:rsid w:val="00323C5C"/>
    <w:rsid w:val="00323DB3"/>
    <w:rsid w:val="00323EE6"/>
    <w:rsid w:val="00323F12"/>
    <w:rsid w:val="00323FEE"/>
    <w:rsid w:val="003242DE"/>
    <w:rsid w:val="003246B5"/>
    <w:rsid w:val="00324818"/>
    <w:rsid w:val="00324958"/>
    <w:rsid w:val="00324B00"/>
    <w:rsid w:val="00324E8E"/>
    <w:rsid w:val="00324F79"/>
    <w:rsid w:val="00324FC8"/>
    <w:rsid w:val="0032506F"/>
    <w:rsid w:val="003251C3"/>
    <w:rsid w:val="003253D1"/>
    <w:rsid w:val="00325A1C"/>
    <w:rsid w:val="00325B3F"/>
    <w:rsid w:val="00325BB7"/>
    <w:rsid w:val="00325BED"/>
    <w:rsid w:val="00325C9D"/>
    <w:rsid w:val="00325D6F"/>
    <w:rsid w:val="0032680E"/>
    <w:rsid w:val="003269DA"/>
    <w:rsid w:val="003269DD"/>
    <w:rsid w:val="00326C56"/>
    <w:rsid w:val="00326D03"/>
    <w:rsid w:val="00326E3F"/>
    <w:rsid w:val="0032716F"/>
    <w:rsid w:val="00327401"/>
    <w:rsid w:val="00327533"/>
    <w:rsid w:val="003276B2"/>
    <w:rsid w:val="00327842"/>
    <w:rsid w:val="00327B23"/>
    <w:rsid w:val="00327E83"/>
    <w:rsid w:val="0033022E"/>
    <w:rsid w:val="00330406"/>
    <w:rsid w:val="0033067A"/>
    <w:rsid w:val="003308D3"/>
    <w:rsid w:val="00330B30"/>
    <w:rsid w:val="00331382"/>
    <w:rsid w:val="003314BC"/>
    <w:rsid w:val="00331780"/>
    <w:rsid w:val="0033179D"/>
    <w:rsid w:val="00331953"/>
    <w:rsid w:val="00331B98"/>
    <w:rsid w:val="00331BB2"/>
    <w:rsid w:val="00331D92"/>
    <w:rsid w:val="00331D9B"/>
    <w:rsid w:val="00331F0C"/>
    <w:rsid w:val="0033275C"/>
    <w:rsid w:val="003329A6"/>
    <w:rsid w:val="00332AA3"/>
    <w:rsid w:val="00332F1C"/>
    <w:rsid w:val="00332F74"/>
    <w:rsid w:val="00332F87"/>
    <w:rsid w:val="00332FC1"/>
    <w:rsid w:val="00333074"/>
    <w:rsid w:val="0033330C"/>
    <w:rsid w:val="00333979"/>
    <w:rsid w:val="003339CF"/>
    <w:rsid w:val="00334030"/>
    <w:rsid w:val="00334090"/>
    <w:rsid w:val="003340F5"/>
    <w:rsid w:val="00334212"/>
    <w:rsid w:val="00334270"/>
    <w:rsid w:val="00334479"/>
    <w:rsid w:val="00334521"/>
    <w:rsid w:val="0033463C"/>
    <w:rsid w:val="003346EB"/>
    <w:rsid w:val="0033478B"/>
    <w:rsid w:val="003348F6"/>
    <w:rsid w:val="003351BF"/>
    <w:rsid w:val="00335933"/>
    <w:rsid w:val="00335D5A"/>
    <w:rsid w:val="00335FC4"/>
    <w:rsid w:val="00336067"/>
    <w:rsid w:val="0033635A"/>
    <w:rsid w:val="00336933"/>
    <w:rsid w:val="003369E5"/>
    <w:rsid w:val="00336CAD"/>
    <w:rsid w:val="00336F74"/>
    <w:rsid w:val="003370E4"/>
    <w:rsid w:val="00337134"/>
    <w:rsid w:val="003372BD"/>
    <w:rsid w:val="0033731C"/>
    <w:rsid w:val="003374AE"/>
    <w:rsid w:val="00337A2F"/>
    <w:rsid w:val="00337DC2"/>
    <w:rsid w:val="00337EC3"/>
    <w:rsid w:val="00340003"/>
    <w:rsid w:val="00340083"/>
    <w:rsid w:val="0034013C"/>
    <w:rsid w:val="003401EE"/>
    <w:rsid w:val="00340500"/>
    <w:rsid w:val="00340B2D"/>
    <w:rsid w:val="00340E62"/>
    <w:rsid w:val="00340FED"/>
    <w:rsid w:val="00341087"/>
    <w:rsid w:val="003411AA"/>
    <w:rsid w:val="003412F6"/>
    <w:rsid w:val="0034175F"/>
    <w:rsid w:val="00341783"/>
    <w:rsid w:val="003418B2"/>
    <w:rsid w:val="00341946"/>
    <w:rsid w:val="00341B72"/>
    <w:rsid w:val="00341F82"/>
    <w:rsid w:val="00341FE3"/>
    <w:rsid w:val="00342381"/>
    <w:rsid w:val="0034255F"/>
    <w:rsid w:val="00342679"/>
    <w:rsid w:val="00342694"/>
    <w:rsid w:val="00342B2C"/>
    <w:rsid w:val="00342B85"/>
    <w:rsid w:val="00342CAF"/>
    <w:rsid w:val="00342D82"/>
    <w:rsid w:val="0034310C"/>
    <w:rsid w:val="00343207"/>
    <w:rsid w:val="0034335E"/>
    <w:rsid w:val="003437BD"/>
    <w:rsid w:val="00343859"/>
    <w:rsid w:val="003438CB"/>
    <w:rsid w:val="00343A13"/>
    <w:rsid w:val="00343A96"/>
    <w:rsid w:val="00343D67"/>
    <w:rsid w:val="0034445C"/>
    <w:rsid w:val="003448B9"/>
    <w:rsid w:val="00344A3F"/>
    <w:rsid w:val="00344DE0"/>
    <w:rsid w:val="0034506B"/>
    <w:rsid w:val="0034542A"/>
    <w:rsid w:val="00345457"/>
    <w:rsid w:val="00345571"/>
    <w:rsid w:val="0034565A"/>
    <w:rsid w:val="003456FF"/>
    <w:rsid w:val="003457A4"/>
    <w:rsid w:val="00345910"/>
    <w:rsid w:val="00345975"/>
    <w:rsid w:val="00345C8F"/>
    <w:rsid w:val="00345C97"/>
    <w:rsid w:val="0034605F"/>
    <w:rsid w:val="0034606B"/>
    <w:rsid w:val="003461F5"/>
    <w:rsid w:val="00346256"/>
    <w:rsid w:val="003462D1"/>
    <w:rsid w:val="00346351"/>
    <w:rsid w:val="003463E4"/>
    <w:rsid w:val="003466A6"/>
    <w:rsid w:val="00346A05"/>
    <w:rsid w:val="00346AB8"/>
    <w:rsid w:val="00346D72"/>
    <w:rsid w:val="00346E4D"/>
    <w:rsid w:val="00346EEF"/>
    <w:rsid w:val="00346F13"/>
    <w:rsid w:val="00347346"/>
    <w:rsid w:val="003474AA"/>
    <w:rsid w:val="00347525"/>
    <w:rsid w:val="003475BE"/>
    <w:rsid w:val="00347629"/>
    <w:rsid w:val="003476C5"/>
    <w:rsid w:val="003478CF"/>
    <w:rsid w:val="0034799B"/>
    <w:rsid w:val="00347BA5"/>
    <w:rsid w:val="00347C0D"/>
    <w:rsid w:val="00347EBA"/>
    <w:rsid w:val="00347F8A"/>
    <w:rsid w:val="00350009"/>
    <w:rsid w:val="00350198"/>
    <w:rsid w:val="003501DF"/>
    <w:rsid w:val="003501F3"/>
    <w:rsid w:val="003503EB"/>
    <w:rsid w:val="003508F3"/>
    <w:rsid w:val="00350A35"/>
    <w:rsid w:val="00350B1E"/>
    <w:rsid w:val="00350D68"/>
    <w:rsid w:val="00350E98"/>
    <w:rsid w:val="00350FC8"/>
    <w:rsid w:val="003515A6"/>
    <w:rsid w:val="003517F3"/>
    <w:rsid w:val="0035180B"/>
    <w:rsid w:val="00351A1A"/>
    <w:rsid w:val="00351A99"/>
    <w:rsid w:val="00351D25"/>
    <w:rsid w:val="003520AD"/>
    <w:rsid w:val="003524A1"/>
    <w:rsid w:val="00352612"/>
    <w:rsid w:val="003526AC"/>
    <w:rsid w:val="00352C6E"/>
    <w:rsid w:val="00352E84"/>
    <w:rsid w:val="003531B4"/>
    <w:rsid w:val="00353541"/>
    <w:rsid w:val="003538C2"/>
    <w:rsid w:val="003538E7"/>
    <w:rsid w:val="00353E89"/>
    <w:rsid w:val="00354231"/>
    <w:rsid w:val="003543CC"/>
    <w:rsid w:val="0035478C"/>
    <w:rsid w:val="0035481E"/>
    <w:rsid w:val="0035486C"/>
    <w:rsid w:val="00354937"/>
    <w:rsid w:val="00354C35"/>
    <w:rsid w:val="00354F02"/>
    <w:rsid w:val="003551EC"/>
    <w:rsid w:val="00355496"/>
    <w:rsid w:val="00355524"/>
    <w:rsid w:val="00355875"/>
    <w:rsid w:val="00356292"/>
    <w:rsid w:val="0035633F"/>
    <w:rsid w:val="003563C4"/>
    <w:rsid w:val="003563F5"/>
    <w:rsid w:val="003564AD"/>
    <w:rsid w:val="00356582"/>
    <w:rsid w:val="0035665D"/>
    <w:rsid w:val="00356692"/>
    <w:rsid w:val="00356733"/>
    <w:rsid w:val="003568FC"/>
    <w:rsid w:val="00356994"/>
    <w:rsid w:val="00356DDC"/>
    <w:rsid w:val="003574F5"/>
    <w:rsid w:val="0035752E"/>
    <w:rsid w:val="00357637"/>
    <w:rsid w:val="0035768D"/>
    <w:rsid w:val="00357770"/>
    <w:rsid w:val="0035798D"/>
    <w:rsid w:val="00357D49"/>
    <w:rsid w:val="0036039A"/>
    <w:rsid w:val="003604DF"/>
    <w:rsid w:val="003606EC"/>
    <w:rsid w:val="00360813"/>
    <w:rsid w:val="003608E7"/>
    <w:rsid w:val="00360AA1"/>
    <w:rsid w:val="00360D3B"/>
    <w:rsid w:val="00360E70"/>
    <w:rsid w:val="00361180"/>
    <w:rsid w:val="003614F2"/>
    <w:rsid w:val="003614F3"/>
    <w:rsid w:val="003616C9"/>
    <w:rsid w:val="00361753"/>
    <w:rsid w:val="003617CF"/>
    <w:rsid w:val="00361890"/>
    <w:rsid w:val="00361904"/>
    <w:rsid w:val="00361B42"/>
    <w:rsid w:val="00361C86"/>
    <w:rsid w:val="00361D0C"/>
    <w:rsid w:val="00361D23"/>
    <w:rsid w:val="00362086"/>
    <w:rsid w:val="003624B3"/>
    <w:rsid w:val="00362651"/>
    <w:rsid w:val="00362882"/>
    <w:rsid w:val="00362970"/>
    <w:rsid w:val="003629C7"/>
    <w:rsid w:val="00362DAF"/>
    <w:rsid w:val="00362EE2"/>
    <w:rsid w:val="00362FCF"/>
    <w:rsid w:val="003630BD"/>
    <w:rsid w:val="00363166"/>
    <w:rsid w:val="0036318F"/>
    <w:rsid w:val="0036340F"/>
    <w:rsid w:val="0036377A"/>
    <w:rsid w:val="00363AEB"/>
    <w:rsid w:val="00363DE6"/>
    <w:rsid w:val="00363E18"/>
    <w:rsid w:val="00364098"/>
    <w:rsid w:val="0036429B"/>
    <w:rsid w:val="00364692"/>
    <w:rsid w:val="0036477D"/>
    <w:rsid w:val="00364A42"/>
    <w:rsid w:val="00364A8A"/>
    <w:rsid w:val="00364AD5"/>
    <w:rsid w:val="00364CC8"/>
    <w:rsid w:val="00364E6F"/>
    <w:rsid w:val="0036500A"/>
    <w:rsid w:val="00365218"/>
    <w:rsid w:val="003652DF"/>
    <w:rsid w:val="00365357"/>
    <w:rsid w:val="0036542B"/>
    <w:rsid w:val="003657A2"/>
    <w:rsid w:val="003659A3"/>
    <w:rsid w:val="00365AD7"/>
    <w:rsid w:val="00365AEC"/>
    <w:rsid w:val="00365DE1"/>
    <w:rsid w:val="00366122"/>
    <w:rsid w:val="00366282"/>
    <w:rsid w:val="00366776"/>
    <w:rsid w:val="00366B3C"/>
    <w:rsid w:val="00366C1A"/>
    <w:rsid w:val="00366F9D"/>
    <w:rsid w:val="00366FA2"/>
    <w:rsid w:val="0036744A"/>
    <w:rsid w:val="003676CD"/>
    <w:rsid w:val="00367701"/>
    <w:rsid w:val="0036786D"/>
    <w:rsid w:val="00367A80"/>
    <w:rsid w:val="00367AC0"/>
    <w:rsid w:val="00367DFC"/>
    <w:rsid w:val="00370659"/>
    <w:rsid w:val="00371782"/>
    <w:rsid w:val="00371BD1"/>
    <w:rsid w:val="00371E10"/>
    <w:rsid w:val="00371ED5"/>
    <w:rsid w:val="0037222F"/>
    <w:rsid w:val="00372D48"/>
    <w:rsid w:val="0037351C"/>
    <w:rsid w:val="00373563"/>
    <w:rsid w:val="0037386A"/>
    <w:rsid w:val="00373C5B"/>
    <w:rsid w:val="00373CC6"/>
    <w:rsid w:val="0037445D"/>
    <w:rsid w:val="00374532"/>
    <w:rsid w:val="003746C2"/>
    <w:rsid w:val="003746F5"/>
    <w:rsid w:val="00374868"/>
    <w:rsid w:val="00374A2F"/>
    <w:rsid w:val="00374AEF"/>
    <w:rsid w:val="00374D5D"/>
    <w:rsid w:val="00374FA3"/>
    <w:rsid w:val="00375064"/>
    <w:rsid w:val="00375131"/>
    <w:rsid w:val="0037549A"/>
    <w:rsid w:val="003755AB"/>
    <w:rsid w:val="00375624"/>
    <w:rsid w:val="00375C42"/>
    <w:rsid w:val="00375DF4"/>
    <w:rsid w:val="00375FEA"/>
    <w:rsid w:val="00376313"/>
    <w:rsid w:val="003763E6"/>
    <w:rsid w:val="0037677B"/>
    <w:rsid w:val="00376812"/>
    <w:rsid w:val="00376907"/>
    <w:rsid w:val="00376B42"/>
    <w:rsid w:val="00376BBB"/>
    <w:rsid w:val="003771DE"/>
    <w:rsid w:val="00377223"/>
    <w:rsid w:val="00377314"/>
    <w:rsid w:val="003773CA"/>
    <w:rsid w:val="003773EA"/>
    <w:rsid w:val="003776A4"/>
    <w:rsid w:val="00377AE7"/>
    <w:rsid w:val="00377AF6"/>
    <w:rsid w:val="00377B04"/>
    <w:rsid w:val="00377C57"/>
    <w:rsid w:val="00377E8D"/>
    <w:rsid w:val="00377E94"/>
    <w:rsid w:val="00377FB6"/>
    <w:rsid w:val="003801CA"/>
    <w:rsid w:val="00380215"/>
    <w:rsid w:val="0038030E"/>
    <w:rsid w:val="00380654"/>
    <w:rsid w:val="00380B5D"/>
    <w:rsid w:val="00380C20"/>
    <w:rsid w:val="00380DB6"/>
    <w:rsid w:val="00380EA8"/>
    <w:rsid w:val="00380F3D"/>
    <w:rsid w:val="00380FD3"/>
    <w:rsid w:val="003810B8"/>
    <w:rsid w:val="003813EA"/>
    <w:rsid w:val="00381632"/>
    <w:rsid w:val="003817A7"/>
    <w:rsid w:val="0038195E"/>
    <w:rsid w:val="00381ACA"/>
    <w:rsid w:val="00381B83"/>
    <w:rsid w:val="00381C76"/>
    <w:rsid w:val="00381CDD"/>
    <w:rsid w:val="00381F5F"/>
    <w:rsid w:val="00381FE2"/>
    <w:rsid w:val="0038201F"/>
    <w:rsid w:val="0038202C"/>
    <w:rsid w:val="00382458"/>
    <w:rsid w:val="0038259C"/>
    <w:rsid w:val="00382839"/>
    <w:rsid w:val="0038291B"/>
    <w:rsid w:val="00382956"/>
    <w:rsid w:val="00382987"/>
    <w:rsid w:val="00382995"/>
    <w:rsid w:val="00382A08"/>
    <w:rsid w:val="00382E26"/>
    <w:rsid w:val="00382EA8"/>
    <w:rsid w:val="00383004"/>
    <w:rsid w:val="003830CE"/>
    <w:rsid w:val="00383623"/>
    <w:rsid w:val="00383696"/>
    <w:rsid w:val="0038378E"/>
    <w:rsid w:val="00383839"/>
    <w:rsid w:val="00383885"/>
    <w:rsid w:val="00383944"/>
    <w:rsid w:val="00383D4A"/>
    <w:rsid w:val="00383D84"/>
    <w:rsid w:val="00383E5D"/>
    <w:rsid w:val="00383F7B"/>
    <w:rsid w:val="00384130"/>
    <w:rsid w:val="00384145"/>
    <w:rsid w:val="0038468C"/>
    <w:rsid w:val="0038488B"/>
    <w:rsid w:val="00384BC5"/>
    <w:rsid w:val="00384D1F"/>
    <w:rsid w:val="003851EA"/>
    <w:rsid w:val="00385390"/>
    <w:rsid w:val="003854EC"/>
    <w:rsid w:val="003855B2"/>
    <w:rsid w:val="003858DB"/>
    <w:rsid w:val="0038590F"/>
    <w:rsid w:val="00385916"/>
    <w:rsid w:val="00385C9E"/>
    <w:rsid w:val="00385CFF"/>
    <w:rsid w:val="00385E2D"/>
    <w:rsid w:val="00386169"/>
    <w:rsid w:val="003861EA"/>
    <w:rsid w:val="003862C5"/>
    <w:rsid w:val="00386313"/>
    <w:rsid w:val="00386524"/>
    <w:rsid w:val="00386684"/>
    <w:rsid w:val="003866EC"/>
    <w:rsid w:val="003866EF"/>
    <w:rsid w:val="003867BD"/>
    <w:rsid w:val="00386915"/>
    <w:rsid w:val="00386960"/>
    <w:rsid w:val="003869CF"/>
    <w:rsid w:val="00386A5B"/>
    <w:rsid w:val="00386BEA"/>
    <w:rsid w:val="00386DE9"/>
    <w:rsid w:val="003872B8"/>
    <w:rsid w:val="003872D1"/>
    <w:rsid w:val="00387365"/>
    <w:rsid w:val="003873AF"/>
    <w:rsid w:val="003874F1"/>
    <w:rsid w:val="003876D8"/>
    <w:rsid w:val="0038781D"/>
    <w:rsid w:val="00387876"/>
    <w:rsid w:val="00387940"/>
    <w:rsid w:val="00387A75"/>
    <w:rsid w:val="00387CFF"/>
    <w:rsid w:val="0039011C"/>
    <w:rsid w:val="003902F5"/>
    <w:rsid w:val="003908C5"/>
    <w:rsid w:val="003908D6"/>
    <w:rsid w:val="003909F9"/>
    <w:rsid w:val="00390DB5"/>
    <w:rsid w:val="00390F43"/>
    <w:rsid w:val="0039104E"/>
    <w:rsid w:val="00391239"/>
    <w:rsid w:val="0039147F"/>
    <w:rsid w:val="003916A8"/>
    <w:rsid w:val="003919A5"/>
    <w:rsid w:val="00391A51"/>
    <w:rsid w:val="00391B62"/>
    <w:rsid w:val="00391C5F"/>
    <w:rsid w:val="00391DF6"/>
    <w:rsid w:val="00391E42"/>
    <w:rsid w:val="00391F14"/>
    <w:rsid w:val="0039235A"/>
    <w:rsid w:val="003925FC"/>
    <w:rsid w:val="0039262E"/>
    <w:rsid w:val="00392D1F"/>
    <w:rsid w:val="00392DD5"/>
    <w:rsid w:val="00392E10"/>
    <w:rsid w:val="00392EEA"/>
    <w:rsid w:val="00393394"/>
    <w:rsid w:val="003935E0"/>
    <w:rsid w:val="0039372C"/>
    <w:rsid w:val="003937F3"/>
    <w:rsid w:val="00393998"/>
    <w:rsid w:val="00393A31"/>
    <w:rsid w:val="00393A9C"/>
    <w:rsid w:val="00393AF6"/>
    <w:rsid w:val="00393CA8"/>
    <w:rsid w:val="00393E55"/>
    <w:rsid w:val="003940DF"/>
    <w:rsid w:val="00394216"/>
    <w:rsid w:val="003942CE"/>
    <w:rsid w:val="00394818"/>
    <w:rsid w:val="003948DA"/>
    <w:rsid w:val="00394987"/>
    <w:rsid w:val="003949F9"/>
    <w:rsid w:val="00394B8F"/>
    <w:rsid w:val="00394DB4"/>
    <w:rsid w:val="00394F0D"/>
    <w:rsid w:val="003955AB"/>
    <w:rsid w:val="00395847"/>
    <w:rsid w:val="003958F4"/>
    <w:rsid w:val="00395E1F"/>
    <w:rsid w:val="003962C5"/>
    <w:rsid w:val="003963CB"/>
    <w:rsid w:val="003963E6"/>
    <w:rsid w:val="00396676"/>
    <w:rsid w:val="00396966"/>
    <w:rsid w:val="00396B68"/>
    <w:rsid w:val="00396C6D"/>
    <w:rsid w:val="00396C71"/>
    <w:rsid w:val="00396DB1"/>
    <w:rsid w:val="003974FF"/>
    <w:rsid w:val="00397708"/>
    <w:rsid w:val="003977D9"/>
    <w:rsid w:val="003979B2"/>
    <w:rsid w:val="00397ADF"/>
    <w:rsid w:val="00397DA1"/>
    <w:rsid w:val="003A005B"/>
    <w:rsid w:val="003A0899"/>
    <w:rsid w:val="003A0AA3"/>
    <w:rsid w:val="003A0D4F"/>
    <w:rsid w:val="003A1050"/>
    <w:rsid w:val="003A1101"/>
    <w:rsid w:val="003A14AA"/>
    <w:rsid w:val="003A15D6"/>
    <w:rsid w:val="003A17D9"/>
    <w:rsid w:val="003A1887"/>
    <w:rsid w:val="003A1B4B"/>
    <w:rsid w:val="003A2868"/>
    <w:rsid w:val="003A2AA9"/>
    <w:rsid w:val="003A2ACF"/>
    <w:rsid w:val="003A2FA7"/>
    <w:rsid w:val="003A31E8"/>
    <w:rsid w:val="003A3271"/>
    <w:rsid w:val="003A35B3"/>
    <w:rsid w:val="003A388E"/>
    <w:rsid w:val="003A42CB"/>
    <w:rsid w:val="003A4754"/>
    <w:rsid w:val="003A4759"/>
    <w:rsid w:val="003A48E2"/>
    <w:rsid w:val="003A4D29"/>
    <w:rsid w:val="003A4F21"/>
    <w:rsid w:val="003A5145"/>
    <w:rsid w:val="003A55B6"/>
    <w:rsid w:val="003A58F2"/>
    <w:rsid w:val="003A5EC6"/>
    <w:rsid w:val="003A6BE5"/>
    <w:rsid w:val="003A6FB0"/>
    <w:rsid w:val="003A7088"/>
    <w:rsid w:val="003A70E5"/>
    <w:rsid w:val="003A7514"/>
    <w:rsid w:val="003A7C07"/>
    <w:rsid w:val="003A7C93"/>
    <w:rsid w:val="003A7CE4"/>
    <w:rsid w:val="003A7DFA"/>
    <w:rsid w:val="003A7E7A"/>
    <w:rsid w:val="003B06C3"/>
    <w:rsid w:val="003B08A1"/>
    <w:rsid w:val="003B0C99"/>
    <w:rsid w:val="003B0DC5"/>
    <w:rsid w:val="003B120B"/>
    <w:rsid w:val="003B1346"/>
    <w:rsid w:val="003B1849"/>
    <w:rsid w:val="003B1932"/>
    <w:rsid w:val="003B1E21"/>
    <w:rsid w:val="003B1F4E"/>
    <w:rsid w:val="003B2445"/>
    <w:rsid w:val="003B2472"/>
    <w:rsid w:val="003B2C1D"/>
    <w:rsid w:val="003B313B"/>
    <w:rsid w:val="003B3611"/>
    <w:rsid w:val="003B3AAE"/>
    <w:rsid w:val="003B3FF2"/>
    <w:rsid w:val="003B4275"/>
    <w:rsid w:val="003B4322"/>
    <w:rsid w:val="003B4350"/>
    <w:rsid w:val="003B449F"/>
    <w:rsid w:val="003B4570"/>
    <w:rsid w:val="003B4E09"/>
    <w:rsid w:val="003B4F43"/>
    <w:rsid w:val="003B55C5"/>
    <w:rsid w:val="003B5814"/>
    <w:rsid w:val="003B58F2"/>
    <w:rsid w:val="003B5C3C"/>
    <w:rsid w:val="003B5C87"/>
    <w:rsid w:val="003B5E1E"/>
    <w:rsid w:val="003B63E4"/>
    <w:rsid w:val="003B6624"/>
    <w:rsid w:val="003B674E"/>
    <w:rsid w:val="003B6820"/>
    <w:rsid w:val="003B697D"/>
    <w:rsid w:val="003B6A5F"/>
    <w:rsid w:val="003B6B41"/>
    <w:rsid w:val="003B6B7A"/>
    <w:rsid w:val="003B6C77"/>
    <w:rsid w:val="003B7059"/>
    <w:rsid w:val="003B72A6"/>
    <w:rsid w:val="003B748B"/>
    <w:rsid w:val="003B78F3"/>
    <w:rsid w:val="003B7D35"/>
    <w:rsid w:val="003B7E9A"/>
    <w:rsid w:val="003B7F05"/>
    <w:rsid w:val="003C0036"/>
    <w:rsid w:val="003C044B"/>
    <w:rsid w:val="003C05D0"/>
    <w:rsid w:val="003C0640"/>
    <w:rsid w:val="003C0DE3"/>
    <w:rsid w:val="003C0E97"/>
    <w:rsid w:val="003C1130"/>
    <w:rsid w:val="003C11C1"/>
    <w:rsid w:val="003C13F7"/>
    <w:rsid w:val="003C181F"/>
    <w:rsid w:val="003C19B0"/>
    <w:rsid w:val="003C1A8A"/>
    <w:rsid w:val="003C1AE2"/>
    <w:rsid w:val="003C1C65"/>
    <w:rsid w:val="003C1C90"/>
    <w:rsid w:val="003C1D70"/>
    <w:rsid w:val="003C1D71"/>
    <w:rsid w:val="003C2073"/>
    <w:rsid w:val="003C229A"/>
    <w:rsid w:val="003C246B"/>
    <w:rsid w:val="003C2640"/>
    <w:rsid w:val="003C27A7"/>
    <w:rsid w:val="003C2D02"/>
    <w:rsid w:val="003C2DC9"/>
    <w:rsid w:val="003C2E35"/>
    <w:rsid w:val="003C2EC9"/>
    <w:rsid w:val="003C2F8D"/>
    <w:rsid w:val="003C37E4"/>
    <w:rsid w:val="003C38F1"/>
    <w:rsid w:val="003C3977"/>
    <w:rsid w:val="003C3A1E"/>
    <w:rsid w:val="003C3AD1"/>
    <w:rsid w:val="003C3E38"/>
    <w:rsid w:val="003C3F93"/>
    <w:rsid w:val="003C4037"/>
    <w:rsid w:val="003C4353"/>
    <w:rsid w:val="003C446F"/>
    <w:rsid w:val="003C4853"/>
    <w:rsid w:val="003C4931"/>
    <w:rsid w:val="003C4986"/>
    <w:rsid w:val="003C4A7A"/>
    <w:rsid w:val="003C4AB2"/>
    <w:rsid w:val="003C4B84"/>
    <w:rsid w:val="003C4D37"/>
    <w:rsid w:val="003C4FC7"/>
    <w:rsid w:val="003C505B"/>
    <w:rsid w:val="003C50C5"/>
    <w:rsid w:val="003C515A"/>
    <w:rsid w:val="003C55EB"/>
    <w:rsid w:val="003C57B7"/>
    <w:rsid w:val="003C58B5"/>
    <w:rsid w:val="003C5EE7"/>
    <w:rsid w:val="003C6141"/>
    <w:rsid w:val="003C616C"/>
    <w:rsid w:val="003C62CD"/>
    <w:rsid w:val="003C63AA"/>
    <w:rsid w:val="003C6870"/>
    <w:rsid w:val="003C6B23"/>
    <w:rsid w:val="003C6D62"/>
    <w:rsid w:val="003C6F0F"/>
    <w:rsid w:val="003C7124"/>
    <w:rsid w:val="003C71CF"/>
    <w:rsid w:val="003C789D"/>
    <w:rsid w:val="003C78A9"/>
    <w:rsid w:val="003C7A29"/>
    <w:rsid w:val="003C7B5F"/>
    <w:rsid w:val="003C7C26"/>
    <w:rsid w:val="003C7E1B"/>
    <w:rsid w:val="003C7EF3"/>
    <w:rsid w:val="003D04DF"/>
    <w:rsid w:val="003D07E7"/>
    <w:rsid w:val="003D09BB"/>
    <w:rsid w:val="003D0F16"/>
    <w:rsid w:val="003D100E"/>
    <w:rsid w:val="003D11AC"/>
    <w:rsid w:val="003D1260"/>
    <w:rsid w:val="003D1425"/>
    <w:rsid w:val="003D14B8"/>
    <w:rsid w:val="003D1506"/>
    <w:rsid w:val="003D151B"/>
    <w:rsid w:val="003D15E4"/>
    <w:rsid w:val="003D1788"/>
    <w:rsid w:val="003D17A6"/>
    <w:rsid w:val="003D1894"/>
    <w:rsid w:val="003D1A91"/>
    <w:rsid w:val="003D1FF5"/>
    <w:rsid w:val="003D20E9"/>
    <w:rsid w:val="003D2405"/>
    <w:rsid w:val="003D240D"/>
    <w:rsid w:val="003D260B"/>
    <w:rsid w:val="003D262D"/>
    <w:rsid w:val="003D284E"/>
    <w:rsid w:val="003D29C4"/>
    <w:rsid w:val="003D2A50"/>
    <w:rsid w:val="003D2A65"/>
    <w:rsid w:val="003D2C0D"/>
    <w:rsid w:val="003D2CAD"/>
    <w:rsid w:val="003D3204"/>
    <w:rsid w:val="003D3404"/>
    <w:rsid w:val="003D3437"/>
    <w:rsid w:val="003D3866"/>
    <w:rsid w:val="003D39B5"/>
    <w:rsid w:val="003D3A35"/>
    <w:rsid w:val="003D4144"/>
    <w:rsid w:val="003D41DB"/>
    <w:rsid w:val="003D437B"/>
    <w:rsid w:val="003D45F9"/>
    <w:rsid w:val="003D490D"/>
    <w:rsid w:val="003D4A0C"/>
    <w:rsid w:val="003D4A56"/>
    <w:rsid w:val="003D4C20"/>
    <w:rsid w:val="003D4EE3"/>
    <w:rsid w:val="003D5417"/>
    <w:rsid w:val="003D5721"/>
    <w:rsid w:val="003D5801"/>
    <w:rsid w:val="003D5827"/>
    <w:rsid w:val="003D597B"/>
    <w:rsid w:val="003D5993"/>
    <w:rsid w:val="003D5B9B"/>
    <w:rsid w:val="003D5C41"/>
    <w:rsid w:val="003D5E95"/>
    <w:rsid w:val="003D5F70"/>
    <w:rsid w:val="003D5FD8"/>
    <w:rsid w:val="003D61C5"/>
    <w:rsid w:val="003D62DB"/>
    <w:rsid w:val="003D6380"/>
    <w:rsid w:val="003D6552"/>
    <w:rsid w:val="003D68F7"/>
    <w:rsid w:val="003D6B7F"/>
    <w:rsid w:val="003D6CE5"/>
    <w:rsid w:val="003D6D54"/>
    <w:rsid w:val="003D6DD8"/>
    <w:rsid w:val="003D6F31"/>
    <w:rsid w:val="003D711F"/>
    <w:rsid w:val="003D7186"/>
    <w:rsid w:val="003D763C"/>
    <w:rsid w:val="003D7663"/>
    <w:rsid w:val="003D7954"/>
    <w:rsid w:val="003D7B2C"/>
    <w:rsid w:val="003D7CB5"/>
    <w:rsid w:val="003D7D91"/>
    <w:rsid w:val="003D7DC6"/>
    <w:rsid w:val="003E0A1F"/>
    <w:rsid w:val="003E10E6"/>
    <w:rsid w:val="003E165C"/>
    <w:rsid w:val="003E1917"/>
    <w:rsid w:val="003E19DF"/>
    <w:rsid w:val="003E1A24"/>
    <w:rsid w:val="003E1B02"/>
    <w:rsid w:val="003E2013"/>
    <w:rsid w:val="003E21F2"/>
    <w:rsid w:val="003E2209"/>
    <w:rsid w:val="003E226C"/>
    <w:rsid w:val="003E2385"/>
    <w:rsid w:val="003E259A"/>
    <w:rsid w:val="003E265F"/>
    <w:rsid w:val="003E26B8"/>
    <w:rsid w:val="003E27B2"/>
    <w:rsid w:val="003E2A7A"/>
    <w:rsid w:val="003E2AE0"/>
    <w:rsid w:val="003E2B2D"/>
    <w:rsid w:val="003E2FFD"/>
    <w:rsid w:val="003E30DC"/>
    <w:rsid w:val="003E317C"/>
    <w:rsid w:val="003E3253"/>
    <w:rsid w:val="003E36A2"/>
    <w:rsid w:val="003E3B76"/>
    <w:rsid w:val="003E3CE4"/>
    <w:rsid w:val="003E3DDD"/>
    <w:rsid w:val="003E4444"/>
    <w:rsid w:val="003E44C6"/>
    <w:rsid w:val="003E4D9E"/>
    <w:rsid w:val="003E5211"/>
    <w:rsid w:val="003E5290"/>
    <w:rsid w:val="003E5A32"/>
    <w:rsid w:val="003E5B8C"/>
    <w:rsid w:val="003E5E0B"/>
    <w:rsid w:val="003E5E51"/>
    <w:rsid w:val="003E60DC"/>
    <w:rsid w:val="003E61AB"/>
    <w:rsid w:val="003E6467"/>
    <w:rsid w:val="003E65CA"/>
    <w:rsid w:val="003E65EA"/>
    <w:rsid w:val="003E6630"/>
    <w:rsid w:val="003E690E"/>
    <w:rsid w:val="003E6B66"/>
    <w:rsid w:val="003E6B72"/>
    <w:rsid w:val="003E6D50"/>
    <w:rsid w:val="003E6DFD"/>
    <w:rsid w:val="003E6FB0"/>
    <w:rsid w:val="003E6FDA"/>
    <w:rsid w:val="003E7169"/>
    <w:rsid w:val="003E719A"/>
    <w:rsid w:val="003E7289"/>
    <w:rsid w:val="003E77EE"/>
    <w:rsid w:val="003E7967"/>
    <w:rsid w:val="003E79F5"/>
    <w:rsid w:val="003E7C10"/>
    <w:rsid w:val="003E7ED9"/>
    <w:rsid w:val="003E7EEE"/>
    <w:rsid w:val="003E7FA5"/>
    <w:rsid w:val="003F0217"/>
    <w:rsid w:val="003F0732"/>
    <w:rsid w:val="003F0886"/>
    <w:rsid w:val="003F0DE2"/>
    <w:rsid w:val="003F0F47"/>
    <w:rsid w:val="003F100E"/>
    <w:rsid w:val="003F153F"/>
    <w:rsid w:val="003F184B"/>
    <w:rsid w:val="003F18B9"/>
    <w:rsid w:val="003F1974"/>
    <w:rsid w:val="003F1992"/>
    <w:rsid w:val="003F19E3"/>
    <w:rsid w:val="003F1AF7"/>
    <w:rsid w:val="003F1B66"/>
    <w:rsid w:val="003F1C74"/>
    <w:rsid w:val="003F1DE8"/>
    <w:rsid w:val="003F211C"/>
    <w:rsid w:val="003F2124"/>
    <w:rsid w:val="003F231A"/>
    <w:rsid w:val="003F2341"/>
    <w:rsid w:val="003F2426"/>
    <w:rsid w:val="003F2A1E"/>
    <w:rsid w:val="003F2D81"/>
    <w:rsid w:val="003F31D2"/>
    <w:rsid w:val="003F32C9"/>
    <w:rsid w:val="003F336D"/>
    <w:rsid w:val="003F34D8"/>
    <w:rsid w:val="003F353D"/>
    <w:rsid w:val="003F369C"/>
    <w:rsid w:val="003F3716"/>
    <w:rsid w:val="003F3772"/>
    <w:rsid w:val="003F3967"/>
    <w:rsid w:val="003F3B82"/>
    <w:rsid w:val="003F3BC0"/>
    <w:rsid w:val="003F3C3C"/>
    <w:rsid w:val="003F3CD7"/>
    <w:rsid w:val="003F3DC0"/>
    <w:rsid w:val="003F3ED5"/>
    <w:rsid w:val="003F3F62"/>
    <w:rsid w:val="003F4533"/>
    <w:rsid w:val="003F4672"/>
    <w:rsid w:val="003F4702"/>
    <w:rsid w:val="003F47C2"/>
    <w:rsid w:val="003F4845"/>
    <w:rsid w:val="003F4ACB"/>
    <w:rsid w:val="003F4BBB"/>
    <w:rsid w:val="003F4DBE"/>
    <w:rsid w:val="003F4DEB"/>
    <w:rsid w:val="003F4E4A"/>
    <w:rsid w:val="003F557E"/>
    <w:rsid w:val="003F558E"/>
    <w:rsid w:val="003F573F"/>
    <w:rsid w:val="003F5909"/>
    <w:rsid w:val="003F5BB6"/>
    <w:rsid w:val="003F5BFA"/>
    <w:rsid w:val="003F5EA8"/>
    <w:rsid w:val="003F5FFA"/>
    <w:rsid w:val="003F641D"/>
    <w:rsid w:val="003F65CB"/>
    <w:rsid w:val="003F6959"/>
    <w:rsid w:val="003F6A2F"/>
    <w:rsid w:val="003F6A69"/>
    <w:rsid w:val="003F6D3E"/>
    <w:rsid w:val="003F6D4D"/>
    <w:rsid w:val="003F6EAB"/>
    <w:rsid w:val="003F6FF7"/>
    <w:rsid w:val="003F702D"/>
    <w:rsid w:val="003F7041"/>
    <w:rsid w:val="003F7082"/>
    <w:rsid w:val="003F71E9"/>
    <w:rsid w:val="003F76DF"/>
    <w:rsid w:val="003F7796"/>
    <w:rsid w:val="003F77A4"/>
    <w:rsid w:val="003F7887"/>
    <w:rsid w:val="003F7CC5"/>
    <w:rsid w:val="00400033"/>
    <w:rsid w:val="00400178"/>
    <w:rsid w:val="00400259"/>
    <w:rsid w:val="00400563"/>
    <w:rsid w:val="004005A6"/>
    <w:rsid w:val="00400641"/>
    <w:rsid w:val="004006F2"/>
    <w:rsid w:val="0040070F"/>
    <w:rsid w:val="00400900"/>
    <w:rsid w:val="00400BF5"/>
    <w:rsid w:val="00400CDC"/>
    <w:rsid w:val="00400D68"/>
    <w:rsid w:val="00401257"/>
    <w:rsid w:val="004018AB"/>
    <w:rsid w:val="00401A63"/>
    <w:rsid w:val="00401E6F"/>
    <w:rsid w:val="00402023"/>
    <w:rsid w:val="00402092"/>
    <w:rsid w:val="004022C5"/>
    <w:rsid w:val="0040259E"/>
    <w:rsid w:val="004028E3"/>
    <w:rsid w:val="00402A7A"/>
    <w:rsid w:val="00402C1B"/>
    <w:rsid w:val="00402E58"/>
    <w:rsid w:val="004034B7"/>
    <w:rsid w:val="00403677"/>
    <w:rsid w:val="0040382F"/>
    <w:rsid w:val="00403DA8"/>
    <w:rsid w:val="00403E2B"/>
    <w:rsid w:val="00403F7B"/>
    <w:rsid w:val="00403F90"/>
    <w:rsid w:val="0040403E"/>
    <w:rsid w:val="00404AA7"/>
    <w:rsid w:val="00404DE6"/>
    <w:rsid w:val="0040512F"/>
    <w:rsid w:val="004054BD"/>
    <w:rsid w:val="004055AB"/>
    <w:rsid w:val="004055E3"/>
    <w:rsid w:val="00405879"/>
    <w:rsid w:val="004058A9"/>
    <w:rsid w:val="00405A34"/>
    <w:rsid w:val="00405A62"/>
    <w:rsid w:val="00405C22"/>
    <w:rsid w:val="0040603F"/>
    <w:rsid w:val="00406237"/>
    <w:rsid w:val="004064A9"/>
    <w:rsid w:val="0040654B"/>
    <w:rsid w:val="00406655"/>
    <w:rsid w:val="004067AD"/>
    <w:rsid w:val="004067F5"/>
    <w:rsid w:val="0040697C"/>
    <w:rsid w:val="00406A08"/>
    <w:rsid w:val="00406C0D"/>
    <w:rsid w:val="00406DB0"/>
    <w:rsid w:val="00406DFE"/>
    <w:rsid w:val="00406F61"/>
    <w:rsid w:val="00407886"/>
    <w:rsid w:val="0040793B"/>
    <w:rsid w:val="00407AE2"/>
    <w:rsid w:val="00407EE0"/>
    <w:rsid w:val="00410166"/>
    <w:rsid w:val="0041029B"/>
    <w:rsid w:val="0041054F"/>
    <w:rsid w:val="0041058C"/>
    <w:rsid w:val="00410638"/>
    <w:rsid w:val="00410B5D"/>
    <w:rsid w:val="00410D9D"/>
    <w:rsid w:val="00410FAE"/>
    <w:rsid w:val="00411003"/>
    <w:rsid w:val="00411515"/>
    <w:rsid w:val="00411862"/>
    <w:rsid w:val="00411A8E"/>
    <w:rsid w:val="00411BB1"/>
    <w:rsid w:val="00411BF1"/>
    <w:rsid w:val="00411D52"/>
    <w:rsid w:val="004121CD"/>
    <w:rsid w:val="00412627"/>
    <w:rsid w:val="00412A3B"/>
    <w:rsid w:val="00412CC5"/>
    <w:rsid w:val="00412D44"/>
    <w:rsid w:val="004131FA"/>
    <w:rsid w:val="0041352C"/>
    <w:rsid w:val="004136A8"/>
    <w:rsid w:val="00413BB5"/>
    <w:rsid w:val="00413F4C"/>
    <w:rsid w:val="00414080"/>
    <w:rsid w:val="0041435A"/>
    <w:rsid w:val="00414806"/>
    <w:rsid w:val="0041482E"/>
    <w:rsid w:val="004149A6"/>
    <w:rsid w:val="00414ABB"/>
    <w:rsid w:val="00414B1C"/>
    <w:rsid w:val="00414F56"/>
    <w:rsid w:val="004150F9"/>
    <w:rsid w:val="004151D0"/>
    <w:rsid w:val="00415654"/>
    <w:rsid w:val="004158C7"/>
    <w:rsid w:val="00415B47"/>
    <w:rsid w:val="00415EB5"/>
    <w:rsid w:val="00415F31"/>
    <w:rsid w:val="004160FE"/>
    <w:rsid w:val="00416266"/>
    <w:rsid w:val="004162B5"/>
    <w:rsid w:val="004162F2"/>
    <w:rsid w:val="00416605"/>
    <w:rsid w:val="00416748"/>
    <w:rsid w:val="004168D0"/>
    <w:rsid w:val="00416A46"/>
    <w:rsid w:val="00416CD9"/>
    <w:rsid w:val="00417268"/>
    <w:rsid w:val="0041795D"/>
    <w:rsid w:val="00417A75"/>
    <w:rsid w:val="00417A9F"/>
    <w:rsid w:val="00417B6C"/>
    <w:rsid w:val="00417D8B"/>
    <w:rsid w:val="004206A3"/>
    <w:rsid w:val="00420794"/>
    <w:rsid w:val="004208AE"/>
    <w:rsid w:val="004208DF"/>
    <w:rsid w:val="00420A6B"/>
    <w:rsid w:val="00420B9C"/>
    <w:rsid w:val="00421070"/>
    <w:rsid w:val="0042107E"/>
    <w:rsid w:val="004212A3"/>
    <w:rsid w:val="0042142D"/>
    <w:rsid w:val="00421D0D"/>
    <w:rsid w:val="00421DE1"/>
    <w:rsid w:val="00422007"/>
    <w:rsid w:val="00422078"/>
    <w:rsid w:val="004223DE"/>
    <w:rsid w:val="00422411"/>
    <w:rsid w:val="004225FD"/>
    <w:rsid w:val="00422ACD"/>
    <w:rsid w:val="00422C70"/>
    <w:rsid w:val="00422D02"/>
    <w:rsid w:val="00422DE7"/>
    <w:rsid w:val="004231A9"/>
    <w:rsid w:val="004232A9"/>
    <w:rsid w:val="00423587"/>
    <w:rsid w:val="004235BE"/>
    <w:rsid w:val="00423847"/>
    <w:rsid w:val="00423B7F"/>
    <w:rsid w:val="00423EA4"/>
    <w:rsid w:val="00423F5A"/>
    <w:rsid w:val="004240DF"/>
    <w:rsid w:val="004248CA"/>
    <w:rsid w:val="00424B78"/>
    <w:rsid w:val="00424C0A"/>
    <w:rsid w:val="00425054"/>
    <w:rsid w:val="00425090"/>
    <w:rsid w:val="0042511C"/>
    <w:rsid w:val="00425130"/>
    <w:rsid w:val="00425657"/>
    <w:rsid w:val="004256B2"/>
    <w:rsid w:val="004256CC"/>
    <w:rsid w:val="00425B38"/>
    <w:rsid w:val="00425B51"/>
    <w:rsid w:val="00425F7F"/>
    <w:rsid w:val="00425F8C"/>
    <w:rsid w:val="004262FC"/>
    <w:rsid w:val="00426804"/>
    <w:rsid w:val="004268FC"/>
    <w:rsid w:val="00426AE7"/>
    <w:rsid w:val="00426E38"/>
    <w:rsid w:val="004274EB"/>
    <w:rsid w:val="004275A8"/>
    <w:rsid w:val="0042762A"/>
    <w:rsid w:val="00427A45"/>
    <w:rsid w:val="00427F11"/>
    <w:rsid w:val="00430124"/>
    <w:rsid w:val="00430550"/>
    <w:rsid w:val="00430C50"/>
    <w:rsid w:val="00430F5C"/>
    <w:rsid w:val="00431106"/>
    <w:rsid w:val="0043147F"/>
    <w:rsid w:val="00431673"/>
    <w:rsid w:val="00431AD7"/>
    <w:rsid w:val="00431C8D"/>
    <w:rsid w:val="00431DF9"/>
    <w:rsid w:val="00432094"/>
    <w:rsid w:val="0043229E"/>
    <w:rsid w:val="00432517"/>
    <w:rsid w:val="00432596"/>
    <w:rsid w:val="00432689"/>
    <w:rsid w:val="0043278B"/>
    <w:rsid w:val="004329BD"/>
    <w:rsid w:val="00432A3D"/>
    <w:rsid w:val="00432EB4"/>
    <w:rsid w:val="00432F9B"/>
    <w:rsid w:val="004334B3"/>
    <w:rsid w:val="00433505"/>
    <w:rsid w:val="004335E8"/>
    <w:rsid w:val="004337EC"/>
    <w:rsid w:val="00433B1A"/>
    <w:rsid w:val="00433F27"/>
    <w:rsid w:val="004342D6"/>
    <w:rsid w:val="00434AFE"/>
    <w:rsid w:val="00434BA2"/>
    <w:rsid w:val="00434DB2"/>
    <w:rsid w:val="00434E33"/>
    <w:rsid w:val="0043514F"/>
    <w:rsid w:val="0043544C"/>
    <w:rsid w:val="004356BE"/>
    <w:rsid w:val="00435737"/>
    <w:rsid w:val="00435828"/>
    <w:rsid w:val="00435AAA"/>
    <w:rsid w:val="00435C02"/>
    <w:rsid w:val="00435E00"/>
    <w:rsid w:val="00435EC2"/>
    <w:rsid w:val="004364B8"/>
    <w:rsid w:val="004364DA"/>
    <w:rsid w:val="00436573"/>
    <w:rsid w:val="00436587"/>
    <w:rsid w:val="00436690"/>
    <w:rsid w:val="00436A3E"/>
    <w:rsid w:val="00436BC2"/>
    <w:rsid w:val="00436CBF"/>
    <w:rsid w:val="00436FC1"/>
    <w:rsid w:val="00437379"/>
    <w:rsid w:val="004374D9"/>
    <w:rsid w:val="004377C6"/>
    <w:rsid w:val="004378D0"/>
    <w:rsid w:val="00437983"/>
    <w:rsid w:val="00440480"/>
    <w:rsid w:val="00440539"/>
    <w:rsid w:val="00440A5E"/>
    <w:rsid w:val="00440B24"/>
    <w:rsid w:val="00440D78"/>
    <w:rsid w:val="0044101D"/>
    <w:rsid w:val="004416BF"/>
    <w:rsid w:val="00441A2A"/>
    <w:rsid w:val="00441BE1"/>
    <w:rsid w:val="00442001"/>
    <w:rsid w:val="004420F6"/>
    <w:rsid w:val="00442265"/>
    <w:rsid w:val="0044293E"/>
    <w:rsid w:val="00442B74"/>
    <w:rsid w:val="00442BDC"/>
    <w:rsid w:val="00442CF5"/>
    <w:rsid w:val="00442D0F"/>
    <w:rsid w:val="004431F5"/>
    <w:rsid w:val="0044336C"/>
    <w:rsid w:val="0044349F"/>
    <w:rsid w:val="0044359A"/>
    <w:rsid w:val="004435DA"/>
    <w:rsid w:val="00443721"/>
    <w:rsid w:val="0044393D"/>
    <w:rsid w:val="0044399C"/>
    <w:rsid w:val="00443E1B"/>
    <w:rsid w:val="004442B8"/>
    <w:rsid w:val="00444842"/>
    <w:rsid w:val="004449FA"/>
    <w:rsid w:val="00444C6E"/>
    <w:rsid w:val="00444D75"/>
    <w:rsid w:val="00444EDF"/>
    <w:rsid w:val="00444F65"/>
    <w:rsid w:val="004451B7"/>
    <w:rsid w:val="00445251"/>
    <w:rsid w:val="00445299"/>
    <w:rsid w:val="00445A90"/>
    <w:rsid w:val="00445ADA"/>
    <w:rsid w:val="00445CBF"/>
    <w:rsid w:val="00445F10"/>
    <w:rsid w:val="004460BD"/>
    <w:rsid w:val="00446106"/>
    <w:rsid w:val="00446126"/>
    <w:rsid w:val="004462D2"/>
    <w:rsid w:val="00446302"/>
    <w:rsid w:val="00446594"/>
    <w:rsid w:val="00446702"/>
    <w:rsid w:val="00446720"/>
    <w:rsid w:val="004469B1"/>
    <w:rsid w:val="00446A09"/>
    <w:rsid w:val="00446A99"/>
    <w:rsid w:val="00446C95"/>
    <w:rsid w:val="00446D58"/>
    <w:rsid w:val="00446F08"/>
    <w:rsid w:val="00447127"/>
    <w:rsid w:val="00447358"/>
    <w:rsid w:val="004473B9"/>
    <w:rsid w:val="004473DC"/>
    <w:rsid w:val="00447438"/>
    <w:rsid w:val="0044744E"/>
    <w:rsid w:val="0044744F"/>
    <w:rsid w:val="004474DA"/>
    <w:rsid w:val="004474EA"/>
    <w:rsid w:val="004475B1"/>
    <w:rsid w:val="004476C6"/>
    <w:rsid w:val="00447704"/>
    <w:rsid w:val="0044783F"/>
    <w:rsid w:val="00447B12"/>
    <w:rsid w:val="00447DC8"/>
    <w:rsid w:val="0045014C"/>
    <w:rsid w:val="004507A1"/>
    <w:rsid w:val="00450860"/>
    <w:rsid w:val="0045094C"/>
    <w:rsid w:val="0045097B"/>
    <w:rsid w:val="00450AD9"/>
    <w:rsid w:val="00450BEF"/>
    <w:rsid w:val="00450D71"/>
    <w:rsid w:val="00450E58"/>
    <w:rsid w:val="00450FA3"/>
    <w:rsid w:val="0045130C"/>
    <w:rsid w:val="004515F2"/>
    <w:rsid w:val="00451687"/>
    <w:rsid w:val="00451861"/>
    <w:rsid w:val="00451A2B"/>
    <w:rsid w:val="00451BF7"/>
    <w:rsid w:val="00451E2C"/>
    <w:rsid w:val="00451EA0"/>
    <w:rsid w:val="00452195"/>
    <w:rsid w:val="004523D5"/>
    <w:rsid w:val="004527FD"/>
    <w:rsid w:val="0045293A"/>
    <w:rsid w:val="00452AA2"/>
    <w:rsid w:val="00452B67"/>
    <w:rsid w:val="00452D79"/>
    <w:rsid w:val="00452FB2"/>
    <w:rsid w:val="0045353B"/>
    <w:rsid w:val="00453578"/>
    <w:rsid w:val="00453A4C"/>
    <w:rsid w:val="00453AEA"/>
    <w:rsid w:val="00453C87"/>
    <w:rsid w:val="00453CE2"/>
    <w:rsid w:val="00453F27"/>
    <w:rsid w:val="004540BD"/>
    <w:rsid w:val="00454372"/>
    <w:rsid w:val="004545F4"/>
    <w:rsid w:val="00454636"/>
    <w:rsid w:val="00454A58"/>
    <w:rsid w:val="00455189"/>
    <w:rsid w:val="00455214"/>
    <w:rsid w:val="004552D6"/>
    <w:rsid w:val="00455459"/>
    <w:rsid w:val="0045546C"/>
    <w:rsid w:val="00455562"/>
    <w:rsid w:val="00455580"/>
    <w:rsid w:val="00455658"/>
    <w:rsid w:val="0045571C"/>
    <w:rsid w:val="0045587E"/>
    <w:rsid w:val="00455F31"/>
    <w:rsid w:val="00456136"/>
    <w:rsid w:val="004561B6"/>
    <w:rsid w:val="00456358"/>
    <w:rsid w:val="004565FB"/>
    <w:rsid w:val="004565FF"/>
    <w:rsid w:val="00456681"/>
    <w:rsid w:val="00456770"/>
    <w:rsid w:val="0045690D"/>
    <w:rsid w:val="00456B25"/>
    <w:rsid w:val="00456D5A"/>
    <w:rsid w:val="00456D82"/>
    <w:rsid w:val="004574E4"/>
    <w:rsid w:val="00457742"/>
    <w:rsid w:val="00457D44"/>
    <w:rsid w:val="00457EE9"/>
    <w:rsid w:val="00457FC8"/>
    <w:rsid w:val="004602BA"/>
    <w:rsid w:val="004603D9"/>
    <w:rsid w:val="0046055C"/>
    <w:rsid w:val="0046056D"/>
    <w:rsid w:val="0046057E"/>
    <w:rsid w:val="00460A01"/>
    <w:rsid w:val="00460A52"/>
    <w:rsid w:val="00460B17"/>
    <w:rsid w:val="00460B7E"/>
    <w:rsid w:val="0046127D"/>
    <w:rsid w:val="0046133D"/>
    <w:rsid w:val="00461754"/>
    <w:rsid w:val="004617EF"/>
    <w:rsid w:val="00461A1C"/>
    <w:rsid w:val="00461F15"/>
    <w:rsid w:val="00461F6E"/>
    <w:rsid w:val="004621DF"/>
    <w:rsid w:val="004622EC"/>
    <w:rsid w:val="00462756"/>
    <w:rsid w:val="00462BA5"/>
    <w:rsid w:val="00462CF1"/>
    <w:rsid w:val="00462DE9"/>
    <w:rsid w:val="00462FF1"/>
    <w:rsid w:val="0046329B"/>
    <w:rsid w:val="004633B3"/>
    <w:rsid w:val="004638EC"/>
    <w:rsid w:val="00463B22"/>
    <w:rsid w:val="00463B32"/>
    <w:rsid w:val="00463C03"/>
    <w:rsid w:val="00463C16"/>
    <w:rsid w:val="00463EE7"/>
    <w:rsid w:val="0046414A"/>
    <w:rsid w:val="00464328"/>
    <w:rsid w:val="004645AF"/>
    <w:rsid w:val="004646ED"/>
    <w:rsid w:val="004648AC"/>
    <w:rsid w:val="00464CDA"/>
    <w:rsid w:val="00464E8C"/>
    <w:rsid w:val="0046516B"/>
    <w:rsid w:val="00465453"/>
    <w:rsid w:val="004654A4"/>
    <w:rsid w:val="004657DB"/>
    <w:rsid w:val="00465884"/>
    <w:rsid w:val="004659E4"/>
    <w:rsid w:val="00465E73"/>
    <w:rsid w:val="00465EB7"/>
    <w:rsid w:val="0046611C"/>
    <w:rsid w:val="00466334"/>
    <w:rsid w:val="00466633"/>
    <w:rsid w:val="00466A5A"/>
    <w:rsid w:val="00466C9B"/>
    <w:rsid w:val="00466DDC"/>
    <w:rsid w:val="0046740D"/>
    <w:rsid w:val="00467567"/>
    <w:rsid w:val="0046771C"/>
    <w:rsid w:val="00467CED"/>
    <w:rsid w:val="00467D3A"/>
    <w:rsid w:val="004701BB"/>
    <w:rsid w:val="00470639"/>
    <w:rsid w:val="004708A9"/>
    <w:rsid w:val="00470C61"/>
    <w:rsid w:val="00471080"/>
    <w:rsid w:val="004712F9"/>
    <w:rsid w:val="004713BD"/>
    <w:rsid w:val="004715AB"/>
    <w:rsid w:val="00471B16"/>
    <w:rsid w:val="00471B21"/>
    <w:rsid w:val="00471D52"/>
    <w:rsid w:val="00471EA4"/>
    <w:rsid w:val="004723A7"/>
    <w:rsid w:val="00472447"/>
    <w:rsid w:val="0047267D"/>
    <w:rsid w:val="00472700"/>
    <w:rsid w:val="0047278A"/>
    <w:rsid w:val="004727BD"/>
    <w:rsid w:val="0047299B"/>
    <w:rsid w:val="00472B01"/>
    <w:rsid w:val="00472C9B"/>
    <w:rsid w:val="0047319F"/>
    <w:rsid w:val="0047345B"/>
    <w:rsid w:val="004736BE"/>
    <w:rsid w:val="00473A5E"/>
    <w:rsid w:val="00473FDB"/>
    <w:rsid w:val="00474000"/>
    <w:rsid w:val="004740DB"/>
    <w:rsid w:val="00474780"/>
    <w:rsid w:val="00474E79"/>
    <w:rsid w:val="00474FAF"/>
    <w:rsid w:val="00475237"/>
    <w:rsid w:val="0047527D"/>
    <w:rsid w:val="004755BD"/>
    <w:rsid w:val="00475728"/>
    <w:rsid w:val="004757EC"/>
    <w:rsid w:val="0047585C"/>
    <w:rsid w:val="004758A9"/>
    <w:rsid w:val="004759D0"/>
    <w:rsid w:val="00475AE0"/>
    <w:rsid w:val="00475B0D"/>
    <w:rsid w:val="00475E03"/>
    <w:rsid w:val="00475ED9"/>
    <w:rsid w:val="00475F95"/>
    <w:rsid w:val="004761EF"/>
    <w:rsid w:val="00476273"/>
    <w:rsid w:val="004763C6"/>
    <w:rsid w:val="00476485"/>
    <w:rsid w:val="00476AD7"/>
    <w:rsid w:val="00476DC0"/>
    <w:rsid w:val="00476DDB"/>
    <w:rsid w:val="00476F91"/>
    <w:rsid w:val="004771E4"/>
    <w:rsid w:val="004772F3"/>
    <w:rsid w:val="00477365"/>
    <w:rsid w:val="00477399"/>
    <w:rsid w:val="0047757D"/>
    <w:rsid w:val="0047787D"/>
    <w:rsid w:val="00477B3F"/>
    <w:rsid w:val="00477DFE"/>
    <w:rsid w:val="00477E0C"/>
    <w:rsid w:val="00477E12"/>
    <w:rsid w:val="0048020B"/>
    <w:rsid w:val="004803FA"/>
    <w:rsid w:val="00480DA0"/>
    <w:rsid w:val="00480E39"/>
    <w:rsid w:val="00481574"/>
    <w:rsid w:val="004818CA"/>
    <w:rsid w:val="004819DA"/>
    <w:rsid w:val="00481EF5"/>
    <w:rsid w:val="00482906"/>
    <w:rsid w:val="00482AE4"/>
    <w:rsid w:val="00482BE7"/>
    <w:rsid w:val="00482C46"/>
    <w:rsid w:val="00482E1F"/>
    <w:rsid w:val="00482EFE"/>
    <w:rsid w:val="00482FD9"/>
    <w:rsid w:val="00483577"/>
    <w:rsid w:val="0048378C"/>
    <w:rsid w:val="00483BAF"/>
    <w:rsid w:val="00483ECB"/>
    <w:rsid w:val="00484217"/>
    <w:rsid w:val="004844E4"/>
    <w:rsid w:val="0048531C"/>
    <w:rsid w:val="00485425"/>
    <w:rsid w:val="004859BB"/>
    <w:rsid w:val="00485C3B"/>
    <w:rsid w:val="00485D11"/>
    <w:rsid w:val="00485DB0"/>
    <w:rsid w:val="0048608E"/>
    <w:rsid w:val="004864B1"/>
    <w:rsid w:val="004864DA"/>
    <w:rsid w:val="004864E6"/>
    <w:rsid w:val="00486682"/>
    <w:rsid w:val="0048688E"/>
    <w:rsid w:val="0048698D"/>
    <w:rsid w:val="004869D9"/>
    <w:rsid w:val="00486EF6"/>
    <w:rsid w:val="00486FC1"/>
    <w:rsid w:val="004870D2"/>
    <w:rsid w:val="004872BC"/>
    <w:rsid w:val="004874A4"/>
    <w:rsid w:val="004874A5"/>
    <w:rsid w:val="00487944"/>
    <w:rsid w:val="00487B1E"/>
    <w:rsid w:val="00490114"/>
    <w:rsid w:val="004902F8"/>
    <w:rsid w:val="00490479"/>
    <w:rsid w:val="0049058E"/>
    <w:rsid w:val="004908AA"/>
    <w:rsid w:val="00490C05"/>
    <w:rsid w:val="00490D21"/>
    <w:rsid w:val="00490DE5"/>
    <w:rsid w:val="00490E0B"/>
    <w:rsid w:val="00490EB1"/>
    <w:rsid w:val="0049150B"/>
    <w:rsid w:val="00491748"/>
    <w:rsid w:val="004917CD"/>
    <w:rsid w:val="004921E8"/>
    <w:rsid w:val="00492226"/>
    <w:rsid w:val="00492242"/>
    <w:rsid w:val="00492458"/>
    <w:rsid w:val="00492551"/>
    <w:rsid w:val="004926E5"/>
    <w:rsid w:val="0049289C"/>
    <w:rsid w:val="004930D7"/>
    <w:rsid w:val="00493214"/>
    <w:rsid w:val="004932D7"/>
    <w:rsid w:val="004935AD"/>
    <w:rsid w:val="004939A2"/>
    <w:rsid w:val="004941D3"/>
    <w:rsid w:val="00494355"/>
    <w:rsid w:val="00494945"/>
    <w:rsid w:val="00494A76"/>
    <w:rsid w:val="00495029"/>
    <w:rsid w:val="004951BC"/>
    <w:rsid w:val="00495257"/>
    <w:rsid w:val="004954EB"/>
    <w:rsid w:val="004955A8"/>
    <w:rsid w:val="004956FB"/>
    <w:rsid w:val="004957D3"/>
    <w:rsid w:val="00495907"/>
    <w:rsid w:val="00495917"/>
    <w:rsid w:val="004959DA"/>
    <w:rsid w:val="00495B67"/>
    <w:rsid w:val="00495C9E"/>
    <w:rsid w:val="00495E07"/>
    <w:rsid w:val="0049608E"/>
    <w:rsid w:val="004960D3"/>
    <w:rsid w:val="004962A1"/>
    <w:rsid w:val="0049644A"/>
    <w:rsid w:val="00496497"/>
    <w:rsid w:val="004966F2"/>
    <w:rsid w:val="00496726"/>
    <w:rsid w:val="0049672D"/>
    <w:rsid w:val="00496858"/>
    <w:rsid w:val="00496CD4"/>
    <w:rsid w:val="00496E40"/>
    <w:rsid w:val="004971AF"/>
    <w:rsid w:val="004971B3"/>
    <w:rsid w:val="004972B7"/>
    <w:rsid w:val="00497530"/>
    <w:rsid w:val="0049766A"/>
    <w:rsid w:val="00497714"/>
    <w:rsid w:val="00497A5E"/>
    <w:rsid w:val="00497D7D"/>
    <w:rsid w:val="00497F3E"/>
    <w:rsid w:val="00497F57"/>
    <w:rsid w:val="00497F70"/>
    <w:rsid w:val="004A0142"/>
    <w:rsid w:val="004A0214"/>
    <w:rsid w:val="004A0302"/>
    <w:rsid w:val="004A03E5"/>
    <w:rsid w:val="004A0565"/>
    <w:rsid w:val="004A05B9"/>
    <w:rsid w:val="004A09CD"/>
    <w:rsid w:val="004A0AC3"/>
    <w:rsid w:val="004A0D57"/>
    <w:rsid w:val="004A0DC8"/>
    <w:rsid w:val="004A10D1"/>
    <w:rsid w:val="004A10F8"/>
    <w:rsid w:val="004A1401"/>
    <w:rsid w:val="004A153B"/>
    <w:rsid w:val="004A159A"/>
    <w:rsid w:val="004A1845"/>
    <w:rsid w:val="004A1C5A"/>
    <w:rsid w:val="004A1C8C"/>
    <w:rsid w:val="004A1E26"/>
    <w:rsid w:val="004A1EE4"/>
    <w:rsid w:val="004A2257"/>
    <w:rsid w:val="004A24A8"/>
    <w:rsid w:val="004A253F"/>
    <w:rsid w:val="004A25FF"/>
    <w:rsid w:val="004A2E6A"/>
    <w:rsid w:val="004A31CA"/>
    <w:rsid w:val="004A3744"/>
    <w:rsid w:val="004A3B35"/>
    <w:rsid w:val="004A3B5A"/>
    <w:rsid w:val="004A3CC8"/>
    <w:rsid w:val="004A3CD5"/>
    <w:rsid w:val="004A3D18"/>
    <w:rsid w:val="004A4358"/>
    <w:rsid w:val="004A4367"/>
    <w:rsid w:val="004A440A"/>
    <w:rsid w:val="004A492D"/>
    <w:rsid w:val="004A4B3C"/>
    <w:rsid w:val="004A4B53"/>
    <w:rsid w:val="004A4BDF"/>
    <w:rsid w:val="004A503D"/>
    <w:rsid w:val="004A5099"/>
    <w:rsid w:val="004A5198"/>
    <w:rsid w:val="004A53E7"/>
    <w:rsid w:val="004A562F"/>
    <w:rsid w:val="004A56A5"/>
    <w:rsid w:val="004A56A9"/>
    <w:rsid w:val="004A56AC"/>
    <w:rsid w:val="004A5701"/>
    <w:rsid w:val="004A574E"/>
    <w:rsid w:val="004A59B9"/>
    <w:rsid w:val="004A5C20"/>
    <w:rsid w:val="004A5D11"/>
    <w:rsid w:val="004A5DAB"/>
    <w:rsid w:val="004A60EE"/>
    <w:rsid w:val="004A6286"/>
    <w:rsid w:val="004A62AA"/>
    <w:rsid w:val="004A63D5"/>
    <w:rsid w:val="004A676A"/>
    <w:rsid w:val="004A6820"/>
    <w:rsid w:val="004A696E"/>
    <w:rsid w:val="004A7296"/>
    <w:rsid w:val="004A7518"/>
    <w:rsid w:val="004A76D0"/>
    <w:rsid w:val="004A79DA"/>
    <w:rsid w:val="004A7CBF"/>
    <w:rsid w:val="004A7CF7"/>
    <w:rsid w:val="004A7D5B"/>
    <w:rsid w:val="004B00CE"/>
    <w:rsid w:val="004B06E7"/>
    <w:rsid w:val="004B070B"/>
    <w:rsid w:val="004B0AC0"/>
    <w:rsid w:val="004B125F"/>
    <w:rsid w:val="004B141F"/>
    <w:rsid w:val="004B1843"/>
    <w:rsid w:val="004B18FF"/>
    <w:rsid w:val="004B204B"/>
    <w:rsid w:val="004B2428"/>
    <w:rsid w:val="004B25BF"/>
    <w:rsid w:val="004B25F9"/>
    <w:rsid w:val="004B2918"/>
    <w:rsid w:val="004B2ECC"/>
    <w:rsid w:val="004B3244"/>
    <w:rsid w:val="004B32C6"/>
    <w:rsid w:val="004B3385"/>
    <w:rsid w:val="004B342C"/>
    <w:rsid w:val="004B3D14"/>
    <w:rsid w:val="004B3DBB"/>
    <w:rsid w:val="004B3FDD"/>
    <w:rsid w:val="004B401A"/>
    <w:rsid w:val="004B461A"/>
    <w:rsid w:val="004B4A7F"/>
    <w:rsid w:val="004B4A8D"/>
    <w:rsid w:val="004B4B74"/>
    <w:rsid w:val="004B4C56"/>
    <w:rsid w:val="004B4D40"/>
    <w:rsid w:val="004B5260"/>
    <w:rsid w:val="004B527B"/>
    <w:rsid w:val="004B5495"/>
    <w:rsid w:val="004B5803"/>
    <w:rsid w:val="004B5994"/>
    <w:rsid w:val="004B59A8"/>
    <w:rsid w:val="004B6367"/>
    <w:rsid w:val="004B672D"/>
    <w:rsid w:val="004B67E7"/>
    <w:rsid w:val="004B6B50"/>
    <w:rsid w:val="004B6C3B"/>
    <w:rsid w:val="004B6FAC"/>
    <w:rsid w:val="004B716B"/>
    <w:rsid w:val="004B737B"/>
    <w:rsid w:val="004B7539"/>
    <w:rsid w:val="004B7559"/>
    <w:rsid w:val="004B756C"/>
    <w:rsid w:val="004B7783"/>
    <w:rsid w:val="004B779D"/>
    <w:rsid w:val="004B7806"/>
    <w:rsid w:val="004B78A8"/>
    <w:rsid w:val="004C014A"/>
    <w:rsid w:val="004C0200"/>
    <w:rsid w:val="004C04D3"/>
    <w:rsid w:val="004C04EF"/>
    <w:rsid w:val="004C067D"/>
    <w:rsid w:val="004C0A81"/>
    <w:rsid w:val="004C0AD6"/>
    <w:rsid w:val="004C0B74"/>
    <w:rsid w:val="004C0E28"/>
    <w:rsid w:val="004C0FC0"/>
    <w:rsid w:val="004C11B3"/>
    <w:rsid w:val="004C12AE"/>
    <w:rsid w:val="004C137C"/>
    <w:rsid w:val="004C13DE"/>
    <w:rsid w:val="004C146C"/>
    <w:rsid w:val="004C163E"/>
    <w:rsid w:val="004C190E"/>
    <w:rsid w:val="004C1C2B"/>
    <w:rsid w:val="004C1C2D"/>
    <w:rsid w:val="004C1D53"/>
    <w:rsid w:val="004C1ECD"/>
    <w:rsid w:val="004C1F4D"/>
    <w:rsid w:val="004C2142"/>
    <w:rsid w:val="004C2434"/>
    <w:rsid w:val="004C26A7"/>
    <w:rsid w:val="004C284C"/>
    <w:rsid w:val="004C2A93"/>
    <w:rsid w:val="004C2C04"/>
    <w:rsid w:val="004C2E49"/>
    <w:rsid w:val="004C3060"/>
    <w:rsid w:val="004C30A7"/>
    <w:rsid w:val="004C3230"/>
    <w:rsid w:val="004C32BA"/>
    <w:rsid w:val="004C365F"/>
    <w:rsid w:val="004C3669"/>
    <w:rsid w:val="004C37D6"/>
    <w:rsid w:val="004C38FF"/>
    <w:rsid w:val="004C396E"/>
    <w:rsid w:val="004C3EEE"/>
    <w:rsid w:val="004C418F"/>
    <w:rsid w:val="004C4258"/>
    <w:rsid w:val="004C42CF"/>
    <w:rsid w:val="004C456B"/>
    <w:rsid w:val="004C471E"/>
    <w:rsid w:val="004C4823"/>
    <w:rsid w:val="004C4C76"/>
    <w:rsid w:val="004C4D5F"/>
    <w:rsid w:val="004C4F55"/>
    <w:rsid w:val="004C53D1"/>
    <w:rsid w:val="004C53D4"/>
    <w:rsid w:val="004C5540"/>
    <w:rsid w:val="004C55C1"/>
    <w:rsid w:val="004C5837"/>
    <w:rsid w:val="004C5938"/>
    <w:rsid w:val="004C5A48"/>
    <w:rsid w:val="004C5CEB"/>
    <w:rsid w:val="004C5D61"/>
    <w:rsid w:val="004C5D88"/>
    <w:rsid w:val="004C5E4C"/>
    <w:rsid w:val="004C5E7C"/>
    <w:rsid w:val="004C6324"/>
    <w:rsid w:val="004C63B7"/>
    <w:rsid w:val="004C6511"/>
    <w:rsid w:val="004C65F0"/>
    <w:rsid w:val="004C6668"/>
    <w:rsid w:val="004C6685"/>
    <w:rsid w:val="004C66F2"/>
    <w:rsid w:val="004C6742"/>
    <w:rsid w:val="004C6A23"/>
    <w:rsid w:val="004C6E35"/>
    <w:rsid w:val="004C706E"/>
    <w:rsid w:val="004C70C5"/>
    <w:rsid w:val="004C70E9"/>
    <w:rsid w:val="004C70F1"/>
    <w:rsid w:val="004C70F7"/>
    <w:rsid w:val="004C7275"/>
    <w:rsid w:val="004C746F"/>
    <w:rsid w:val="004C7499"/>
    <w:rsid w:val="004C75B5"/>
    <w:rsid w:val="004C7769"/>
    <w:rsid w:val="004C778E"/>
    <w:rsid w:val="004C79B2"/>
    <w:rsid w:val="004C7D2F"/>
    <w:rsid w:val="004C7D7A"/>
    <w:rsid w:val="004C7DC9"/>
    <w:rsid w:val="004C7E98"/>
    <w:rsid w:val="004D01AF"/>
    <w:rsid w:val="004D03A8"/>
    <w:rsid w:val="004D07C0"/>
    <w:rsid w:val="004D0D70"/>
    <w:rsid w:val="004D0D7F"/>
    <w:rsid w:val="004D0E42"/>
    <w:rsid w:val="004D11DC"/>
    <w:rsid w:val="004D1732"/>
    <w:rsid w:val="004D1B6E"/>
    <w:rsid w:val="004D1BEA"/>
    <w:rsid w:val="004D1CD6"/>
    <w:rsid w:val="004D1D74"/>
    <w:rsid w:val="004D1DF7"/>
    <w:rsid w:val="004D1EA3"/>
    <w:rsid w:val="004D1F47"/>
    <w:rsid w:val="004D206B"/>
    <w:rsid w:val="004D20FC"/>
    <w:rsid w:val="004D232A"/>
    <w:rsid w:val="004D2350"/>
    <w:rsid w:val="004D23F9"/>
    <w:rsid w:val="004D2432"/>
    <w:rsid w:val="004D26E3"/>
    <w:rsid w:val="004D2ABA"/>
    <w:rsid w:val="004D2B3F"/>
    <w:rsid w:val="004D2B83"/>
    <w:rsid w:val="004D2CDC"/>
    <w:rsid w:val="004D2E27"/>
    <w:rsid w:val="004D2F34"/>
    <w:rsid w:val="004D3015"/>
    <w:rsid w:val="004D334B"/>
    <w:rsid w:val="004D33B7"/>
    <w:rsid w:val="004D3528"/>
    <w:rsid w:val="004D35E8"/>
    <w:rsid w:val="004D3602"/>
    <w:rsid w:val="004D3658"/>
    <w:rsid w:val="004D38CE"/>
    <w:rsid w:val="004D3953"/>
    <w:rsid w:val="004D3ADA"/>
    <w:rsid w:val="004D3B8E"/>
    <w:rsid w:val="004D3BFE"/>
    <w:rsid w:val="004D3EE2"/>
    <w:rsid w:val="004D4B56"/>
    <w:rsid w:val="004D4D34"/>
    <w:rsid w:val="004D4FCB"/>
    <w:rsid w:val="004D5171"/>
    <w:rsid w:val="004D5265"/>
    <w:rsid w:val="004D5630"/>
    <w:rsid w:val="004D58C9"/>
    <w:rsid w:val="004D608B"/>
    <w:rsid w:val="004D614C"/>
    <w:rsid w:val="004D61B3"/>
    <w:rsid w:val="004D620B"/>
    <w:rsid w:val="004D6313"/>
    <w:rsid w:val="004D64D2"/>
    <w:rsid w:val="004D6600"/>
    <w:rsid w:val="004D67B4"/>
    <w:rsid w:val="004D6853"/>
    <w:rsid w:val="004D69DB"/>
    <w:rsid w:val="004D6AA8"/>
    <w:rsid w:val="004D6E7F"/>
    <w:rsid w:val="004D704D"/>
    <w:rsid w:val="004D7115"/>
    <w:rsid w:val="004D7442"/>
    <w:rsid w:val="004D78DD"/>
    <w:rsid w:val="004D78FD"/>
    <w:rsid w:val="004D79D7"/>
    <w:rsid w:val="004D7C3C"/>
    <w:rsid w:val="004D7D41"/>
    <w:rsid w:val="004D7DBB"/>
    <w:rsid w:val="004E0070"/>
    <w:rsid w:val="004E046D"/>
    <w:rsid w:val="004E05A3"/>
    <w:rsid w:val="004E060E"/>
    <w:rsid w:val="004E0732"/>
    <w:rsid w:val="004E074B"/>
    <w:rsid w:val="004E098F"/>
    <w:rsid w:val="004E0B37"/>
    <w:rsid w:val="004E0BA6"/>
    <w:rsid w:val="004E0D49"/>
    <w:rsid w:val="004E0D56"/>
    <w:rsid w:val="004E0E48"/>
    <w:rsid w:val="004E101D"/>
    <w:rsid w:val="004E10DC"/>
    <w:rsid w:val="004E1261"/>
    <w:rsid w:val="004E1448"/>
    <w:rsid w:val="004E1AE0"/>
    <w:rsid w:val="004E1B50"/>
    <w:rsid w:val="004E1DAE"/>
    <w:rsid w:val="004E1FC0"/>
    <w:rsid w:val="004E2156"/>
    <w:rsid w:val="004E21B5"/>
    <w:rsid w:val="004E25A6"/>
    <w:rsid w:val="004E286B"/>
    <w:rsid w:val="004E2A5A"/>
    <w:rsid w:val="004E2AFE"/>
    <w:rsid w:val="004E2DBD"/>
    <w:rsid w:val="004E2ECD"/>
    <w:rsid w:val="004E2FF9"/>
    <w:rsid w:val="004E311C"/>
    <w:rsid w:val="004E3171"/>
    <w:rsid w:val="004E3439"/>
    <w:rsid w:val="004E36B5"/>
    <w:rsid w:val="004E384A"/>
    <w:rsid w:val="004E3D87"/>
    <w:rsid w:val="004E3D93"/>
    <w:rsid w:val="004E3DE9"/>
    <w:rsid w:val="004E3F3D"/>
    <w:rsid w:val="004E414C"/>
    <w:rsid w:val="004E4369"/>
    <w:rsid w:val="004E43C8"/>
    <w:rsid w:val="004E456F"/>
    <w:rsid w:val="004E4630"/>
    <w:rsid w:val="004E4852"/>
    <w:rsid w:val="004E4A8D"/>
    <w:rsid w:val="004E4D25"/>
    <w:rsid w:val="004E4EC4"/>
    <w:rsid w:val="004E5222"/>
    <w:rsid w:val="004E52C6"/>
    <w:rsid w:val="004E5574"/>
    <w:rsid w:val="004E57B4"/>
    <w:rsid w:val="004E5876"/>
    <w:rsid w:val="004E59BC"/>
    <w:rsid w:val="004E5B28"/>
    <w:rsid w:val="004E604B"/>
    <w:rsid w:val="004E60FC"/>
    <w:rsid w:val="004E63D4"/>
    <w:rsid w:val="004E6956"/>
    <w:rsid w:val="004E7065"/>
    <w:rsid w:val="004E7137"/>
    <w:rsid w:val="004E72B1"/>
    <w:rsid w:val="004E7679"/>
    <w:rsid w:val="004E77E4"/>
    <w:rsid w:val="004E77F1"/>
    <w:rsid w:val="004E781F"/>
    <w:rsid w:val="004E7902"/>
    <w:rsid w:val="004E7BFC"/>
    <w:rsid w:val="004E7CBD"/>
    <w:rsid w:val="004F0432"/>
    <w:rsid w:val="004F04CE"/>
    <w:rsid w:val="004F0895"/>
    <w:rsid w:val="004F0898"/>
    <w:rsid w:val="004F0914"/>
    <w:rsid w:val="004F098F"/>
    <w:rsid w:val="004F0B1C"/>
    <w:rsid w:val="004F0DC3"/>
    <w:rsid w:val="004F0FDD"/>
    <w:rsid w:val="004F10AE"/>
    <w:rsid w:val="004F10FF"/>
    <w:rsid w:val="004F1240"/>
    <w:rsid w:val="004F12DC"/>
    <w:rsid w:val="004F130C"/>
    <w:rsid w:val="004F134A"/>
    <w:rsid w:val="004F1393"/>
    <w:rsid w:val="004F243D"/>
    <w:rsid w:val="004F2682"/>
    <w:rsid w:val="004F2905"/>
    <w:rsid w:val="004F2FC6"/>
    <w:rsid w:val="004F32AD"/>
    <w:rsid w:val="004F332E"/>
    <w:rsid w:val="004F3932"/>
    <w:rsid w:val="004F3D13"/>
    <w:rsid w:val="004F3E28"/>
    <w:rsid w:val="004F3FAF"/>
    <w:rsid w:val="004F42B9"/>
    <w:rsid w:val="004F4A84"/>
    <w:rsid w:val="004F4F90"/>
    <w:rsid w:val="004F51BD"/>
    <w:rsid w:val="004F560E"/>
    <w:rsid w:val="004F5759"/>
    <w:rsid w:val="004F5D0A"/>
    <w:rsid w:val="004F5FFD"/>
    <w:rsid w:val="004F6271"/>
    <w:rsid w:val="004F6277"/>
    <w:rsid w:val="004F6475"/>
    <w:rsid w:val="004F669D"/>
    <w:rsid w:val="004F672A"/>
    <w:rsid w:val="004F6958"/>
    <w:rsid w:val="004F6B51"/>
    <w:rsid w:val="004F6FDD"/>
    <w:rsid w:val="004F70ED"/>
    <w:rsid w:val="004F718C"/>
    <w:rsid w:val="004F7405"/>
    <w:rsid w:val="004F7909"/>
    <w:rsid w:val="004F7A22"/>
    <w:rsid w:val="004F7B86"/>
    <w:rsid w:val="004F7CAF"/>
    <w:rsid w:val="004F7D16"/>
    <w:rsid w:val="004F7D37"/>
    <w:rsid w:val="004F7D51"/>
    <w:rsid w:val="0050001C"/>
    <w:rsid w:val="0050001E"/>
    <w:rsid w:val="0050023A"/>
    <w:rsid w:val="0050044A"/>
    <w:rsid w:val="00500CB1"/>
    <w:rsid w:val="00500D7B"/>
    <w:rsid w:val="00500FB0"/>
    <w:rsid w:val="00501438"/>
    <w:rsid w:val="0050147C"/>
    <w:rsid w:val="005018C9"/>
    <w:rsid w:val="00501B1B"/>
    <w:rsid w:val="005022CE"/>
    <w:rsid w:val="0050241B"/>
    <w:rsid w:val="005024A0"/>
    <w:rsid w:val="00502742"/>
    <w:rsid w:val="0050299A"/>
    <w:rsid w:val="00502E0D"/>
    <w:rsid w:val="00502E59"/>
    <w:rsid w:val="0050316B"/>
    <w:rsid w:val="00503177"/>
    <w:rsid w:val="00503292"/>
    <w:rsid w:val="00503377"/>
    <w:rsid w:val="005037B5"/>
    <w:rsid w:val="005038B7"/>
    <w:rsid w:val="00503AB0"/>
    <w:rsid w:val="00503CB5"/>
    <w:rsid w:val="00503DA0"/>
    <w:rsid w:val="005040F6"/>
    <w:rsid w:val="00504332"/>
    <w:rsid w:val="005044D3"/>
    <w:rsid w:val="005045DC"/>
    <w:rsid w:val="005047DF"/>
    <w:rsid w:val="00504915"/>
    <w:rsid w:val="00504BC5"/>
    <w:rsid w:val="00504C99"/>
    <w:rsid w:val="00504DB0"/>
    <w:rsid w:val="005051AD"/>
    <w:rsid w:val="0050556F"/>
    <w:rsid w:val="00505621"/>
    <w:rsid w:val="00505634"/>
    <w:rsid w:val="00505751"/>
    <w:rsid w:val="005058AE"/>
    <w:rsid w:val="0050593E"/>
    <w:rsid w:val="00505A8E"/>
    <w:rsid w:val="00505D11"/>
    <w:rsid w:val="00506318"/>
    <w:rsid w:val="00506720"/>
    <w:rsid w:val="005069AB"/>
    <w:rsid w:val="00506ADB"/>
    <w:rsid w:val="00506B4C"/>
    <w:rsid w:val="00506B88"/>
    <w:rsid w:val="00506BA3"/>
    <w:rsid w:val="00506CA2"/>
    <w:rsid w:val="00507441"/>
    <w:rsid w:val="0050771A"/>
    <w:rsid w:val="0050794E"/>
    <w:rsid w:val="00507990"/>
    <w:rsid w:val="00507D95"/>
    <w:rsid w:val="00507E1D"/>
    <w:rsid w:val="00507FEA"/>
    <w:rsid w:val="005104BB"/>
    <w:rsid w:val="005104ED"/>
    <w:rsid w:val="005107CD"/>
    <w:rsid w:val="00510804"/>
    <w:rsid w:val="00510A29"/>
    <w:rsid w:val="00510F53"/>
    <w:rsid w:val="00510FD5"/>
    <w:rsid w:val="0051131E"/>
    <w:rsid w:val="005113B9"/>
    <w:rsid w:val="00511613"/>
    <w:rsid w:val="00511726"/>
    <w:rsid w:val="00511B94"/>
    <w:rsid w:val="00511BAD"/>
    <w:rsid w:val="00511C04"/>
    <w:rsid w:val="00511DC2"/>
    <w:rsid w:val="005120E9"/>
    <w:rsid w:val="005124E3"/>
    <w:rsid w:val="00512505"/>
    <w:rsid w:val="0051273D"/>
    <w:rsid w:val="00512C7B"/>
    <w:rsid w:val="0051326F"/>
    <w:rsid w:val="005136BF"/>
    <w:rsid w:val="00513846"/>
    <w:rsid w:val="0051396A"/>
    <w:rsid w:val="00513B12"/>
    <w:rsid w:val="00513CDF"/>
    <w:rsid w:val="00513D3A"/>
    <w:rsid w:val="00513E14"/>
    <w:rsid w:val="00514196"/>
    <w:rsid w:val="005146BD"/>
    <w:rsid w:val="005149B5"/>
    <w:rsid w:val="00514B06"/>
    <w:rsid w:val="00514B52"/>
    <w:rsid w:val="005150DA"/>
    <w:rsid w:val="00515131"/>
    <w:rsid w:val="00515172"/>
    <w:rsid w:val="0051521B"/>
    <w:rsid w:val="00515400"/>
    <w:rsid w:val="005154C1"/>
    <w:rsid w:val="0051596A"/>
    <w:rsid w:val="005159D0"/>
    <w:rsid w:val="00515C2B"/>
    <w:rsid w:val="00515C65"/>
    <w:rsid w:val="00515DC1"/>
    <w:rsid w:val="005162AB"/>
    <w:rsid w:val="0051652C"/>
    <w:rsid w:val="00516664"/>
    <w:rsid w:val="005166DF"/>
    <w:rsid w:val="005167B0"/>
    <w:rsid w:val="00516D7E"/>
    <w:rsid w:val="00516EE8"/>
    <w:rsid w:val="00516F72"/>
    <w:rsid w:val="00516F9A"/>
    <w:rsid w:val="005172B4"/>
    <w:rsid w:val="0051732F"/>
    <w:rsid w:val="00517530"/>
    <w:rsid w:val="005176D9"/>
    <w:rsid w:val="00517BD0"/>
    <w:rsid w:val="0052002B"/>
    <w:rsid w:val="0052030C"/>
    <w:rsid w:val="0052060B"/>
    <w:rsid w:val="0052061D"/>
    <w:rsid w:val="005206AA"/>
    <w:rsid w:val="00520C12"/>
    <w:rsid w:val="00521122"/>
    <w:rsid w:val="0052160F"/>
    <w:rsid w:val="00521950"/>
    <w:rsid w:val="00521B43"/>
    <w:rsid w:val="00521D66"/>
    <w:rsid w:val="00521D78"/>
    <w:rsid w:val="0052233C"/>
    <w:rsid w:val="005226DC"/>
    <w:rsid w:val="0052280B"/>
    <w:rsid w:val="00522C27"/>
    <w:rsid w:val="00522DE6"/>
    <w:rsid w:val="0052351B"/>
    <w:rsid w:val="00523674"/>
    <w:rsid w:val="005236ED"/>
    <w:rsid w:val="00523740"/>
    <w:rsid w:val="00523A45"/>
    <w:rsid w:val="00523E12"/>
    <w:rsid w:val="00524132"/>
    <w:rsid w:val="00524414"/>
    <w:rsid w:val="0052442E"/>
    <w:rsid w:val="00524512"/>
    <w:rsid w:val="00524A4A"/>
    <w:rsid w:val="005250A0"/>
    <w:rsid w:val="00525211"/>
    <w:rsid w:val="0052550E"/>
    <w:rsid w:val="00525511"/>
    <w:rsid w:val="0052557E"/>
    <w:rsid w:val="005255C5"/>
    <w:rsid w:val="00525B1F"/>
    <w:rsid w:val="00525C13"/>
    <w:rsid w:val="00525C2C"/>
    <w:rsid w:val="00525CEC"/>
    <w:rsid w:val="0052608D"/>
    <w:rsid w:val="00526425"/>
    <w:rsid w:val="0052643F"/>
    <w:rsid w:val="0052670B"/>
    <w:rsid w:val="0052674E"/>
    <w:rsid w:val="0052699A"/>
    <w:rsid w:val="005269D4"/>
    <w:rsid w:val="00526F34"/>
    <w:rsid w:val="0052711D"/>
    <w:rsid w:val="0052720E"/>
    <w:rsid w:val="0052775C"/>
    <w:rsid w:val="005277B3"/>
    <w:rsid w:val="0052789F"/>
    <w:rsid w:val="00527950"/>
    <w:rsid w:val="00527BFD"/>
    <w:rsid w:val="00527D21"/>
    <w:rsid w:val="00527DA7"/>
    <w:rsid w:val="00527E4A"/>
    <w:rsid w:val="00527FE1"/>
    <w:rsid w:val="00527FF2"/>
    <w:rsid w:val="00530431"/>
    <w:rsid w:val="00530491"/>
    <w:rsid w:val="0053061A"/>
    <w:rsid w:val="005306F3"/>
    <w:rsid w:val="00530B98"/>
    <w:rsid w:val="00530BC6"/>
    <w:rsid w:val="00530C66"/>
    <w:rsid w:val="00530E8E"/>
    <w:rsid w:val="005310D7"/>
    <w:rsid w:val="00531148"/>
    <w:rsid w:val="005313B9"/>
    <w:rsid w:val="0053140D"/>
    <w:rsid w:val="005315AF"/>
    <w:rsid w:val="0053178F"/>
    <w:rsid w:val="005318CE"/>
    <w:rsid w:val="00531C9A"/>
    <w:rsid w:val="00531E2C"/>
    <w:rsid w:val="0053223D"/>
    <w:rsid w:val="0053236D"/>
    <w:rsid w:val="00532548"/>
    <w:rsid w:val="00532DDA"/>
    <w:rsid w:val="00532ED2"/>
    <w:rsid w:val="00532EED"/>
    <w:rsid w:val="00533036"/>
    <w:rsid w:val="005330D6"/>
    <w:rsid w:val="00533190"/>
    <w:rsid w:val="005331C2"/>
    <w:rsid w:val="005332A3"/>
    <w:rsid w:val="0053394F"/>
    <w:rsid w:val="00533A92"/>
    <w:rsid w:val="00533B0D"/>
    <w:rsid w:val="00533F18"/>
    <w:rsid w:val="00534120"/>
    <w:rsid w:val="0053444A"/>
    <w:rsid w:val="00534832"/>
    <w:rsid w:val="00534930"/>
    <w:rsid w:val="005349FB"/>
    <w:rsid w:val="00534BCC"/>
    <w:rsid w:val="00534E92"/>
    <w:rsid w:val="0053533C"/>
    <w:rsid w:val="00535520"/>
    <w:rsid w:val="005355D5"/>
    <w:rsid w:val="0053563A"/>
    <w:rsid w:val="00535ACE"/>
    <w:rsid w:val="00535D0D"/>
    <w:rsid w:val="00536025"/>
    <w:rsid w:val="0053688F"/>
    <w:rsid w:val="0053718C"/>
    <w:rsid w:val="005377F2"/>
    <w:rsid w:val="00537DFC"/>
    <w:rsid w:val="00540084"/>
    <w:rsid w:val="005404F3"/>
    <w:rsid w:val="00540640"/>
    <w:rsid w:val="00540773"/>
    <w:rsid w:val="005409B1"/>
    <w:rsid w:val="00540B89"/>
    <w:rsid w:val="00540CD3"/>
    <w:rsid w:val="00541146"/>
    <w:rsid w:val="00541608"/>
    <w:rsid w:val="0054190D"/>
    <w:rsid w:val="005419C4"/>
    <w:rsid w:val="00541D46"/>
    <w:rsid w:val="00541FD3"/>
    <w:rsid w:val="0054202D"/>
    <w:rsid w:val="00542190"/>
    <w:rsid w:val="00542814"/>
    <w:rsid w:val="0054289D"/>
    <w:rsid w:val="00542DDD"/>
    <w:rsid w:val="00542E5B"/>
    <w:rsid w:val="00542ED5"/>
    <w:rsid w:val="005431B3"/>
    <w:rsid w:val="0054323A"/>
    <w:rsid w:val="0054337C"/>
    <w:rsid w:val="00543489"/>
    <w:rsid w:val="00543531"/>
    <w:rsid w:val="00543697"/>
    <w:rsid w:val="005436D4"/>
    <w:rsid w:val="00543E2C"/>
    <w:rsid w:val="00543F95"/>
    <w:rsid w:val="00544164"/>
    <w:rsid w:val="005441E4"/>
    <w:rsid w:val="00544228"/>
    <w:rsid w:val="00544327"/>
    <w:rsid w:val="00544461"/>
    <w:rsid w:val="005447A1"/>
    <w:rsid w:val="00544914"/>
    <w:rsid w:val="0054494A"/>
    <w:rsid w:val="0054499D"/>
    <w:rsid w:val="00544F6F"/>
    <w:rsid w:val="005450CB"/>
    <w:rsid w:val="00545749"/>
    <w:rsid w:val="005458A4"/>
    <w:rsid w:val="005458D1"/>
    <w:rsid w:val="005458EF"/>
    <w:rsid w:val="00545C86"/>
    <w:rsid w:val="00545CBC"/>
    <w:rsid w:val="00545CC2"/>
    <w:rsid w:val="00545D92"/>
    <w:rsid w:val="00545D93"/>
    <w:rsid w:val="005461A6"/>
    <w:rsid w:val="00546238"/>
    <w:rsid w:val="005463EB"/>
    <w:rsid w:val="00546D0C"/>
    <w:rsid w:val="005473F3"/>
    <w:rsid w:val="00547519"/>
    <w:rsid w:val="00547586"/>
    <w:rsid w:val="00547607"/>
    <w:rsid w:val="00547A17"/>
    <w:rsid w:val="00547A6B"/>
    <w:rsid w:val="00547BDF"/>
    <w:rsid w:val="00547D36"/>
    <w:rsid w:val="00547D3F"/>
    <w:rsid w:val="00547E7A"/>
    <w:rsid w:val="00547FC5"/>
    <w:rsid w:val="00550499"/>
    <w:rsid w:val="00550850"/>
    <w:rsid w:val="005509F2"/>
    <w:rsid w:val="00550A9C"/>
    <w:rsid w:val="00550C08"/>
    <w:rsid w:val="00550C50"/>
    <w:rsid w:val="00550EAE"/>
    <w:rsid w:val="00550F79"/>
    <w:rsid w:val="00551038"/>
    <w:rsid w:val="00551334"/>
    <w:rsid w:val="0055153C"/>
    <w:rsid w:val="0055161E"/>
    <w:rsid w:val="00551A36"/>
    <w:rsid w:val="00551B86"/>
    <w:rsid w:val="00551BCA"/>
    <w:rsid w:val="00551DCD"/>
    <w:rsid w:val="00551E4A"/>
    <w:rsid w:val="0055211D"/>
    <w:rsid w:val="00552271"/>
    <w:rsid w:val="005524B7"/>
    <w:rsid w:val="00552523"/>
    <w:rsid w:val="005525B3"/>
    <w:rsid w:val="0055296D"/>
    <w:rsid w:val="00552982"/>
    <w:rsid w:val="00552A11"/>
    <w:rsid w:val="00552A51"/>
    <w:rsid w:val="00552CF0"/>
    <w:rsid w:val="00552E28"/>
    <w:rsid w:val="00552EE0"/>
    <w:rsid w:val="005530C0"/>
    <w:rsid w:val="005533C0"/>
    <w:rsid w:val="005534C8"/>
    <w:rsid w:val="005536E4"/>
    <w:rsid w:val="00553999"/>
    <w:rsid w:val="005539C7"/>
    <w:rsid w:val="005539D3"/>
    <w:rsid w:val="0055407E"/>
    <w:rsid w:val="0055465D"/>
    <w:rsid w:val="005549DD"/>
    <w:rsid w:val="00554F57"/>
    <w:rsid w:val="00555017"/>
    <w:rsid w:val="00555091"/>
    <w:rsid w:val="005550C4"/>
    <w:rsid w:val="00555131"/>
    <w:rsid w:val="00555447"/>
    <w:rsid w:val="005554C1"/>
    <w:rsid w:val="0055565B"/>
    <w:rsid w:val="00555D2F"/>
    <w:rsid w:val="00555F79"/>
    <w:rsid w:val="00555FE5"/>
    <w:rsid w:val="005564ED"/>
    <w:rsid w:val="00556661"/>
    <w:rsid w:val="00556732"/>
    <w:rsid w:val="0055685B"/>
    <w:rsid w:val="00556A2A"/>
    <w:rsid w:val="00556C90"/>
    <w:rsid w:val="00556EC1"/>
    <w:rsid w:val="0055715D"/>
    <w:rsid w:val="005571E5"/>
    <w:rsid w:val="00557576"/>
    <w:rsid w:val="00557608"/>
    <w:rsid w:val="0055764F"/>
    <w:rsid w:val="005576E1"/>
    <w:rsid w:val="005577D9"/>
    <w:rsid w:val="005578F6"/>
    <w:rsid w:val="00557B8E"/>
    <w:rsid w:val="00557BAB"/>
    <w:rsid w:val="00557C6B"/>
    <w:rsid w:val="00557D0C"/>
    <w:rsid w:val="00560552"/>
    <w:rsid w:val="005606AE"/>
    <w:rsid w:val="0056089E"/>
    <w:rsid w:val="00560BFC"/>
    <w:rsid w:val="00560C7C"/>
    <w:rsid w:val="00560F17"/>
    <w:rsid w:val="005610D4"/>
    <w:rsid w:val="0056127C"/>
    <w:rsid w:val="0056129F"/>
    <w:rsid w:val="00561A41"/>
    <w:rsid w:val="00561CE4"/>
    <w:rsid w:val="00561D51"/>
    <w:rsid w:val="00561DA8"/>
    <w:rsid w:val="00562230"/>
    <w:rsid w:val="005622AE"/>
    <w:rsid w:val="0056230B"/>
    <w:rsid w:val="00562449"/>
    <w:rsid w:val="00562CAA"/>
    <w:rsid w:val="00562CB2"/>
    <w:rsid w:val="00562DEF"/>
    <w:rsid w:val="00562E50"/>
    <w:rsid w:val="00562EF4"/>
    <w:rsid w:val="00562F87"/>
    <w:rsid w:val="00562FF0"/>
    <w:rsid w:val="0056333D"/>
    <w:rsid w:val="0056335B"/>
    <w:rsid w:val="005634C3"/>
    <w:rsid w:val="005635E5"/>
    <w:rsid w:val="00563B45"/>
    <w:rsid w:val="00563B51"/>
    <w:rsid w:val="00563EEE"/>
    <w:rsid w:val="00563F3E"/>
    <w:rsid w:val="00564363"/>
    <w:rsid w:val="00564925"/>
    <w:rsid w:val="005649E3"/>
    <w:rsid w:val="00564A3D"/>
    <w:rsid w:val="00564CEF"/>
    <w:rsid w:val="0056545C"/>
    <w:rsid w:val="005659CB"/>
    <w:rsid w:val="00565C2C"/>
    <w:rsid w:val="00565D55"/>
    <w:rsid w:val="00565F4E"/>
    <w:rsid w:val="00566207"/>
    <w:rsid w:val="005662B5"/>
    <w:rsid w:val="005663B2"/>
    <w:rsid w:val="00566666"/>
    <w:rsid w:val="00566822"/>
    <w:rsid w:val="00566876"/>
    <w:rsid w:val="00566D8F"/>
    <w:rsid w:val="0056717F"/>
    <w:rsid w:val="005673E5"/>
    <w:rsid w:val="0056748F"/>
    <w:rsid w:val="00567494"/>
    <w:rsid w:val="005674BE"/>
    <w:rsid w:val="00567864"/>
    <w:rsid w:val="0056788A"/>
    <w:rsid w:val="005679DE"/>
    <w:rsid w:val="00567B48"/>
    <w:rsid w:val="00567C05"/>
    <w:rsid w:val="00567E87"/>
    <w:rsid w:val="00570223"/>
    <w:rsid w:val="00570936"/>
    <w:rsid w:val="005709A2"/>
    <w:rsid w:val="00570A53"/>
    <w:rsid w:val="00570A94"/>
    <w:rsid w:val="00570CAE"/>
    <w:rsid w:val="00570E8B"/>
    <w:rsid w:val="00571574"/>
    <w:rsid w:val="00571886"/>
    <w:rsid w:val="00571AB8"/>
    <w:rsid w:val="00571C55"/>
    <w:rsid w:val="00571C84"/>
    <w:rsid w:val="00571D6D"/>
    <w:rsid w:val="00571EC8"/>
    <w:rsid w:val="0057222B"/>
    <w:rsid w:val="005726A4"/>
    <w:rsid w:val="005726F5"/>
    <w:rsid w:val="00572888"/>
    <w:rsid w:val="00572A63"/>
    <w:rsid w:val="00572AF4"/>
    <w:rsid w:val="00572C5F"/>
    <w:rsid w:val="00572C8C"/>
    <w:rsid w:val="00572CCA"/>
    <w:rsid w:val="00572E30"/>
    <w:rsid w:val="00572F46"/>
    <w:rsid w:val="005730B9"/>
    <w:rsid w:val="00573119"/>
    <w:rsid w:val="00573246"/>
    <w:rsid w:val="0057324E"/>
    <w:rsid w:val="005732CD"/>
    <w:rsid w:val="005733B9"/>
    <w:rsid w:val="005736B1"/>
    <w:rsid w:val="0057399E"/>
    <w:rsid w:val="00573A89"/>
    <w:rsid w:val="0057400F"/>
    <w:rsid w:val="005743A0"/>
    <w:rsid w:val="005743CE"/>
    <w:rsid w:val="00574A02"/>
    <w:rsid w:val="00574B70"/>
    <w:rsid w:val="00574C23"/>
    <w:rsid w:val="00574CB0"/>
    <w:rsid w:val="0057527B"/>
    <w:rsid w:val="005752BC"/>
    <w:rsid w:val="00575454"/>
    <w:rsid w:val="005755E6"/>
    <w:rsid w:val="0057570F"/>
    <w:rsid w:val="0057605F"/>
    <w:rsid w:val="00576102"/>
    <w:rsid w:val="00576360"/>
    <w:rsid w:val="00576363"/>
    <w:rsid w:val="005763D5"/>
    <w:rsid w:val="00576A54"/>
    <w:rsid w:val="00576B05"/>
    <w:rsid w:val="00576BB3"/>
    <w:rsid w:val="00576C62"/>
    <w:rsid w:val="0057757E"/>
    <w:rsid w:val="0057764A"/>
    <w:rsid w:val="00577B29"/>
    <w:rsid w:val="00577BB8"/>
    <w:rsid w:val="00577C6F"/>
    <w:rsid w:val="00577DC6"/>
    <w:rsid w:val="00577F04"/>
    <w:rsid w:val="00577FC0"/>
    <w:rsid w:val="0058018A"/>
    <w:rsid w:val="00580203"/>
    <w:rsid w:val="005805AA"/>
    <w:rsid w:val="00580960"/>
    <w:rsid w:val="00580A7B"/>
    <w:rsid w:val="00580B9B"/>
    <w:rsid w:val="00580EA0"/>
    <w:rsid w:val="0058162A"/>
    <w:rsid w:val="005816F4"/>
    <w:rsid w:val="00581BDF"/>
    <w:rsid w:val="00581C39"/>
    <w:rsid w:val="005823AF"/>
    <w:rsid w:val="00582834"/>
    <w:rsid w:val="00582EA5"/>
    <w:rsid w:val="00582F26"/>
    <w:rsid w:val="005830E4"/>
    <w:rsid w:val="00583257"/>
    <w:rsid w:val="0058348F"/>
    <w:rsid w:val="00583497"/>
    <w:rsid w:val="005834DF"/>
    <w:rsid w:val="005836B7"/>
    <w:rsid w:val="005838FF"/>
    <w:rsid w:val="005841EF"/>
    <w:rsid w:val="00584E76"/>
    <w:rsid w:val="00584FA6"/>
    <w:rsid w:val="00584FCA"/>
    <w:rsid w:val="00585174"/>
    <w:rsid w:val="00585E6A"/>
    <w:rsid w:val="005860D2"/>
    <w:rsid w:val="00586127"/>
    <w:rsid w:val="0058625F"/>
    <w:rsid w:val="005862CC"/>
    <w:rsid w:val="00586366"/>
    <w:rsid w:val="0058661E"/>
    <w:rsid w:val="005867F9"/>
    <w:rsid w:val="00586B2C"/>
    <w:rsid w:val="00586CEB"/>
    <w:rsid w:val="00587294"/>
    <w:rsid w:val="00587562"/>
    <w:rsid w:val="00587943"/>
    <w:rsid w:val="00587A52"/>
    <w:rsid w:val="00587B14"/>
    <w:rsid w:val="00587B48"/>
    <w:rsid w:val="0059009A"/>
    <w:rsid w:val="005901B5"/>
    <w:rsid w:val="00590262"/>
    <w:rsid w:val="005902A5"/>
    <w:rsid w:val="005902EB"/>
    <w:rsid w:val="0059038C"/>
    <w:rsid w:val="005903DF"/>
    <w:rsid w:val="0059057E"/>
    <w:rsid w:val="0059072D"/>
    <w:rsid w:val="00590926"/>
    <w:rsid w:val="00590FC3"/>
    <w:rsid w:val="00591278"/>
    <w:rsid w:val="005916DD"/>
    <w:rsid w:val="00591759"/>
    <w:rsid w:val="00591768"/>
    <w:rsid w:val="00591798"/>
    <w:rsid w:val="00591DA5"/>
    <w:rsid w:val="00591E58"/>
    <w:rsid w:val="005921E2"/>
    <w:rsid w:val="00592497"/>
    <w:rsid w:val="005926E5"/>
    <w:rsid w:val="00592800"/>
    <w:rsid w:val="005928DB"/>
    <w:rsid w:val="00592C16"/>
    <w:rsid w:val="00592FAD"/>
    <w:rsid w:val="0059321F"/>
    <w:rsid w:val="005932BF"/>
    <w:rsid w:val="00593918"/>
    <w:rsid w:val="00593B19"/>
    <w:rsid w:val="00593CCE"/>
    <w:rsid w:val="00593EF7"/>
    <w:rsid w:val="00593F02"/>
    <w:rsid w:val="00593FB1"/>
    <w:rsid w:val="005940C6"/>
    <w:rsid w:val="005945E3"/>
    <w:rsid w:val="0059479E"/>
    <w:rsid w:val="0059486F"/>
    <w:rsid w:val="00594AFD"/>
    <w:rsid w:val="00594CCF"/>
    <w:rsid w:val="00594D3D"/>
    <w:rsid w:val="00594D7D"/>
    <w:rsid w:val="00594DD2"/>
    <w:rsid w:val="00594E87"/>
    <w:rsid w:val="00594F24"/>
    <w:rsid w:val="005950E5"/>
    <w:rsid w:val="005953AB"/>
    <w:rsid w:val="00595438"/>
    <w:rsid w:val="00595A85"/>
    <w:rsid w:val="00595BBB"/>
    <w:rsid w:val="00595BC7"/>
    <w:rsid w:val="00595BD8"/>
    <w:rsid w:val="00595C0C"/>
    <w:rsid w:val="00595CD5"/>
    <w:rsid w:val="005960D4"/>
    <w:rsid w:val="00596326"/>
    <w:rsid w:val="005964F1"/>
    <w:rsid w:val="005965A4"/>
    <w:rsid w:val="00596644"/>
    <w:rsid w:val="00596BF5"/>
    <w:rsid w:val="00596CE7"/>
    <w:rsid w:val="00596E20"/>
    <w:rsid w:val="005970E4"/>
    <w:rsid w:val="00597309"/>
    <w:rsid w:val="00597508"/>
    <w:rsid w:val="00597526"/>
    <w:rsid w:val="005976E7"/>
    <w:rsid w:val="005977A9"/>
    <w:rsid w:val="005977F6"/>
    <w:rsid w:val="005978D6"/>
    <w:rsid w:val="00597B8A"/>
    <w:rsid w:val="00597F5F"/>
    <w:rsid w:val="005A016F"/>
    <w:rsid w:val="005A03DF"/>
    <w:rsid w:val="005A0444"/>
    <w:rsid w:val="005A0608"/>
    <w:rsid w:val="005A07CE"/>
    <w:rsid w:val="005A08B6"/>
    <w:rsid w:val="005A0F26"/>
    <w:rsid w:val="005A0F91"/>
    <w:rsid w:val="005A0FD2"/>
    <w:rsid w:val="005A103C"/>
    <w:rsid w:val="005A1197"/>
    <w:rsid w:val="005A1576"/>
    <w:rsid w:val="005A1772"/>
    <w:rsid w:val="005A1773"/>
    <w:rsid w:val="005A18E6"/>
    <w:rsid w:val="005A202E"/>
    <w:rsid w:val="005A20BD"/>
    <w:rsid w:val="005A23AA"/>
    <w:rsid w:val="005A23DE"/>
    <w:rsid w:val="005A24AA"/>
    <w:rsid w:val="005A28C2"/>
    <w:rsid w:val="005A29B9"/>
    <w:rsid w:val="005A2AC9"/>
    <w:rsid w:val="005A2B75"/>
    <w:rsid w:val="005A2BE6"/>
    <w:rsid w:val="005A2DB9"/>
    <w:rsid w:val="005A2F1D"/>
    <w:rsid w:val="005A3692"/>
    <w:rsid w:val="005A36E0"/>
    <w:rsid w:val="005A37BA"/>
    <w:rsid w:val="005A3A3A"/>
    <w:rsid w:val="005A3C0D"/>
    <w:rsid w:val="005A3F0A"/>
    <w:rsid w:val="005A41D2"/>
    <w:rsid w:val="005A426E"/>
    <w:rsid w:val="005A4A59"/>
    <w:rsid w:val="005A4C0B"/>
    <w:rsid w:val="005A4C2B"/>
    <w:rsid w:val="005A4CD3"/>
    <w:rsid w:val="005A4D69"/>
    <w:rsid w:val="005A4F47"/>
    <w:rsid w:val="005A543B"/>
    <w:rsid w:val="005A544C"/>
    <w:rsid w:val="005A5494"/>
    <w:rsid w:val="005A556E"/>
    <w:rsid w:val="005A5A18"/>
    <w:rsid w:val="005A5DCE"/>
    <w:rsid w:val="005A5E05"/>
    <w:rsid w:val="005A5EA0"/>
    <w:rsid w:val="005A632F"/>
    <w:rsid w:val="005A63E9"/>
    <w:rsid w:val="005A670D"/>
    <w:rsid w:val="005A67EE"/>
    <w:rsid w:val="005A6A04"/>
    <w:rsid w:val="005A6A64"/>
    <w:rsid w:val="005A6B8D"/>
    <w:rsid w:val="005A6EE0"/>
    <w:rsid w:val="005A6F04"/>
    <w:rsid w:val="005A6F7C"/>
    <w:rsid w:val="005A7187"/>
    <w:rsid w:val="005A729B"/>
    <w:rsid w:val="005A73ED"/>
    <w:rsid w:val="005A7476"/>
    <w:rsid w:val="005A7A3D"/>
    <w:rsid w:val="005A7ADA"/>
    <w:rsid w:val="005A7B76"/>
    <w:rsid w:val="005B0052"/>
    <w:rsid w:val="005B02F8"/>
    <w:rsid w:val="005B0657"/>
    <w:rsid w:val="005B08B4"/>
    <w:rsid w:val="005B0971"/>
    <w:rsid w:val="005B0F24"/>
    <w:rsid w:val="005B132A"/>
    <w:rsid w:val="005B132F"/>
    <w:rsid w:val="005B1405"/>
    <w:rsid w:val="005B15B1"/>
    <w:rsid w:val="005B15EB"/>
    <w:rsid w:val="005B18B2"/>
    <w:rsid w:val="005B1A5D"/>
    <w:rsid w:val="005B1B45"/>
    <w:rsid w:val="005B1D3D"/>
    <w:rsid w:val="005B1E4C"/>
    <w:rsid w:val="005B21A6"/>
    <w:rsid w:val="005B21DA"/>
    <w:rsid w:val="005B21F8"/>
    <w:rsid w:val="005B24AD"/>
    <w:rsid w:val="005B262D"/>
    <w:rsid w:val="005B281B"/>
    <w:rsid w:val="005B289F"/>
    <w:rsid w:val="005B2910"/>
    <w:rsid w:val="005B2930"/>
    <w:rsid w:val="005B2AD8"/>
    <w:rsid w:val="005B2BDB"/>
    <w:rsid w:val="005B2E13"/>
    <w:rsid w:val="005B3041"/>
    <w:rsid w:val="005B31D2"/>
    <w:rsid w:val="005B341D"/>
    <w:rsid w:val="005B38E7"/>
    <w:rsid w:val="005B3C53"/>
    <w:rsid w:val="005B3E4B"/>
    <w:rsid w:val="005B4034"/>
    <w:rsid w:val="005B4051"/>
    <w:rsid w:val="005B4055"/>
    <w:rsid w:val="005B40A6"/>
    <w:rsid w:val="005B4823"/>
    <w:rsid w:val="005B4B67"/>
    <w:rsid w:val="005B5036"/>
    <w:rsid w:val="005B5165"/>
    <w:rsid w:val="005B53B7"/>
    <w:rsid w:val="005B54A0"/>
    <w:rsid w:val="005B5811"/>
    <w:rsid w:val="005B5973"/>
    <w:rsid w:val="005B5C30"/>
    <w:rsid w:val="005B5C48"/>
    <w:rsid w:val="005B6491"/>
    <w:rsid w:val="005B6604"/>
    <w:rsid w:val="005B6708"/>
    <w:rsid w:val="005B676B"/>
    <w:rsid w:val="005B6843"/>
    <w:rsid w:val="005B6A09"/>
    <w:rsid w:val="005B6D5C"/>
    <w:rsid w:val="005B715B"/>
    <w:rsid w:val="005B72C2"/>
    <w:rsid w:val="005B73BC"/>
    <w:rsid w:val="005B7450"/>
    <w:rsid w:val="005B7794"/>
    <w:rsid w:val="005B78B7"/>
    <w:rsid w:val="005B7947"/>
    <w:rsid w:val="005B79F2"/>
    <w:rsid w:val="005B7D22"/>
    <w:rsid w:val="005C0180"/>
    <w:rsid w:val="005C01B7"/>
    <w:rsid w:val="005C063B"/>
    <w:rsid w:val="005C06F3"/>
    <w:rsid w:val="005C085B"/>
    <w:rsid w:val="005C087B"/>
    <w:rsid w:val="005C0A89"/>
    <w:rsid w:val="005C0B93"/>
    <w:rsid w:val="005C0DD6"/>
    <w:rsid w:val="005C0F12"/>
    <w:rsid w:val="005C0F67"/>
    <w:rsid w:val="005C1122"/>
    <w:rsid w:val="005C11BF"/>
    <w:rsid w:val="005C1249"/>
    <w:rsid w:val="005C1492"/>
    <w:rsid w:val="005C14EF"/>
    <w:rsid w:val="005C152D"/>
    <w:rsid w:val="005C153F"/>
    <w:rsid w:val="005C1726"/>
    <w:rsid w:val="005C18E8"/>
    <w:rsid w:val="005C1C44"/>
    <w:rsid w:val="005C1E93"/>
    <w:rsid w:val="005C2023"/>
    <w:rsid w:val="005C2230"/>
    <w:rsid w:val="005C2737"/>
    <w:rsid w:val="005C27F4"/>
    <w:rsid w:val="005C28A4"/>
    <w:rsid w:val="005C28FE"/>
    <w:rsid w:val="005C2E81"/>
    <w:rsid w:val="005C2EC5"/>
    <w:rsid w:val="005C30E0"/>
    <w:rsid w:val="005C3426"/>
    <w:rsid w:val="005C35B8"/>
    <w:rsid w:val="005C35FA"/>
    <w:rsid w:val="005C3626"/>
    <w:rsid w:val="005C371D"/>
    <w:rsid w:val="005C37A5"/>
    <w:rsid w:val="005C3C97"/>
    <w:rsid w:val="005C3DEC"/>
    <w:rsid w:val="005C422B"/>
    <w:rsid w:val="005C42AF"/>
    <w:rsid w:val="005C441F"/>
    <w:rsid w:val="005C4580"/>
    <w:rsid w:val="005C482F"/>
    <w:rsid w:val="005C489A"/>
    <w:rsid w:val="005C4A8A"/>
    <w:rsid w:val="005C4C1F"/>
    <w:rsid w:val="005C4E7D"/>
    <w:rsid w:val="005C50C7"/>
    <w:rsid w:val="005C50C8"/>
    <w:rsid w:val="005C52D6"/>
    <w:rsid w:val="005C5531"/>
    <w:rsid w:val="005C572E"/>
    <w:rsid w:val="005C5985"/>
    <w:rsid w:val="005C5A83"/>
    <w:rsid w:val="005C5C73"/>
    <w:rsid w:val="005C5D7F"/>
    <w:rsid w:val="005C616A"/>
    <w:rsid w:val="005C61BC"/>
    <w:rsid w:val="005C637C"/>
    <w:rsid w:val="005C72BC"/>
    <w:rsid w:val="005C7447"/>
    <w:rsid w:val="005C7EBA"/>
    <w:rsid w:val="005C7F06"/>
    <w:rsid w:val="005D0259"/>
    <w:rsid w:val="005D08E2"/>
    <w:rsid w:val="005D0BDD"/>
    <w:rsid w:val="005D13A2"/>
    <w:rsid w:val="005D14CC"/>
    <w:rsid w:val="005D16FF"/>
    <w:rsid w:val="005D1776"/>
    <w:rsid w:val="005D1C29"/>
    <w:rsid w:val="005D1E7A"/>
    <w:rsid w:val="005D2163"/>
    <w:rsid w:val="005D2A79"/>
    <w:rsid w:val="005D3004"/>
    <w:rsid w:val="005D3091"/>
    <w:rsid w:val="005D30F5"/>
    <w:rsid w:val="005D3394"/>
    <w:rsid w:val="005D3498"/>
    <w:rsid w:val="005D35D4"/>
    <w:rsid w:val="005D3684"/>
    <w:rsid w:val="005D39B3"/>
    <w:rsid w:val="005D3D39"/>
    <w:rsid w:val="005D429E"/>
    <w:rsid w:val="005D4302"/>
    <w:rsid w:val="005D449B"/>
    <w:rsid w:val="005D45BA"/>
    <w:rsid w:val="005D46A4"/>
    <w:rsid w:val="005D4D0F"/>
    <w:rsid w:val="005D5363"/>
    <w:rsid w:val="005D564C"/>
    <w:rsid w:val="005D5714"/>
    <w:rsid w:val="005D5C6E"/>
    <w:rsid w:val="005D5D66"/>
    <w:rsid w:val="005D5E34"/>
    <w:rsid w:val="005D684C"/>
    <w:rsid w:val="005D6D19"/>
    <w:rsid w:val="005D70D4"/>
    <w:rsid w:val="005D7494"/>
    <w:rsid w:val="005D74CB"/>
    <w:rsid w:val="005D76A0"/>
    <w:rsid w:val="005D778F"/>
    <w:rsid w:val="005D787E"/>
    <w:rsid w:val="005D7AFC"/>
    <w:rsid w:val="005D7BDA"/>
    <w:rsid w:val="005D7C39"/>
    <w:rsid w:val="005D7C5D"/>
    <w:rsid w:val="005D7F44"/>
    <w:rsid w:val="005D7F87"/>
    <w:rsid w:val="005E05A6"/>
    <w:rsid w:val="005E060F"/>
    <w:rsid w:val="005E06D5"/>
    <w:rsid w:val="005E0742"/>
    <w:rsid w:val="005E07C2"/>
    <w:rsid w:val="005E09A4"/>
    <w:rsid w:val="005E0AA1"/>
    <w:rsid w:val="005E0AAB"/>
    <w:rsid w:val="005E0B1F"/>
    <w:rsid w:val="005E0D1E"/>
    <w:rsid w:val="005E0E12"/>
    <w:rsid w:val="005E0FB9"/>
    <w:rsid w:val="005E11CE"/>
    <w:rsid w:val="005E13DF"/>
    <w:rsid w:val="005E18D9"/>
    <w:rsid w:val="005E1C81"/>
    <w:rsid w:val="005E236C"/>
    <w:rsid w:val="005E2575"/>
    <w:rsid w:val="005E32ED"/>
    <w:rsid w:val="005E387D"/>
    <w:rsid w:val="005E397C"/>
    <w:rsid w:val="005E3A27"/>
    <w:rsid w:val="005E3A57"/>
    <w:rsid w:val="005E3A9C"/>
    <w:rsid w:val="005E3B75"/>
    <w:rsid w:val="005E3BED"/>
    <w:rsid w:val="005E3D15"/>
    <w:rsid w:val="005E3D1B"/>
    <w:rsid w:val="005E3F98"/>
    <w:rsid w:val="005E4184"/>
    <w:rsid w:val="005E4293"/>
    <w:rsid w:val="005E42A4"/>
    <w:rsid w:val="005E469E"/>
    <w:rsid w:val="005E46A7"/>
    <w:rsid w:val="005E4C65"/>
    <w:rsid w:val="005E4CE6"/>
    <w:rsid w:val="005E5003"/>
    <w:rsid w:val="005E5082"/>
    <w:rsid w:val="005E5254"/>
    <w:rsid w:val="005E52CA"/>
    <w:rsid w:val="005E55F5"/>
    <w:rsid w:val="005E581F"/>
    <w:rsid w:val="005E58B0"/>
    <w:rsid w:val="005E5915"/>
    <w:rsid w:val="005E59F2"/>
    <w:rsid w:val="005E5A08"/>
    <w:rsid w:val="005E5B22"/>
    <w:rsid w:val="005E5C04"/>
    <w:rsid w:val="005E5D46"/>
    <w:rsid w:val="005E603B"/>
    <w:rsid w:val="005E6185"/>
    <w:rsid w:val="005E61FB"/>
    <w:rsid w:val="005E6476"/>
    <w:rsid w:val="005E6583"/>
    <w:rsid w:val="005E66F6"/>
    <w:rsid w:val="005E67B6"/>
    <w:rsid w:val="005E67EA"/>
    <w:rsid w:val="005E6BDC"/>
    <w:rsid w:val="005E6D9E"/>
    <w:rsid w:val="005E6E74"/>
    <w:rsid w:val="005E6F09"/>
    <w:rsid w:val="005E707B"/>
    <w:rsid w:val="005E72C3"/>
    <w:rsid w:val="005E76A0"/>
    <w:rsid w:val="005F05B9"/>
    <w:rsid w:val="005F05CD"/>
    <w:rsid w:val="005F089C"/>
    <w:rsid w:val="005F0A39"/>
    <w:rsid w:val="005F0A4F"/>
    <w:rsid w:val="005F1025"/>
    <w:rsid w:val="005F140A"/>
    <w:rsid w:val="005F1442"/>
    <w:rsid w:val="005F167F"/>
    <w:rsid w:val="005F16C8"/>
    <w:rsid w:val="005F18C9"/>
    <w:rsid w:val="005F1C88"/>
    <w:rsid w:val="005F221A"/>
    <w:rsid w:val="005F2946"/>
    <w:rsid w:val="005F294E"/>
    <w:rsid w:val="005F29D0"/>
    <w:rsid w:val="005F29D7"/>
    <w:rsid w:val="005F2A48"/>
    <w:rsid w:val="005F2A62"/>
    <w:rsid w:val="005F34C6"/>
    <w:rsid w:val="005F35EB"/>
    <w:rsid w:val="005F3685"/>
    <w:rsid w:val="005F38D8"/>
    <w:rsid w:val="005F3A81"/>
    <w:rsid w:val="005F40AC"/>
    <w:rsid w:val="005F4318"/>
    <w:rsid w:val="005F442D"/>
    <w:rsid w:val="005F447A"/>
    <w:rsid w:val="005F450F"/>
    <w:rsid w:val="005F4605"/>
    <w:rsid w:val="005F47A3"/>
    <w:rsid w:val="005F4B52"/>
    <w:rsid w:val="005F4D1D"/>
    <w:rsid w:val="005F4F8E"/>
    <w:rsid w:val="005F4FED"/>
    <w:rsid w:val="005F50FD"/>
    <w:rsid w:val="005F517A"/>
    <w:rsid w:val="005F51D6"/>
    <w:rsid w:val="005F54A4"/>
    <w:rsid w:val="005F5570"/>
    <w:rsid w:val="005F55F7"/>
    <w:rsid w:val="005F5736"/>
    <w:rsid w:val="005F5A2C"/>
    <w:rsid w:val="005F5C7A"/>
    <w:rsid w:val="005F5F00"/>
    <w:rsid w:val="005F6319"/>
    <w:rsid w:val="005F6390"/>
    <w:rsid w:val="005F6AFA"/>
    <w:rsid w:val="005F6D74"/>
    <w:rsid w:val="005F71CE"/>
    <w:rsid w:val="005F71D1"/>
    <w:rsid w:val="005F721E"/>
    <w:rsid w:val="005F73E2"/>
    <w:rsid w:val="005F7516"/>
    <w:rsid w:val="005F76C6"/>
    <w:rsid w:val="005F7A62"/>
    <w:rsid w:val="00600028"/>
    <w:rsid w:val="0060019A"/>
    <w:rsid w:val="006001F5"/>
    <w:rsid w:val="0060035F"/>
    <w:rsid w:val="0060039F"/>
    <w:rsid w:val="006004CA"/>
    <w:rsid w:val="00600A01"/>
    <w:rsid w:val="00600CCA"/>
    <w:rsid w:val="00600DF1"/>
    <w:rsid w:val="00600ECD"/>
    <w:rsid w:val="00601236"/>
    <w:rsid w:val="0060155E"/>
    <w:rsid w:val="0060180F"/>
    <w:rsid w:val="006019F1"/>
    <w:rsid w:val="0060214C"/>
    <w:rsid w:val="006021E3"/>
    <w:rsid w:val="00602247"/>
    <w:rsid w:val="006028D4"/>
    <w:rsid w:val="00602A5E"/>
    <w:rsid w:val="00602A92"/>
    <w:rsid w:val="00602C4E"/>
    <w:rsid w:val="00602D7F"/>
    <w:rsid w:val="00603169"/>
    <w:rsid w:val="0060332E"/>
    <w:rsid w:val="00603789"/>
    <w:rsid w:val="00603820"/>
    <w:rsid w:val="0060392C"/>
    <w:rsid w:val="006039CE"/>
    <w:rsid w:val="00603A6A"/>
    <w:rsid w:val="00603D76"/>
    <w:rsid w:val="00603EBF"/>
    <w:rsid w:val="0060404A"/>
    <w:rsid w:val="0060414E"/>
    <w:rsid w:val="00604381"/>
    <w:rsid w:val="006044DC"/>
    <w:rsid w:val="006045CF"/>
    <w:rsid w:val="00604B7A"/>
    <w:rsid w:val="00604C6A"/>
    <w:rsid w:val="00604CB7"/>
    <w:rsid w:val="00604F53"/>
    <w:rsid w:val="0060506C"/>
    <w:rsid w:val="0060506F"/>
    <w:rsid w:val="00605429"/>
    <w:rsid w:val="006054EB"/>
    <w:rsid w:val="006055D0"/>
    <w:rsid w:val="00605771"/>
    <w:rsid w:val="006059EE"/>
    <w:rsid w:val="00605A13"/>
    <w:rsid w:val="00605BE0"/>
    <w:rsid w:val="006060F9"/>
    <w:rsid w:val="00606285"/>
    <w:rsid w:val="006067ED"/>
    <w:rsid w:val="006067F8"/>
    <w:rsid w:val="00606D60"/>
    <w:rsid w:val="00607059"/>
    <w:rsid w:val="006070A3"/>
    <w:rsid w:val="0060712D"/>
    <w:rsid w:val="00607155"/>
    <w:rsid w:val="00607205"/>
    <w:rsid w:val="006072CF"/>
    <w:rsid w:val="00607335"/>
    <w:rsid w:val="006073D3"/>
    <w:rsid w:val="006073F7"/>
    <w:rsid w:val="006074E4"/>
    <w:rsid w:val="006075D2"/>
    <w:rsid w:val="00607A0F"/>
    <w:rsid w:val="00607C65"/>
    <w:rsid w:val="00607CDC"/>
    <w:rsid w:val="00610314"/>
    <w:rsid w:val="00610680"/>
    <w:rsid w:val="0061077A"/>
    <w:rsid w:val="006107F9"/>
    <w:rsid w:val="0061090D"/>
    <w:rsid w:val="0061093C"/>
    <w:rsid w:val="00610B2B"/>
    <w:rsid w:val="00610C04"/>
    <w:rsid w:val="00610D39"/>
    <w:rsid w:val="006110EE"/>
    <w:rsid w:val="006111F8"/>
    <w:rsid w:val="006112D1"/>
    <w:rsid w:val="006112FA"/>
    <w:rsid w:val="00611407"/>
    <w:rsid w:val="00611A50"/>
    <w:rsid w:val="00611AF8"/>
    <w:rsid w:val="00611B14"/>
    <w:rsid w:val="00611B6E"/>
    <w:rsid w:val="00611C39"/>
    <w:rsid w:val="00611D4A"/>
    <w:rsid w:val="00611F3F"/>
    <w:rsid w:val="006122C6"/>
    <w:rsid w:val="006122DF"/>
    <w:rsid w:val="006122FE"/>
    <w:rsid w:val="0061248F"/>
    <w:rsid w:val="00612725"/>
    <w:rsid w:val="00612846"/>
    <w:rsid w:val="00613012"/>
    <w:rsid w:val="00613411"/>
    <w:rsid w:val="006134CF"/>
    <w:rsid w:val="00613784"/>
    <w:rsid w:val="0061391A"/>
    <w:rsid w:val="00613DF4"/>
    <w:rsid w:val="00613ED1"/>
    <w:rsid w:val="00613FDA"/>
    <w:rsid w:val="006141E4"/>
    <w:rsid w:val="00614337"/>
    <w:rsid w:val="00614727"/>
    <w:rsid w:val="00614882"/>
    <w:rsid w:val="0061495B"/>
    <w:rsid w:val="00614AF7"/>
    <w:rsid w:val="00614BA7"/>
    <w:rsid w:val="00614C24"/>
    <w:rsid w:val="00614D6E"/>
    <w:rsid w:val="00614DB1"/>
    <w:rsid w:val="00614E60"/>
    <w:rsid w:val="00615301"/>
    <w:rsid w:val="006153B7"/>
    <w:rsid w:val="006155A1"/>
    <w:rsid w:val="0061561E"/>
    <w:rsid w:val="0061592E"/>
    <w:rsid w:val="00615BC8"/>
    <w:rsid w:val="00615D80"/>
    <w:rsid w:val="00615DCF"/>
    <w:rsid w:val="00616090"/>
    <w:rsid w:val="0061626A"/>
    <w:rsid w:val="0061630F"/>
    <w:rsid w:val="00616486"/>
    <w:rsid w:val="00616A1D"/>
    <w:rsid w:val="00616E62"/>
    <w:rsid w:val="00616F3E"/>
    <w:rsid w:val="00617127"/>
    <w:rsid w:val="006171FA"/>
    <w:rsid w:val="006173BE"/>
    <w:rsid w:val="006174B8"/>
    <w:rsid w:val="0061760B"/>
    <w:rsid w:val="0061762B"/>
    <w:rsid w:val="006177F8"/>
    <w:rsid w:val="00617E2D"/>
    <w:rsid w:val="0062009D"/>
    <w:rsid w:val="00620205"/>
    <w:rsid w:val="00620271"/>
    <w:rsid w:val="00620876"/>
    <w:rsid w:val="006208AE"/>
    <w:rsid w:val="006209B1"/>
    <w:rsid w:val="00620A60"/>
    <w:rsid w:val="00621144"/>
    <w:rsid w:val="0062118F"/>
    <w:rsid w:val="006212E6"/>
    <w:rsid w:val="00621479"/>
    <w:rsid w:val="006218A4"/>
    <w:rsid w:val="006219E3"/>
    <w:rsid w:val="00622181"/>
    <w:rsid w:val="00622550"/>
    <w:rsid w:val="00622CAB"/>
    <w:rsid w:val="00622D42"/>
    <w:rsid w:val="00622F63"/>
    <w:rsid w:val="0062324C"/>
    <w:rsid w:val="00623402"/>
    <w:rsid w:val="006235E6"/>
    <w:rsid w:val="00623699"/>
    <w:rsid w:val="0062374B"/>
    <w:rsid w:val="006239A8"/>
    <w:rsid w:val="00623B1C"/>
    <w:rsid w:val="00623D7C"/>
    <w:rsid w:val="00623D96"/>
    <w:rsid w:val="00623FA5"/>
    <w:rsid w:val="006240BD"/>
    <w:rsid w:val="00624178"/>
    <w:rsid w:val="006242D2"/>
    <w:rsid w:val="00624773"/>
    <w:rsid w:val="006247AC"/>
    <w:rsid w:val="00624B34"/>
    <w:rsid w:val="00624D10"/>
    <w:rsid w:val="00624D53"/>
    <w:rsid w:val="00624EC2"/>
    <w:rsid w:val="00624F20"/>
    <w:rsid w:val="00625044"/>
    <w:rsid w:val="006253A7"/>
    <w:rsid w:val="0062549C"/>
    <w:rsid w:val="0062598A"/>
    <w:rsid w:val="00625B93"/>
    <w:rsid w:val="00625BC8"/>
    <w:rsid w:val="00625C9C"/>
    <w:rsid w:val="00625FB5"/>
    <w:rsid w:val="00625FB7"/>
    <w:rsid w:val="00626AD6"/>
    <w:rsid w:val="00626B7F"/>
    <w:rsid w:val="00626F97"/>
    <w:rsid w:val="0062703E"/>
    <w:rsid w:val="00627583"/>
    <w:rsid w:val="00627838"/>
    <w:rsid w:val="00627ABA"/>
    <w:rsid w:val="00627C6B"/>
    <w:rsid w:val="00627D38"/>
    <w:rsid w:val="00627E65"/>
    <w:rsid w:val="00627EAE"/>
    <w:rsid w:val="00627EBB"/>
    <w:rsid w:val="00627EC7"/>
    <w:rsid w:val="006300E8"/>
    <w:rsid w:val="006301C9"/>
    <w:rsid w:val="006301F5"/>
    <w:rsid w:val="006304B3"/>
    <w:rsid w:val="0063073B"/>
    <w:rsid w:val="006308E9"/>
    <w:rsid w:val="006308F9"/>
    <w:rsid w:val="006308FF"/>
    <w:rsid w:val="00630914"/>
    <w:rsid w:val="00630A25"/>
    <w:rsid w:val="00630AE4"/>
    <w:rsid w:val="00630F49"/>
    <w:rsid w:val="006312D8"/>
    <w:rsid w:val="0063176F"/>
    <w:rsid w:val="006318CC"/>
    <w:rsid w:val="0063196C"/>
    <w:rsid w:val="00631C28"/>
    <w:rsid w:val="00631C39"/>
    <w:rsid w:val="00631DAF"/>
    <w:rsid w:val="006320E0"/>
    <w:rsid w:val="0063214A"/>
    <w:rsid w:val="00632166"/>
    <w:rsid w:val="006322D7"/>
    <w:rsid w:val="00632BA9"/>
    <w:rsid w:val="00632E72"/>
    <w:rsid w:val="00632FF3"/>
    <w:rsid w:val="00633152"/>
    <w:rsid w:val="006331D4"/>
    <w:rsid w:val="0063346C"/>
    <w:rsid w:val="00633563"/>
    <w:rsid w:val="00633A10"/>
    <w:rsid w:val="00633A2E"/>
    <w:rsid w:val="00633A52"/>
    <w:rsid w:val="00633D1B"/>
    <w:rsid w:val="00633D3B"/>
    <w:rsid w:val="00633D6B"/>
    <w:rsid w:val="00633E51"/>
    <w:rsid w:val="00633E96"/>
    <w:rsid w:val="006340FE"/>
    <w:rsid w:val="006343A7"/>
    <w:rsid w:val="006343CA"/>
    <w:rsid w:val="006343F9"/>
    <w:rsid w:val="00634826"/>
    <w:rsid w:val="006348EE"/>
    <w:rsid w:val="00634962"/>
    <w:rsid w:val="00634AA1"/>
    <w:rsid w:val="00634AC3"/>
    <w:rsid w:val="00634B66"/>
    <w:rsid w:val="00634E7B"/>
    <w:rsid w:val="00634EF8"/>
    <w:rsid w:val="00635228"/>
    <w:rsid w:val="006352CF"/>
    <w:rsid w:val="00635376"/>
    <w:rsid w:val="0063541F"/>
    <w:rsid w:val="0063558A"/>
    <w:rsid w:val="006355AD"/>
    <w:rsid w:val="0063579F"/>
    <w:rsid w:val="00635B95"/>
    <w:rsid w:val="00635CF9"/>
    <w:rsid w:val="00635F7D"/>
    <w:rsid w:val="006360A6"/>
    <w:rsid w:val="006360B3"/>
    <w:rsid w:val="00636271"/>
    <w:rsid w:val="0063627B"/>
    <w:rsid w:val="006366CA"/>
    <w:rsid w:val="00636A1B"/>
    <w:rsid w:val="00636B60"/>
    <w:rsid w:val="00636CF6"/>
    <w:rsid w:val="00637180"/>
    <w:rsid w:val="00637376"/>
    <w:rsid w:val="00637535"/>
    <w:rsid w:val="0063766C"/>
    <w:rsid w:val="006376A3"/>
    <w:rsid w:val="006376DC"/>
    <w:rsid w:val="006377CA"/>
    <w:rsid w:val="006379D6"/>
    <w:rsid w:val="00637EDF"/>
    <w:rsid w:val="006406FC"/>
    <w:rsid w:val="00640788"/>
    <w:rsid w:val="006408DA"/>
    <w:rsid w:val="00640A9A"/>
    <w:rsid w:val="00640B13"/>
    <w:rsid w:val="00640E8B"/>
    <w:rsid w:val="00640E91"/>
    <w:rsid w:val="00640F40"/>
    <w:rsid w:val="0064103A"/>
    <w:rsid w:val="00641461"/>
    <w:rsid w:val="0064196A"/>
    <w:rsid w:val="00641A7D"/>
    <w:rsid w:val="00641ACD"/>
    <w:rsid w:val="00641B5B"/>
    <w:rsid w:val="00641B6C"/>
    <w:rsid w:val="00641F58"/>
    <w:rsid w:val="00642659"/>
    <w:rsid w:val="006434ED"/>
    <w:rsid w:val="006438B1"/>
    <w:rsid w:val="00643AA0"/>
    <w:rsid w:val="00643C5A"/>
    <w:rsid w:val="0064427C"/>
    <w:rsid w:val="006442FB"/>
    <w:rsid w:val="0064437F"/>
    <w:rsid w:val="00644527"/>
    <w:rsid w:val="00644596"/>
    <w:rsid w:val="006445F7"/>
    <w:rsid w:val="00644756"/>
    <w:rsid w:val="006447AA"/>
    <w:rsid w:val="00644850"/>
    <w:rsid w:val="00644A22"/>
    <w:rsid w:val="00644B19"/>
    <w:rsid w:val="00644F61"/>
    <w:rsid w:val="006453D7"/>
    <w:rsid w:val="006453E7"/>
    <w:rsid w:val="00645404"/>
    <w:rsid w:val="00645433"/>
    <w:rsid w:val="0064546B"/>
    <w:rsid w:val="00645599"/>
    <w:rsid w:val="006456BF"/>
    <w:rsid w:val="006457F8"/>
    <w:rsid w:val="00645BAA"/>
    <w:rsid w:val="00645E0C"/>
    <w:rsid w:val="0064618A"/>
    <w:rsid w:val="006461DE"/>
    <w:rsid w:val="00646793"/>
    <w:rsid w:val="0064681D"/>
    <w:rsid w:val="00646D92"/>
    <w:rsid w:val="006470AD"/>
    <w:rsid w:val="00647190"/>
    <w:rsid w:val="00647648"/>
    <w:rsid w:val="0064787F"/>
    <w:rsid w:val="00647895"/>
    <w:rsid w:val="00647CCB"/>
    <w:rsid w:val="00647EFB"/>
    <w:rsid w:val="00647F7B"/>
    <w:rsid w:val="00647FDC"/>
    <w:rsid w:val="006502FA"/>
    <w:rsid w:val="00650599"/>
    <w:rsid w:val="00650AF6"/>
    <w:rsid w:val="00651097"/>
    <w:rsid w:val="006512EB"/>
    <w:rsid w:val="0065144D"/>
    <w:rsid w:val="006515E3"/>
    <w:rsid w:val="00651959"/>
    <w:rsid w:val="006519CE"/>
    <w:rsid w:val="00651A0B"/>
    <w:rsid w:val="00651A18"/>
    <w:rsid w:val="00651AAF"/>
    <w:rsid w:val="00651B6D"/>
    <w:rsid w:val="00651D11"/>
    <w:rsid w:val="00651FAF"/>
    <w:rsid w:val="00652131"/>
    <w:rsid w:val="00652162"/>
    <w:rsid w:val="006521DA"/>
    <w:rsid w:val="00652402"/>
    <w:rsid w:val="00652706"/>
    <w:rsid w:val="00652835"/>
    <w:rsid w:val="006528B4"/>
    <w:rsid w:val="00652A98"/>
    <w:rsid w:val="00652B16"/>
    <w:rsid w:val="00652CCD"/>
    <w:rsid w:val="00652F37"/>
    <w:rsid w:val="00653373"/>
    <w:rsid w:val="00653523"/>
    <w:rsid w:val="006536DF"/>
    <w:rsid w:val="00653826"/>
    <w:rsid w:val="006538B6"/>
    <w:rsid w:val="006538E4"/>
    <w:rsid w:val="00653A61"/>
    <w:rsid w:val="00653AFA"/>
    <w:rsid w:val="00653CD3"/>
    <w:rsid w:val="00653D8D"/>
    <w:rsid w:val="00653DF8"/>
    <w:rsid w:val="006542B2"/>
    <w:rsid w:val="00654354"/>
    <w:rsid w:val="00654615"/>
    <w:rsid w:val="00654675"/>
    <w:rsid w:val="00654762"/>
    <w:rsid w:val="00654D28"/>
    <w:rsid w:val="00654EC1"/>
    <w:rsid w:val="00654EF8"/>
    <w:rsid w:val="006555BF"/>
    <w:rsid w:val="00655801"/>
    <w:rsid w:val="0065587C"/>
    <w:rsid w:val="00655973"/>
    <w:rsid w:val="00655A79"/>
    <w:rsid w:val="00655AE8"/>
    <w:rsid w:val="00655AFC"/>
    <w:rsid w:val="00655BB4"/>
    <w:rsid w:val="00655ECD"/>
    <w:rsid w:val="00655F22"/>
    <w:rsid w:val="0065626A"/>
    <w:rsid w:val="006567D4"/>
    <w:rsid w:val="00656A5B"/>
    <w:rsid w:val="00656B25"/>
    <w:rsid w:val="00657129"/>
    <w:rsid w:val="0065729F"/>
    <w:rsid w:val="00657A67"/>
    <w:rsid w:val="00657E49"/>
    <w:rsid w:val="0066005B"/>
    <w:rsid w:val="006600EC"/>
    <w:rsid w:val="006601CD"/>
    <w:rsid w:val="00660206"/>
    <w:rsid w:val="0066037D"/>
    <w:rsid w:val="00660548"/>
    <w:rsid w:val="0066055B"/>
    <w:rsid w:val="006607A7"/>
    <w:rsid w:val="00660A2A"/>
    <w:rsid w:val="00660AA7"/>
    <w:rsid w:val="00660C51"/>
    <w:rsid w:val="00660ECA"/>
    <w:rsid w:val="00661789"/>
    <w:rsid w:val="00661D76"/>
    <w:rsid w:val="00662095"/>
    <w:rsid w:val="006620E4"/>
    <w:rsid w:val="006621B1"/>
    <w:rsid w:val="00662379"/>
    <w:rsid w:val="006623C6"/>
    <w:rsid w:val="006625D8"/>
    <w:rsid w:val="00662617"/>
    <w:rsid w:val="00662708"/>
    <w:rsid w:val="0066297E"/>
    <w:rsid w:val="00662BC9"/>
    <w:rsid w:val="00663047"/>
    <w:rsid w:val="00663454"/>
    <w:rsid w:val="006634D4"/>
    <w:rsid w:val="006637A7"/>
    <w:rsid w:val="00663802"/>
    <w:rsid w:val="00663C6F"/>
    <w:rsid w:val="00663D5A"/>
    <w:rsid w:val="00663F6A"/>
    <w:rsid w:val="006643C0"/>
    <w:rsid w:val="006644F6"/>
    <w:rsid w:val="006645FC"/>
    <w:rsid w:val="00664898"/>
    <w:rsid w:val="0066490F"/>
    <w:rsid w:val="0066491F"/>
    <w:rsid w:val="00664A82"/>
    <w:rsid w:val="00664EC0"/>
    <w:rsid w:val="00664FDA"/>
    <w:rsid w:val="00665031"/>
    <w:rsid w:val="006652E5"/>
    <w:rsid w:val="00665318"/>
    <w:rsid w:val="006654FB"/>
    <w:rsid w:val="006655C9"/>
    <w:rsid w:val="0066565C"/>
    <w:rsid w:val="00665941"/>
    <w:rsid w:val="00665BE9"/>
    <w:rsid w:val="006660C6"/>
    <w:rsid w:val="00666201"/>
    <w:rsid w:val="006662FF"/>
    <w:rsid w:val="00666653"/>
    <w:rsid w:val="00666756"/>
    <w:rsid w:val="00666B60"/>
    <w:rsid w:val="00666D0B"/>
    <w:rsid w:val="0066701C"/>
    <w:rsid w:val="0066733E"/>
    <w:rsid w:val="006673A2"/>
    <w:rsid w:val="006673A6"/>
    <w:rsid w:val="0066758D"/>
    <w:rsid w:val="006676B5"/>
    <w:rsid w:val="00667770"/>
    <w:rsid w:val="006677AE"/>
    <w:rsid w:val="00667809"/>
    <w:rsid w:val="00667A96"/>
    <w:rsid w:val="00667B22"/>
    <w:rsid w:val="00667EAC"/>
    <w:rsid w:val="00667FDC"/>
    <w:rsid w:val="0067007B"/>
    <w:rsid w:val="00670292"/>
    <w:rsid w:val="006704BE"/>
    <w:rsid w:val="00670551"/>
    <w:rsid w:val="006707D1"/>
    <w:rsid w:val="00670986"/>
    <w:rsid w:val="00670AA1"/>
    <w:rsid w:val="00670DF2"/>
    <w:rsid w:val="006710C1"/>
    <w:rsid w:val="00671383"/>
    <w:rsid w:val="00671679"/>
    <w:rsid w:val="00671807"/>
    <w:rsid w:val="00671AC3"/>
    <w:rsid w:val="00671B56"/>
    <w:rsid w:val="00671DA2"/>
    <w:rsid w:val="00671E6B"/>
    <w:rsid w:val="006720DC"/>
    <w:rsid w:val="00672222"/>
    <w:rsid w:val="00672286"/>
    <w:rsid w:val="00672370"/>
    <w:rsid w:val="00672484"/>
    <w:rsid w:val="006724B0"/>
    <w:rsid w:val="0067256F"/>
    <w:rsid w:val="006729A0"/>
    <w:rsid w:val="00672A92"/>
    <w:rsid w:val="00672DF7"/>
    <w:rsid w:val="00672F4E"/>
    <w:rsid w:val="0067304C"/>
    <w:rsid w:val="0067304E"/>
    <w:rsid w:val="00673274"/>
    <w:rsid w:val="00673783"/>
    <w:rsid w:val="0067380F"/>
    <w:rsid w:val="00673948"/>
    <w:rsid w:val="00673958"/>
    <w:rsid w:val="00673A8B"/>
    <w:rsid w:val="00673E49"/>
    <w:rsid w:val="006740D8"/>
    <w:rsid w:val="00674272"/>
    <w:rsid w:val="00674411"/>
    <w:rsid w:val="006745E5"/>
    <w:rsid w:val="006746CE"/>
    <w:rsid w:val="00674AA0"/>
    <w:rsid w:val="00674D9E"/>
    <w:rsid w:val="00674F58"/>
    <w:rsid w:val="0067502D"/>
    <w:rsid w:val="0067507F"/>
    <w:rsid w:val="00675206"/>
    <w:rsid w:val="006754CC"/>
    <w:rsid w:val="0067562E"/>
    <w:rsid w:val="00675C04"/>
    <w:rsid w:val="00675D77"/>
    <w:rsid w:val="00676192"/>
    <w:rsid w:val="0067623E"/>
    <w:rsid w:val="006762BA"/>
    <w:rsid w:val="00676449"/>
    <w:rsid w:val="00676452"/>
    <w:rsid w:val="00676791"/>
    <w:rsid w:val="006767E7"/>
    <w:rsid w:val="0067680F"/>
    <w:rsid w:val="00676F8D"/>
    <w:rsid w:val="0067724D"/>
    <w:rsid w:val="006774FC"/>
    <w:rsid w:val="00677749"/>
    <w:rsid w:val="006778B7"/>
    <w:rsid w:val="00677A0E"/>
    <w:rsid w:val="00677B30"/>
    <w:rsid w:val="00677B6B"/>
    <w:rsid w:val="006800B8"/>
    <w:rsid w:val="00680115"/>
    <w:rsid w:val="0068050D"/>
    <w:rsid w:val="0068088E"/>
    <w:rsid w:val="006808B6"/>
    <w:rsid w:val="00680CBE"/>
    <w:rsid w:val="00680E01"/>
    <w:rsid w:val="00680E6C"/>
    <w:rsid w:val="00681153"/>
    <w:rsid w:val="00681181"/>
    <w:rsid w:val="006811DE"/>
    <w:rsid w:val="006812AA"/>
    <w:rsid w:val="006812AF"/>
    <w:rsid w:val="00681418"/>
    <w:rsid w:val="006817B2"/>
    <w:rsid w:val="006818DD"/>
    <w:rsid w:val="00681A48"/>
    <w:rsid w:val="00681DFD"/>
    <w:rsid w:val="00682099"/>
    <w:rsid w:val="0068234A"/>
    <w:rsid w:val="006824FC"/>
    <w:rsid w:val="00682BF1"/>
    <w:rsid w:val="00682CF8"/>
    <w:rsid w:val="00682EFD"/>
    <w:rsid w:val="00682FF1"/>
    <w:rsid w:val="006834BA"/>
    <w:rsid w:val="006834C6"/>
    <w:rsid w:val="00683687"/>
    <w:rsid w:val="006837F6"/>
    <w:rsid w:val="00683960"/>
    <w:rsid w:val="006839A2"/>
    <w:rsid w:val="00683A3F"/>
    <w:rsid w:val="00683AF2"/>
    <w:rsid w:val="00683CCD"/>
    <w:rsid w:val="00683D58"/>
    <w:rsid w:val="0068405F"/>
    <w:rsid w:val="0068422E"/>
    <w:rsid w:val="00684665"/>
    <w:rsid w:val="00684712"/>
    <w:rsid w:val="006847CE"/>
    <w:rsid w:val="006849ED"/>
    <w:rsid w:val="00684B47"/>
    <w:rsid w:val="00684D1E"/>
    <w:rsid w:val="00684FB1"/>
    <w:rsid w:val="00685089"/>
    <w:rsid w:val="0068519D"/>
    <w:rsid w:val="006853F0"/>
    <w:rsid w:val="00685461"/>
    <w:rsid w:val="00685535"/>
    <w:rsid w:val="006858AE"/>
    <w:rsid w:val="0068595B"/>
    <w:rsid w:val="00685A22"/>
    <w:rsid w:val="00685F00"/>
    <w:rsid w:val="00685F43"/>
    <w:rsid w:val="00685F7C"/>
    <w:rsid w:val="0068643B"/>
    <w:rsid w:val="00686442"/>
    <w:rsid w:val="00686648"/>
    <w:rsid w:val="006868A5"/>
    <w:rsid w:val="0068697B"/>
    <w:rsid w:val="00686CD3"/>
    <w:rsid w:val="00687265"/>
    <w:rsid w:val="00687491"/>
    <w:rsid w:val="0068755D"/>
    <w:rsid w:val="0068778C"/>
    <w:rsid w:val="006879C6"/>
    <w:rsid w:val="00687A0C"/>
    <w:rsid w:val="00687AD0"/>
    <w:rsid w:val="00687B4C"/>
    <w:rsid w:val="0069005E"/>
    <w:rsid w:val="006901A9"/>
    <w:rsid w:val="00690341"/>
    <w:rsid w:val="006905F8"/>
    <w:rsid w:val="0069061F"/>
    <w:rsid w:val="0069120E"/>
    <w:rsid w:val="006913CA"/>
    <w:rsid w:val="0069158A"/>
    <w:rsid w:val="00691649"/>
    <w:rsid w:val="006916A3"/>
    <w:rsid w:val="00691830"/>
    <w:rsid w:val="006919DC"/>
    <w:rsid w:val="00691B98"/>
    <w:rsid w:val="00691EDC"/>
    <w:rsid w:val="00692016"/>
    <w:rsid w:val="006927F6"/>
    <w:rsid w:val="00692AE1"/>
    <w:rsid w:val="00692B37"/>
    <w:rsid w:val="00692C63"/>
    <w:rsid w:val="00692E0E"/>
    <w:rsid w:val="00692F63"/>
    <w:rsid w:val="00692FDD"/>
    <w:rsid w:val="00693399"/>
    <w:rsid w:val="0069374C"/>
    <w:rsid w:val="0069376A"/>
    <w:rsid w:val="0069395C"/>
    <w:rsid w:val="00693C26"/>
    <w:rsid w:val="00693CA2"/>
    <w:rsid w:val="00693DD9"/>
    <w:rsid w:val="00693F14"/>
    <w:rsid w:val="00694D8A"/>
    <w:rsid w:val="00694DCF"/>
    <w:rsid w:val="00694F3D"/>
    <w:rsid w:val="00694F82"/>
    <w:rsid w:val="00694FF8"/>
    <w:rsid w:val="006950AC"/>
    <w:rsid w:val="00695146"/>
    <w:rsid w:val="00695291"/>
    <w:rsid w:val="00695562"/>
    <w:rsid w:val="006955FA"/>
    <w:rsid w:val="0069562B"/>
    <w:rsid w:val="006957AC"/>
    <w:rsid w:val="00695901"/>
    <w:rsid w:val="00695B46"/>
    <w:rsid w:val="00695B80"/>
    <w:rsid w:val="00695CB2"/>
    <w:rsid w:val="00695EBF"/>
    <w:rsid w:val="0069623A"/>
    <w:rsid w:val="006963D6"/>
    <w:rsid w:val="006964E7"/>
    <w:rsid w:val="00696511"/>
    <w:rsid w:val="00696517"/>
    <w:rsid w:val="0069683C"/>
    <w:rsid w:val="00696877"/>
    <w:rsid w:val="006968C5"/>
    <w:rsid w:val="00696B8B"/>
    <w:rsid w:val="006971E6"/>
    <w:rsid w:val="0069721B"/>
    <w:rsid w:val="00697368"/>
    <w:rsid w:val="00697911"/>
    <w:rsid w:val="00697968"/>
    <w:rsid w:val="00697A23"/>
    <w:rsid w:val="00697AAA"/>
    <w:rsid w:val="00697B34"/>
    <w:rsid w:val="006A0030"/>
    <w:rsid w:val="006A03E5"/>
    <w:rsid w:val="006A042C"/>
    <w:rsid w:val="006A05AD"/>
    <w:rsid w:val="006A062C"/>
    <w:rsid w:val="006A0866"/>
    <w:rsid w:val="006A1444"/>
    <w:rsid w:val="006A14AD"/>
    <w:rsid w:val="006A16A0"/>
    <w:rsid w:val="006A1716"/>
    <w:rsid w:val="006A1737"/>
    <w:rsid w:val="006A1790"/>
    <w:rsid w:val="006A18B6"/>
    <w:rsid w:val="006A1BF7"/>
    <w:rsid w:val="006A1E3C"/>
    <w:rsid w:val="006A1EDC"/>
    <w:rsid w:val="006A1FAA"/>
    <w:rsid w:val="006A20C8"/>
    <w:rsid w:val="006A23FD"/>
    <w:rsid w:val="006A2447"/>
    <w:rsid w:val="006A2484"/>
    <w:rsid w:val="006A2801"/>
    <w:rsid w:val="006A2823"/>
    <w:rsid w:val="006A3280"/>
    <w:rsid w:val="006A332B"/>
    <w:rsid w:val="006A3381"/>
    <w:rsid w:val="006A357F"/>
    <w:rsid w:val="006A3970"/>
    <w:rsid w:val="006A3C34"/>
    <w:rsid w:val="006A3CA8"/>
    <w:rsid w:val="006A3E03"/>
    <w:rsid w:val="006A4342"/>
    <w:rsid w:val="006A4361"/>
    <w:rsid w:val="006A439F"/>
    <w:rsid w:val="006A4427"/>
    <w:rsid w:val="006A46FE"/>
    <w:rsid w:val="006A4C40"/>
    <w:rsid w:val="006A4CDC"/>
    <w:rsid w:val="006A5068"/>
    <w:rsid w:val="006A51DD"/>
    <w:rsid w:val="006A52BF"/>
    <w:rsid w:val="006A5324"/>
    <w:rsid w:val="006A5333"/>
    <w:rsid w:val="006A53C8"/>
    <w:rsid w:val="006A57A3"/>
    <w:rsid w:val="006A581A"/>
    <w:rsid w:val="006A5B0F"/>
    <w:rsid w:val="006A5E9C"/>
    <w:rsid w:val="006A5ED6"/>
    <w:rsid w:val="006A5FA6"/>
    <w:rsid w:val="006A5FAF"/>
    <w:rsid w:val="006A5FF3"/>
    <w:rsid w:val="006A623B"/>
    <w:rsid w:val="006A6301"/>
    <w:rsid w:val="006A6365"/>
    <w:rsid w:val="006A6438"/>
    <w:rsid w:val="006A69A2"/>
    <w:rsid w:val="006A6A1E"/>
    <w:rsid w:val="006A70F6"/>
    <w:rsid w:val="006A71EE"/>
    <w:rsid w:val="006A7244"/>
    <w:rsid w:val="006A736E"/>
    <w:rsid w:val="006A7615"/>
    <w:rsid w:val="006A7B1F"/>
    <w:rsid w:val="006A7C3A"/>
    <w:rsid w:val="006A7D5F"/>
    <w:rsid w:val="006A7E0B"/>
    <w:rsid w:val="006A7E60"/>
    <w:rsid w:val="006A7F44"/>
    <w:rsid w:val="006B002C"/>
    <w:rsid w:val="006B003C"/>
    <w:rsid w:val="006B0191"/>
    <w:rsid w:val="006B01B1"/>
    <w:rsid w:val="006B0288"/>
    <w:rsid w:val="006B070B"/>
    <w:rsid w:val="006B0846"/>
    <w:rsid w:val="006B08AF"/>
    <w:rsid w:val="006B09E9"/>
    <w:rsid w:val="006B0C33"/>
    <w:rsid w:val="006B0F87"/>
    <w:rsid w:val="006B10ED"/>
    <w:rsid w:val="006B11AA"/>
    <w:rsid w:val="006B14A5"/>
    <w:rsid w:val="006B1541"/>
    <w:rsid w:val="006B1760"/>
    <w:rsid w:val="006B1763"/>
    <w:rsid w:val="006B19EA"/>
    <w:rsid w:val="006B1AE1"/>
    <w:rsid w:val="006B1AE2"/>
    <w:rsid w:val="006B2080"/>
    <w:rsid w:val="006B20EE"/>
    <w:rsid w:val="006B2132"/>
    <w:rsid w:val="006B21BF"/>
    <w:rsid w:val="006B22E1"/>
    <w:rsid w:val="006B230B"/>
    <w:rsid w:val="006B23F0"/>
    <w:rsid w:val="006B245C"/>
    <w:rsid w:val="006B24F0"/>
    <w:rsid w:val="006B2517"/>
    <w:rsid w:val="006B2745"/>
    <w:rsid w:val="006B27F9"/>
    <w:rsid w:val="006B29A2"/>
    <w:rsid w:val="006B2B9C"/>
    <w:rsid w:val="006B2D36"/>
    <w:rsid w:val="006B2DE0"/>
    <w:rsid w:val="006B3310"/>
    <w:rsid w:val="006B339C"/>
    <w:rsid w:val="006B3457"/>
    <w:rsid w:val="006B3694"/>
    <w:rsid w:val="006B3964"/>
    <w:rsid w:val="006B39B8"/>
    <w:rsid w:val="006B3D71"/>
    <w:rsid w:val="006B3E9A"/>
    <w:rsid w:val="006B3F34"/>
    <w:rsid w:val="006B43FA"/>
    <w:rsid w:val="006B445C"/>
    <w:rsid w:val="006B46E6"/>
    <w:rsid w:val="006B4826"/>
    <w:rsid w:val="006B492E"/>
    <w:rsid w:val="006B4A0F"/>
    <w:rsid w:val="006B4C25"/>
    <w:rsid w:val="006B4CA1"/>
    <w:rsid w:val="006B4DED"/>
    <w:rsid w:val="006B500C"/>
    <w:rsid w:val="006B5362"/>
    <w:rsid w:val="006B5695"/>
    <w:rsid w:val="006B5B8D"/>
    <w:rsid w:val="006B5C3B"/>
    <w:rsid w:val="006B5C7A"/>
    <w:rsid w:val="006B5E85"/>
    <w:rsid w:val="006B6009"/>
    <w:rsid w:val="006B61EB"/>
    <w:rsid w:val="006B644F"/>
    <w:rsid w:val="006B68A2"/>
    <w:rsid w:val="006B6928"/>
    <w:rsid w:val="006B6AA6"/>
    <w:rsid w:val="006B6B8D"/>
    <w:rsid w:val="006B6D2D"/>
    <w:rsid w:val="006B6DB1"/>
    <w:rsid w:val="006B6F5B"/>
    <w:rsid w:val="006B71BC"/>
    <w:rsid w:val="006B71BE"/>
    <w:rsid w:val="006B7324"/>
    <w:rsid w:val="006B73BB"/>
    <w:rsid w:val="006B77B3"/>
    <w:rsid w:val="006B7834"/>
    <w:rsid w:val="006B7916"/>
    <w:rsid w:val="006B7AC4"/>
    <w:rsid w:val="006B7DAD"/>
    <w:rsid w:val="006B7F4D"/>
    <w:rsid w:val="006C0004"/>
    <w:rsid w:val="006C057E"/>
    <w:rsid w:val="006C0997"/>
    <w:rsid w:val="006C0A73"/>
    <w:rsid w:val="006C0E05"/>
    <w:rsid w:val="006C0EF9"/>
    <w:rsid w:val="006C12C4"/>
    <w:rsid w:val="006C14FE"/>
    <w:rsid w:val="006C1614"/>
    <w:rsid w:val="006C167D"/>
    <w:rsid w:val="006C18C8"/>
    <w:rsid w:val="006C1974"/>
    <w:rsid w:val="006C1CED"/>
    <w:rsid w:val="006C1D8C"/>
    <w:rsid w:val="006C1FB0"/>
    <w:rsid w:val="006C247C"/>
    <w:rsid w:val="006C251B"/>
    <w:rsid w:val="006C26A1"/>
    <w:rsid w:val="006C2820"/>
    <w:rsid w:val="006C29DB"/>
    <w:rsid w:val="006C2BAA"/>
    <w:rsid w:val="006C2C9F"/>
    <w:rsid w:val="006C2D34"/>
    <w:rsid w:val="006C2D9A"/>
    <w:rsid w:val="006C2EB9"/>
    <w:rsid w:val="006C3129"/>
    <w:rsid w:val="006C3134"/>
    <w:rsid w:val="006C3168"/>
    <w:rsid w:val="006C3503"/>
    <w:rsid w:val="006C3991"/>
    <w:rsid w:val="006C3B43"/>
    <w:rsid w:val="006C4076"/>
    <w:rsid w:val="006C423B"/>
    <w:rsid w:val="006C4336"/>
    <w:rsid w:val="006C4789"/>
    <w:rsid w:val="006C493B"/>
    <w:rsid w:val="006C4C45"/>
    <w:rsid w:val="006C4DC5"/>
    <w:rsid w:val="006C4F11"/>
    <w:rsid w:val="006C4F1D"/>
    <w:rsid w:val="006C514A"/>
    <w:rsid w:val="006C51D5"/>
    <w:rsid w:val="006C559A"/>
    <w:rsid w:val="006C58D0"/>
    <w:rsid w:val="006C5E76"/>
    <w:rsid w:val="006C649C"/>
    <w:rsid w:val="006C67DE"/>
    <w:rsid w:val="006C6801"/>
    <w:rsid w:val="006C6E43"/>
    <w:rsid w:val="006C74B4"/>
    <w:rsid w:val="006C7547"/>
    <w:rsid w:val="006C7B5A"/>
    <w:rsid w:val="006C7F9B"/>
    <w:rsid w:val="006D1517"/>
    <w:rsid w:val="006D16D0"/>
    <w:rsid w:val="006D1785"/>
    <w:rsid w:val="006D1953"/>
    <w:rsid w:val="006D1BAD"/>
    <w:rsid w:val="006D1D51"/>
    <w:rsid w:val="006D1E49"/>
    <w:rsid w:val="006D2261"/>
    <w:rsid w:val="006D2456"/>
    <w:rsid w:val="006D2553"/>
    <w:rsid w:val="006D262F"/>
    <w:rsid w:val="006D27C5"/>
    <w:rsid w:val="006D2A6F"/>
    <w:rsid w:val="006D2AC1"/>
    <w:rsid w:val="006D2CAB"/>
    <w:rsid w:val="006D2CD3"/>
    <w:rsid w:val="006D3199"/>
    <w:rsid w:val="006D35C5"/>
    <w:rsid w:val="006D3621"/>
    <w:rsid w:val="006D3870"/>
    <w:rsid w:val="006D3965"/>
    <w:rsid w:val="006D3AA6"/>
    <w:rsid w:val="006D3C6F"/>
    <w:rsid w:val="006D3CCA"/>
    <w:rsid w:val="006D3D90"/>
    <w:rsid w:val="006D4274"/>
    <w:rsid w:val="006D432E"/>
    <w:rsid w:val="006D4632"/>
    <w:rsid w:val="006D49F6"/>
    <w:rsid w:val="006D4A4D"/>
    <w:rsid w:val="006D4A83"/>
    <w:rsid w:val="006D4D97"/>
    <w:rsid w:val="006D4FBA"/>
    <w:rsid w:val="006D51A5"/>
    <w:rsid w:val="006D52A0"/>
    <w:rsid w:val="006D5944"/>
    <w:rsid w:val="006D5B0E"/>
    <w:rsid w:val="006D5C27"/>
    <w:rsid w:val="006D5E15"/>
    <w:rsid w:val="006D5ECF"/>
    <w:rsid w:val="006D5FE0"/>
    <w:rsid w:val="006D628F"/>
    <w:rsid w:val="006D62E8"/>
    <w:rsid w:val="006D6447"/>
    <w:rsid w:val="006D6677"/>
    <w:rsid w:val="006D67CB"/>
    <w:rsid w:val="006D6AA6"/>
    <w:rsid w:val="006D6C68"/>
    <w:rsid w:val="006D6E78"/>
    <w:rsid w:val="006D7006"/>
    <w:rsid w:val="006D7077"/>
    <w:rsid w:val="006D792E"/>
    <w:rsid w:val="006D796D"/>
    <w:rsid w:val="006D79BC"/>
    <w:rsid w:val="006D7BF9"/>
    <w:rsid w:val="006D7C72"/>
    <w:rsid w:val="006D7E1D"/>
    <w:rsid w:val="006E027A"/>
    <w:rsid w:val="006E03F5"/>
    <w:rsid w:val="006E0438"/>
    <w:rsid w:val="006E0606"/>
    <w:rsid w:val="006E0951"/>
    <w:rsid w:val="006E0FB4"/>
    <w:rsid w:val="006E0FF6"/>
    <w:rsid w:val="006E12AB"/>
    <w:rsid w:val="006E1407"/>
    <w:rsid w:val="006E1C0E"/>
    <w:rsid w:val="006E1CF4"/>
    <w:rsid w:val="006E1F5F"/>
    <w:rsid w:val="006E2684"/>
    <w:rsid w:val="006E2918"/>
    <w:rsid w:val="006E2E8C"/>
    <w:rsid w:val="006E2EEC"/>
    <w:rsid w:val="006E3011"/>
    <w:rsid w:val="006E3340"/>
    <w:rsid w:val="006E33FB"/>
    <w:rsid w:val="006E36D7"/>
    <w:rsid w:val="006E3827"/>
    <w:rsid w:val="006E38F0"/>
    <w:rsid w:val="006E3D93"/>
    <w:rsid w:val="006E401C"/>
    <w:rsid w:val="006E436B"/>
    <w:rsid w:val="006E4598"/>
    <w:rsid w:val="006E4894"/>
    <w:rsid w:val="006E499C"/>
    <w:rsid w:val="006E4B3E"/>
    <w:rsid w:val="006E4CE1"/>
    <w:rsid w:val="006E4E53"/>
    <w:rsid w:val="006E55E6"/>
    <w:rsid w:val="006E56FA"/>
    <w:rsid w:val="006E57F4"/>
    <w:rsid w:val="006E597B"/>
    <w:rsid w:val="006E5B92"/>
    <w:rsid w:val="006E5D0F"/>
    <w:rsid w:val="006E5DA1"/>
    <w:rsid w:val="006E5DE5"/>
    <w:rsid w:val="006E5DF2"/>
    <w:rsid w:val="006E6044"/>
    <w:rsid w:val="006E6534"/>
    <w:rsid w:val="006E65DD"/>
    <w:rsid w:val="006E660C"/>
    <w:rsid w:val="006E661D"/>
    <w:rsid w:val="006E6648"/>
    <w:rsid w:val="006E6730"/>
    <w:rsid w:val="006E6A56"/>
    <w:rsid w:val="006E6B2D"/>
    <w:rsid w:val="006E6B3C"/>
    <w:rsid w:val="006E6B50"/>
    <w:rsid w:val="006E6D2E"/>
    <w:rsid w:val="006E712A"/>
    <w:rsid w:val="006E7209"/>
    <w:rsid w:val="006E7211"/>
    <w:rsid w:val="006E7340"/>
    <w:rsid w:val="006E7568"/>
    <w:rsid w:val="006E7A2B"/>
    <w:rsid w:val="006E7B7B"/>
    <w:rsid w:val="006F01B3"/>
    <w:rsid w:val="006F0207"/>
    <w:rsid w:val="006F02DA"/>
    <w:rsid w:val="006F02EE"/>
    <w:rsid w:val="006F09C0"/>
    <w:rsid w:val="006F0AFA"/>
    <w:rsid w:val="006F0AFE"/>
    <w:rsid w:val="006F0B85"/>
    <w:rsid w:val="006F0EB0"/>
    <w:rsid w:val="006F0FB8"/>
    <w:rsid w:val="006F12D0"/>
    <w:rsid w:val="006F146A"/>
    <w:rsid w:val="006F1474"/>
    <w:rsid w:val="006F18F5"/>
    <w:rsid w:val="006F1B52"/>
    <w:rsid w:val="006F1D3D"/>
    <w:rsid w:val="006F1F8E"/>
    <w:rsid w:val="006F20A4"/>
    <w:rsid w:val="006F21FC"/>
    <w:rsid w:val="006F22ED"/>
    <w:rsid w:val="006F24C9"/>
    <w:rsid w:val="006F272E"/>
    <w:rsid w:val="006F27A6"/>
    <w:rsid w:val="006F2B84"/>
    <w:rsid w:val="006F2C51"/>
    <w:rsid w:val="006F2CA5"/>
    <w:rsid w:val="006F2DBB"/>
    <w:rsid w:val="006F311D"/>
    <w:rsid w:val="006F338C"/>
    <w:rsid w:val="006F34DF"/>
    <w:rsid w:val="006F365D"/>
    <w:rsid w:val="006F39A4"/>
    <w:rsid w:val="006F39E6"/>
    <w:rsid w:val="006F3A89"/>
    <w:rsid w:val="006F3ED3"/>
    <w:rsid w:val="006F3F57"/>
    <w:rsid w:val="006F3F58"/>
    <w:rsid w:val="006F40DB"/>
    <w:rsid w:val="006F412F"/>
    <w:rsid w:val="006F425A"/>
    <w:rsid w:val="006F42DE"/>
    <w:rsid w:val="006F46D8"/>
    <w:rsid w:val="006F4D1C"/>
    <w:rsid w:val="006F4ED0"/>
    <w:rsid w:val="006F5499"/>
    <w:rsid w:val="006F5956"/>
    <w:rsid w:val="006F5AFB"/>
    <w:rsid w:val="006F5C77"/>
    <w:rsid w:val="006F5F0C"/>
    <w:rsid w:val="006F6364"/>
    <w:rsid w:val="006F671B"/>
    <w:rsid w:val="006F6A13"/>
    <w:rsid w:val="006F6CC0"/>
    <w:rsid w:val="006F706D"/>
    <w:rsid w:val="006F72E7"/>
    <w:rsid w:val="006F777C"/>
    <w:rsid w:val="006F7828"/>
    <w:rsid w:val="006F7BFA"/>
    <w:rsid w:val="006F7EE2"/>
    <w:rsid w:val="00700081"/>
    <w:rsid w:val="0070008E"/>
    <w:rsid w:val="007001D4"/>
    <w:rsid w:val="0070035A"/>
    <w:rsid w:val="00700705"/>
    <w:rsid w:val="00700707"/>
    <w:rsid w:val="0070083F"/>
    <w:rsid w:val="007008C5"/>
    <w:rsid w:val="00700A23"/>
    <w:rsid w:val="00700F7C"/>
    <w:rsid w:val="00700FD0"/>
    <w:rsid w:val="00701163"/>
    <w:rsid w:val="007011B8"/>
    <w:rsid w:val="00701287"/>
    <w:rsid w:val="007012E7"/>
    <w:rsid w:val="007013AC"/>
    <w:rsid w:val="007013B5"/>
    <w:rsid w:val="007013F9"/>
    <w:rsid w:val="00701641"/>
    <w:rsid w:val="007016A4"/>
    <w:rsid w:val="007016B8"/>
    <w:rsid w:val="00701CB4"/>
    <w:rsid w:val="00701D29"/>
    <w:rsid w:val="00701D75"/>
    <w:rsid w:val="00701F36"/>
    <w:rsid w:val="007020C1"/>
    <w:rsid w:val="00702278"/>
    <w:rsid w:val="00702441"/>
    <w:rsid w:val="0070298E"/>
    <w:rsid w:val="00702A62"/>
    <w:rsid w:val="00702C4C"/>
    <w:rsid w:val="00702D71"/>
    <w:rsid w:val="00702E7B"/>
    <w:rsid w:val="00703105"/>
    <w:rsid w:val="0070310C"/>
    <w:rsid w:val="00703403"/>
    <w:rsid w:val="00703B86"/>
    <w:rsid w:val="00703CF3"/>
    <w:rsid w:val="00703D1C"/>
    <w:rsid w:val="00703F48"/>
    <w:rsid w:val="00703F8F"/>
    <w:rsid w:val="00704052"/>
    <w:rsid w:val="00704053"/>
    <w:rsid w:val="00704068"/>
    <w:rsid w:val="0070410E"/>
    <w:rsid w:val="007041CC"/>
    <w:rsid w:val="007041ED"/>
    <w:rsid w:val="007041F4"/>
    <w:rsid w:val="0070442D"/>
    <w:rsid w:val="00704517"/>
    <w:rsid w:val="00704521"/>
    <w:rsid w:val="0070459F"/>
    <w:rsid w:val="00704853"/>
    <w:rsid w:val="007049A3"/>
    <w:rsid w:val="00704D06"/>
    <w:rsid w:val="00705B33"/>
    <w:rsid w:val="0070615E"/>
    <w:rsid w:val="00706A01"/>
    <w:rsid w:val="00706A6B"/>
    <w:rsid w:val="00706A9C"/>
    <w:rsid w:val="00706B57"/>
    <w:rsid w:val="00706C4B"/>
    <w:rsid w:val="00706CB8"/>
    <w:rsid w:val="007071B2"/>
    <w:rsid w:val="00707368"/>
    <w:rsid w:val="00707500"/>
    <w:rsid w:val="00707542"/>
    <w:rsid w:val="00707598"/>
    <w:rsid w:val="0070779D"/>
    <w:rsid w:val="007077F7"/>
    <w:rsid w:val="007078B0"/>
    <w:rsid w:val="00707F18"/>
    <w:rsid w:val="00707FB1"/>
    <w:rsid w:val="00710106"/>
    <w:rsid w:val="00710731"/>
    <w:rsid w:val="007107BD"/>
    <w:rsid w:val="00710965"/>
    <w:rsid w:val="00710A58"/>
    <w:rsid w:val="00710CED"/>
    <w:rsid w:val="007110FD"/>
    <w:rsid w:val="00711317"/>
    <w:rsid w:val="007116AC"/>
    <w:rsid w:val="00711A63"/>
    <w:rsid w:val="00711AF4"/>
    <w:rsid w:val="00711DC8"/>
    <w:rsid w:val="00711F15"/>
    <w:rsid w:val="00712102"/>
    <w:rsid w:val="00712335"/>
    <w:rsid w:val="007124A2"/>
    <w:rsid w:val="00712728"/>
    <w:rsid w:val="00712879"/>
    <w:rsid w:val="00713011"/>
    <w:rsid w:val="00713175"/>
    <w:rsid w:val="0071325F"/>
    <w:rsid w:val="0071333E"/>
    <w:rsid w:val="007133ED"/>
    <w:rsid w:val="007135E0"/>
    <w:rsid w:val="0071362D"/>
    <w:rsid w:val="007137C1"/>
    <w:rsid w:val="00713E70"/>
    <w:rsid w:val="00714453"/>
    <w:rsid w:val="0071476E"/>
    <w:rsid w:val="007147AE"/>
    <w:rsid w:val="00714868"/>
    <w:rsid w:val="007148B7"/>
    <w:rsid w:val="00714C23"/>
    <w:rsid w:val="00714D03"/>
    <w:rsid w:val="007150E0"/>
    <w:rsid w:val="0071537C"/>
    <w:rsid w:val="007154D5"/>
    <w:rsid w:val="007157C1"/>
    <w:rsid w:val="00715970"/>
    <w:rsid w:val="00715982"/>
    <w:rsid w:val="00715A21"/>
    <w:rsid w:val="00715A25"/>
    <w:rsid w:val="00715B03"/>
    <w:rsid w:val="00715D90"/>
    <w:rsid w:val="00715DEA"/>
    <w:rsid w:val="007160BB"/>
    <w:rsid w:val="0071642A"/>
    <w:rsid w:val="0071663F"/>
    <w:rsid w:val="00716CA6"/>
    <w:rsid w:val="00716DD3"/>
    <w:rsid w:val="00717309"/>
    <w:rsid w:val="00717672"/>
    <w:rsid w:val="0071774F"/>
    <w:rsid w:val="007177E8"/>
    <w:rsid w:val="00717840"/>
    <w:rsid w:val="00717D85"/>
    <w:rsid w:val="00717DE4"/>
    <w:rsid w:val="00717E9E"/>
    <w:rsid w:val="00717EE8"/>
    <w:rsid w:val="00717FAF"/>
    <w:rsid w:val="00717FDF"/>
    <w:rsid w:val="0072041C"/>
    <w:rsid w:val="00720657"/>
    <w:rsid w:val="007208D8"/>
    <w:rsid w:val="00720996"/>
    <w:rsid w:val="00720DB9"/>
    <w:rsid w:val="00720EC7"/>
    <w:rsid w:val="0072113E"/>
    <w:rsid w:val="00721455"/>
    <w:rsid w:val="007219C7"/>
    <w:rsid w:val="00721A8C"/>
    <w:rsid w:val="00721BAE"/>
    <w:rsid w:val="00721CDC"/>
    <w:rsid w:val="0072210F"/>
    <w:rsid w:val="0072231A"/>
    <w:rsid w:val="007223C1"/>
    <w:rsid w:val="00722486"/>
    <w:rsid w:val="00722CBD"/>
    <w:rsid w:val="00722CE2"/>
    <w:rsid w:val="00723071"/>
    <w:rsid w:val="007230D6"/>
    <w:rsid w:val="00723323"/>
    <w:rsid w:val="007234D1"/>
    <w:rsid w:val="007239A2"/>
    <w:rsid w:val="00723B01"/>
    <w:rsid w:val="00723BE1"/>
    <w:rsid w:val="00723E23"/>
    <w:rsid w:val="00723E4B"/>
    <w:rsid w:val="00723EB9"/>
    <w:rsid w:val="00724063"/>
    <w:rsid w:val="00724180"/>
    <w:rsid w:val="00724266"/>
    <w:rsid w:val="00724359"/>
    <w:rsid w:val="00724553"/>
    <w:rsid w:val="00724692"/>
    <w:rsid w:val="007248D3"/>
    <w:rsid w:val="00724E47"/>
    <w:rsid w:val="007251BC"/>
    <w:rsid w:val="00725313"/>
    <w:rsid w:val="00725346"/>
    <w:rsid w:val="0072563F"/>
    <w:rsid w:val="007256AD"/>
    <w:rsid w:val="00725AF8"/>
    <w:rsid w:val="00725E8A"/>
    <w:rsid w:val="00726187"/>
    <w:rsid w:val="007267A6"/>
    <w:rsid w:val="007268D4"/>
    <w:rsid w:val="00726AA1"/>
    <w:rsid w:val="00726EE9"/>
    <w:rsid w:val="00726F75"/>
    <w:rsid w:val="00727024"/>
    <w:rsid w:val="0072708B"/>
    <w:rsid w:val="007270EA"/>
    <w:rsid w:val="00727134"/>
    <w:rsid w:val="007273FA"/>
    <w:rsid w:val="0072740F"/>
    <w:rsid w:val="007277A1"/>
    <w:rsid w:val="00727ABD"/>
    <w:rsid w:val="00730253"/>
    <w:rsid w:val="0073030A"/>
    <w:rsid w:val="00730492"/>
    <w:rsid w:val="00730556"/>
    <w:rsid w:val="007305C4"/>
    <w:rsid w:val="00730768"/>
    <w:rsid w:val="00730ABF"/>
    <w:rsid w:val="00730B95"/>
    <w:rsid w:val="00730C10"/>
    <w:rsid w:val="00730C1C"/>
    <w:rsid w:val="00730F92"/>
    <w:rsid w:val="007310B6"/>
    <w:rsid w:val="00731100"/>
    <w:rsid w:val="00731420"/>
    <w:rsid w:val="0073143F"/>
    <w:rsid w:val="00731DA8"/>
    <w:rsid w:val="00731DDF"/>
    <w:rsid w:val="00731F0B"/>
    <w:rsid w:val="00731FAA"/>
    <w:rsid w:val="0073202C"/>
    <w:rsid w:val="007321C8"/>
    <w:rsid w:val="00732671"/>
    <w:rsid w:val="00732708"/>
    <w:rsid w:val="007327FC"/>
    <w:rsid w:val="00732951"/>
    <w:rsid w:val="00732C57"/>
    <w:rsid w:val="00732CFA"/>
    <w:rsid w:val="00732D93"/>
    <w:rsid w:val="00732E2C"/>
    <w:rsid w:val="00732F43"/>
    <w:rsid w:val="00732F84"/>
    <w:rsid w:val="00733398"/>
    <w:rsid w:val="00733692"/>
    <w:rsid w:val="007338D2"/>
    <w:rsid w:val="007338D8"/>
    <w:rsid w:val="00733AAC"/>
    <w:rsid w:val="0073439D"/>
    <w:rsid w:val="00734468"/>
    <w:rsid w:val="007345B3"/>
    <w:rsid w:val="00734651"/>
    <w:rsid w:val="00734723"/>
    <w:rsid w:val="00734AF9"/>
    <w:rsid w:val="00734B0B"/>
    <w:rsid w:val="00734B26"/>
    <w:rsid w:val="00734C6F"/>
    <w:rsid w:val="00734D21"/>
    <w:rsid w:val="00734E5C"/>
    <w:rsid w:val="00735110"/>
    <w:rsid w:val="007352AA"/>
    <w:rsid w:val="00735310"/>
    <w:rsid w:val="00735640"/>
    <w:rsid w:val="00735782"/>
    <w:rsid w:val="007358C8"/>
    <w:rsid w:val="00735A1C"/>
    <w:rsid w:val="00735A35"/>
    <w:rsid w:val="00735A70"/>
    <w:rsid w:val="00735AF7"/>
    <w:rsid w:val="00735C73"/>
    <w:rsid w:val="00735CAC"/>
    <w:rsid w:val="00735CB9"/>
    <w:rsid w:val="00735CD6"/>
    <w:rsid w:val="00735ECF"/>
    <w:rsid w:val="00735FA3"/>
    <w:rsid w:val="00736403"/>
    <w:rsid w:val="00736443"/>
    <w:rsid w:val="00736448"/>
    <w:rsid w:val="00736507"/>
    <w:rsid w:val="007368A2"/>
    <w:rsid w:val="0073697C"/>
    <w:rsid w:val="00736B7B"/>
    <w:rsid w:val="00736DE9"/>
    <w:rsid w:val="00736E92"/>
    <w:rsid w:val="00736ED4"/>
    <w:rsid w:val="00736EEE"/>
    <w:rsid w:val="0073788C"/>
    <w:rsid w:val="00737A01"/>
    <w:rsid w:val="00737A24"/>
    <w:rsid w:val="00737A5B"/>
    <w:rsid w:val="00737B9A"/>
    <w:rsid w:val="007400C9"/>
    <w:rsid w:val="0074057B"/>
    <w:rsid w:val="00740723"/>
    <w:rsid w:val="007407B4"/>
    <w:rsid w:val="007408BE"/>
    <w:rsid w:val="00740B17"/>
    <w:rsid w:val="00740B94"/>
    <w:rsid w:val="00740F1C"/>
    <w:rsid w:val="00741252"/>
    <w:rsid w:val="00741617"/>
    <w:rsid w:val="00741BEE"/>
    <w:rsid w:val="00741E3A"/>
    <w:rsid w:val="00742210"/>
    <w:rsid w:val="00742344"/>
    <w:rsid w:val="00742439"/>
    <w:rsid w:val="00742488"/>
    <w:rsid w:val="00742C3E"/>
    <w:rsid w:val="00742C55"/>
    <w:rsid w:val="00742D50"/>
    <w:rsid w:val="00742F7E"/>
    <w:rsid w:val="0074342F"/>
    <w:rsid w:val="0074373C"/>
    <w:rsid w:val="00743A10"/>
    <w:rsid w:val="00743B4C"/>
    <w:rsid w:val="00743F3F"/>
    <w:rsid w:val="0074434B"/>
    <w:rsid w:val="007443B2"/>
    <w:rsid w:val="00744A54"/>
    <w:rsid w:val="00744D2D"/>
    <w:rsid w:val="007452D7"/>
    <w:rsid w:val="007456D9"/>
    <w:rsid w:val="0074585F"/>
    <w:rsid w:val="007459EA"/>
    <w:rsid w:val="00745D76"/>
    <w:rsid w:val="00745EFC"/>
    <w:rsid w:val="007462BD"/>
    <w:rsid w:val="007463C1"/>
    <w:rsid w:val="007464DB"/>
    <w:rsid w:val="0074658A"/>
    <w:rsid w:val="007465A9"/>
    <w:rsid w:val="007469C4"/>
    <w:rsid w:val="00746BBD"/>
    <w:rsid w:val="00746C4C"/>
    <w:rsid w:val="00746CDE"/>
    <w:rsid w:val="00746D34"/>
    <w:rsid w:val="007470B9"/>
    <w:rsid w:val="00747177"/>
    <w:rsid w:val="00747193"/>
    <w:rsid w:val="007475E2"/>
    <w:rsid w:val="00747849"/>
    <w:rsid w:val="00747BB3"/>
    <w:rsid w:val="00747F52"/>
    <w:rsid w:val="007503B9"/>
    <w:rsid w:val="00750657"/>
    <w:rsid w:val="00750712"/>
    <w:rsid w:val="00750E57"/>
    <w:rsid w:val="0075121C"/>
    <w:rsid w:val="007516D5"/>
    <w:rsid w:val="007518D8"/>
    <w:rsid w:val="007519DF"/>
    <w:rsid w:val="00751A27"/>
    <w:rsid w:val="00751A83"/>
    <w:rsid w:val="00751AC4"/>
    <w:rsid w:val="00751B92"/>
    <w:rsid w:val="00751BA8"/>
    <w:rsid w:val="00751C51"/>
    <w:rsid w:val="00751C65"/>
    <w:rsid w:val="00751D87"/>
    <w:rsid w:val="00752681"/>
    <w:rsid w:val="007527A2"/>
    <w:rsid w:val="00752F71"/>
    <w:rsid w:val="00752F7A"/>
    <w:rsid w:val="007532F6"/>
    <w:rsid w:val="00753432"/>
    <w:rsid w:val="00753519"/>
    <w:rsid w:val="0075351D"/>
    <w:rsid w:val="007535BF"/>
    <w:rsid w:val="0075368F"/>
    <w:rsid w:val="007538C3"/>
    <w:rsid w:val="00753E0F"/>
    <w:rsid w:val="007541BF"/>
    <w:rsid w:val="00754560"/>
    <w:rsid w:val="00754660"/>
    <w:rsid w:val="007548D1"/>
    <w:rsid w:val="007549E6"/>
    <w:rsid w:val="00754A0D"/>
    <w:rsid w:val="00754A1A"/>
    <w:rsid w:val="00754E0A"/>
    <w:rsid w:val="00754E93"/>
    <w:rsid w:val="007552A4"/>
    <w:rsid w:val="007552C1"/>
    <w:rsid w:val="007552D6"/>
    <w:rsid w:val="00755382"/>
    <w:rsid w:val="007555BC"/>
    <w:rsid w:val="007555E0"/>
    <w:rsid w:val="0075580C"/>
    <w:rsid w:val="00755905"/>
    <w:rsid w:val="00755DE4"/>
    <w:rsid w:val="00755F55"/>
    <w:rsid w:val="007562E2"/>
    <w:rsid w:val="00756520"/>
    <w:rsid w:val="0075662B"/>
    <w:rsid w:val="00756650"/>
    <w:rsid w:val="00756718"/>
    <w:rsid w:val="00756847"/>
    <w:rsid w:val="00756FE6"/>
    <w:rsid w:val="007570AD"/>
    <w:rsid w:val="007570EF"/>
    <w:rsid w:val="0075734A"/>
    <w:rsid w:val="007575B8"/>
    <w:rsid w:val="007575E2"/>
    <w:rsid w:val="007577C2"/>
    <w:rsid w:val="00757B3A"/>
    <w:rsid w:val="00757B57"/>
    <w:rsid w:val="00757BA0"/>
    <w:rsid w:val="00757CC2"/>
    <w:rsid w:val="00757E19"/>
    <w:rsid w:val="00757E74"/>
    <w:rsid w:val="00757E8C"/>
    <w:rsid w:val="00757FA2"/>
    <w:rsid w:val="0076010A"/>
    <w:rsid w:val="00760193"/>
    <w:rsid w:val="007601F1"/>
    <w:rsid w:val="00760A62"/>
    <w:rsid w:val="00760B94"/>
    <w:rsid w:val="00760E41"/>
    <w:rsid w:val="00760E83"/>
    <w:rsid w:val="0076129F"/>
    <w:rsid w:val="00761461"/>
    <w:rsid w:val="00761543"/>
    <w:rsid w:val="0076170D"/>
    <w:rsid w:val="007618C2"/>
    <w:rsid w:val="00761C43"/>
    <w:rsid w:val="00761C58"/>
    <w:rsid w:val="00761C67"/>
    <w:rsid w:val="007627EC"/>
    <w:rsid w:val="00762E20"/>
    <w:rsid w:val="00762E49"/>
    <w:rsid w:val="00762F2B"/>
    <w:rsid w:val="0076308F"/>
    <w:rsid w:val="0076328E"/>
    <w:rsid w:val="00763740"/>
    <w:rsid w:val="00763A3B"/>
    <w:rsid w:val="00763EA0"/>
    <w:rsid w:val="0076404E"/>
    <w:rsid w:val="00764238"/>
    <w:rsid w:val="007642F0"/>
    <w:rsid w:val="0076486F"/>
    <w:rsid w:val="007648B1"/>
    <w:rsid w:val="00764E47"/>
    <w:rsid w:val="00764E5E"/>
    <w:rsid w:val="007650CF"/>
    <w:rsid w:val="007651C5"/>
    <w:rsid w:val="0076533B"/>
    <w:rsid w:val="00765457"/>
    <w:rsid w:val="0076553D"/>
    <w:rsid w:val="0076561E"/>
    <w:rsid w:val="007658B5"/>
    <w:rsid w:val="00765CA7"/>
    <w:rsid w:val="00765CAD"/>
    <w:rsid w:val="00765E1D"/>
    <w:rsid w:val="0076605C"/>
    <w:rsid w:val="007661AB"/>
    <w:rsid w:val="007661B0"/>
    <w:rsid w:val="00766263"/>
    <w:rsid w:val="007667D6"/>
    <w:rsid w:val="00766C26"/>
    <w:rsid w:val="00766D17"/>
    <w:rsid w:val="00766D68"/>
    <w:rsid w:val="00766FDB"/>
    <w:rsid w:val="00767030"/>
    <w:rsid w:val="007670AB"/>
    <w:rsid w:val="007670EA"/>
    <w:rsid w:val="007673D8"/>
    <w:rsid w:val="0076759E"/>
    <w:rsid w:val="00767687"/>
    <w:rsid w:val="00767BBF"/>
    <w:rsid w:val="00767F26"/>
    <w:rsid w:val="00767F45"/>
    <w:rsid w:val="007706C3"/>
    <w:rsid w:val="0077070C"/>
    <w:rsid w:val="007708A0"/>
    <w:rsid w:val="00770A08"/>
    <w:rsid w:val="00770ABF"/>
    <w:rsid w:val="00770EF0"/>
    <w:rsid w:val="00771062"/>
    <w:rsid w:val="00771220"/>
    <w:rsid w:val="00771346"/>
    <w:rsid w:val="0077146E"/>
    <w:rsid w:val="00771BC7"/>
    <w:rsid w:val="00771FA2"/>
    <w:rsid w:val="0077215D"/>
    <w:rsid w:val="007723C6"/>
    <w:rsid w:val="00772801"/>
    <w:rsid w:val="007728C7"/>
    <w:rsid w:val="00772B12"/>
    <w:rsid w:val="00772BE9"/>
    <w:rsid w:val="007730D4"/>
    <w:rsid w:val="00773353"/>
    <w:rsid w:val="007733CD"/>
    <w:rsid w:val="0077368C"/>
    <w:rsid w:val="00773749"/>
    <w:rsid w:val="007737C0"/>
    <w:rsid w:val="007737D5"/>
    <w:rsid w:val="00773A6D"/>
    <w:rsid w:val="00773AF4"/>
    <w:rsid w:val="00773EA6"/>
    <w:rsid w:val="00774029"/>
    <w:rsid w:val="0077412D"/>
    <w:rsid w:val="0077460C"/>
    <w:rsid w:val="00774CCA"/>
    <w:rsid w:val="00774E84"/>
    <w:rsid w:val="00774F47"/>
    <w:rsid w:val="007751BF"/>
    <w:rsid w:val="0077559A"/>
    <w:rsid w:val="007757C4"/>
    <w:rsid w:val="00775A95"/>
    <w:rsid w:val="00775AA9"/>
    <w:rsid w:val="00775AE6"/>
    <w:rsid w:val="00775D7D"/>
    <w:rsid w:val="00776472"/>
    <w:rsid w:val="007767FE"/>
    <w:rsid w:val="007769ED"/>
    <w:rsid w:val="00776AFD"/>
    <w:rsid w:val="00776E55"/>
    <w:rsid w:val="00776F82"/>
    <w:rsid w:val="00777301"/>
    <w:rsid w:val="007773E7"/>
    <w:rsid w:val="0077740A"/>
    <w:rsid w:val="0077758D"/>
    <w:rsid w:val="0077758F"/>
    <w:rsid w:val="007778E2"/>
    <w:rsid w:val="00777A9E"/>
    <w:rsid w:val="00777D77"/>
    <w:rsid w:val="00777F15"/>
    <w:rsid w:val="0078014C"/>
    <w:rsid w:val="0078028D"/>
    <w:rsid w:val="00780318"/>
    <w:rsid w:val="007808E7"/>
    <w:rsid w:val="00780A45"/>
    <w:rsid w:val="00780A9F"/>
    <w:rsid w:val="00780AE4"/>
    <w:rsid w:val="00780B92"/>
    <w:rsid w:val="00780C2A"/>
    <w:rsid w:val="00780E6F"/>
    <w:rsid w:val="007810F6"/>
    <w:rsid w:val="007813C5"/>
    <w:rsid w:val="00781748"/>
    <w:rsid w:val="007818C1"/>
    <w:rsid w:val="00781BA5"/>
    <w:rsid w:val="00781CC0"/>
    <w:rsid w:val="00781E6D"/>
    <w:rsid w:val="00781F36"/>
    <w:rsid w:val="0078226A"/>
    <w:rsid w:val="0078247B"/>
    <w:rsid w:val="007827C3"/>
    <w:rsid w:val="00782A2A"/>
    <w:rsid w:val="00782EF8"/>
    <w:rsid w:val="00783021"/>
    <w:rsid w:val="007830F9"/>
    <w:rsid w:val="00783107"/>
    <w:rsid w:val="00783191"/>
    <w:rsid w:val="0078340D"/>
    <w:rsid w:val="00783556"/>
    <w:rsid w:val="007835B8"/>
    <w:rsid w:val="00783842"/>
    <w:rsid w:val="00783908"/>
    <w:rsid w:val="00783ACD"/>
    <w:rsid w:val="00783C2F"/>
    <w:rsid w:val="00783DDA"/>
    <w:rsid w:val="007840D1"/>
    <w:rsid w:val="007844AC"/>
    <w:rsid w:val="007845C3"/>
    <w:rsid w:val="00784C1B"/>
    <w:rsid w:val="00784DD8"/>
    <w:rsid w:val="007850D8"/>
    <w:rsid w:val="0078512F"/>
    <w:rsid w:val="007852E4"/>
    <w:rsid w:val="007853F3"/>
    <w:rsid w:val="0078543C"/>
    <w:rsid w:val="007857AB"/>
    <w:rsid w:val="0078585F"/>
    <w:rsid w:val="00785972"/>
    <w:rsid w:val="00785B34"/>
    <w:rsid w:val="00785C28"/>
    <w:rsid w:val="00785D6E"/>
    <w:rsid w:val="00785D9A"/>
    <w:rsid w:val="00785F5C"/>
    <w:rsid w:val="0078623E"/>
    <w:rsid w:val="00786644"/>
    <w:rsid w:val="007866A3"/>
    <w:rsid w:val="00786767"/>
    <w:rsid w:val="00786E87"/>
    <w:rsid w:val="00786F18"/>
    <w:rsid w:val="00786FD0"/>
    <w:rsid w:val="00787209"/>
    <w:rsid w:val="0078723B"/>
    <w:rsid w:val="007875BB"/>
    <w:rsid w:val="007876E3"/>
    <w:rsid w:val="00787706"/>
    <w:rsid w:val="00787798"/>
    <w:rsid w:val="00787806"/>
    <w:rsid w:val="00787A23"/>
    <w:rsid w:val="00787B08"/>
    <w:rsid w:val="00787D9C"/>
    <w:rsid w:val="00787DFB"/>
    <w:rsid w:val="0079017B"/>
    <w:rsid w:val="007903E6"/>
    <w:rsid w:val="0079063D"/>
    <w:rsid w:val="00790735"/>
    <w:rsid w:val="00790881"/>
    <w:rsid w:val="007909E3"/>
    <w:rsid w:val="00790A2D"/>
    <w:rsid w:val="00790B09"/>
    <w:rsid w:val="00790C36"/>
    <w:rsid w:val="00790D7A"/>
    <w:rsid w:val="00791293"/>
    <w:rsid w:val="0079141D"/>
    <w:rsid w:val="00791726"/>
    <w:rsid w:val="0079178C"/>
    <w:rsid w:val="007917A4"/>
    <w:rsid w:val="0079184F"/>
    <w:rsid w:val="00791953"/>
    <w:rsid w:val="00791D2B"/>
    <w:rsid w:val="00791F57"/>
    <w:rsid w:val="007921C9"/>
    <w:rsid w:val="0079248A"/>
    <w:rsid w:val="007926D9"/>
    <w:rsid w:val="007928AD"/>
    <w:rsid w:val="007929CA"/>
    <w:rsid w:val="007929F0"/>
    <w:rsid w:val="00792C85"/>
    <w:rsid w:val="007931C1"/>
    <w:rsid w:val="0079395B"/>
    <w:rsid w:val="00793AD5"/>
    <w:rsid w:val="00793BF6"/>
    <w:rsid w:val="00793F28"/>
    <w:rsid w:val="007946AC"/>
    <w:rsid w:val="00794724"/>
    <w:rsid w:val="00794BDB"/>
    <w:rsid w:val="00795206"/>
    <w:rsid w:val="0079524A"/>
    <w:rsid w:val="00795269"/>
    <w:rsid w:val="00795D0A"/>
    <w:rsid w:val="00795F55"/>
    <w:rsid w:val="00795FD8"/>
    <w:rsid w:val="0079613A"/>
    <w:rsid w:val="00796648"/>
    <w:rsid w:val="00796668"/>
    <w:rsid w:val="00796AA3"/>
    <w:rsid w:val="00796D8B"/>
    <w:rsid w:val="00796DFF"/>
    <w:rsid w:val="007971B4"/>
    <w:rsid w:val="007973F0"/>
    <w:rsid w:val="0079756F"/>
    <w:rsid w:val="00797B42"/>
    <w:rsid w:val="00797B4F"/>
    <w:rsid w:val="00797F8C"/>
    <w:rsid w:val="00797F9A"/>
    <w:rsid w:val="007A0009"/>
    <w:rsid w:val="007A0174"/>
    <w:rsid w:val="007A0238"/>
    <w:rsid w:val="007A06CE"/>
    <w:rsid w:val="007A0744"/>
    <w:rsid w:val="007A07E0"/>
    <w:rsid w:val="007A0861"/>
    <w:rsid w:val="007A0BB2"/>
    <w:rsid w:val="007A1081"/>
    <w:rsid w:val="007A11DC"/>
    <w:rsid w:val="007A1285"/>
    <w:rsid w:val="007A13AB"/>
    <w:rsid w:val="007A1473"/>
    <w:rsid w:val="007A147A"/>
    <w:rsid w:val="007A14B7"/>
    <w:rsid w:val="007A1ADD"/>
    <w:rsid w:val="007A1BF9"/>
    <w:rsid w:val="007A20C1"/>
    <w:rsid w:val="007A2248"/>
    <w:rsid w:val="007A2251"/>
    <w:rsid w:val="007A252C"/>
    <w:rsid w:val="007A2668"/>
    <w:rsid w:val="007A29DD"/>
    <w:rsid w:val="007A2C5E"/>
    <w:rsid w:val="007A2FB1"/>
    <w:rsid w:val="007A335D"/>
    <w:rsid w:val="007A3587"/>
    <w:rsid w:val="007A3611"/>
    <w:rsid w:val="007A38C1"/>
    <w:rsid w:val="007A38F0"/>
    <w:rsid w:val="007A395D"/>
    <w:rsid w:val="007A3DA2"/>
    <w:rsid w:val="007A3DBF"/>
    <w:rsid w:val="007A3FF7"/>
    <w:rsid w:val="007A44BD"/>
    <w:rsid w:val="007A464B"/>
    <w:rsid w:val="007A4B7C"/>
    <w:rsid w:val="007A4DCD"/>
    <w:rsid w:val="007A5089"/>
    <w:rsid w:val="007A50C0"/>
    <w:rsid w:val="007A5131"/>
    <w:rsid w:val="007A52B0"/>
    <w:rsid w:val="007A52F8"/>
    <w:rsid w:val="007A53DF"/>
    <w:rsid w:val="007A582B"/>
    <w:rsid w:val="007A5BF0"/>
    <w:rsid w:val="007A5CD2"/>
    <w:rsid w:val="007A5EC1"/>
    <w:rsid w:val="007A5F20"/>
    <w:rsid w:val="007A6043"/>
    <w:rsid w:val="007A618B"/>
    <w:rsid w:val="007A61B8"/>
    <w:rsid w:val="007A636F"/>
    <w:rsid w:val="007A6550"/>
    <w:rsid w:val="007A659D"/>
    <w:rsid w:val="007A66D2"/>
    <w:rsid w:val="007A6FF6"/>
    <w:rsid w:val="007A70B0"/>
    <w:rsid w:val="007A7135"/>
    <w:rsid w:val="007A7239"/>
    <w:rsid w:val="007A7311"/>
    <w:rsid w:val="007A7825"/>
    <w:rsid w:val="007A78A0"/>
    <w:rsid w:val="007A78E1"/>
    <w:rsid w:val="007A7AD9"/>
    <w:rsid w:val="007A7BD5"/>
    <w:rsid w:val="007A7C66"/>
    <w:rsid w:val="007A7C9B"/>
    <w:rsid w:val="007A7FFC"/>
    <w:rsid w:val="007B00DC"/>
    <w:rsid w:val="007B0181"/>
    <w:rsid w:val="007B0215"/>
    <w:rsid w:val="007B03EC"/>
    <w:rsid w:val="007B04EB"/>
    <w:rsid w:val="007B068B"/>
    <w:rsid w:val="007B08BE"/>
    <w:rsid w:val="007B0AB3"/>
    <w:rsid w:val="007B0F63"/>
    <w:rsid w:val="007B1298"/>
    <w:rsid w:val="007B136D"/>
    <w:rsid w:val="007B1778"/>
    <w:rsid w:val="007B186A"/>
    <w:rsid w:val="007B1A2C"/>
    <w:rsid w:val="007B1ACD"/>
    <w:rsid w:val="007B2144"/>
    <w:rsid w:val="007B221D"/>
    <w:rsid w:val="007B2653"/>
    <w:rsid w:val="007B2B9B"/>
    <w:rsid w:val="007B2DEE"/>
    <w:rsid w:val="007B2F49"/>
    <w:rsid w:val="007B311F"/>
    <w:rsid w:val="007B3149"/>
    <w:rsid w:val="007B322B"/>
    <w:rsid w:val="007B3630"/>
    <w:rsid w:val="007B367B"/>
    <w:rsid w:val="007B3820"/>
    <w:rsid w:val="007B3BE9"/>
    <w:rsid w:val="007B4019"/>
    <w:rsid w:val="007B4351"/>
    <w:rsid w:val="007B471C"/>
    <w:rsid w:val="007B48A6"/>
    <w:rsid w:val="007B4C7E"/>
    <w:rsid w:val="007B4D0C"/>
    <w:rsid w:val="007B4ECA"/>
    <w:rsid w:val="007B4F95"/>
    <w:rsid w:val="007B505A"/>
    <w:rsid w:val="007B53A9"/>
    <w:rsid w:val="007B5667"/>
    <w:rsid w:val="007B591B"/>
    <w:rsid w:val="007B5E68"/>
    <w:rsid w:val="007B61F4"/>
    <w:rsid w:val="007B6287"/>
    <w:rsid w:val="007B6511"/>
    <w:rsid w:val="007B66A0"/>
    <w:rsid w:val="007B678C"/>
    <w:rsid w:val="007B6E4E"/>
    <w:rsid w:val="007B6E94"/>
    <w:rsid w:val="007B70F3"/>
    <w:rsid w:val="007B7123"/>
    <w:rsid w:val="007B7188"/>
    <w:rsid w:val="007B71DD"/>
    <w:rsid w:val="007B71E9"/>
    <w:rsid w:val="007B74BF"/>
    <w:rsid w:val="007B7887"/>
    <w:rsid w:val="007B78E7"/>
    <w:rsid w:val="007B790F"/>
    <w:rsid w:val="007B7A1E"/>
    <w:rsid w:val="007B7F09"/>
    <w:rsid w:val="007C011F"/>
    <w:rsid w:val="007C03C7"/>
    <w:rsid w:val="007C052E"/>
    <w:rsid w:val="007C077F"/>
    <w:rsid w:val="007C07F3"/>
    <w:rsid w:val="007C0AF4"/>
    <w:rsid w:val="007C0D38"/>
    <w:rsid w:val="007C0DAE"/>
    <w:rsid w:val="007C1217"/>
    <w:rsid w:val="007C1237"/>
    <w:rsid w:val="007C157F"/>
    <w:rsid w:val="007C15FA"/>
    <w:rsid w:val="007C16DD"/>
    <w:rsid w:val="007C1702"/>
    <w:rsid w:val="007C26D7"/>
    <w:rsid w:val="007C2B9A"/>
    <w:rsid w:val="007C2D9C"/>
    <w:rsid w:val="007C2E68"/>
    <w:rsid w:val="007C2FD9"/>
    <w:rsid w:val="007C32C5"/>
    <w:rsid w:val="007C33E7"/>
    <w:rsid w:val="007C3436"/>
    <w:rsid w:val="007C3954"/>
    <w:rsid w:val="007C41D1"/>
    <w:rsid w:val="007C474F"/>
    <w:rsid w:val="007C4817"/>
    <w:rsid w:val="007C4850"/>
    <w:rsid w:val="007C48C7"/>
    <w:rsid w:val="007C4A3E"/>
    <w:rsid w:val="007C4ED2"/>
    <w:rsid w:val="007C52D4"/>
    <w:rsid w:val="007C5727"/>
    <w:rsid w:val="007C594C"/>
    <w:rsid w:val="007C5BBF"/>
    <w:rsid w:val="007C5CB3"/>
    <w:rsid w:val="007C5CCF"/>
    <w:rsid w:val="007C5D0B"/>
    <w:rsid w:val="007C5DC4"/>
    <w:rsid w:val="007C600C"/>
    <w:rsid w:val="007C6156"/>
    <w:rsid w:val="007C69D6"/>
    <w:rsid w:val="007C6A1F"/>
    <w:rsid w:val="007C6A35"/>
    <w:rsid w:val="007C6A53"/>
    <w:rsid w:val="007C6B4A"/>
    <w:rsid w:val="007C6E03"/>
    <w:rsid w:val="007C6EAA"/>
    <w:rsid w:val="007C72B1"/>
    <w:rsid w:val="007C7A46"/>
    <w:rsid w:val="007D003B"/>
    <w:rsid w:val="007D031B"/>
    <w:rsid w:val="007D07F0"/>
    <w:rsid w:val="007D0836"/>
    <w:rsid w:val="007D0853"/>
    <w:rsid w:val="007D0979"/>
    <w:rsid w:val="007D0A5E"/>
    <w:rsid w:val="007D0ADD"/>
    <w:rsid w:val="007D0C40"/>
    <w:rsid w:val="007D0D25"/>
    <w:rsid w:val="007D1013"/>
    <w:rsid w:val="007D12BA"/>
    <w:rsid w:val="007D1377"/>
    <w:rsid w:val="007D1431"/>
    <w:rsid w:val="007D17C1"/>
    <w:rsid w:val="007D1912"/>
    <w:rsid w:val="007D1937"/>
    <w:rsid w:val="007D1AC8"/>
    <w:rsid w:val="007D1FBA"/>
    <w:rsid w:val="007D22A7"/>
    <w:rsid w:val="007D2422"/>
    <w:rsid w:val="007D242D"/>
    <w:rsid w:val="007D25F5"/>
    <w:rsid w:val="007D29B5"/>
    <w:rsid w:val="007D2C48"/>
    <w:rsid w:val="007D2C77"/>
    <w:rsid w:val="007D2CEB"/>
    <w:rsid w:val="007D2E02"/>
    <w:rsid w:val="007D2F7D"/>
    <w:rsid w:val="007D31D1"/>
    <w:rsid w:val="007D3204"/>
    <w:rsid w:val="007D321D"/>
    <w:rsid w:val="007D32F0"/>
    <w:rsid w:val="007D3591"/>
    <w:rsid w:val="007D3693"/>
    <w:rsid w:val="007D389A"/>
    <w:rsid w:val="007D39F8"/>
    <w:rsid w:val="007D3CE9"/>
    <w:rsid w:val="007D3EF9"/>
    <w:rsid w:val="007D452D"/>
    <w:rsid w:val="007D45FB"/>
    <w:rsid w:val="007D4811"/>
    <w:rsid w:val="007D497D"/>
    <w:rsid w:val="007D4C61"/>
    <w:rsid w:val="007D4DC7"/>
    <w:rsid w:val="007D4E65"/>
    <w:rsid w:val="007D4EBB"/>
    <w:rsid w:val="007D4F11"/>
    <w:rsid w:val="007D5029"/>
    <w:rsid w:val="007D5189"/>
    <w:rsid w:val="007D522E"/>
    <w:rsid w:val="007D5665"/>
    <w:rsid w:val="007D5703"/>
    <w:rsid w:val="007D58AF"/>
    <w:rsid w:val="007D5AD9"/>
    <w:rsid w:val="007D5B45"/>
    <w:rsid w:val="007D5E40"/>
    <w:rsid w:val="007D5FD3"/>
    <w:rsid w:val="007D6004"/>
    <w:rsid w:val="007D61D0"/>
    <w:rsid w:val="007D6257"/>
    <w:rsid w:val="007D626B"/>
    <w:rsid w:val="007D638E"/>
    <w:rsid w:val="007D6670"/>
    <w:rsid w:val="007D667D"/>
    <w:rsid w:val="007D6683"/>
    <w:rsid w:val="007D671B"/>
    <w:rsid w:val="007D685B"/>
    <w:rsid w:val="007D6D6F"/>
    <w:rsid w:val="007D6ED4"/>
    <w:rsid w:val="007D72C0"/>
    <w:rsid w:val="007D7A40"/>
    <w:rsid w:val="007D7D31"/>
    <w:rsid w:val="007D7DB7"/>
    <w:rsid w:val="007D7E6A"/>
    <w:rsid w:val="007E0034"/>
    <w:rsid w:val="007E00B9"/>
    <w:rsid w:val="007E00CC"/>
    <w:rsid w:val="007E025F"/>
    <w:rsid w:val="007E02DE"/>
    <w:rsid w:val="007E0BC9"/>
    <w:rsid w:val="007E0F0C"/>
    <w:rsid w:val="007E1549"/>
    <w:rsid w:val="007E1A29"/>
    <w:rsid w:val="007E1A86"/>
    <w:rsid w:val="007E1CEF"/>
    <w:rsid w:val="007E20B4"/>
    <w:rsid w:val="007E2395"/>
    <w:rsid w:val="007E2730"/>
    <w:rsid w:val="007E29FF"/>
    <w:rsid w:val="007E2C20"/>
    <w:rsid w:val="007E2CE9"/>
    <w:rsid w:val="007E2E6D"/>
    <w:rsid w:val="007E2FBE"/>
    <w:rsid w:val="007E2FCC"/>
    <w:rsid w:val="007E32A1"/>
    <w:rsid w:val="007E3372"/>
    <w:rsid w:val="007E3426"/>
    <w:rsid w:val="007E3885"/>
    <w:rsid w:val="007E3951"/>
    <w:rsid w:val="007E3F29"/>
    <w:rsid w:val="007E40F4"/>
    <w:rsid w:val="007E425E"/>
    <w:rsid w:val="007E449F"/>
    <w:rsid w:val="007E44E0"/>
    <w:rsid w:val="007E46F9"/>
    <w:rsid w:val="007E4817"/>
    <w:rsid w:val="007E4945"/>
    <w:rsid w:val="007E4995"/>
    <w:rsid w:val="007E4AAD"/>
    <w:rsid w:val="007E519E"/>
    <w:rsid w:val="007E5209"/>
    <w:rsid w:val="007E54D3"/>
    <w:rsid w:val="007E553E"/>
    <w:rsid w:val="007E5642"/>
    <w:rsid w:val="007E565C"/>
    <w:rsid w:val="007E5B31"/>
    <w:rsid w:val="007E5CF5"/>
    <w:rsid w:val="007E5DEB"/>
    <w:rsid w:val="007E5FE3"/>
    <w:rsid w:val="007E6167"/>
    <w:rsid w:val="007E62E0"/>
    <w:rsid w:val="007E6BEB"/>
    <w:rsid w:val="007E6DAE"/>
    <w:rsid w:val="007E7048"/>
    <w:rsid w:val="007E70A5"/>
    <w:rsid w:val="007E72EC"/>
    <w:rsid w:val="007E74B3"/>
    <w:rsid w:val="007E74C5"/>
    <w:rsid w:val="007E7823"/>
    <w:rsid w:val="007E7D35"/>
    <w:rsid w:val="007E7EA8"/>
    <w:rsid w:val="007F00A0"/>
    <w:rsid w:val="007F00AA"/>
    <w:rsid w:val="007F028A"/>
    <w:rsid w:val="007F067B"/>
    <w:rsid w:val="007F078D"/>
    <w:rsid w:val="007F08D5"/>
    <w:rsid w:val="007F09D1"/>
    <w:rsid w:val="007F0BC1"/>
    <w:rsid w:val="007F0D26"/>
    <w:rsid w:val="007F0DEA"/>
    <w:rsid w:val="007F0E34"/>
    <w:rsid w:val="007F0ED6"/>
    <w:rsid w:val="007F1337"/>
    <w:rsid w:val="007F13FE"/>
    <w:rsid w:val="007F17CC"/>
    <w:rsid w:val="007F1B31"/>
    <w:rsid w:val="007F1B5F"/>
    <w:rsid w:val="007F1BAF"/>
    <w:rsid w:val="007F1EED"/>
    <w:rsid w:val="007F1F76"/>
    <w:rsid w:val="007F20C7"/>
    <w:rsid w:val="007F2180"/>
    <w:rsid w:val="007F21EB"/>
    <w:rsid w:val="007F225A"/>
    <w:rsid w:val="007F2319"/>
    <w:rsid w:val="007F23B6"/>
    <w:rsid w:val="007F270C"/>
    <w:rsid w:val="007F27A9"/>
    <w:rsid w:val="007F28B8"/>
    <w:rsid w:val="007F2F7D"/>
    <w:rsid w:val="007F3221"/>
    <w:rsid w:val="007F3288"/>
    <w:rsid w:val="007F32A1"/>
    <w:rsid w:val="007F32C6"/>
    <w:rsid w:val="007F337D"/>
    <w:rsid w:val="007F39DD"/>
    <w:rsid w:val="007F3C9E"/>
    <w:rsid w:val="007F3FB8"/>
    <w:rsid w:val="007F4193"/>
    <w:rsid w:val="007F47A5"/>
    <w:rsid w:val="007F4A26"/>
    <w:rsid w:val="007F4C07"/>
    <w:rsid w:val="007F4DA8"/>
    <w:rsid w:val="007F5034"/>
    <w:rsid w:val="007F5245"/>
    <w:rsid w:val="007F537B"/>
    <w:rsid w:val="007F5461"/>
    <w:rsid w:val="007F5533"/>
    <w:rsid w:val="007F5687"/>
    <w:rsid w:val="007F5A48"/>
    <w:rsid w:val="007F5B86"/>
    <w:rsid w:val="007F5CBE"/>
    <w:rsid w:val="007F5DAE"/>
    <w:rsid w:val="007F5F0B"/>
    <w:rsid w:val="007F5F7C"/>
    <w:rsid w:val="007F62B0"/>
    <w:rsid w:val="007F6339"/>
    <w:rsid w:val="007F6368"/>
    <w:rsid w:val="007F6678"/>
    <w:rsid w:val="007F6917"/>
    <w:rsid w:val="007F6B44"/>
    <w:rsid w:val="007F6DD0"/>
    <w:rsid w:val="007F6F67"/>
    <w:rsid w:val="007F705F"/>
    <w:rsid w:val="007F73D6"/>
    <w:rsid w:val="007F77B2"/>
    <w:rsid w:val="007F77CE"/>
    <w:rsid w:val="007F7A8D"/>
    <w:rsid w:val="007F7B7F"/>
    <w:rsid w:val="007F7C54"/>
    <w:rsid w:val="007F7C62"/>
    <w:rsid w:val="007F7C9A"/>
    <w:rsid w:val="007F7D95"/>
    <w:rsid w:val="007F7E2D"/>
    <w:rsid w:val="007F7E7C"/>
    <w:rsid w:val="007F7F1C"/>
    <w:rsid w:val="00800493"/>
    <w:rsid w:val="0080067D"/>
    <w:rsid w:val="00800731"/>
    <w:rsid w:val="00800B08"/>
    <w:rsid w:val="00800CDD"/>
    <w:rsid w:val="00800DCA"/>
    <w:rsid w:val="00800EB4"/>
    <w:rsid w:val="0080100A"/>
    <w:rsid w:val="00801058"/>
    <w:rsid w:val="0080159F"/>
    <w:rsid w:val="0080165E"/>
    <w:rsid w:val="008018DF"/>
    <w:rsid w:val="00801BBF"/>
    <w:rsid w:val="00801D68"/>
    <w:rsid w:val="00801F49"/>
    <w:rsid w:val="0080218D"/>
    <w:rsid w:val="00802466"/>
    <w:rsid w:val="00802485"/>
    <w:rsid w:val="0080257E"/>
    <w:rsid w:val="008027C8"/>
    <w:rsid w:val="008029D3"/>
    <w:rsid w:val="008031AC"/>
    <w:rsid w:val="008039D6"/>
    <w:rsid w:val="00803A7B"/>
    <w:rsid w:val="00803DF3"/>
    <w:rsid w:val="00804173"/>
    <w:rsid w:val="008042C5"/>
    <w:rsid w:val="008043DE"/>
    <w:rsid w:val="0080498D"/>
    <w:rsid w:val="00804C4C"/>
    <w:rsid w:val="00804CB3"/>
    <w:rsid w:val="0080557A"/>
    <w:rsid w:val="00805694"/>
    <w:rsid w:val="008059A1"/>
    <w:rsid w:val="00805D97"/>
    <w:rsid w:val="0080606A"/>
    <w:rsid w:val="00806276"/>
    <w:rsid w:val="00806277"/>
    <w:rsid w:val="00806393"/>
    <w:rsid w:val="008063B8"/>
    <w:rsid w:val="00806467"/>
    <w:rsid w:val="008064B8"/>
    <w:rsid w:val="008065F0"/>
    <w:rsid w:val="008077A9"/>
    <w:rsid w:val="00807972"/>
    <w:rsid w:val="00807A86"/>
    <w:rsid w:val="00807BD5"/>
    <w:rsid w:val="00807C2F"/>
    <w:rsid w:val="00807CAE"/>
    <w:rsid w:val="00807D4C"/>
    <w:rsid w:val="00807EC5"/>
    <w:rsid w:val="00810237"/>
    <w:rsid w:val="0081054D"/>
    <w:rsid w:val="00810584"/>
    <w:rsid w:val="0081062F"/>
    <w:rsid w:val="008106ED"/>
    <w:rsid w:val="00810727"/>
    <w:rsid w:val="00810738"/>
    <w:rsid w:val="00810817"/>
    <w:rsid w:val="00810B67"/>
    <w:rsid w:val="00810BA0"/>
    <w:rsid w:val="00810D24"/>
    <w:rsid w:val="00810D91"/>
    <w:rsid w:val="0081163E"/>
    <w:rsid w:val="008116A4"/>
    <w:rsid w:val="008116E1"/>
    <w:rsid w:val="00811755"/>
    <w:rsid w:val="008117EA"/>
    <w:rsid w:val="00811893"/>
    <w:rsid w:val="00811C06"/>
    <w:rsid w:val="00811C25"/>
    <w:rsid w:val="00811ECA"/>
    <w:rsid w:val="00811FBA"/>
    <w:rsid w:val="00812175"/>
    <w:rsid w:val="00812603"/>
    <w:rsid w:val="0081269D"/>
    <w:rsid w:val="008129C6"/>
    <w:rsid w:val="00812A07"/>
    <w:rsid w:val="00812CE4"/>
    <w:rsid w:val="00812E0A"/>
    <w:rsid w:val="00812F0C"/>
    <w:rsid w:val="00813071"/>
    <w:rsid w:val="00813177"/>
    <w:rsid w:val="0081352B"/>
    <w:rsid w:val="00813847"/>
    <w:rsid w:val="008139B7"/>
    <w:rsid w:val="00813A41"/>
    <w:rsid w:val="00813F78"/>
    <w:rsid w:val="00814037"/>
    <w:rsid w:val="008140C1"/>
    <w:rsid w:val="00814109"/>
    <w:rsid w:val="0081410E"/>
    <w:rsid w:val="008141E4"/>
    <w:rsid w:val="0081425A"/>
    <w:rsid w:val="008142A8"/>
    <w:rsid w:val="00814514"/>
    <w:rsid w:val="008146A4"/>
    <w:rsid w:val="0081471D"/>
    <w:rsid w:val="00814814"/>
    <w:rsid w:val="00815199"/>
    <w:rsid w:val="008151F4"/>
    <w:rsid w:val="00815244"/>
    <w:rsid w:val="0081586C"/>
    <w:rsid w:val="008158ED"/>
    <w:rsid w:val="00816BD9"/>
    <w:rsid w:val="00816DA6"/>
    <w:rsid w:val="008171B8"/>
    <w:rsid w:val="00817409"/>
    <w:rsid w:val="00817805"/>
    <w:rsid w:val="008178B9"/>
    <w:rsid w:val="00817965"/>
    <w:rsid w:val="00817D4F"/>
    <w:rsid w:val="00817DC6"/>
    <w:rsid w:val="00817DDE"/>
    <w:rsid w:val="00817EB0"/>
    <w:rsid w:val="008202A9"/>
    <w:rsid w:val="008205B6"/>
    <w:rsid w:val="00820862"/>
    <w:rsid w:val="00820B96"/>
    <w:rsid w:val="00820C3E"/>
    <w:rsid w:val="00820C80"/>
    <w:rsid w:val="00820CD7"/>
    <w:rsid w:val="00820F1D"/>
    <w:rsid w:val="00820FE2"/>
    <w:rsid w:val="0082122C"/>
    <w:rsid w:val="00821295"/>
    <w:rsid w:val="0082197C"/>
    <w:rsid w:val="00821AE5"/>
    <w:rsid w:val="00821DD6"/>
    <w:rsid w:val="00821EBD"/>
    <w:rsid w:val="0082214B"/>
    <w:rsid w:val="00822285"/>
    <w:rsid w:val="00822462"/>
    <w:rsid w:val="0082252A"/>
    <w:rsid w:val="00822C22"/>
    <w:rsid w:val="00822C27"/>
    <w:rsid w:val="00822EDD"/>
    <w:rsid w:val="00822FD6"/>
    <w:rsid w:val="00823176"/>
    <w:rsid w:val="00823208"/>
    <w:rsid w:val="008237E2"/>
    <w:rsid w:val="00823AC9"/>
    <w:rsid w:val="00823EC4"/>
    <w:rsid w:val="00823F3A"/>
    <w:rsid w:val="008240CF"/>
    <w:rsid w:val="008243C8"/>
    <w:rsid w:val="00824B42"/>
    <w:rsid w:val="00824D1A"/>
    <w:rsid w:val="00824D61"/>
    <w:rsid w:val="00824E0C"/>
    <w:rsid w:val="00824EDF"/>
    <w:rsid w:val="00824EF2"/>
    <w:rsid w:val="00825156"/>
    <w:rsid w:val="00825175"/>
    <w:rsid w:val="00825229"/>
    <w:rsid w:val="0082545F"/>
    <w:rsid w:val="00825531"/>
    <w:rsid w:val="00825537"/>
    <w:rsid w:val="008255E4"/>
    <w:rsid w:val="0082585B"/>
    <w:rsid w:val="00825913"/>
    <w:rsid w:val="00825B3D"/>
    <w:rsid w:val="008260AA"/>
    <w:rsid w:val="0082613F"/>
    <w:rsid w:val="0082668C"/>
    <w:rsid w:val="008266D4"/>
    <w:rsid w:val="00826703"/>
    <w:rsid w:val="00826C83"/>
    <w:rsid w:val="00826E06"/>
    <w:rsid w:val="0082710C"/>
    <w:rsid w:val="00827331"/>
    <w:rsid w:val="0082735A"/>
    <w:rsid w:val="00827B73"/>
    <w:rsid w:val="00827BAD"/>
    <w:rsid w:val="00827C5A"/>
    <w:rsid w:val="00827D7A"/>
    <w:rsid w:val="008301BB"/>
    <w:rsid w:val="00830639"/>
    <w:rsid w:val="0083069C"/>
    <w:rsid w:val="008309C9"/>
    <w:rsid w:val="00830A39"/>
    <w:rsid w:val="00830B2A"/>
    <w:rsid w:val="00830B6F"/>
    <w:rsid w:val="00830B86"/>
    <w:rsid w:val="00830BC7"/>
    <w:rsid w:val="00830C88"/>
    <w:rsid w:val="00830E81"/>
    <w:rsid w:val="00830FF8"/>
    <w:rsid w:val="00831142"/>
    <w:rsid w:val="00831423"/>
    <w:rsid w:val="0083167F"/>
    <w:rsid w:val="008318A1"/>
    <w:rsid w:val="00831915"/>
    <w:rsid w:val="0083197A"/>
    <w:rsid w:val="00831B3F"/>
    <w:rsid w:val="00831CA0"/>
    <w:rsid w:val="00831CB2"/>
    <w:rsid w:val="00831D2B"/>
    <w:rsid w:val="008321F6"/>
    <w:rsid w:val="008322B5"/>
    <w:rsid w:val="00832375"/>
    <w:rsid w:val="008324BE"/>
    <w:rsid w:val="0083262D"/>
    <w:rsid w:val="00832695"/>
    <w:rsid w:val="008328E0"/>
    <w:rsid w:val="0083297C"/>
    <w:rsid w:val="00832B5E"/>
    <w:rsid w:val="00832B9D"/>
    <w:rsid w:val="008333FF"/>
    <w:rsid w:val="008334FF"/>
    <w:rsid w:val="008335E3"/>
    <w:rsid w:val="00833677"/>
    <w:rsid w:val="00833867"/>
    <w:rsid w:val="0083391A"/>
    <w:rsid w:val="00834148"/>
    <w:rsid w:val="00834688"/>
    <w:rsid w:val="00834A86"/>
    <w:rsid w:val="00834AA9"/>
    <w:rsid w:val="00834DCB"/>
    <w:rsid w:val="00834EDC"/>
    <w:rsid w:val="00834F6C"/>
    <w:rsid w:val="00835133"/>
    <w:rsid w:val="008359B7"/>
    <w:rsid w:val="00835F44"/>
    <w:rsid w:val="00835FA6"/>
    <w:rsid w:val="008363BA"/>
    <w:rsid w:val="00836673"/>
    <w:rsid w:val="00836724"/>
    <w:rsid w:val="0083685C"/>
    <w:rsid w:val="00836906"/>
    <w:rsid w:val="00836CEB"/>
    <w:rsid w:val="00837268"/>
    <w:rsid w:val="00837309"/>
    <w:rsid w:val="00837329"/>
    <w:rsid w:val="008377F7"/>
    <w:rsid w:val="008378A6"/>
    <w:rsid w:val="0083790A"/>
    <w:rsid w:val="00837EF7"/>
    <w:rsid w:val="008403EC"/>
    <w:rsid w:val="00840663"/>
    <w:rsid w:val="00840AFA"/>
    <w:rsid w:val="00840C01"/>
    <w:rsid w:val="00840C42"/>
    <w:rsid w:val="008412E6"/>
    <w:rsid w:val="008412E9"/>
    <w:rsid w:val="0084167C"/>
    <w:rsid w:val="008418E7"/>
    <w:rsid w:val="00841E77"/>
    <w:rsid w:val="00842171"/>
    <w:rsid w:val="008423A8"/>
    <w:rsid w:val="008423CA"/>
    <w:rsid w:val="008424A0"/>
    <w:rsid w:val="00842A3F"/>
    <w:rsid w:val="00842B33"/>
    <w:rsid w:val="00842B98"/>
    <w:rsid w:val="00842BAD"/>
    <w:rsid w:val="008430FE"/>
    <w:rsid w:val="0084334B"/>
    <w:rsid w:val="008435FA"/>
    <w:rsid w:val="00843619"/>
    <w:rsid w:val="00843A8D"/>
    <w:rsid w:val="00843FAA"/>
    <w:rsid w:val="00843FF3"/>
    <w:rsid w:val="0084426F"/>
    <w:rsid w:val="0084453E"/>
    <w:rsid w:val="00844563"/>
    <w:rsid w:val="008448D3"/>
    <w:rsid w:val="00844948"/>
    <w:rsid w:val="00844B66"/>
    <w:rsid w:val="00844D6B"/>
    <w:rsid w:val="00844DCD"/>
    <w:rsid w:val="00844ED1"/>
    <w:rsid w:val="00844F10"/>
    <w:rsid w:val="00844F3E"/>
    <w:rsid w:val="00845186"/>
    <w:rsid w:val="00845250"/>
    <w:rsid w:val="008452D8"/>
    <w:rsid w:val="008453E8"/>
    <w:rsid w:val="00845BBC"/>
    <w:rsid w:val="00845DFA"/>
    <w:rsid w:val="00846091"/>
    <w:rsid w:val="008461BD"/>
    <w:rsid w:val="0084626C"/>
    <w:rsid w:val="008464E8"/>
    <w:rsid w:val="00846514"/>
    <w:rsid w:val="00846613"/>
    <w:rsid w:val="008466B9"/>
    <w:rsid w:val="0084697A"/>
    <w:rsid w:val="00846B00"/>
    <w:rsid w:val="00846FF5"/>
    <w:rsid w:val="0084713B"/>
    <w:rsid w:val="0084719D"/>
    <w:rsid w:val="00847408"/>
    <w:rsid w:val="00847429"/>
    <w:rsid w:val="00847503"/>
    <w:rsid w:val="0084755D"/>
    <w:rsid w:val="008475C9"/>
    <w:rsid w:val="008477D3"/>
    <w:rsid w:val="00847A2A"/>
    <w:rsid w:val="00847CB7"/>
    <w:rsid w:val="00847F2B"/>
    <w:rsid w:val="00850048"/>
    <w:rsid w:val="00850118"/>
    <w:rsid w:val="008502EC"/>
    <w:rsid w:val="0085040D"/>
    <w:rsid w:val="008504D5"/>
    <w:rsid w:val="008505A2"/>
    <w:rsid w:val="00850C9A"/>
    <w:rsid w:val="00850E57"/>
    <w:rsid w:val="0085109C"/>
    <w:rsid w:val="00851134"/>
    <w:rsid w:val="008513D8"/>
    <w:rsid w:val="00851544"/>
    <w:rsid w:val="00851609"/>
    <w:rsid w:val="00851670"/>
    <w:rsid w:val="00851874"/>
    <w:rsid w:val="00851913"/>
    <w:rsid w:val="00851A4F"/>
    <w:rsid w:val="00851BEC"/>
    <w:rsid w:val="00851D2C"/>
    <w:rsid w:val="0085202F"/>
    <w:rsid w:val="0085236C"/>
    <w:rsid w:val="008523A0"/>
    <w:rsid w:val="00852495"/>
    <w:rsid w:val="0085264B"/>
    <w:rsid w:val="00852733"/>
    <w:rsid w:val="008527DF"/>
    <w:rsid w:val="008528BA"/>
    <w:rsid w:val="00852967"/>
    <w:rsid w:val="00852A2F"/>
    <w:rsid w:val="00852C25"/>
    <w:rsid w:val="00852DB8"/>
    <w:rsid w:val="00852EBD"/>
    <w:rsid w:val="0085311B"/>
    <w:rsid w:val="008532B9"/>
    <w:rsid w:val="00853343"/>
    <w:rsid w:val="00853388"/>
    <w:rsid w:val="00853B68"/>
    <w:rsid w:val="00853CC9"/>
    <w:rsid w:val="00853CCC"/>
    <w:rsid w:val="00853E26"/>
    <w:rsid w:val="00854313"/>
    <w:rsid w:val="008543D0"/>
    <w:rsid w:val="008544DC"/>
    <w:rsid w:val="008544E9"/>
    <w:rsid w:val="00854CC6"/>
    <w:rsid w:val="00854D26"/>
    <w:rsid w:val="0085502D"/>
    <w:rsid w:val="008557CC"/>
    <w:rsid w:val="00855886"/>
    <w:rsid w:val="00855955"/>
    <w:rsid w:val="00855BBB"/>
    <w:rsid w:val="00855CBF"/>
    <w:rsid w:val="00855D43"/>
    <w:rsid w:val="00855F27"/>
    <w:rsid w:val="008561D7"/>
    <w:rsid w:val="008564B3"/>
    <w:rsid w:val="00856ED2"/>
    <w:rsid w:val="00856F89"/>
    <w:rsid w:val="0085700C"/>
    <w:rsid w:val="0085717E"/>
    <w:rsid w:val="00857575"/>
    <w:rsid w:val="008575C4"/>
    <w:rsid w:val="008576E3"/>
    <w:rsid w:val="0085778C"/>
    <w:rsid w:val="00857B6E"/>
    <w:rsid w:val="00857C9C"/>
    <w:rsid w:val="00857CA5"/>
    <w:rsid w:val="00857CC8"/>
    <w:rsid w:val="00857DAC"/>
    <w:rsid w:val="00857E45"/>
    <w:rsid w:val="00857FE4"/>
    <w:rsid w:val="008600FA"/>
    <w:rsid w:val="00860368"/>
    <w:rsid w:val="008605B6"/>
    <w:rsid w:val="008607B4"/>
    <w:rsid w:val="008607E7"/>
    <w:rsid w:val="00860A12"/>
    <w:rsid w:val="00860B1F"/>
    <w:rsid w:val="00860B22"/>
    <w:rsid w:val="00860B9B"/>
    <w:rsid w:val="00860C52"/>
    <w:rsid w:val="00861074"/>
    <w:rsid w:val="0086133E"/>
    <w:rsid w:val="00861B1C"/>
    <w:rsid w:val="00861C4D"/>
    <w:rsid w:val="0086229F"/>
    <w:rsid w:val="00862479"/>
    <w:rsid w:val="00862630"/>
    <w:rsid w:val="00862713"/>
    <w:rsid w:val="008628BC"/>
    <w:rsid w:val="0086295A"/>
    <w:rsid w:val="00862B80"/>
    <w:rsid w:val="00862F2D"/>
    <w:rsid w:val="00862F99"/>
    <w:rsid w:val="00862FAD"/>
    <w:rsid w:val="008636FC"/>
    <w:rsid w:val="00863CE9"/>
    <w:rsid w:val="00863DB6"/>
    <w:rsid w:val="00863FAB"/>
    <w:rsid w:val="00863FF9"/>
    <w:rsid w:val="008641E5"/>
    <w:rsid w:val="008644EE"/>
    <w:rsid w:val="00864A78"/>
    <w:rsid w:val="00864BE1"/>
    <w:rsid w:val="00864DFA"/>
    <w:rsid w:val="00864F86"/>
    <w:rsid w:val="00864FF1"/>
    <w:rsid w:val="00865260"/>
    <w:rsid w:val="008653C0"/>
    <w:rsid w:val="00865815"/>
    <w:rsid w:val="008658EE"/>
    <w:rsid w:val="00865B0C"/>
    <w:rsid w:val="00865B34"/>
    <w:rsid w:val="00865B50"/>
    <w:rsid w:val="00865B86"/>
    <w:rsid w:val="00866285"/>
    <w:rsid w:val="008664CD"/>
    <w:rsid w:val="00866550"/>
    <w:rsid w:val="00866604"/>
    <w:rsid w:val="0086686F"/>
    <w:rsid w:val="00866990"/>
    <w:rsid w:val="008669EF"/>
    <w:rsid w:val="00866AE2"/>
    <w:rsid w:val="00866FB9"/>
    <w:rsid w:val="008671A4"/>
    <w:rsid w:val="008671AF"/>
    <w:rsid w:val="00867348"/>
    <w:rsid w:val="0086739D"/>
    <w:rsid w:val="00867D1D"/>
    <w:rsid w:val="00867EEF"/>
    <w:rsid w:val="00870161"/>
    <w:rsid w:val="00870194"/>
    <w:rsid w:val="008701A5"/>
    <w:rsid w:val="00870368"/>
    <w:rsid w:val="008705CF"/>
    <w:rsid w:val="00870682"/>
    <w:rsid w:val="008706BC"/>
    <w:rsid w:val="008707B9"/>
    <w:rsid w:val="008709A4"/>
    <w:rsid w:val="008709E9"/>
    <w:rsid w:val="00870E31"/>
    <w:rsid w:val="00871088"/>
    <w:rsid w:val="00871164"/>
    <w:rsid w:val="00871198"/>
    <w:rsid w:val="008712D4"/>
    <w:rsid w:val="008713F0"/>
    <w:rsid w:val="00871465"/>
    <w:rsid w:val="0087159B"/>
    <w:rsid w:val="008715A4"/>
    <w:rsid w:val="008715B6"/>
    <w:rsid w:val="00871A9F"/>
    <w:rsid w:val="00871AAD"/>
    <w:rsid w:val="00871C59"/>
    <w:rsid w:val="00871D89"/>
    <w:rsid w:val="00872067"/>
    <w:rsid w:val="0087223A"/>
    <w:rsid w:val="0087247B"/>
    <w:rsid w:val="008724E4"/>
    <w:rsid w:val="008728BA"/>
    <w:rsid w:val="008728CE"/>
    <w:rsid w:val="00872C3C"/>
    <w:rsid w:val="00872FD9"/>
    <w:rsid w:val="0087300E"/>
    <w:rsid w:val="00873189"/>
    <w:rsid w:val="0087328F"/>
    <w:rsid w:val="008733CE"/>
    <w:rsid w:val="0087361A"/>
    <w:rsid w:val="008736E9"/>
    <w:rsid w:val="0087388C"/>
    <w:rsid w:val="00873914"/>
    <w:rsid w:val="00873BC6"/>
    <w:rsid w:val="00873D7E"/>
    <w:rsid w:val="00873DF0"/>
    <w:rsid w:val="00873E70"/>
    <w:rsid w:val="00874002"/>
    <w:rsid w:val="00874160"/>
    <w:rsid w:val="00874209"/>
    <w:rsid w:val="00874244"/>
    <w:rsid w:val="0087432C"/>
    <w:rsid w:val="008743BB"/>
    <w:rsid w:val="008743CE"/>
    <w:rsid w:val="008743D5"/>
    <w:rsid w:val="00874C3E"/>
    <w:rsid w:val="00874D7F"/>
    <w:rsid w:val="00874DF7"/>
    <w:rsid w:val="00874F8F"/>
    <w:rsid w:val="00874FB1"/>
    <w:rsid w:val="00875008"/>
    <w:rsid w:val="0087580B"/>
    <w:rsid w:val="00875A41"/>
    <w:rsid w:val="00875BAD"/>
    <w:rsid w:val="00875BE8"/>
    <w:rsid w:val="00875CB0"/>
    <w:rsid w:val="00875E3D"/>
    <w:rsid w:val="00875EDA"/>
    <w:rsid w:val="00876327"/>
    <w:rsid w:val="00876528"/>
    <w:rsid w:val="00876563"/>
    <w:rsid w:val="008766A9"/>
    <w:rsid w:val="00876772"/>
    <w:rsid w:val="00876A6C"/>
    <w:rsid w:val="00876B52"/>
    <w:rsid w:val="00876BFC"/>
    <w:rsid w:val="00876D31"/>
    <w:rsid w:val="00876FD9"/>
    <w:rsid w:val="008770AA"/>
    <w:rsid w:val="0087712E"/>
    <w:rsid w:val="008771F4"/>
    <w:rsid w:val="008773FE"/>
    <w:rsid w:val="0087772A"/>
    <w:rsid w:val="00877A45"/>
    <w:rsid w:val="00880037"/>
    <w:rsid w:val="00880185"/>
    <w:rsid w:val="00880186"/>
    <w:rsid w:val="0088021C"/>
    <w:rsid w:val="00880264"/>
    <w:rsid w:val="00880369"/>
    <w:rsid w:val="00880491"/>
    <w:rsid w:val="008804FE"/>
    <w:rsid w:val="00880678"/>
    <w:rsid w:val="0088086F"/>
    <w:rsid w:val="00880902"/>
    <w:rsid w:val="00880A4A"/>
    <w:rsid w:val="00880A69"/>
    <w:rsid w:val="00880C7D"/>
    <w:rsid w:val="00881991"/>
    <w:rsid w:val="00881B46"/>
    <w:rsid w:val="00881D03"/>
    <w:rsid w:val="00881E3C"/>
    <w:rsid w:val="00882026"/>
    <w:rsid w:val="008821B7"/>
    <w:rsid w:val="00882206"/>
    <w:rsid w:val="00882713"/>
    <w:rsid w:val="00882841"/>
    <w:rsid w:val="00882BF6"/>
    <w:rsid w:val="00882CF9"/>
    <w:rsid w:val="00882E07"/>
    <w:rsid w:val="00882E72"/>
    <w:rsid w:val="0088301F"/>
    <w:rsid w:val="00883045"/>
    <w:rsid w:val="00883070"/>
    <w:rsid w:val="0088315B"/>
    <w:rsid w:val="008832BD"/>
    <w:rsid w:val="008839AA"/>
    <w:rsid w:val="00883A6A"/>
    <w:rsid w:val="00883B9B"/>
    <w:rsid w:val="00883EC3"/>
    <w:rsid w:val="00884155"/>
    <w:rsid w:val="008841C3"/>
    <w:rsid w:val="00884358"/>
    <w:rsid w:val="00884399"/>
    <w:rsid w:val="008845BF"/>
    <w:rsid w:val="008849A8"/>
    <w:rsid w:val="00884BDD"/>
    <w:rsid w:val="00884D17"/>
    <w:rsid w:val="00885A84"/>
    <w:rsid w:val="00885C54"/>
    <w:rsid w:val="00885C86"/>
    <w:rsid w:val="00885D42"/>
    <w:rsid w:val="00885E9B"/>
    <w:rsid w:val="00885F93"/>
    <w:rsid w:val="008862D2"/>
    <w:rsid w:val="0088637C"/>
    <w:rsid w:val="0088685C"/>
    <w:rsid w:val="0088686E"/>
    <w:rsid w:val="00886D4E"/>
    <w:rsid w:val="00886EA2"/>
    <w:rsid w:val="00886EE1"/>
    <w:rsid w:val="00886F0D"/>
    <w:rsid w:val="00886F31"/>
    <w:rsid w:val="008870D7"/>
    <w:rsid w:val="00887137"/>
    <w:rsid w:val="008872C5"/>
    <w:rsid w:val="0088740E"/>
    <w:rsid w:val="0088743C"/>
    <w:rsid w:val="0088756C"/>
    <w:rsid w:val="008879FA"/>
    <w:rsid w:val="00887B78"/>
    <w:rsid w:val="00887C58"/>
    <w:rsid w:val="00887EED"/>
    <w:rsid w:val="00890110"/>
    <w:rsid w:val="008901A2"/>
    <w:rsid w:val="008906A1"/>
    <w:rsid w:val="008907E1"/>
    <w:rsid w:val="00890B0E"/>
    <w:rsid w:val="00890D27"/>
    <w:rsid w:val="00890D38"/>
    <w:rsid w:val="00890FFD"/>
    <w:rsid w:val="008911C3"/>
    <w:rsid w:val="008912CE"/>
    <w:rsid w:val="00891307"/>
    <w:rsid w:val="008914D9"/>
    <w:rsid w:val="0089158A"/>
    <w:rsid w:val="00891B99"/>
    <w:rsid w:val="00891D05"/>
    <w:rsid w:val="00891E79"/>
    <w:rsid w:val="0089215D"/>
    <w:rsid w:val="0089226B"/>
    <w:rsid w:val="008923C4"/>
    <w:rsid w:val="008925D8"/>
    <w:rsid w:val="00892652"/>
    <w:rsid w:val="0089266A"/>
    <w:rsid w:val="00892A4E"/>
    <w:rsid w:val="00892C12"/>
    <w:rsid w:val="00892F7A"/>
    <w:rsid w:val="00893065"/>
    <w:rsid w:val="008938E8"/>
    <w:rsid w:val="00893AAD"/>
    <w:rsid w:val="00893C99"/>
    <w:rsid w:val="00893E4E"/>
    <w:rsid w:val="0089411F"/>
    <w:rsid w:val="0089422E"/>
    <w:rsid w:val="0089430E"/>
    <w:rsid w:val="00894374"/>
    <w:rsid w:val="008945F6"/>
    <w:rsid w:val="00894694"/>
    <w:rsid w:val="008946BE"/>
    <w:rsid w:val="00894751"/>
    <w:rsid w:val="008948CB"/>
    <w:rsid w:val="00894A27"/>
    <w:rsid w:val="00894A55"/>
    <w:rsid w:val="00894A9D"/>
    <w:rsid w:val="00894B87"/>
    <w:rsid w:val="00894CED"/>
    <w:rsid w:val="008952CE"/>
    <w:rsid w:val="00895364"/>
    <w:rsid w:val="00895448"/>
    <w:rsid w:val="00895779"/>
    <w:rsid w:val="00895854"/>
    <w:rsid w:val="00895894"/>
    <w:rsid w:val="00895FDD"/>
    <w:rsid w:val="00896088"/>
    <w:rsid w:val="008963DF"/>
    <w:rsid w:val="0089681C"/>
    <w:rsid w:val="0089696E"/>
    <w:rsid w:val="00896A19"/>
    <w:rsid w:val="00896A4C"/>
    <w:rsid w:val="00896EBA"/>
    <w:rsid w:val="008974FE"/>
    <w:rsid w:val="0089756E"/>
    <w:rsid w:val="008975AA"/>
    <w:rsid w:val="0089787E"/>
    <w:rsid w:val="0089797F"/>
    <w:rsid w:val="00897CAC"/>
    <w:rsid w:val="00897F52"/>
    <w:rsid w:val="008A034D"/>
    <w:rsid w:val="008A0362"/>
    <w:rsid w:val="008A0445"/>
    <w:rsid w:val="008A04F4"/>
    <w:rsid w:val="008A06C1"/>
    <w:rsid w:val="008A0707"/>
    <w:rsid w:val="008A0D55"/>
    <w:rsid w:val="008A0E5B"/>
    <w:rsid w:val="008A0EA6"/>
    <w:rsid w:val="008A0F46"/>
    <w:rsid w:val="008A14A6"/>
    <w:rsid w:val="008A1705"/>
    <w:rsid w:val="008A1842"/>
    <w:rsid w:val="008A1D9A"/>
    <w:rsid w:val="008A202F"/>
    <w:rsid w:val="008A22AD"/>
    <w:rsid w:val="008A23C2"/>
    <w:rsid w:val="008A23C9"/>
    <w:rsid w:val="008A276B"/>
    <w:rsid w:val="008A2956"/>
    <w:rsid w:val="008A2DDD"/>
    <w:rsid w:val="008A2DEB"/>
    <w:rsid w:val="008A3124"/>
    <w:rsid w:val="008A31DE"/>
    <w:rsid w:val="008A32A0"/>
    <w:rsid w:val="008A3663"/>
    <w:rsid w:val="008A3827"/>
    <w:rsid w:val="008A3959"/>
    <w:rsid w:val="008A39A2"/>
    <w:rsid w:val="008A39F8"/>
    <w:rsid w:val="008A3B09"/>
    <w:rsid w:val="008A3E42"/>
    <w:rsid w:val="008A42FC"/>
    <w:rsid w:val="008A45E8"/>
    <w:rsid w:val="008A4785"/>
    <w:rsid w:val="008A4803"/>
    <w:rsid w:val="008A4B49"/>
    <w:rsid w:val="008A4C0B"/>
    <w:rsid w:val="008A4CBB"/>
    <w:rsid w:val="008A4FD2"/>
    <w:rsid w:val="008A519C"/>
    <w:rsid w:val="008A52FC"/>
    <w:rsid w:val="008A5740"/>
    <w:rsid w:val="008A57B5"/>
    <w:rsid w:val="008A5BE8"/>
    <w:rsid w:val="008A5C79"/>
    <w:rsid w:val="008A5D0E"/>
    <w:rsid w:val="008A5DBF"/>
    <w:rsid w:val="008A5EA1"/>
    <w:rsid w:val="008A5F79"/>
    <w:rsid w:val="008A6095"/>
    <w:rsid w:val="008A6102"/>
    <w:rsid w:val="008A645F"/>
    <w:rsid w:val="008A657C"/>
    <w:rsid w:val="008A6723"/>
    <w:rsid w:val="008A6845"/>
    <w:rsid w:val="008A6903"/>
    <w:rsid w:val="008A6C19"/>
    <w:rsid w:val="008A6E48"/>
    <w:rsid w:val="008A6F6C"/>
    <w:rsid w:val="008A6F85"/>
    <w:rsid w:val="008A71A5"/>
    <w:rsid w:val="008A7221"/>
    <w:rsid w:val="008A73B9"/>
    <w:rsid w:val="008A74BD"/>
    <w:rsid w:val="008A74E3"/>
    <w:rsid w:val="008A77C3"/>
    <w:rsid w:val="008A7D34"/>
    <w:rsid w:val="008A7D7D"/>
    <w:rsid w:val="008A7D90"/>
    <w:rsid w:val="008B00BF"/>
    <w:rsid w:val="008B01BB"/>
    <w:rsid w:val="008B02A2"/>
    <w:rsid w:val="008B02BE"/>
    <w:rsid w:val="008B0868"/>
    <w:rsid w:val="008B0B3A"/>
    <w:rsid w:val="008B137F"/>
    <w:rsid w:val="008B16D2"/>
    <w:rsid w:val="008B16D3"/>
    <w:rsid w:val="008B1927"/>
    <w:rsid w:val="008B19AB"/>
    <w:rsid w:val="008B1D72"/>
    <w:rsid w:val="008B1D7D"/>
    <w:rsid w:val="008B1E4A"/>
    <w:rsid w:val="008B1F7D"/>
    <w:rsid w:val="008B1FBA"/>
    <w:rsid w:val="008B1FD6"/>
    <w:rsid w:val="008B2054"/>
    <w:rsid w:val="008B2211"/>
    <w:rsid w:val="008B23D1"/>
    <w:rsid w:val="008B23F2"/>
    <w:rsid w:val="008B2480"/>
    <w:rsid w:val="008B27FF"/>
    <w:rsid w:val="008B295B"/>
    <w:rsid w:val="008B2A3F"/>
    <w:rsid w:val="008B2B1C"/>
    <w:rsid w:val="008B2BDF"/>
    <w:rsid w:val="008B2D22"/>
    <w:rsid w:val="008B313B"/>
    <w:rsid w:val="008B32A0"/>
    <w:rsid w:val="008B32A9"/>
    <w:rsid w:val="008B3334"/>
    <w:rsid w:val="008B362B"/>
    <w:rsid w:val="008B3880"/>
    <w:rsid w:val="008B3A9A"/>
    <w:rsid w:val="008B3C6B"/>
    <w:rsid w:val="008B3E53"/>
    <w:rsid w:val="008B4242"/>
    <w:rsid w:val="008B435B"/>
    <w:rsid w:val="008B44F9"/>
    <w:rsid w:val="008B4736"/>
    <w:rsid w:val="008B48F6"/>
    <w:rsid w:val="008B4961"/>
    <w:rsid w:val="008B4A40"/>
    <w:rsid w:val="008B4E33"/>
    <w:rsid w:val="008B5078"/>
    <w:rsid w:val="008B5085"/>
    <w:rsid w:val="008B5917"/>
    <w:rsid w:val="008B5BA2"/>
    <w:rsid w:val="008B615A"/>
    <w:rsid w:val="008B616D"/>
    <w:rsid w:val="008B626C"/>
    <w:rsid w:val="008B6334"/>
    <w:rsid w:val="008B637A"/>
    <w:rsid w:val="008B64E1"/>
    <w:rsid w:val="008B6507"/>
    <w:rsid w:val="008B655B"/>
    <w:rsid w:val="008B67EF"/>
    <w:rsid w:val="008B6F94"/>
    <w:rsid w:val="008B6FE5"/>
    <w:rsid w:val="008B721D"/>
    <w:rsid w:val="008B746C"/>
    <w:rsid w:val="008B7743"/>
    <w:rsid w:val="008B7960"/>
    <w:rsid w:val="008B7A10"/>
    <w:rsid w:val="008B7AA9"/>
    <w:rsid w:val="008B7B1D"/>
    <w:rsid w:val="008B7CFD"/>
    <w:rsid w:val="008C001C"/>
    <w:rsid w:val="008C0083"/>
    <w:rsid w:val="008C01F6"/>
    <w:rsid w:val="008C03DF"/>
    <w:rsid w:val="008C0454"/>
    <w:rsid w:val="008C069A"/>
    <w:rsid w:val="008C0791"/>
    <w:rsid w:val="008C09B5"/>
    <w:rsid w:val="008C0A77"/>
    <w:rsid w:val="008C0D2A"/>
    <w:rsid w:val="008C15BA"/>
    <w:rsid w:val="008C16F4"/>
    <w:rsid w:val="008C1A2F"/>
    <w:rsid w:val="008C1DDC"/>
    <w:rsid w:val="008C2061"/>
    <w:rsid w:val="008C2294"/>
    <w:rsid w:val="008C2406"/>
    <w:rsid w:val="008C27F5"/>
    <w:rsid w:val="008C2AA8"/>
    <w:rsid w:val="008C2D7C"/>
    <w:rsid w:val="008C2E76"/>
    <w:rsid w:val="008C2EDB"/>
    <w:rsid w:val="008C2F6D"/>
    <w:rsid w:val="008C31E0"/>
    <w:rsid w:val="008C3204"/>
    <w:rsid w:val="008C325A"/>
    <w:rsid w:val="008C340A"/>
    <w:rsid w:val="008C34AF"/>
    <w:rsid w:val="008C3B4A"/>
    <w:rsid w:val="008C3DB4"/>
    <w:rsid w:val="008C3F0D"/>
    <w:rsid w:val="008C3F59"/>
    <w:rsid w:val="008C43A0"/>
    <w:rsid w:val="008C44D6"/>
    <w:rsid w:val="008C46B1"/>
    <w:rsid w:val="008C46BB"/>
    <w:rsid w:val="008C4CA8"/>
    <w:rsid w:val="008C4E0F"/>
    <w:rsid w:val="008C4FE8"/>
    <w:rsid w:val="008C5047"/>
    <w:rsid w:val="008C51E1"/>
    <w:rsid w:val="008C54A7"/>
    <w:rsid w:val="008C55E9"/>
    <w:rsid w:val="008C5610"/>
    <w:rsid w:val="008C5706"/>
    <w:rsid w:val="008C5865"/>
    <w:rsid w:val="008C5914"/>
    <w:rsid w:val="008C5AF2"/>
    <w:rsid w:val="008C5C08"/>
    <w:rsid w:val="008C5CDB"/>
    <w:rsid w:val="008C5CEF"/>
    <w:rsid w:val="008C5FCC"/>
    <w:rsid w:val="008C64B7"/>
    <w:rsid w:val="008C66A5"/>
    <w:rsid w:val="008C6BE5"/>
    <w:rsid w:val="008C6C9A"/>
    <w:rsid w:val="008C6D78"/>
    <w:rsid w:val="008C6FAC"/>
    <w:rsid w:val="008C6FE8"/>
    <w:rsid w:val="008C701E"/>
    <w:rsid w:val="008C70D5"/>
    <w:rsid w:val="008C729E"/>
    <w:rsid w:val="008C75AA"/>
    <w:rsid w:val="008C7A05"/>
    <w:rsid w:val="008C7CD3"/>
    <w:rsid w:val="008C7E52"/>
    <w:rsid w:val="008D051C"/>
    <w:rsid w:val="008D0612"/>
    <w:rsid w:val="008D06D9"/>
    <w:rsid w:val="008D0B93"/>
    <w:rsid w:val="008D0E59"/>
    <w:rsid w:val="008D0F9B"/>
    <w:rsid w:val="008D11F3"/>
    <w:rsid w:val="008D1676"/>
    <w:rsid w:val="008D1682"/>
    <w:rsid w:val="008D16E0"/>
    <w:rsid w:val="008D17D7"/>
    <w:rsid w:val="008D1916"/>
    <w:rsid w:val="008D1A88"/>
    <w:rsid w:val="008D1B64"/>
    <w:rsid w:val="008D1C45"/>
    <w:rsid w:val="008D1CB8"/>
    <w:rsid w:val="008D1D2F"/>
    <w:rsid w:val="008D257A"/>
    <w:rsid w:val="008D2F66"/>
    <w:rsid w:val="008D31D5"/>
    <w:rsid w:val="008D3294"/>
    <w:rsid w:val="008D32C5"/>
    <w:rsid w:val="008D33E2"/>
    <w:rsid w:val="008D34EA"/>
    <w:rsid w:val="008D354E"/>
    <w:rsid w:val="008D35B9"/>
    <w:rsid w:val="008D3623"/>
    <w:rsid w:val="008D3705"/>
    <w:rsid w:val="008D3A05"/>
    <w:rsid w:val="008D3AA0"/>
    <w:rsid w:val="008D3ED6"/>
    <w:rsid w:val="008D40B6"/>
    <w:rsid w:val="008D4162"/>
    <w:rsid w:val="008D4203"/>
    <w:rsid w:val="008D42FC"/>
    <w:rsid w:val="008D4382"/>
    <w:rsid w:val="008D4524"/>
    <w:rsid w:val="008D492F"/>
    <w:rsid w:val="008D4E54"/>
    <w:rsid w:val="008D5112"/>
    <w:rsid w:val="008D5185"/>
    <w:rsid w:val="008D54E5"/>
    <w:rsid w:val="008D5585"/>
    <w:rsid w:val="008D5A54"/>
    <w:rsid w:val="008D5B2F"/>
    <w:rsid w:val="008D5D81"/>
    <w:rsid w:val="008D5EEA"/>
    <w:rsid w:val="008D61B3"/>
    <w:rsid w:val="008D6376"/>
    <w:rsid w:val="008D6383"/>
    <w:rsid w:val="008D647B"/>
    <w:rsid w:val="008D664F"/>
    <w:rsid w:val="008D674C"/>
    <w:rsid w:val="008D68DA"/>
    <w:rsid w:val="008D6918"/>
    <w:rsid w:val="008D6B25"/>
    <w:rsid w:val="008D6D25"/>
    <w:rsid w:val="008D6E29"/>
    <w:rsid w:val="008D71D8"/>
    <w:rsid w:val="008D7617"/>
    <w:rsid w:val="008D7957"/>
    <w:rsid w:val="008D7CD7"/>
    <w:rsid w:val="008D7E3A"/>
    <w:rsid w:val="008D7E56"/>
    <w:rsid w:val="008E0255"/>
    <w:rsid w:val="008E048E"/>
    <w:rsid w:val="008E04A4"/>
    <w:rsid w:val="008E04C7"/>
    <w:rsid w:val="008E0673"/>
    <w:rsid w:val="008E07C2"/>
    <w:rsid w:val="008E0A89"/>
    <w:rsid w:val="008E0D33"/>
    <w:rsid w:val="008E0F86"/>
    <w:rsid w:val="008E14CD"/>
    <w:rsid w:val="008E1577"/>
    <w:rsid w:val="008E1647"/>
    <w:rsid w:val="008E19BC"/>
    <w:rsid w:val="008E1BC4"/>
    <w:rsid w:val="008E1C05"/>
    <w:rsid w:val="008E1F95"/>
    <w:rsid w:val="008E2060"/>
    <w:rsid w:val="008E24DB"/>
    <w:rsid w:val="008E2615"/>
    <w:rsid w:val="008E2704"/>
    <w:rsid w:val="008E2E4C"/>
    <w:rsid w:val="008E3304"/>
    <w:rsid w:val="008E3475"/>
    <w:rsid w:val="008E349E"/>
    <w:rsid w:val="008E357E"/>
    <w:rsid w:val="008E3769"/>
    <w:rsid w:val="008E3AA6"/>
    <w:rsid w:val="008E3B00"/>
    <w:rsid w:val="008E4351"/>
    <w:rsid w:val="008E452B"/>
    <w:rsid w:val="008E4A5D"/>
    <w:rsid w:val="008E4AED"/>
    <w:rsid w:val="008E4C58"/>
    <w:rsid w:val="008E4C89"/>
    <w:rsid w:val="008E4CD5"/>
    <w:rsid w:val="008E4F3B"/>
    <w:rsid w:val="008E504A"/>
    <w:rsid w:val="008E5111"/>
    <w:rsid w:val="008E51AF"/>
    <w:rsid w:val="008E5237"/>
    <w:rsid w:val="008E548A"/>
    <w:rsid w:val="008E57E9"/>
    <w:rsid w:val="008E58A8"/>
    <w:rsid w:val="008E58C3"/>
    <w:rsid w:val="008E5B1F"/>
    <w:rsid w:val="008E5C72"/>
    <w:rsid w:val="008E5D76"/>
    <w:rsid w:val="008E5DC1"/>
    <w:rsid w:val="008E5E74"/>
    <w:rsid w:val="008E60E0"/>
    <w:rsid w:val="008E649C"/>
    <w:rsid w:val="008E659B"/>
    <w:rsid w:val="008E65C7"/>
    <w:rsid w:val="008E674F"/>
    <w:rsid w:val="008E6AA8"/>
    <w:rsid w:val="008E6EAF"/>
    <w:rsid w:val="008E707E"/>
    <w:rsid w:val="008E70B7"/>
    <w:rsid w:val="008E72DA"/>
    <w:rsid w:val="008E74A2"/>
    <w:rsid w:val="008E7569"/>
    <w:rsid w:val="008E7C0A"/>
    <w:rsid w:val="008E7C33"/>
    <w:rsid w:val="008F00CC"/>
    <w:rsid w:val="008F01E9"/>
    <w:rsid w:val="008F0584"/>
    <w:rsid w:val="008F0694"/>
    <w:rsid w:val="008F1140"/>
    <w:rsid w:val="008F1797"/>
    <w:rsid w:val="008F17C9"/>
    <w:rsid w:val="008F19B3"/>
    <w:rsid w:val="008F1DFA"/>
    <w:rsid w:val="008F1EBD"/>
    <w:rsid w:val="008F20BB"/>
    <w:rsid w:val="008F219F"/>
    <w:rsid w:val="008F24BB"/>
    <w:rsid w:val="008F262A"/>
    <w:rsid w:val="008F29E7"/>
    <w:rsid w:val="008F2A7C"/>
    <w:rsid w:val="008F2AEA"/>
    <w:rsid w:val="008F2D2B"/>
    <w:rsid w:val="008F2FBF"/>
    <w:rsid w:val="008F3203"/>
    <w:rsid w:val="008F3206"/>
    <w:rsid w:val="008F35BE"/>
    <w:rsid w:val="008F38C8"/>
    <w:rsid w:val="008F39A8"/>
    <w:rsid w:val="008F3BAA"/>
    <w:rsid w:val="008F3DA5"/>
    <w:rsid w:val="008F3E5A"/>
    <w:rsid w:val="008F3E90"/>
    <w:rsid w:val="008F3F22"/>
    <w:rsid w:val="008F4105"/>
    <w:rsid w:val="008F435F"/>
    <w:rsid w:val="008F4694"/>
    <w:rsid w:val="008F4796"/>
    <w:rsid w:val="008F4B82"/>
    <w:rsid w:val="008F4E7C"/>
    <w:rsid w:val="008F4EF6"/>
    <w:rsid w:val="008F52C5"/>
    <w:rsid w:val="008F548E"/>
    <w:rsid w:val="008F56F9"/>
    <w:rsid w:val="008F58D7"/>
    <w:rsid w:val="008F5AA2"/>
    <w:rsid w:val="008F5E00"/>
    <w:rsid w:val="008F5F96"/>
    <w:rsid w:val="008F5FC2"/>
    <w:rsid w:val="008F6208"/>
    <w:rsid w:val="008F62D2"/>
    <w:rsid w:val="008F645C"/>
    <w:rsid w:val="008F6554"/>
    <w:rsid w:val="008F6622"/>
    <w:rsid w:val="008F68BC"/>
    <w:rsid w:val="008F6DEC"/>
    <w:rsid w:val="008F6E4E"/>
    <w:rsid w:val="008F6E6F"/>
    <w:rsid w:val="008F6E7F"/>
    <w:rsid w:val="008F73F3"/>
    <w:rsid w:val="008F7645"/>
    <w:rsid w:val="008F7681"/>
    <w:rsid w:val="008F78FF"/>
    <w:rsid w:val="008F7A2B"/>
    <w:rsid w:val="008F7A9C"/>
    <w:rsid w:val="008F7ADF"/>
    <w:rsid w:val="008F7E85"/>
    <w:rsid w:val="00900402"/>
    <w:rsid w:val="009006A6"/>
    <w:rsid w:val="00900AC9"/>
    <w:rsid w:val="0090106D"/>
    <w:rsid w:val="009013BA"/>
    <w:rsid w:val="009015FF"/>
    <w:rsid w:val="009016D7"/>
    <w:rsid w:val="009017F0"/>
    <w:rsid w:val="00901819"/>
    <w:rsid w:val="00901B0C"/>
    <w:rsid w:val="00901B31"/>
    <w:rsid w:val="00901C7F"/>
    <w:rsid w:val="0090271E"/>
    <w:rsid w:val="00902BB4"/>
    <w:rsid w:val="00902C05"/>
    <w:rsid w:val="00902CE6"/>
    <w:rsid w:val="00902DA8"/>
    <w:rsid w:val="00902FE4"/>
    <w:rsid w:val="009033E2"/>
    <w:rsid w:val="00903404"/>
    <w:rsid w:val="0090340D"/>
    <w:rsid w:val="00903587"/>
    <w:rsid w:val="00903601"/>
    <w:rsid w:val="009036C0"/>
    <w:rsid w:val="0090382C"/>
    <w:rsid w:val="00903996"/>
    <w:rsid w:val="00903AAD"/>
    <w:rsid w:val="00903AC3"/>
    <w:rsid w:val="00903C70"/>
    <w:rsid w:val="00903FA6"/>
    <w:rsid w:val="0090412E"/>
    <w:rsid w:val="009042C5"/>
    <w:rsid w:val="00904536"/>
    <w:rsid w:val="0090463E"/>
    <w:rsid w:val="0090478A"/>
    <w:rsid w:val="00904ACE"/>
    <w:rsid w:val="00904DE8"/>
    <w:rsid w:val="00904E37"/>
    <w:rsid w:val="00904F6B"/>
    <w:rsid w:val="00904FD3"/>
    <w:rsid w:val="00905004"/>
    <w:rsid w:val="00905415"/>
    <w:rsid w:val="0090572F"/>
    <w:rsid w:val="00905813"/>
    <w:rsid w:val="0090595E"/>
    <w:rsid w:val="00905D0B"/>
    <w:rsid w:val="00905DA6"/>
    <w:rsid w:val="00905E01"/>
    <w:rsid w:val="0090601C"/>
    <w:rsid w:val="00906480"/>
    <w:rsid w:val="00906737"/>
    <w:rsid w:val="009068D2"/>
    <w:rsid w:val="0090697B"/>
    <w:rsid w:val="0090697E"/>
    <w:rsid w:val="00906DA7"/>
    <w:rsid w:val="00907242"/>
    <w:rsid w:val="009076C4"/>
    <w:rsid w:val="009076D6"/>
    <w:rsid w:val="009078AA"/>
    <w:rsid w:val="00907D4D"/>
    <w:rsid w:val="00907EE2"/>
    <w:rsid w:val="009102A7"/>
    <w:rsid w:val="00910543"/>
    <w:rsid w:val="00910629"/>
    <w:rsid w:val="0091079F"/>
    <w:rsid w:val="00910958"/>
    <w:rsid w:val="00910CEF"/>
    <w:rsid w:val="00910D64"/>
    <w:rsid w:val="009110A7"/>
    <w:rsid w:val="00911748"/>
    <w:rsid w:val="00911828"/>
    <w:rsid w:val="00911871"/>
    <w:rsid w:val="00911C4E"/>
    <w:rsid w:val="00911CE2"/>
    <w:rsid w:val="00911D86"/>
    <w:rsid w:val="0091230F"/>
    <w:rsid w:val="009126A5"/>
    <w:rsid w:val="00912975"/>
    <w:rsid w:val="00912CC0"/>
    <w:rsid w:val="00912D25"/>
    <w:rsid w:val="00913259"/>
    <w:rsid w:val="009133FC"/>
    <w:rsid w:val="00913B30"/>
    <w:rsid w:val="00913B3B"/>
    <w:rsid w:val="00913C9A"/>
    <w:rsid w:val="00913CAE"/>
    <w:rsid w:val="00913D13"/>
    <w:rsid w:val="00913D40"/>
    <w:rsid w:val="00913F0F"/>
    <w:rsid w:val="00914113"/>
    <w:rsid w:val="009144B5"/>
    <w:rsid w:val="009145BB"/>
    <w:rsid w:val="009145E3"/>
    <w:rsid w:val="009146F6"/>
    <w:rsid w:val="00914829"/>
    <w:rsid w:val="00914AD8"/>
    <w:rsid w:val="00914D50"/>
    <w:rsid w:val="00914DD9"/>
    <w:rsid w:val="00914E3B"/>
    <w:rsid w:val="00914E66"/>
    <w:rsid w:val="0091513D"/>
    <w:rsid w:val="00915466"/>
    <w:rsid w:val="009155D5"/>
    <w:rsid w:val="00915863"/>
    <w:rsid w:val="009159FC"/>
    <w:rsid w:val="00915F18"/>
    <w:rsid w:val="009161E1"/>
    <w:rsid w:val="0091634F"/>
    <w:rsid w:val="009166F3"/>
    <w:rsid w:val="00916774"/>
    <w:rsid w:val="009167DE"/>
    <w:rsid w:val="009169CA"/>
    <w:rsid w:val="00916CE5"/>
    <w:rsid w:val="00916DF5"/>
    <w:rsid w:val="00916ED7"/>
    <w:rsid w:val="00916F9B"/>
    <w:rsid w:val="0091730A"/>
    <w:rsid w:val="009173AB"/>
    <w:rsid w:val="009173D5"/>
    <w:rsid w:val="00917648"/>
    <w:rsid w:val="0091776F"/>
    <w:rsid w:val="00917809"/>
    <w:rsid w:val="00917898"/>
    <w:rsid w:val="00917B78"/>
    <w:rsid w:val="00917BBF"/>
    <w:rsid w:val="00917C09"/>
    <w:rsid w:val="00917DE9"/>
    <w:rsid w:val="00917F32"/>
    <w:rsid w:val="00917FEE"/>
    <w:rsid w:val="0092062C"/>
    <w:rsid w:val="00920706"/>
    <w:rsid w:val="009207B2"/>
    <w:rsid w:val="009209D9"/>
    <w:rsid w:val="00920C1E"/>
    <w:rsid w:val="00920DD7"/>
    <w:rsid w:val="009212B3"/>
    <w:rsid w:val="009217B2"/>
    <w:rsid w:val="00921B41"/>
    <w:rsid w:val="00921BB6"/>
    <w:rsid w:val="00921EE5"/>
    <w:rsid w:val="009220A9"/>
    <w:rsid w:val="009223C5"/>
    <w:rsid w:val="009223F5"/>
    <w:rsid w:val="009224CA"/>
    <w:rsid w:val="0092291A"/>
    <w:rsid w:val="0092294D"/>
    <w:rsid w:val="0092295A"/>
    <w:rsid w:val="009229C6"/>
    <w:rsid w:val="00922A45"/>
    <w:rsid w:val="00922E70"/>
    <w:rsid w:val="00922FA5"/>
    <w:rsid w:val="00923043"/>
    <w:rsid w:val="00923848"/>
    <w:rsid w:val="009239BC"/>
    <w:rsid w:val="009240B0"/>
    <w:rsid w:val="009242BB"/>
    <w:rsid w:val="00924300"/>
    <w:rsid w:val="0092432E"/>
    <w:rsid w:val="009243B1"/>
    <w:rsid w:val="009243E0"/>
    <w:rsid w:val="00924F07"/>
    <w:rsid w:val="00924F31"/>
    <w:rsid w:val="00925452"/>
    <w:rsid w:val="00925963"/>
    <w:rsid w:val="00925B02"/>
    <w:rsid w:val="00925D8B"/>
    <w:rsid w:val="009260D3"/>
    <w:rsid w:val="009262B3"/>
    <w:rsid w:val="00926789"/>
    <w:rsid w:val="00926E36"/>
    <w:rsid w:val="00926E69"/>
    <w:rsid w:val="009272D3"/>
    <w:rsid w:val="0092743C"/>
    <w:rsid w:val="00927739"/>
    <w:rsid w:val="009277BC"/>
    <w:rsid w:val="00927CEA"/>
    <w:rsid w:val="00927F1B"/>
    <w:rsid w:val="00927F43"/>
    <w:rsid w:val="00930112"/>
    <w:rsid w:val="00930144"/>
    <w:rsid w:val="009301BE"/>
    <w:rsid w:val="00930362"/>
    <w:rsid w:val="009306E2"/>
    <w:rsid w:val="009309BE"/>
    <w:rsid w:val="00930EF7"/>
    <w:rsid w:val="00930F68"/>
    <w:rsid w:val="009311F4"/>
    <w:rsid w:val="0093125C"/>
    <w:rsid w:val="0093138B"/>
    <w:rsid w:val="0093140F"/>
    <w:rsid w:val="00931430"/>
    <w:rsid w:val="009314BE"/>
    <w:rsid w:val="009317B8"/>
    <w:rsid w:val="009317F7"/>
    <w:rsid w:val="00931EFC"/>
    <w:rsid w:val="00931FF1"/>
    <w:rsid w:val="009321AC"/>
    <w:rsid w:val="0093228E"/>
    <w:rsid w:val="00932370"/>
    <w:rsid w:val="00932563"/>
    <w:rsid w:val="00932808"/>
    <w:rsid w:val="00932BDF"/>
    <w:rsid w:val="00932DBE"/>
    <w:rsid w:val="00932E06"/>
    <w:rsid w:val="00932F67"/>
    <w:rsid w:val="0093358B"/>
    <w:rsid w:val="00933AEC"/>
    <w:rsid w:val="00933B33"/>
    <w:rsid w:val="00933C2B"/>
    <w:rsid w:val="00933FCE"/>
    <w:rsid w:val="00934881"/>
    <w:rsid w:val="00934A79"/>
    <w:rsid w:val="00934CF4"/>
    <w:rsid w:val="00934DA7"/>
    <w:rsid w:val="00934EFC"/>
    <w:rsid w:val="0093511B"/>
    <w:rsid w:val="0093538E"/>
    <w:rsid w:val="00935470"/>
    <w:rsid w:val="00935854"/>
    <w:rsid w:val="00935965"/>
    <w:rsid w:val="00935AF8"/>
    <w:rsid w:val="00935DCF"/>
    <w:rsid w:val="0093601B"/>
    <w:rsid w:val="009360D6"/>
    <w:rsid w:val="009360EA"/>
    <w:rsid w:val="00936209"/>
    <w:rsid w:val="00936282"/>
    <w:rsid w:val="009364BB"/>
    <w:rsid w:val="00936505"/>
    <w:rsid w:val="00936510"/>
    <w:rsid w:val="00937504"/>
    <w:rsid w:val="00937564"/>
    <w:rsid w:val="0093770B"/>
    <w:rsid w:val="009379CC"/>
    <w:rsid w:val="00937F7F"/>
    <w:rsid w:val="009402D7"/>
    <w:rsid w:val="00940321"/>
    <w:rsid w:val="009403B8"/>
    <w:rsid w:val="009403F7"/>
    <w:rsid w:val="0094046D"/>
    <w:rsid w:val="009407E5"/>
    <w:rsid w:val="009407E9"/>
    <w:rsid w:val="0094090B"/>
    <w:rsid w:val="00940959"/>
    <w:rsid w:val="00940DE3"/>
    <w:rsid w:val="00940DFF"/>
    <w:rsid w:val="00941336"/>
    <w:rsid w:val="00941455"/>
    <w:rsid w:val="009415A7"/>
    <w:rsid w:val="009416FD"/>
    <w:rsid w:val="009417EA"/>
    <w:rsid w:val="00941991"/>
    <w:rsid w:val="00941A67"/>
    <w:rsid w:val="00941AB9"/>
    <w:rsid w:val="00941AD5"/>
    <w:rsid w:val="00941D86"/>
    <w:rsid w:val="0094201D"/>
    <w:rsid w:val="00942106"/>
    <w:rsid w:val="00942176"/>
    <w:rsid w:val="009421AE"/>
    <w:rsid w:val="00942382"/>
    <w:rsid w:val="009423A5"/>
    <w:rsid w:val="009424C5"/>
    <w:rsid w:val="00942FDF"/>
    <w:rsid w:val="0094313C"/>
    <w:rsid w:val="00943374"/>
    <w:rsid w:val="00943660"/>
    <w:rsid w:val="00943970"/>
    <w:rsid w:val="00943A57"/>
    <w:rsid w:val="00943BAE"/>
    <w:rsid w:val="00943E43"/>
    <w:rsid w:val="00943FBB"/>
    <w:rsid w:val="00944200"/>
    <w:rsid w:val="009443CD"/>
    <w:rsid w:val="009444F8"/>
    <w:rsid w:val="00944570"/>
    <w:rsid w:val="00944A19"/>
    <w:rsid w:val="00944A96"/>
    <w:rsid w:val="00944EAD"/>
    <w:rsid w:val="00945476"/>
    <w:rsid w:val="00945A5B"/>
    <w:rsid w:val="00945BA2"/>
    <w:rsid w:val="00945E92"/>
    <w:rsid w:val="009461F1"/>
    <w:rsid w:val="0094636B"/>
    <w:rsid w:val="009463E1"/>
    <w:rsid w:val="009466EE"/>
    <w:rsid w:val="00946971"/>
    <w:rsid w:val="0094698E"/>
    <w:rsid w:val="00947108"/>
    <w:rsid w:val="00947875"/>
    <w:rsid w:val="009478B4"/>
    <w:rsid w:val="00947A61"/>
    <w:rsid w:val="00947AD3"/>
    <w:rsid w:val="00947EB6"/>
    <w:rsid w:val="00947F39"/>
    <w:rsid w:val="0095011E"/>
    <w:rsid w:val="00950651"/>
    <w:rsid w:val="009509A5"/>
    <w:rsid w:val="00950BB3"/>
    <w:rsid w:val="00950DB5"/>
    <w:rsid w:val="00950E8D"/>
    <w:rsid w:val="00951084"/>
    <w:rsid w:val="009511A3"/>
    <w:rsid w:val="00951320"/>
    <w:rsid w:val="0095136F"/>
    <w:rsid w:val="009517D3"/>
    <w:rsid w:val="00951870"/>
    <w:rsid w:val="00951A28"/>
    <w:rsid w:val="00951B08"/>
    <w:rsid w:val="00951B64"/>
    <w:rsid w:val="00951E2E"/>
    <w:rsid w:val="00951EA3"/>
    <w:rsid w:val="00952067"/>
    <w:rsid w:val="0095214F"/>
    <w:rsid w:val="009521B1"/>
    <w:rsid w:val="00952200"/>
    <w:rsid w:val="009524F8"/>
    <w:rsid w:val="00952730"/>
    <w:rsid w:val="009528B0"/>
    <w:rsid w:val="00952B0B"/>
    <w:rsid w:val="00952B19"/>
    <w:rsid w:val="00952B8D"/>
    <w:rsid w:val="00952F0E"/>
    <w:rsid w:val="00953315"/>
    <w:rsid w:val="0095335E"/>
    <w:rsid w:val="0095338F"/>
    <w:rsid w:val="009534B0"/>
    <w:rsid w:val="009535C2"/>
    <w:rsid w:val="009540A7"/>
    <w:rsid w:val="00954715"/>
    <w:rsid w:val="00954D67"/>
    <w:rsid w:val="0095516F"/>
    <w:rsid w:val="0095526B"/>
    <w:rsid w:val="00955452"/>
    <w:rsid w:val="00955733"/>
    <w:rsid w:val="00955861"/>
    <w:rsid w:val="0095590B"/>
    <w:rsid w:val="00955A51"/>
    <w:rsid w:val="00955A7A"/>
    <w:rsid w:val="00955D69"/>
    <w:rsid w:val="0095640C"/>
    <w:rsid w:val="009564FA"/>
    <w:rsid w:val="009565A9"/>
    <w:rsid w:val="0095662E"/>
    <w:rsid w:val="00956694"/>
    <w:rsid w:val="00956A4C"/>
    <w:rsid w:val="00956B9C"/>
    <w:rsid w:val="00956DAA"/>
    <w:rsid w:val="00956E56"/>
    <w:rsid w:val="00956FE5"/>
    <w:rsid w:val="009573E8"/>
    <w:rsid w:val="009575E1"/>
    <w:rsid w:val="009576CF"/>
    <w:rsid w:val="00957809"/>
    <w:rsid w:val="00957871"/>
    <w:rsid w:val="00957902"/>
    <w:rsid w:val="00957A32"/>
    <w:rsid w:val="00957C1D"/>
    <w:rsid w:val="00957D01"/>
    <w:rsid w:val="00957D4D"/>
    <w:rsid w:val="009601DF"/>
    <w:rsid w:val="00960401"/>
    <w:rsid w:val="0096051B"/>
    <w:rsid w:val="00960727"/>
    <w:rsid w:val="00960768"/>
    <w:rsid w:val="00960A0B"/>
    <w:rsid w:val="00960BC7"/>
    <w:rsid w:val="009610D8"/>
    <w:rsid w:val="00961265"/>
    <w:rsid w:val="00961410"/>
    <w:rsid w:val="00961605"/>
    <w:rsid w:val="00961757"/>
    <w:rsid w:val="009617CD"/>
    <w:rsid w:val="00961993"/>
    <w:rsid w:val="00961B20"/>
    <w:rsid w:val="00961BB6"/>
    <w:rsid w:val="00961E08"/>
    <w:rsid w:val="00962129"/>
    <w:rsid w:val="009621BB"/>
    <w:rsid w:val="00962342"/>
    <w:rsid w:val="0096247E"/>
    <w:rsid w:val="009624D2"/>
    <w:rsid w:val="0096272E"/>
    <w:rsid w:val="00962744"/>
    <w:rsid w:val="00962883"/>
    <w:rsid w:val="009628B9"/>
    <w:rsid w:val="00962B7D"/>
    <w:rsid w:val="00962C13"/>
    <w:rsid w:val="00962CA6"/>
    <w:rsid w:val="009630DC"/>
    <w:rsid w:val="009632C9"/>
    <w:rsid w:val="0096334B"/>
    <w:rsid w:val="0096365C"/>
    <w:rsid w:val="00963A2B"/>
    <w:rsid w:val="00963B0D"/>
    <w:rsid w:val="0096428C"/>
    <w:rsid w:val="009644A1"/>
    <w:rsid w:val="00964625"/>
    <w:rsid w:val="00964A77"/>
    <w:rsid w:val="009650F2"/>
    <w:rsid w:val="00965156"/>
    <w:rsid w:val="009651C5"/>
    <w:rsid w:val="00965B3F"/>
    <w:rsid w:val="00965C94"/>
    <w:rsid w:val="00965DB7"/>
    <w:rsid w:val="00965E69"/>
    <w:rsid w:val="00965FAA"/>
    <w:rsid w:val="009662D9"/>
    <w:rsid w:val="0096636F"/>
    <w:rsid w:val="0096640C"/>
    <w:rsid w:val="009664FE"/>
    <w:rsid w:val="0096652C"/>
    <w:rsid w:val="009665EC"/>
    <w:rsid w:val="009667EE"/>
    <w:rsid w:val="00966A31"/>
    <w:rsid w:val="00966D0A"/>
    <w:rsid w:val="00966D36"/>
    <w:rsid w:val="00966D85"/>
    <w:rsid w:val="00966F51"/>
    <w:rsid w:val="0096710B"/>
    <w:rsid w:val="00967167"/>
    <w:rsid w:val="009671FF"/>
    <w:rsid w:val="0096725D"/>
    <w:rsid w:val="0096754D"/>
    <w:rsid w:val="009675D1"/>
    <w:rsid w:val="0096789D"/>
    <w:rsid w:val="00967B84"/>
    <w:rsid w:val="00967EFF"/>
    <w:rsid w:val="009700D6"/>
    <w:rsid w:val="0097018C"/>
    <w:rsid w:val="009702BA"/>
    <w:rsid w:val="0097070B"/>
    <w:rsid w:val="00970D63"/>
    <w:rsid w:val="00970F62"/>
    <w:rsid w:val="0097115A"/>
    <w:rsid w:val="0097194F"/>
    <w:rsid w:val="00971A21"/>
    <w:rsid w:val="00971C29"/>
    <w:rsid w:val="00971C32"/>
    <w:rsid w:val="00971C65"/>
    <w:rsid w:val="00971CC9"/>
    <w:rsid w:val="00971EB6"/>
    <w:rsid w:val="009720B6"/>
    <w:rsid w:val="009721ED"/>
    <w:rsid w:val="0097225E"/>
    <w:rsid w:val="00972380"/>
    <w:rsid w:val="0097249D"/>
    <w:rsid w:val="0097258F"/>
    <w:rsid w:val="00972992"/>
    <w:rsid w:val="009729B1"/>
    <w:rsid w:val="0097303B"/>
    <w:rsid w:val="0097316B"/>
    <w:rsid w:val="0097334C"/>
    <w:rsid w:val="009734B8"/>
    <w:rsid w:val="0097354A"/>
    <w:rsid w:val="00973702"/>
    <w:rsid w:val="0097397B"/>
    <w:rsid w:val="00973A6D"/>
    <w:rsid w:val="00973B5F"/>
    <w:rsid w:val="00973C15"/>
    <w:rsid w:val="00973DA8"/>
    <w:rsid w:val="00973F03"/>
    <w:rsid w:val="00973FD5"/>
    <w:rsid w:val="00974033"/>
    <w:rsid w:val="0097423D"/>
    <w:rsid w:val="009742FC"/>
    <w:rsid w:val="00974337"/>
    <w:rsid w:val="009745DC"/>
    <w:rsid w:val="00974613"/>
    <w:rsid w:val="009748F9"/>
    <w:rsid w:val="00974A90"/>
    <w:rsid w:val="00974D82"/>
    <w:rsid w:val="00974FAA"/>
    <w:rsid w:val="00975120"/>
    <w:rsid w:val="009757FE"/>
    <w:rsid w:val="00975B73"/>
    <w:rsid w:val="00975D94"/>
    <w:rsid w:val="00975F3B"/>
    <w:rsid w:val="0097608B"/>
    <w:rsid w:val="00976601"/>
    <w:rsid w:val="00976861"/>
    <w:rsid w:val="009768CD"/>
    <w:rsid w:val="009769D8"/>
    <w:rsid w:val="00976A67"/>
    <w:rsid w:val="00976BBC"/>
    <w:rsid w:val="00976E3E"/>
    <w:rsid w:val="00976E82"/>
    <w:rsid w:val="00977069"/>
    <w:rsid w:val="00977184"/>
    <w:rsid w:val="0097718F"/>
    <w:rsid w:val="0097764B"/>
    <w:rsid w:val="009776BB"/>
    <w:rsid w:val="00977813"/>
    <w:rsid w:val="009779B1"/>
    <w:rsid w:val="00977B2F"/>
    <w:rsid w:val="00977D00"/>
    <w:rsid w:val="00977DF6"/>
    <w:rsid w:val="00977F8B"/>
    <w:rsid w:val="0098010F"/>
    <w:rsid w:val="009802C9"/>
    <w:rsid w:val="009803DB"/>
    <w:rsid w:val="0098040B"/>
    <w:rsid w:val="00980521"/>
    <w:rsid w:val="00980626"/>
    <w:rsid w:val="0098098E"/>
    <w:rsid w:val="00980B57"/>
    <w:rsid w:val="00980B6A"/>
    <w:rsid w:val="009811A8"/>
    <w:rsid w:val="0098127B"/>
    <w:rsid w:val="00981568"/>
    <w:rsid w:val="0098157F"/>
    <w:rsid w:val="00981726"/>
    <w:rsid w:val="00981B50"/>
    <w:rsid w:val="00981BFD"/>
    <w:rsid w:val="00981C0E"/>
    <w:rsid w:val="00981CED"/>
    <w:rsid w:val="00981E21"/>
    <w:rsid w:val="00981E7D"/>
    <w:rsid w:val="00981F30"/>
    <w:rsid w:val="0098202B"/>
    <w:rsid w:val="009821E1"/>
    <w:rsid w:val="00982427"/>
    <w:rsid w:val="0098259A"/>
    <w:rsid w:val="00982853"/>
    <w:rsid w:val="00982D90"/>
    <w:rsid w:val="0098308D"/>
    <w:rsid w:val="00983223"/>
    <w:rsid w:val="0098333A"/>
    <w:rsid w:val="00983559"/>
    <w:rsid w:val="009836EA"/>
    <w:rsid w:val="00983709"/>
    <w:rsid w:val="009837BD"/>
    <w:rsid w:val="009839A5"/>
    <w:rsid w:val="00983E12"/>
    <w:rsid w:val="00984407"/>
    <w:rsid w:val="00984A88"/>
    <w:rsid w:val="00984C25"/>
    <w:rsid w:val="00984C6A"/>
    <w:rsid w:val="00984D56"/>
    <w:rsid w:val="00984EED"/>
    <w:rsid w:val="00984F0F"/>
    <w:rsid w:val="0098545B"/>
    <w:rsid w:val="009857D7"/>
    <w:rsid w:val="00985822"/>
    <w:rsid w:val="0098589B"/>
    <w:rsid w:val="00985ABF"/>
    <w:rsid w:val="00985B3D"/>
    <w:rsid w:val="00985C7B"/>
    <w:rsid w:val="00985CC0"/>
    <w:rsid w:val="009860E6"/>
    <w:rsid w:val="00986134"/>
    <w:rsid w:val="009861E2"/>
    <w:rsid w:val="009862A8"/>
    <w:rsid w:val="009867BD"/>
    <w:rsid w:val="009868FE"/>
    <w:rsid w:val="00986B89"/>
    <w:rsid w:val="00986E3E"/>
    <w:rsid w:val="009870E4"/>
    <w:rsid w:val="00987553"/>
    <w:rsid w:val="009879C5"/>
    <w:rsid w:val="00987AFF"/>
    <w:rsid w:val="00987DE4"/>
    <w:rsid w:val="00987ED7"/>
    <w:rsid w:val="009901B5"/>
    <w:rsid w:val="009902D1"/>
    <w:rsid w:val="00990534"/>
    <w:rsid w:val="00990909"/>
    <w:rsid w:val="00990B13"/>
    <w:rsid w:val="00991077"/>
    <w:rsid w:val="009912BF"/>
    <w:rsid w:val="00991685"/>
    <w:rsid w:val="009916B5"/>
    <w:rsid w:val="00991D20"/>
    <w:rsid w:val="00991ED9"/>
    <w:rsid w:val="0099250A"/>
    <w:rsid w:val="00992675"/>
    <w:rsid w:val="0099267E"/>
    <w:rsid w:val="009926E0"/>
    <w:rsid w:val="0099271E"/>
    <w:rsid w:val="009927FA"/>
    <w:rsid w:val="00992BBE"/>
    <w:rsid w:val="00992C1D"/>
    <w:rsid w:val="00992C99"/>
    <w:rsid w:val="00992D68"/>
    <w:rsid w:val="00992E50"/>
    <w:rsid w:val="00992FA6"/>
    <w:rsid w:val="00993364"/>
    <w:rsid w:val="009934E5"/>
    <w:rsid w:val="009934FB"/>
    <w:rsid w:val="0099351E"/>
    <w:rsid w:val="00993687"/>
    <w:rsid w:val="00993BB7"/>
    <w:rsid w:val="00993DED"/>
    <w:rsid w:val="00993F11"/>
    <w:rsid w:val="009940E2"/>
    <w:rsid w:val="009942A6"/>
    <w:rsid w:val="009942BA"/>
    <w:rsid w:val="00994AD0"/>
    <w:rsid w:val="009954BA"/>
    <w:rsid w:val="009956C4"/>
    <w:rsid w:val="009959D6"/>
    <w:rsid w:val="00995A11"/>
    <w:rsid w:val="00995AA6"/>
    <w:rsid w:val="00995ABB"/>
    <w:rsid w:val="00995AEC"/>
    <w:rsid w:val="00995C4A"/>
    <w:rsid w:val="00995D36"/>
    <w:rsid w:val="00995DE0"/>
    <w:rsid w:val="00995EB0"/>
    <w:rsid w:val="00995F58"/>
    <w:rsid w:val="009961A4"/>
    <w:rsid w:val="009962C7"/>
    <w:rsid w:val="009964DF"/>
    <w:rsid w:val="00996505"/>
    <w:rsid w:val="009967F2"/>
    <w:rsid w:val="009969AF"/>
    <w:rsid w:val="00996D7F"/>
    <w:rsid w:val="00996E61"/>
    <w:rsid w:val="00996E6E"/>
    <w:rsid w:val="00996EF1"/>
    <w:rsid w:val="00996F79"/>
    <w:rsid w:val="00997790"/>
    <w:rsid w:val="00997C25"/>
    <w:rsid w:val="00997CD0"/>
    <w:rsid w:val="00997D67"/>
    <w:rsid w:val="00997EA3"/>
    <w:rsid w:val="009A0069"/>
    <w:rsid w:val="009A0123"/>
    <w:rsid w:val="009A07E2"/>
    <w:rsid w:val="009A0878"/>
    <w:rsid w:val="009A0B75"/>
    <w:rsid w:val="009A0D89"/>
    <w:rsid w:val="009A0F03"/>
    <w:rsid w:val="009A0F25"/>
    <w:rsid w:val="009A0F43"/>
    <w:rsid w:val="009A107B"/>
    <w:rsid w:val="009A1307"/>
    <w:rsid w:val="009A137C"/>
    <w:rsid w:val="009A150D"/>
    <w:rsid w:val="009A15EC"/>
    <w:rsid w:val="009A178C"/>
    <w:rsid w:val="009A17FA"/>
    <w:rsid w:val="009A1850"/>
    <w:rsid w:val="009A1DEA"/>
    <w:rsid w:val="009A2043"/>
    <w:rsid w:val="009A2169"/>
    <w:rsid w:val="009A22C4"/>
    <w:rsid w:val="009A26A0"/>
    <w:rsid w:val="009A2764"/>
    <w:rsid w:val="009A2A06"/>
    <w:rsid w:val="009A2B9C"/>
    <w:rsid w:val="009A301A"/>
    <w:rsid w:val="009A3272"/>
    <w:rsid w:val="009A3415"/>
    <w:rsid w:val="009A35E8"/>
    <w:rsid w:val="009A37BF"/>
    <w:rsid w:val="009A393D"/>
    <w:rsid w:val="009A3A1E"/>
    <w:rsid w:val="009A3A7C"/>
    <w:rsid w:val="009A3C49"/>
    <w:rsid w:val="009A3C9A"/>
    <w:rsid w:val="009A3EBD"/>
    <w:rsid w:val="009A41DD"/>
    <w:rsid w:val="009A4279"/>
    <w:rsid w:val="009A4453"/>
    <w:rsid w:val="009A44C6"/>
    <w:rsid w:val="009A4655"/>
    <w:rsid w:val="009A4805"/>
    <w:rsid w:val="009A481F"/>
    <w:rsid w:val="009A48EA"/>
    <w:rsid w:val="009A4955"/>
    <w:rsid w:val="009A4A15"/>
    <w:rsid w:val="009A4FCA"/>
    <w:rsid w:val="009A544C"/>
    <w:rsid w:val="009A5596"/>
    <w:rsid w:val="009A55A7"/>
    <w:rsid w:val="009A55B7"/>
    <w:rsid w:val="009A5636"/>
    <w:rsid w:val="009A57DB"/>
    <w:rsid w:val="009A59E7"/>
    <w:rsid w:val="009A5BC1"/>
    <w:rsid w:val="009A5D12"/>
    <w:rsid w:val="009A5D9A"/>
    <w:rsid w:val="009A5FD9"/>
    <w:rsid w:val="009A6012"/>
    <w:rsid w:val="009A615F"/>
    <w:rsid w:val="009A6252"/>
    <w:rsid w:val="009A63EF"/>
    <w:rsid w:val="009A66D0"/>
    <w:rsid w:val="009A682C"/>
    <w:rsid w:val="009A6B20"/>
    <w:rsid w:val="009A6BC2"/>
    <w:rsid w:val="009A6E4E"/>
    <w:rsid w:val="009A6FD7"/>
    <w:rsid w:val="009A71C0"/>
    <w:rsid w:val="009A7BD3"/>
    <w:rsid w:val="009A7D64"/>
    <w:rsid w:val="009A7FE7"/>
    <w:rsid w:val="009B0123"/>
    <w:rsid w:val="009B0125"/>
    <w:rsid w:val="009B01FC"/>
    <w:rsid w:val="009B02A8"/>
    <w:rsid w:val="009B06B9"/>
    <w:rsid w:val="009B0778"/>
    <w:rsid w:val="009B08FF"/>
    <w:rsid w:val="009B0FAB"/>
    <w:rsid w:val="009B10BC"/>
    <w:rsid w:val="009B11EA"/>
    <w:rsid w:val="009B192B"/>
    <w:rsid w:val="009B1938"/>
    <w:rsid w:val="009B1BFE"/>
    <w:rsid w:val="009B1EA1"/>
    <w:rsid w:val="009B1EA3"/>
    <w:rsid w:val="009B1EFD"/>
    <w:rsid w:val="009B23D2"/>
    <w:rsid w:val="009B247D"/>
    <w:rsid w:val="009B26A5"/>
    <w:rsid w:val="009B2822"/>
    <w:rsid w:val="009B2831"/>
    <w:rsid w:val="009B28C6"/>
    <w:rsid w:val="009B29F8"/>
    <w:rsid w:val="009B2B97"/>
    <w:rsid w:val="009B2D47"/>
    <w:rsid w:val="009B2EB7"/>
    <w:rsid w:val="009B30DB"/>
    <w:rsid w:val="009B31C9"/>
    <w:rsid w:val="009B37F7"/>
    <w:rsid w:val="009B3BE8"/>
    <w:rsid w:val="009B3C55"/>
    <w:rsid w:val="009B3DAC"/>
    <w:rsid w:val="009B3E0D"/>
    <w:rsid w:val="009B4231"/>
    <w:rsid w:val="009B42E8"/>
    <w:rsid w:val="009B4351"/>
    <w:rsid w:val="009B48EA"/>
    <w:rsid w:val="009B4B2F"/>
    <w:rsid w:val="009B528B"/>
    <w:rsid w:val="009B54B0"/>
    <w:rsid w:val="009B554C"/>
    <w:rsid w:val="009B56B1"/>
    <w:rsid w:val="009B588A"/>
    <w:rsid w:val="009B58DC"/>
    <w:rsid w:val="009B5BA0"/>
    <w:rsid w:val="009B5D40"/>
    <w:rsid w:val="009B5E6B"/>
    <w:rsid w:val="009B61CC"/>
    <w:rsid w:val="009B6251"/>
    <w:rsid w:val="009B669D"/>
    <w:rsid w:val="009B67A5"/>
    <w:rsid w:val="009B6AAA"/>
    <w:rsid w:val="009B6C28"/>
    <w:rsid w:val="009B7084"/>
    <w:rsid w:val="009B7367"/>
    <w:rsid w:val="009B7892"/>
    <w:rsid w:val="009B78D0"/>
    <w:rsid w:val="009B7DF4"/>
    <w:rsid w:val="009B7E77"/>
    <w:rsid w:val="009B7F1F"/>
    <w:rsid w:val="009C0245"/>
    <w:rsid w:val="009C0327"/>
    <w:rsid w:val="009C0ACB"/>
    <w:rsid w:val="009C0D26"/>
    <w:rsid w:val="009C174D"/>
    <w:rsid w:val="009C1AAC"/>
    <w:rsid w:val="009C1BAD"/>
    <w:rsid w:val="009C1BC3"/>
    <w:rsid w:val="009C1D4F"/>
    <w:rsid w:val="009C1DE0"/>
    <w:rsid w:val="009C1E35"/>
    <w:rsid w:val="009C1EF1"/>
    <w:rsid w:val="009C2236"/>
    <w:rsid w:val="009C2617"/>
    <w:rsid w:val="009C2646"/>
    <w:rsid w:val="009C2789"/>
    <w:rsid w:val="009C280B"/>
    <w:rsid w:val="009C2901"/>
    <w:rsid w:val="009C2924"/>
    <w:rsid w:val="009C2C42"/>
    <w:rsid w:val="009C2DB1"/>
    <w:rsid w:val="009C2E3C"/>
    <w:rsid w:val="009C2F1B"/>
    <w:rsid w:val="009C3148"/>
    <w:rsid w:val="009C32E5"/>
    <w:rsid w:val="009C3556"/>
    <w:rsid w:val="009C35BA"/>
    <w:rsid w:val="009C3644"/>
    <w:rsid w:val="009C36D0"/>
    <w:rsid w:val="009C37A1"/>
    <w:rsid w:val="009C391D"/>
    <w:rsid w:val="009C3B20"/>
    <w:rsid w:val="009C4196"/>
    <w:rsid w:val="009C47CE"/>
    <w:rsid w:val="009C4C77"/>
    <w:rsid w:val="009C4D0E"/>
    <w:rsid w:val="009C538C"/>
    <w:rsid w:val="009C54E5"/>
    <w:rsid w:val="009C55FD"/>
    <w:rsid w:val="009C56F8"/>
    <w:rsid w:val="009C5826"/>
    <w:rsid w:val="009C594B"/>
    <w:rsid w:val="009C5999"/>
    <w:rsid w:val="009C5A47"/>
    <w:rsid w:val="009C5A95"/>
    <w:rsid w:val="009C5C21"/>
    <w:rsid w:val="009C5D62"/>
    <w:rsid w:val="009C6834"/>
    <w:rsid w:val="009C68C3"/>
    <w:rsid w:val="009C68ED"/>
    <w:rsid w:val="009C69B7"/>
    <w:rsid w:val="009C6C15"/>
    <w:rsid w:val="009C6CA0"/>
    <w:rsid w:val="009C7194"/>
    <w:rsid w:val="009C7248"/>
    <w:rsid w:val="009C73FC"/>
    <w:rsid w:val="009C749D"/>
    <w:rsid w:val="009C74C6"/>
    <w:rsid w:val="009C789B"/>
    <w:rsid w:val="009C7A05"/>
    <w:rsid w:val="009C7DB5"/>
    <w:rsid w:val="009C7FE0"/>
    <w:rsid w:val="009D019D"/>
    <w:rsid w:val="009D0AAE"/>
    <w:rsid w:val="009D100F"/>
    <w:rsid w:val="009D111B"/>
    <w:rsid w:val="009D146B"/>
    <w:rsid w:val="009D14D4"/>
    <w:rsid w:val="009D1738"/>
    <w:rsid w:val="009D19F0"/>
    <w:rsid w:val="009D1C04"/>
    <w:rsid w:val="009D1D71"/>
    <w:rsid w:val="009D1EF6"/>
    <w:rsid w:val="009D22BD"/>
    <w:rsid w:val="009D22EC"/>
    <w:rsid w:val="009D2596"/>
    <w:rsid w:val="009D2806"/>
    <w:rsid w:val="009D2A0F"/>
    <w:rsid w:val="009D2B8A"/>
    <w:rsid w:val="009D2BDC"/>
    <w:rsid w:val="009D2C4F"/>
    <w:rsid w:val="009D2CDD"/>
    <w:rsid w:val="009D2DB2"/>
    <w:rsid w:val="009D2FFA"/>
    <w:rsid w:val="009D304A"/>
    <w:rsid w:val="009D3142"/>
    <w:rsid w:val="009D337B"/>
    <w:rsid w:val="009D361A"/>
    <w:rsid w:val="009D3894"/>
    <w:rsid w:val="009D39A6"/>
    <w:rsid w:val="009D3E08"/>
    <w:rsid w:val="009D3F76"/>
    <w:rsid w:val="009D3F96"/>
    <w:rsid w:val="009D466D"/>
    <w:rsid w:val="009D495A"/>
    <w:rsid w:val="009D4A6A"/>
    <w:rsid w:val="009D4AA0"/>
    <w:rsid w:val="009D540C"/>
    <w:rsid w:val="009D588C"/>
    <w:rsid w:val="009D5905"/>
    <w:rsid w:val="009D59ED"/>
    <w:rsid w:val="009D5A94"/>
    <w:rsid w:val="009D5BFD"/>
    <w:rsid w:val="009D5D4B"/>
    <w:rsid w:val="009D5D87"/>
    <w:rsid w:val="009D5ECE"/>
    <w:rsid w:val="009D5FE6"/>
    <w:rsid w:val="009D6149"/>
    <w:rsid w:val="009D63E5"/>
    <w:rsid w:val="009D6403"/>
    <w:rsid w:val="009D66B6"/>
    <w:rsid w:val="009D6795"/>
    <w:rsid w:val="009D67E6"/>
    <w:rsid w:val="009D69C3"/>
    <w:rsid w:val="009D69E8"/>
    <w:rsid w:val="009D6AEA"/>
    <w:rsid w:val="009D6D5F"/>
    <w:rsid w:val="009D6E13"/>
    <w:rsid w:val="009D70D7"/>
    <w:rsid w:val="009D734F"/>
    <w:rsid w:val="009D7369"/>
    <w:rsid w:val="009D7415"/>
    <w:rsid w:val="009D7628"/>
    <w:rsid w:val="009D7BFB"/>
    <w:rsid w:val="009E037A"/>
    <w:rsid w:val="009E09E4"/>
    <w:rsid w:val="009E09F6"/>
    <w:rsid w:val="009E0C1E"/>
    <w:rsid w:val="009E0C3D"/>
    <w:rsid w:val="009E0DF3"/>
    <w:rsid w:val="009E0E23"/>
    <w:rsid w:val="009E0EA2"/>
    <w:rsid w:val="009E16A2"/>
    <w:rsid w:val="009E18B8"/>
    <w:rsid w:val="009E1A0C"/>
    <w:rsid w:val="009E1DB5"/>
    <w:rsid w:val="009E1DEA"/>
    <w:rsid w:val="009E1E11"/>
    <w:rsid w:val="009E1E72"/>
    <w:rsid w:val="009E214D"/>
    <w:rsid w:val="009E2374"/>
    <w:rsid w:val="009E2443"/>
    <w:rsid w:val="009E24A2"/>
    <w:rsid w:val="009E2693"/>
    <w:rsid w:val="009E288C"/>
    <w:rsid w:val="009E28EC"/>
    <w:rsid w:val="009E2A82"/>
    <w:rsid w:val="009E2BCC"/>
    <w:rsid w:val="009E2C2F"/>
    <w:rsid w:val="009E308A"/>
    <w:rsid w:val="009E315A"/>
    <w:rsid w:val="009E33FB"/>
    <w:rsid w:val="009E3415"/>
    <w:rsid w:val="009E34E9"/>
    <w:rsid w:val="009E34EA"/>
    <w:rsid w:val="009E372D"/>
    <w:rsid w:val="009E3CA8"/>
    <w:rsid w:val="009E45DA"/>
    <w:rsid w:val="009E4686"/>
    <w:rsid w:val="009E478B"/>
    <w:rsid w:val="009E4841"/>
    <w:rsid w:val="009E48D6"/>
    <w:rsid w:val="009E49B5"/>
    <w:rsid w:val="009E4DFF"/>
    <w:rsid w:val="009E4E2F"/>
    <w:rsid w:val="009E54BC"/>
    <w:rsid w:val="009E55BF"/>
    <w:rsid w:val="009E5707"/>
    <w:rsid w:val="009E5A39"/>
    <w:rsid w:val="009E5A3B"/>
    <w:rsid w:val="009E5B1E"/>
    <w:rsid w:val="009E5E77"/>
    <w:rsid w:val="009E657B"/>
    <w:rsid w:val="009E675A"/>
    <w:rsid w:val="009E685E"/>
    <w:rsid w:val="009E68CF"/>
    <w:rsid w:val="009E68F7"/>
    <w:rsid w:val="009E6ADC"/>
    <w:rsid w:val="009E6B67"/>
    <w:rsid w:val="009E6D3A"/>
    <w:rsid w:val="009E72FF"/>
    <w:rsid w:val="009E77B3"/>
    <w:rsid w:val="009E78AB"/>
    <w:rsid w:val="009E78E7"/>
    <w:rsid w:val="009E7983"/>
    <w:rsid w:val="009E7E6D"/>
    <w:rsid w:val="009F0022"/>
    <w:rsid w:val="009F015E"/>
    <w:rsid w:val="009F01A2"/>
    <w:rsid w:val="009F04AB"/>
    <w:rsid w:val="009F062A"/>
    <w:rsid w:val="009F0733"/>
    <w:rsid w:val="009F0828"/>
    <w:rsid w:val="009F082A"/>
    <w:rsid w:val="009F09BF"/>
    <w:rsid w:val="009F0C3F"/>
    <w:rsid w:val="009F0C43"/>
    <w:rsid w:val="009F1097"/>
    <w:rsid w:val="009F1163"/>
    <w:rsid w:val="009F116C"/>
    <w:rsid w:val="009F16EF"/>
    <w:rsid w:val="009F1730"/>
    <w:rsid w:val="009F19FA"/>
    <w:rsid w:val="009F1BD2"/>
    <w:rsid w:val="009F1E6F"/>
    <w:rsid w:val="009F1FFC"/>
    <w:rsid w:val="009F2030"/>
    <w:rsid w:val="009F2536"/>
    <w:rsid w:val="009F2E31"/>
    <w:rsid w:val="009F2E47"/>
    <w:rsid w:val="009F2E51"/>
    <w:rsid w:val="009F3232"/>
    <w:rsid w:val="009F3342"/>
    <w:rsid w:val="009F3577"/>
    <w:rsid w:val="009F35D4"/>
    <w:rsid w:val="009F3951"/>
    <w:rsid w:val="009F3D70"/>
    <w:rsid w:val="009F3F1F"/>
    <w:rsid w:val="009F4102"/>
    <w:rsid w:val="009F4573"/>
    <w:rsid w:val="009F4672"/>
    <w:rsid w:val="009F4920"/>
    <w:rsid w:val="009F49FD"/>
    <w:rsid w:val="009F4A7D"/>
    <w:rsid w:val="009F4FB3"/>
    <w:rsid w:val="009F524F"/>
    <w:rsid w:val="009F56C5"/>
    <w:rsid w:val="009F5877"/>
    <w:rsid w:val="009F5890"/>
    <w:rsid w:val="009F5A84"/>
    <w:rsid w:val="009F5C91"/>
    <w:rsid w:val="009F5FF1"/>
    <w:rsid w:val="009F6336"/>
    <w:rsid w:val="009F636D"/>
    <w:rsid w:val="009F63AC"/>
    <w:rsid w:val="009F6416"/>
    <w:rsid w:val="009F6615"/>
    <w:rsid w:val="009F6626"/>
    <w:rsid w:val="009F67A3"/>
    <w:rsid w:val="009F67E8"/>
    <w:rsid w:val="009F6E6C"/>
    <w:rsid w:val="009F6EAC"/>
    <w:rsid w:val="009F6EAD"/>
    <w:rsid w:val="009F6F8D"/>
    <w:rsid w:val="009F70D5"/>
    <w:rsid w:val="009F71D1"/>
    <w:rsid w:val="009F7448"/>
    <w:rsid w:val="009F7A1A"/>
    <w:rsid w:val="009F7BA6"/>
    <w:rsid w:val="009F7BE0"/>
    <w:rsid w:val="009F7CA7"/>
    <w:rsid w:val="00A00030"/>
    <w:rsid w:val="00A00192"/>
    <w:rsid w:val="00A003B3"/>
    <w:rsid w:val="00A004EC"/>
    <w:rsid w:val="00A00983"/>
    <w:rsid w:val="00A00A7E"/>
    <w:rsid w:val="00A00AE0"/>
    <w:rsid w:val="00A00DD6"/>
    <w:rsid w:val="00A01370"/>
    <w:rsid w:val="00A0146F"/>
    <w:rsid w:val="00A0169F"/>
    <w:rsid w:val="00A017BA"/>
    <w:rsid w:val="00A01D1E"/>
    <w:rsid w:val="00A01DE0"/>
    <w:rsid w:val="00A01EFD"/>
    <w:rsid w:val="00A01F36"/>
    <w:rsid w:val="00A021DF"/>
    <w:rsid w:val="00A0259A"/>
    <w:rsid w:val="00A026AC"/>
    <w:rsid w:val="00A026DF"/>
    <w:rsid w:val="00A028CB"/>
    <w:rsid w:val="00A028E6"/>
    <w:rsid w:val="00A02A6B"/>
    <w:rsid w:val="00A02BE2"/>
    <w:rsid w:val="00A031D6"/>
    <w:rsid w:val="00A034D2"/>
    <w:rsid w:val="00A03527"/>
    <w:rsid w:val="00A0369B"/>
    <w:rsid w:val="00A03844"/>
    <w:rsid w:val="00A03930"/>
    <w:rsid w:val="00A03978"/>
    <w:rsid w:val="00A03A0C"/>
    <w:rsid w:val="00A03A5F"/>
    <w:rsid w:val="00A03B34"/>
    <w:rsid w:val="00A03B36"/>
    <w:rsid w:val="00A03C6D"/>
    <w:rsid w:val="00A04100"/>
    <w:rsid w:val="00A041B1"/>
    <w:rsid w:val="00A042E7"/>
    <w:rsid w:val="00A044B1"/>
    <w:rsid w:val="00A0498A"/>
    <w:rsid w:val="00A04C37"/>
    <w:rsid w:val="00A054BC"/>
    <w:rsid w:val="00A055AA"/>
    <w:rsid w:val="00A057E5"/>
    <w:rsid w:val="00A05997"/>
    <w:rsid w:val="00A05AD9"/>
    <w:rsid w:val="00A05BC8"/>
    <w:rsid w:val="00A060C9"/>
    <w:rsid w:val="00A0612E"/>
    <w:rsid w:val="00A06366"/>
    <w:rsid w:val="00A066DE"/>
    <w:rsid w:val="00A0679F"/>
    <w:rsid w:val="00A06815"/>
    <w:rsid w:val="00A06855"/>
    <w:rsid w:val="00A06920"/>
    <w:rsid w:val="00A06D76"/>
    <w:rsid w:val="00A0727C"/>
    <w:rsid w:val="00A072F0"/>
    <w:rsid w:val="00A0736A"/>
    <w:rsid w:val="00A0739D"/>
    <w:rsid w:val="00A075C8"/>
    <w:rsid w:val="00A076BE"/>
    <w:rsid w:val="00A078D9"/>
    <w:rsid w:val="00A079E2"/>
    <w:rsid w:val="00A07DFB"/>
    <w:rsid w:val="00A100B2"/>
    <w:rsid w:val="00A10664"/>
    <w:rsid w:val="00A1078C"/>
    <w:rsid w:val="00A10866"/>
    <w:rsid w:val="00A10921"/>
    <w:rsid w:val="00A10B65"/>
    <w:rsid w:val="00A11052"/>
    <w:rsid w:val="00A11291"/>
    <w:rsid w:val="00A11321"/>
    <w:rsid w:val="00A11820"/>
    <w:rsid w:val="00A1197B"/>
    <w:rsid w:val="00A11DAE"/>
    <w:rsid w:val="00A11EF0"/>
    <w:rsid w:val="00A11FA3"/>
    <w:rsid w:val="00A1201E"/>
    <w:rsid w:val="00A12037"/>
    <w:rsid w:val="00A12064"/>
    <w:rsid w:val="00A12187"/>
    <w:rsid w:val="00A123F3"/>
    <w:rsid w:val="00A124FF"/>
    <w:rsid w:val="00A12524"/>
    <w:rsid w:val="00A126A7"/>
    <w:rsid w:val="00A12936"/>
    <w:rsid w:val="00A12AF3"/>
    <w:rsid w:val="00A12F7C"/>
    <w:rsid w:val="00A12FB8"/>
    <w:rsid w:val="00A13156"/>
    <w:rsid w:val="00A13737"/>
    <w:rsid w:val="00A138A3"/>
    <w:rsid w:val="00A13A88"/>
    <w:rsid w:val="00A13B1C"/>
    <w:rsid w:val="00A13D1C"/>
    <w:rsid w:val="00A13D1F"/>
    <w:rsid w:val="00A13E1D"/>
    <w:rsid w:val="00A13F2F"/>
    <w:rsid w:val="00A13F8D"/>
    <w:rsid w:val="00A13FC4"/>
    <w:rsid w:val="00A1415E"/>
    <w:rsid w:val="00A141E5"/>
    <w:rsid w:val="00A142D7"/>
    <w:rsid w:val="00A14310"/>
    <w:rsid w:val="00A14428"/>
    <w:rsid w:val="00A144F4"/>
    <w:rsid w:val="00A1470C"/>
    <w:rsid w:val="00A14734"/>
    <w:rsid w:val="00A1481D"/>
    <w:rsid w:val="00A14C33"/>
    <w:rsid w:val="00A14EA4"/>
    <w:rsid w:val="00A14ECA"/>
    <w:rsid w:val="00A1504C"/>
    <w:rsid w:val="00A150C0"/>
    <w:rsid w:val="00A15345"/>
    <w:rsid w:val="00A15581"/>
    <w:rsid w:val="00A15761"/>
    <w:rsid w:val="00A158A8"/>
    <w:rsid w:val="00A1593F"/>
    <w:rsid w:val="00A15B57"/>
    <w:rsid w:val="00A15F18"/>
    <w:rsid w:val="00A1622A"/>
    <w:rsid w:val="00A16380"/>
    <w:rsid w:val="00A16436"/>
    <w:rsid w:val="00A16630"/>
    <w:rsid w:val="00A16653"/>
    <w:rsid w:val="00A1666A"/>
    <w:rsid w:val="00A1688E"/>
    <w:rsid w:val="00A168D6"/>
    <w:rsid w:val="00A168F2"/>
    <w:rsid w:val="00A16958"/>
    <w:rsid w:val="00A16AD4"/>
    <w:rsid w:val="00A16E34"/>
    <w:rsid w:val="00A172BA"/>
    <w:rsid w:val="00A17397"/>
    <w:rsid w:val="00A175BF"/>
    <w:rsid w:val="00A1793D"/>
    <w:rsid w:val="00A179BA"/>
    <w:rsid w:val="00A17BAA"/>
    <w:rsid w:val="00A17CC2"/>
    <w:rsid w:val="00A17D2A"/>
    <w:rsid w:val="00A17F1C"/>
    <w:rsid w:val="00A202EE"/>
    <w:rsid w:val="00A20896"/>
    <w:rsid w:val="00A208E1"/>
    <w:rsid w:val="00A20A6E"/>
    <w:rsid w:val="00A20F1F"/>
    <w:rsid w:val="00A21002"/>
    <w:rsid w:val="00A2134C"/>
    <w:rsid w:val="00A21750"/>
    <w:rsid w:val="00A21F92"/>
    <w:rsid w:val="00A22073"/>
    <w:rsid w:val="00A22706"/>
    <w:rsid w:val="00A227FA"/>
    <w:rsid w:val="00A22A0B"/>
    <w:rsid w:val="00A22B2E"/>
    <w:rsid w:val="00A22C59"/>
    <w:rsid w:val="00A2311F"/>
    <w:rsid w:val="00A232A9"/>
    <w:rsid w:val="00A2372D"/>
    <w:rsid w:val="00A2374F"/>
    <w:rsid w:val="00A23769"/>
    <w:rsid w:val="00A2394C"/>
    <w:rsid w:val="00A23B04"/>
    <w:rsid w:val="00A23BBD"/>
    <w:rsid w:val="00A23BE6"/>
    <w:rsid w:val="00A23D38"/>
    <w:rsid w:val="00A23FA3"/>
    <w:rsid w:val="00A24072"/>
    <w:rsid w:val="00A2418A"/>
    <w:rsid w:val="00A24411"/>
    <w:rsid w:val="00A24545"/>
    <w:rsid w:val="00A24AA0"/>
    <w:rsid w:val="00A24C2E"/>
    <w:rsid w:val="00A24CFE"/>
    <w:rsid w:val="00A24DF6"/>
    <w:rsid w:val="00A24E79"/>
    <w:rsid w:val="00A2504C"/>
    <w:rsid w:val="00A25187"/>
    <w:rsid w:val="00A2536F"/>
    <w:rsid w:val="00A255C2"/>
    <w:rsid w:val="00A25CAD"/>
    <w:rsid w:val="00A25D46"/>
    <w:rsid w:val="00A26269"/>
    <w:rsid w:val="00A263F4"/>
    <w:rsid w:val="00A269E1"/>
    <w:rsid w:val="00A26AF6"/>
    <w:rsid w:val="00A26D37"/>
    <w:rsid w:val="00A26E43"/>
    <w:rsid w:val="00A26FC8"/>
    <w:rsid w:val="00A270BE"/>
    <w:rsid w:val="00A2711C"/>
    <w:rsid w:val="00A27133"/>
    <w:rsid w:val="00A2713F"/>
    <w:rsid w:val="00A273CD"/>
    <w:rsid w:val="00A27417"/>
    <w:rsid w:val="00A274AA"/>
    <w:rsid w:val="00A278D5"/>
    <w:rsid w:val="00A27C82"/>
    <w:rsid w:val="00A27CF8"/>
    <w:rsid w:val="00A27F9C"/>
    <w:rsid w:val="00A3002E"/>
    <w:rsid w:val="00A300EF"/>
    <w:rsid w:val="00A3052F"/>
    <w:rsid w:val="00A30590"/>
    <w:rsid w:val="00A3059B"/>
    <w:rsid w:val="00A305CB"/>
    <w:rsid w:val="00A30A3B"/>
    <w:rsid w:val="00A30AE3"/>
    <w:rsid w:val="00A30AF9"/>
    <w:rsid w:val="00A30B2F"/>
    <w:rsid w:val="00A30DB3"/>
    <w:rsid w:val="00A30ECA"/>
    <w:rsid w:val="00A310AF"/>
    <w:rsid w:val="00A312D2"/>
    <w:rsid w:val="00A3185D"/>
    <w:rsid w:val="00A31968"/>
    <w:rsid w:val="00A322B0"/>
    <w:rsid w:val="00A322C0"/>
    <w:rsid w:val="00A32399"/>
    <w:rsid w:val="00A32528"/>
    <w:rsid w:val="00A3266E"/>
    <w:rsid w:val="00A326F7"/>
    <w:rsid w:val="00A32886"/>
    <w:rsid w:val="00A329C1"/>
    <w:rsid w:val="00A32B6A"/>
    <w:rsid w:val="00A32E7E"/>
    <w:rsid w:val="00A32F44"/>
    <w:rsid w:val="00A330AC"/>
    <w:rsid w:val="00A3327E"/>
    <w:rsid w:val="00A333C9"/>
    <w:rsid w:val="00A3349E"/>
    <w:rsid w:val="00A334A8"/>
    <w:rsid w:val="00A3361C"/>
    <w:rsid w:val="00A33DF0"/>
    <w:rsid w:val="00A33DF9"/>
    <w:rsid w:val="00A3442A"/>
    <w:rsid w:val="00A3443D"/>
    <w:rsid w:val="00A344A6"/>
    <w:rsid w:val="00A346A5"/>
    <w:rsid w:val="00A348D0"/>
    <w:rsid w:val="00A34AF9"/>
    <w:rsid w:val="00A34B2F"/>
    <w:rsid w:val="00A34F40"/>
    <w:rsid w:val="00A3519B"/>
    <w:rsid w:val="00A351B5"/>
    <w:rsid w:val="00A35594"/>
    <w:rsid w:val="00A35839"/>
    <w:rsid w:val="00A3599C"/>
    <w:rsid w:val="00A35F4A"/>
    <w:rsid w:val="00A36021"/>
    <w:rsid w:val="00A36443"/>
    <w:rsid w:val="00A368DB"/>
    <w:rsid w:val="00A36E09"/>
    <w:rsid w:val="00A37361"/>
    <w:rsid w:val="00A375C3"/>
    <w:rsid w:val="00A37CFD"/>
    <w:rsid w:val="00A40023"/>
    <w:rsid w:val="00A403E9"/>
    <w:rsid w:val="00A403F8"/>
    <w:rsid w:val="00A4047E"/>
    <w:rsid w:val="00A405B6"/>
    <w:rsid w:val="00A40695"/>
    <w:rsid w:val="00A406DC"/>
    <w:rsid w:val="00A406EB"/>
    <w:rsid w:val="00A40977"/>
    <w:rsid w:val="00A40A5E"/>
    <w:rsid w:val="00A40A75"/>
    <w:rsid w:val="00A40D8D"/>
    <w:rsid w:val="00A40F54"/>
    <w:rsid w:val="00A41000"/>
    <w:rsid w:val="00A41119"/>
    <w:rsid w:val="00A413B6"/>
    <w:rsid w:val="00A41506"/>
    <w:rsid w:val="00A4166A"/>
    <w:rsid w:val="00A41873"/>
    <w:rsid w:val="00A41AEC"/>
    <w:rsid w:val="00A41C41"/>
    <w:rsid w:val="00A41D29"/>
    <w:rsid w:val="00A41DE2"/>
    <w:rsid w:val="00A41E83"/>
    <w:rsid w:val="00A41F1A"/>
    <w:rsid w:val="00A41F8E"/>
    <w:rsid w:val="00A41FBC"/>
    <w:rsid w:val="00A42593"/>
    <w:rsid w:val="00A4261B"/>
    <w:rsid w:val="00A4265E"/>
    <w:rsid w:val="00A4284A"/>
    <w:rsid w:val="00A42A03"/>
    <w:rsid w:val="00A42D96"/>
    <w:rsid w:val="00A42EDD"/>
    <w:rsid w:val="00A4347E"/>
    <w:rsid w:val="00A43558"/>
    <w:rsid w:val="00A4381E"/>
    <w:rsid w:val="00A4390A"/>
    <w:rsid w:val="00A439BF"/>
    <w:rsid w:val="00A43B99"/>
    <w:rsid w:val="00A43BDD"/>
    <w:rsid w:val="00A43CBE"/>
    <w:rsid w:val="00A43DD3"/>
    <w:rsid w:val="00A43DF6"/>
    <w:rsid w:val="00A43E2A"/>
    <w:rsid w:val="00A43E7F"/>
    <w:rsid w:val="00A43E97"/>
    <w:rsid w:val="00A44197"/>
    <w:rsid w:val="00A4421A"/>
    <w:rsid w:val="00A4494C"/>
    <w:rsid w:val="00A449BE"/>
    <w:rsid w:val="00A44CEE"/>
    <w:rsid w:val="00A44E7C"/>
    <w:rsid w:val="00A454EB"/>
    <w:rsid w:val="00A45A35"/>
    <w:rsid w:val="00A45A41"/>
    <w:rsid w:val="00A45B62"/>
    <w:rsid w:val="00A45EDE"/>
    <w:rsid w:val="00A462A8"/>
    <w:rsid w:val="00A4630E"/>
    <w:rsid w:val="00A463A5"/>
    <w:rsid w:val="00A47484"/>
    <w:rsid w:val="00A474AE"/>
    <w:rsid w:val="00A4784C"/>
    <w:rsid w:val="00A47D31"/>
    <w:rsid w:val="00A47DE3"/>
    <w:rsid w:val="00A47E9D"/>
    <w:rsid w:val="00A5000D"/>
    <w:rsid w:val="00A50012"/>
    <w:rsid w:val="00A50449"/>
    <w:rsid w:val="00A508B7"/>
    <w:rsid w:val="00A50940"/>
    <w:rsid w:val="00A50A7C"/>
    <w:rsid w:val="00A50DDA"/>
    <w:rsid w:val="00A50EEE"/>
    <w:rsid w:val="00A50F2D"/>
    <w:rsid w:val="00A51829"/>
    <w:rsid w:val="00A51865"/>
    <w:rsid w:val="00A51880"/>
    <w:rsid w:val="00A51A02"/>
    <w:rsid w:val="00A51F05"/>
    <w:rsid w:val="00A52162"/>
    <w:rsid w:val="00A5227A"/>
    <w:rsid w:val="00A529D2"/>
    <w:rsid w:val="00A52E73"/>
    <w:rsid w:val="00A530A2"/>
    <w:rsid w:val="00A530E8"/>
    <w:rsid w:val="00A532EA"/>
    <w:rsid w:val="00A533FB"/>
    <w:rsid w:val="00A5369E"/>
    <w:rsid w:val="00A53A00"/>
    <w:rsid w:val="00A53D1C"/>
    <w:rsid w:val="00A53D36"/>
    <w:rsid w:val="00A542F9"/>
    <w:rsid w:val="00A549F8"/>
    <w:rsid w:val="00A54C8D"/>
    <w:rsid w:val="00A55313"/>
    <w:rsid w:val="00A55927"/>
    <w:rsid w:val="00A55A52"/>
    <w:rsid w:val="00A55B89"/>
    <w:rsid w:val="00A55C18"/>
    <w:rsid w:val="00A55DE0"/>
    <w:rsid w:val="00A55F9C"/>
    <w:rsid w:val="00A5600D"/>
    <w:rsid w:val="00A5623E"/>
    <w:rsid w:val="00A56272"/>
    <w:rsid w:val="00A563B3"/>
    <w:rsid w:val="00A56985"/>
    <w:rsid w:val="00A56B6C"/>
    <w:rsid w:val="00A572BE"/>
    <w:rsid w:val="00A573B6"/>
    <w:rsid w:val="00A574D4"/>
    <w:rsid w:val="00A57691"/>
    <w:rsid w:val="00A57746"/>
    <w:rsid w:val="00A577BF"/>
    <w:rsid w:val="00A5785C"/>
    <w:rsid w:val="00A57B09"/>
    <w:rsid w:val="00A57D42"/>
    <w:rsid w:val="00A57D8E"/>
    <w:rsid w:val="00A6066C"/>
    <w:rsid w:val="00A607AE"/>
    <w:rsid w:val="00A60955"/>
    <w:rsid w:val="00A60BBB"/>
    <w:rsid w:val="00A60C83"/>
    <w:rsid w:val="00A60EA4"/>
    <w:rsid w:val="00A610FC"/>
    <w:rsid w:val="00A61A19"/>
    <w:rsid w:val="00A61B3B"/>
    <w:rsid w:val="00A61B50"/>
    <w:rsid w:val="00A61E43"/>
    <w:rsid w:val="00A61F4E"/>
    <w:rsid w:val="00A6239D"/>
    <w:rsid w:val="00A6256B"/>
    <w:rsid w:val="00A627D5"/>
    <w:rsid w:val="00A62AA1"/>
    <w:rsid w:val="00A62AEA"/>
    <w:rsid w:val="00A62B09"/>
    <w:rsid w:val="00A62FEC"/>
    <w:rsid w:val="00A63217"/>
    <w:rsid w:val="00A63301"/>
    <w:rsid w:val="00A6343D"/>
    <w:rsid w:val="00A636DD"/>
    <w:rsid w:val="00A63724"/>
    <w:rsid w:val="00A63787"/>
    <w:rsid w:val="00A6379C"/>
    <w:rsid w:val="00A63833"/>
    <w:rsid w:val="00A63850"/>
    <w:rsid w:val="00A63948"/>
    <w:rsid w:val="00A6397E"/>
    <w:rsid w:val="00A63A0D"/>
    <w:rsid w:val="00A63A99"/>
    <w:rsid w:val="00A63AB9"/>
    <w:rsid w:val="00A63BFC"/>
    <w:rsid w:val="00A63CFD"/>
    <w:rsid w:val="00A63ED3"/>
    <w:rsid w:val="00A63F01"/>
    <w:rsid w:val="00A63FE6"/>
    <w:rsid w:val="00A64149"/>
    <w:rsid w:val="00A641E3"/>
    <w:rsid w:val="00A64355"/>
    <w:rsid w:val="00A643F1"/>
    <w:rsid w:val="00A64647"/>
    <w:rsid w:val="00A6465C"/>
    <w:rsid w:val="00A6496A"/>
    <w:rsid w:val="00A64A47"/>
    <w:rsid w:val="00A64AE8"/>
    <w:rsid w:val="00A64CD4"/>
    <w:rsid w:val="00A64CEA"/>
    <w:rsid w:val="00A64D65"/>
    <w:rsid w:val="00A653B9"/>
    <w:rsid w:val="00A65992"/>
    <w:rsid w:val="00A65CAA"/>
    <w:rsid w:val="00A65D71"/>
    <w:rsid w:val="00A65EB1"/>
    <w:rsid w:val="00A65EEA"/>
    <w:rsid w:val="00A65F05"/>
    <w:rsid w:val="00A65F1E"/>
    <w:rsid w:val="00A662FB"/>
    <w:rsid w:val="00A66CAA"/>
    <w:rsid w:val="00A66EE2"/>
    <w:rsid w:val="00A670D6"/>
    <w:rsid w:val="00A674C7"/>
    <w:rsid w:val="00A677DA"/>
    <w:rsid w:val="00A677EA"/>
    <w:rsid w:val="00A6788C"/>
    <w:rsid w:val="00A67BD6"/>
    <w:rsid w:val="00A703DB"/>
    <w:rsid w:val="00A704ED"/>
    <w:rsid w:val="00A70517"/>
    <w:rsid w:val="00A70695"/>
    <w:rsid w:val="00A706F5"/>
    <w:rsid w:val="00A70814"/>
    <w:rsid w:val="00A708C6"/>
    <w:rsid w:val="00A70B0E"/>
    <w:rsid w:val="00A70B4E"/>
    <w:rsid w:val="00A70E07"/>
    <w:rsid w:val="00A70F2B"/>
    <w:rsid w:val="00A710DF"/>
    <w:rsid w:val="00A71435"/>
    <w:rsid w:val="00A715FD"/>
    <w:rsid w:val="00A716D2"/>
    <w:rsid w:val="00A717C7"/>
    <w:rsid w:val="00A71A50"/>
    <w:rsid w:val="00A71C16"/>
    <w:rsid w:val="00A71E3B"/>
    <w:rsid w:val="00A71F6F"/>
    <w:rsid w:val="00A72089"/>
    <w:rsid w:val="00A72118"/>
    <w:rsid w:val="00A7272A"/>
    <w:rsid w:val="00A727FD"/>
    <w:rsid w:val="00A72C00"/>
    <w:rsid w:val="00A72E37"/>
    <w:rsid w:val="00A731D6"/>
    <w:rsid w:val="00A731F4"/>
    <w:rsid w:val="00A733E5"/>
    <w:rsid w:val="00A734F8"/>
    <w:rsid w:val="00A738AE"/>
    <w:rsid w:val="00A739AD"/>
    <w:rsid w:val="00A73A27"/>
    <w:rsid w:val="00A73E97"/>
    <w:rsid w:val="00A73F44"/>
    <w:rsid w:val="00A74017"/>
    <w:rsid w:val="00A740D4"/>
    <w:rsid w:val="00A742FF"/>
    <w:rsid w:val="00A74376"/>
    <w:rsid w:val="00A743B9"/>
    <w:rsid w:val="00A74AAA"/>
    <w:rsid w:val="00A74C3E"/>
    <w:rsid w:val="00A74CB0"/>
    <w:rsid w:val="00A74CB2"/>
    <w:rsid w:val="00A752E8"/>
    <w:rsid w:val="00A753CC"/>
    <w:rsid w:val="00A7592A"/>
    <w:rsid w:val="00A75BF0"/>
    <w:rsid w:val="00A75D19"/>
    <w:rsid w:val="00A75D4A"/>
    <w:rsid w:val="00A75E0C"/>
    <w:rsid w:val="00A75ECE"/>
    <w:rsid w:val="00A7600D"/>
    <w:rsid w:val="00A761A8"/>
    <w:rsid w:val="00A76258"/>
    <w:rsid w:val="00A7696B"/>
    <w:rsid w:val="00A769AB"/>
    <w:rsid w:val="00A76C51"/>
    <w:rsid w:val="00A77161"/>
    <w:rsid w:val="00A7723B"/>
    <w:rsid w:val="00A7723D"/>
    <w:rsid w:val="00A77429"/>
    <w:rsid w:val="00A77437"/>
    <w:rsid w:val="00A7751C"/>
    <w:rsid w:val="00A777AC"/>
    <w:rsid w:val="00A778FD"/>
    <w:rsid w:val="00A77A67"/>
    <w:rsid w:val="00A77C55"/>
    <w:rsid w:val="00A77DA4"/>
    <w:rsid w:val="00A77FE9"/>
    <w:rsid w:val="00A80239"/>
    <w:rsid w:val="00A805E1"/>
    <w:rsid w:val="00A80801"/>
    <w:rsid w:val="00A80903"/>
    <w:rsid w:val="00A80964"/>
    <w:rsid w:val="00A809F7"/>
    <w:rsid w:val="00A80A4A"/>
    <w:rsid w:val="00A80B99"/>
    <w:rsid w:val="00A80DB6"/>
    <w:rsid w:val="00A80F27"/>
    <w:rsid w:val="00A8111A"/>
    <w:rsid w:val="00A811A1"/>
    <w:rsid w:val="00A81527"/>
    <w:rsid w:val="00A816DB"/>
    <w:rsid w:val="00A817DB"/>
    <w:rsid w:val="00A81CB4"/>
    <w:rsid w:val="00A81CDB"/>
    <w:rsid w:val="00A81E6F"/>
    <w:rsid w:val="00A81F2F"/>
    <w:rsid w:val="00A81FD2"/>
    <w:rsid w:val="00A8218D"/>
    <w:rsid w:val="00A826F6"/>
    <w:rsid w:val="00A827F7"/>
    <w:rsid w:val="00A82AFC"/>
    <w:rsid w:val="00A82C6B"/>
    <w:rsid w:val="00A82C73"/>
    <w:rsid w:val="00A83111"/>
    <w:rsid w:val="00A83230"/>
    <w:rsid w:val="00A8339E"/>
    <w:rsid w:val="00A833DE"/>
    <w:rsid w:val="00A83672"/>
    <w:rsid w:val="00A83699"/>
    <w:rsid w:val="00A838B2"/>
    <w:rsid w:val="00A83E2E"/>
    <w:rsid w:val="00A84021"/>
    <w:rsid w:val="00A84047"/>
    <w:rsid w:val="00A8416A"/>
    <w:rsid w:val="00A8418B"/>
    <w:rsid w:val="00A842A0"/>
    <w:rsid w:val="00A843BC"/>
    <w:rsid w:val="00A84724"/>
    <w:rsid w:val="00A84848"/>
    <w:rsid w:val="00A84CCA"/>
    <w:rsid w:val="00A851CB"/>
    <w:rsid w:val="00A85287"/>
    <w:rsid w:val="00A85390"/>
    <w:rsid w:val="00A85470"/>
    <w:rsid w:val="00A85505"/>
    <w:rsid w:val="00A855AA"/>
    <w:rsid w:val="00A8590F"/>
    <w:rsid w:val="00A85961"/>
    <w:rsid w:val="00A85982"/>
    <w:rsid w:val="00A85A9B"/>
    <w:rsid w:val="00A85BA9"/>
    <w:rsid w:val="00A85F18"/>
    <w:rsid w:val="00A86014"/>
    <w:rsid w:val="00A86237"/>
    <w:rsid w:val="00A86272"/>
    <w:rsid w:val="00A86472"/>
    <w:rsid w:val="00A866EE"/>
    <w:rsid w:val="00A86B32"/>
    <w:rsid w:val="00A87295"/>
    <w:rsid w:val="00A87357"/>
    <w:rsid w:val="00A87D82"/>
    <w:rsid w:val="00A87E51"/>
    <w:rsid w:val="00A87E53"/>
    <w:rsid w:val="00A87FE6"/>
    <w:rsid w:val="00A90025"/>
    <w:rsid w:val="00A90123"/>
    <w:rsid w:val="00A904EA"/>
    <w:rsid w:val="00A906E3"/>
    <w:rsid w:val="00A906FC"/>
    <w:rsid w:val="00A907C6"/>
    <w:rsid w:val="00A90B39"/>
    <w:rsid w:val="00A90B64"/>
    <w:rsid w:val="00A90C14"/>
    <w:rsid w:val="00A90DE9"/>
    <w:rsid w:val="00A91504"/>
    <w:rsid w:val="00A91B14"/>
    <w:rsid w:val="00A91D41"/>
    <w:rsid w:val="00A9223F"/>
    <w:rsid w:val="00A92263"/>
    <w:rsid w:val="00A923BB"/>
    <w:rsid w:val="00A924CD"/>
    <w:rsid w:val="00A928E7"/>
    <w:rsid w:val="00A92A9B"/>
    <w:rsid w:val="00A92B56"/>
    <w:rsid w:val="00A92D7B"/>
    <w:rsid w:val="00A92DE8"/>
    <w:rsid w:val="00A92FCC"/>
    <w:rsid w:val="00A93238"/>
    <w:rsid w:val="00A932E4"/>
    <w:rsid w:val="00A934C1"/>
    <w:rsid w:val="00A936BB"/>
    <w:rsid w:val="00A937B3"/>
    <w:rsid w:val="00A937ED"/>
    <w:rsid w:val="00A93A2F"/>
    <w:rsid w:val="00A93A7D"/>
    <w:rsid w:val="00A93F06"/>
    <w:rsid w:val="00A93F0B"/>
    <w:rsid w:val="00A941AB"/>
    <w:rsid w:val="00A94362"/>
    <w:rsid w:val="00A9443E"/>
    <w:rsid w:val="00A945FC"/>
    <w:rsid w:val="00A94B0A"/>
    <w:rsid w:val="00A95255"/>
    <w:rsid w:val="00A9529F"/>
    <w:rsid w:val="00A954AC"/>
    <w:rsid w:val="00A955B0"/>
    <w:rsid w:val="00A95687"/>
    <w:rsid w:val="00A96A25"/>
    <w:rsid w:val="00A96A6D"/>
    <w:rsid w:val="00A972FF"/>
    <w:rsid w:val="00A97349"/>
    <w:rsid w:val="00A976B6"/>
    <w:rsid w:val="00A976EA"/>
    <w:rsid w:val="00A9786C"/>
    <w:rsid w:val="00A97883"/>
    <w:rsid w:val="00A979E3"/>
    <w:rsid w:val="00A97AC1"/>
    <w:rsid w:val="00A97BAF"/>
    <w:rsid w:val="00A97D56"/>
    <w:rsid w:val="00AA0165"/>
    <w:rsid w:val="00AA02D2"/>
    <w:rsid w:val="00AA02F2"/>
    <w:rsid w:val="00AA07AC"/>
    <w:rsid w:val="00AA0AAD"/>
    <w:rsid w:val="00AA0D6F"/>
    <w:rsid w:val="00AA1671"/>
    <w:rsid w:val="00AA179C"/>
    <w:rsid w:val="00AA1857"/>
    <w:rsid w:val="00AA1858"/>
    <w:rsid w:val="00AA19E2"/>
    <w:rsid w:val="00AA1A2D"/>
    <w:rsid w:val="00AA1C61"/>
    <w:rsid w:val="00AA1DB1"/>
    <w:rsid w:val="00AA1DDC"/>
    <w:rsid w:val="00AA1FB7"/>
    <w:rsid w:val="00AA22FC"/>
    <w:rsid w:val="00AA2457"/>
    <w:rsid w:val="00AA24E0"/>
    <w:rsid w:val="00AA2751"/>
    <w:rsid w:val="00AA29A0"/>
    <w:rsid w:val="00AA2A2E"/>
    <w:rsid w:val="00AA2E12"/>
    <w:rsid w:val="00AA32E1"/>
    <w:rsid w:val="00AA3552"/>
    <w:rsid w:val="00AA3723"/>
    <w:rsid w:val="00AA385D"/>
    <w:rsid w:val="00AA3B4B"/>
    <w:rsid w:val="00AA3B54"/>
    <w:rsid w:val="00AA3E4F"/>
    <w:rsid w:val="00AA3F02"/>
    <w:rsid w:val="00AA418B"/>
    <w:rsid w:val="00AA42FE"/>
    <w:rsid w:val="00AA472E"/>
    <w:rsid w:val="00AA4ADD"/>
    <w:rsid w:val="00AA4D86"/>
    <w:rsid w:val="00AA5197"/>
    <w:rsid w:val="00AA51F6"/>
    <w:rsid w:val="00AA5303"/>
    <w:rsid w:val="00AA535D"/>
    <w:rsid w:val="00AA538C"/>
    <w:rsid w:val="00AA560C"/>
    <w:rsid w:val="00AA5900"/>
    <w:rsid w:val="00AA5995"/>
    <w:rsid w:val="00AA5DC8"/>
    <w:rsid w:val="00AA5E0E"/>
    <w:rsid w:val="00AA5F86"/>
    <w:rsid w:val="00AA6290"/>
    <w:rsid w:val="00AA63B6"/>
    <w:rsid w:val="00AA68EB"/>
    <w:rsid w:val="00AA69C2"/>
    <w:rsid w:val="00AA6A22"/>
    <w:rsid w:val="00AA6F69"/>
    <w:rsid w:val="00AA7097"/>
    <w:rsid w:val="00AA72E7"/>
    <w:rsid w:val="00AA75DB"/>
    <w:rsid w:val="00AA77B8"/>
    <w:rsid w:val="00AA7806"/>
    <w:rsid w:val="00AA795B"/>
    <w:rsid w:val="00AA79B0"/>
    <w:rsid w:val="00AA7AD7"/>
    <w:rsid w:val="00AA7BF6"/>
    <w:rsid w:val="00AA7D40"/>
    <w:rsid w:val="00AA7E72"/>
    <w:rsid w:val="00AB01D0"/>
    <w:rsid w:val="00AB03E2"/>
    <w:rsid w:val="00AB05E2"/>
    <w:rsid w:val="00AB0683"/>
    <w:rsid w:val="00AB0D94"/>
    <w:rsid w:val="00AB0EB8"/>
    <w:rsid w:val="00AB1156"/>
    <w:rsid w:val="00AB1224"/>
    <w:rsid w:val="00AB13C2"/>
    <w:rsid w:val="00AB145E"/>
    <w:rsid w:val="00AB14EC"/>
    <w:rsid w:val="00AB171F"/>
    <w:rsid w:val="00AB179B"/>
    <w:rsid w:val="00AB1813"/>
    <w:rsid w:val="00AB186C"/>
    <w:rsid w:val="00AB18DF"/>
    <w:rsid w:val="00AB197C"/>
    <w:rsid w:val="00AB199E"/>
    <w:rsid w:val="00AB1D3F"/>
    <w:rsid w:val="00AB1F0E"/>
    <w:rsid w:val="00AB1FDD"/>
    <w:rsid w:val="00AB1FF9"/>
    <w:rsid w:val="00AB20F8"/>
    <w:rsid w:val="00AB2132"/>
    <w:rsid w:val="00AB256A"/>
    <w:rsid w:val="00AB2635"/>
    <w:rsid w:val="00AB2661"/>
    <w:rsid w:val="00AB266B"/>
    <w:rsid w:val="00AB2A3C"/>
    <w:rsid w:val="00AB2CE3"/>
    <w:rsid w:val="00AB2D36"/>
    <w:rsid w:val="00AB2DA9"/>
    <w:rsid w:val="00AB3133"/>
    <w:rsid w:val="00AB3230"/>
    <w:rsid w:val="00AB34E5"/>
    <w:rsid w:val="00AB3518"/>
    <w:rsid w:val="00AB3656"/>
    <w:rsid w:val="00AB38BE"/>
    <w:rsid w:val="00AB3990"/>
    <w:rsid w:val="00AB3AA9"/>
    <w:rsid w:val="00AB3BA3"/>
    <w:rsid w:val="00AB3C88"/>
    <w:rsid w:val="00AB3E69"/>
    <w:rsid w:val="00AB3F1B"/>
    <w:rsid w:val="00AB4069"/>
    <w:rsid w:val="00AB4166"/>
    <w:rsid w:val="00AB419B"/>
    <w:rsid w:val="00AB41D3"/>
    <w:rsid w:val="00AB42E4"/>
    <w:rsid w:val="00AB435B"/>
    <w:rsid w:val="00AB4576"/>
    <w:rsid w:val="00AB4CB7"/>
    <w:rsid w:val="00AB4D66"/>
    <w:rsid w:val="00AB5052"/>
    <w:rsid w:val="00AB50DA"/>
    <w:rsid w:val="00AB51DD"/>
    <w:rsid w:val="00AB528B"/>
    <w:rsid w:val="00AB5393"/>
    <w:rsid w:val="00AB5560"/>
    <w:rsid w:val="00AB58BA"/>
    <w:rsid w:val="00AB5D1E"/>
    <w:rsid w:val="00AB5E5C"/>
    <w:rsid w:val="00AB5E9A"/>
    <w:rsid w:val="00AB5E9F"/>
    <w:rsid w:val="00AB631C"/>
    <w:rsid w:val="00AB63A0"/>
    <w:rsid w:val="00AB63F9"/>
    <w:rsid w:val="00AB65EC"/>
    <w:rsid w:val="00AB66D6"/>
    <w:rsid w:val="00AB66F8"/>
    <w:rsid w:val="00AB675A"/>
    <w:rsid w:val="00AB6D87"/>
    <w:rsid w:val="00AB6F91"/>
    <w:rsid w:val="00AB7270"/>
    <w:rsid w:val="00AB76CC"/>
    <w:rsid w:val="00AB76CD"/>
    <w:rsid w:val="00AB7A2B"/>
    <w:rsid w:val="00AB7C0F"/>
    <w:rsid w:val="00AC0157"/>
    <w:rsid w:val="00AC016E"/>
    <w:rsid w:val="00AC01C2"/>
    <w:rsid w:val="00AC0753"/>
    <w:rsid w:val="00AC0961"/>
    <w:rsid w:val="00AC0987"/>
    <w:rsid w:val="00AC0B12"/>
    <w:rsid w:val="00AC0EC2"/>
    <w:rsid w:val="00AC0F58"/>
    <w:rsid w:val="00AC14CE"/>
    <w:rsid w:val="00AC153F"/>
    <w:rsid w:val="00AC16DE"/>
    <w:rsid w:val="00AC1A46"/>
    <w:rsid w:val="00AC1A5C"/>
    <w:rsid w:val="00AC1B9A"/>
    <w:rsid w:val="00AC1BA8"/>
    <w:rsid w:val="00AC257A"/>
    <w:rsid w:val="00AC261E"/>
    <w:rsid w:val="00AC2788"/>
    <w:rsid w:val="00AC2972"/>
    <w:rsid w:val="00AC2F1A"/>
    <w:rsid w:val="00AC3168"/>
    <w:rsid w:val="00AC33F4"/>
    <w:rsid w:val="00AC35F8"/>
    <w:rsid w:val="00AC3891"/>
    <w:rsid w:val="00AC3A81"/>
    <w:rsid w:val="00AC3D2D"/>
    <w:rsid w:val="00AC3FEE"/>
    <w:rsid w:val="00AC410F"/>
    <w:rsid w:val="00AC46AC"/>
    <w:rsid w:val="00AC48B4"/>
    <w:rsid w:val="00AC48C0"/>
    <w:rsid w:val="00AC4900"/>
    <w:rsid w:val="00AC4B5D"/>
    <w:rsid w:val="00AC4D13"/>
    <w:rsid w:val="00AC4E72"/>
    <w:rsid w:val="00AC511B"/>
    <w:rsid w:val="00AC544F"/>
    <w:rsid w:val="00AC55E8"/>
    <w:rsid w:val="00AC57C8"/>
    <w:rsid w:val="00AC583B"/>
    <w:rsid w:val="00AC58FC"/>
    <w:rsid w:val="00AC595C"/>
    <w:rsid w:val="00AC59D0"/>
    <w:rsid w:val="00AC5C5C"/>
    <w:rsid w:val="00AC5D04"/>
    <w:rsid w:val="00AC5EBD"/>
    <w:rsid w:val="00AC627E"/>
    <w:rsid w:val="00AC644B"/>
    <w:rsid w:val="00AC659A"/>
    <w:rsid w:val="00AC676F"/>
    <w:rsid w:val="00AC6DFB"/>
    <w:rsid w:val="00AC6EAA"/>
    <w:rsid w:val="00AC6F31"/>
    <w:rsid w:val="00AC70E5"/>
    <w:rsid w:val="00AC72F2"/>
    <w:rsid w:val="00AC7396"/>
    <w:rsid w:val="00AC75CD"/>
    <w:rsid w:val="00AC777C"/>
    <w:rsid w:val="00AC78D5"/>
    <w:rsid w:val="00AC7D76"/>
    <w:rsid w:val="00AC7E5A"/>
    <w:rsid w:val="00AD0735"/>
    <w:rsid w:val="00AD0761"/>
    <w:rsid w:val="00AD0A08"/>
    <w:rsid w:val="00AD0A43"/>
    <w:rsid w:val="00AD0B2C"/>
    <w:rsid w:val="00AD0BCE"/>
    <w:rsid w:val="00AD0C04"/>
    <w:rsid w:val="00AD0C6B"/>
    <w:rsid w:val="00AD0E92"/>
    <w:rsid w:val="00AD100A"/>
    <w:rsid w:val="00AD1078"/>
    <w:rsid w:val="00AD17D2"/>
    <w:rsid w:val="00AD1A0A"/>
    <w:rsid w:val="00AD1AD5"/>
    <w:rsid w:val="00AD1B60"/>
    <w:rsid w:val="00AD1F11"/>
    <w:rsid w:val="00AD20DD"/>
    <w:rsid w:val="00AD232F"/>
    <w:rsid w:val="00AD251A"/>
    <w:rsid w:val="00AD2581"/>
    <w:rsid w:val="00AD2719"/>
    <w:rsid w:val="00AD2721"/>
    <w:rsid w:val="00AD27F0"/>
    <w:rsid w:val="00AD2ACA"/>
    <w:rsid w:val="00AD2BD8"/>
    <w:rsid w:val="00AD2C86"/>
    <w:rsid w:val="00AD2CD3"/>
    <w:rsid w:val="00AD30B2"/>
    <w:rsid w:val="00AD32FA"/>
    <w:rsid w:val="00AD3714"/>
    <w:rsid w:val="00AD3868"/>
    <w:rsid w:val="00AD3BC6"/>
    <w:rsid w:val="00AD3D6B"/>
    <w:rsid w:val="00AD3D9D"/>
    <w:rsid w:val="00AD42B5"/>
    <w:rsid w:val="00AD464D"/>
    <w:rsid w:val="00AD466B"/>
    <w:rsid w:val="00AD4792"/>
    <w:rsid w:val="00AD48BE"/>
    <w:rsid w:val="00AD4942"/>
    <w:rsid w:val="00AD4A5C"/>
    <w:rsid w:val="00AD4FB0"/>
    <w:rsid w:val="00AD4FE8"/>
    <w:rsid w:val="00AD56BD"/>
    <w:rsid w:val="00AD58D5"/>
    <w:rsid w:val="00AD5A8F"/>
    <w:rsid w:val="00AD5D1E"/>
    <w:rsid w:val="00AD5E69"/>
    <w:rsid w:val="00AD5EDA"/>
    <w:rsid w:val="00AD5F8D"/>
    <w:rsid w:val="00AD618A"/>
    <w:rsid w:val="00AD6667"/>
    <w:rsid w:val="00AD671D"/>
    <w:rsid w:val="00AD6846"/>
    <w:rsid w:val="00AD698C"/>
    <w:rsid w:val="00AD6A0F"/>
    <w:rsid w:val="00AD70DB"/>
    <w:rsid w:val="00AD7623"/>
    <w:rsid w:val="00AD7624"/>
    <w:rsid w:val="00AD788D"/>
    <w:rsid w:val="00AD7AA1"/>
    <w:rsid w:val="00AE0000"/>
    <w:rsid w:val="00AE0343"/>
    <w:rsid w:val="00AE04B4"/>
    <w:rsid w:val="00AE0819"/>
    <w:rsid w:val="00AE086C"/>
    <w:rsid w:val="00AE09EA"/>
    <w:rsid w:val="00AE0B88"/>
    <w:rsid w:val="00AE11BB"/>
    <w:rsid w:val="00AE11E3"/>
    <w:rsid w:val="00AE1319"/>
    <w:rsid w:val="00AE13C7"/>
    <w:rsid w:val="00AE14D0"/>
    <w:rsid w:val="00AE16EC"/>
    <w:rsid w:val="00AE1C8D"/>
    <w:rsid w:val="00AE1CC2"/>
    <w:rsid w:val="00AE1FC1"/>
    <w:rsid w:val="00AE1FCA"/>
    <w:rsid w:val="00AE22C5"/>
    <w:rsid w:val="00AE2389"/>
    <w:rsid w:val="00AE254F"/>
    <w:rsid w:val="00AE2643"/>
    <w:rsid w:val="00AE2CD2"/>
    <w:rsid w:val="00AE2EE1"/>
    <w:rsid w:val="00AE300C"/>
    <w:rsid w:val="00AE31D9"/>
    <w:rsid w:val="00AE3396"/>
    <w:rsid w:val="00AE33B9"/>
    <w:rsid w:val="00AE3648"/>
    <w:rsid w:val="00AE3859"/>
    <w:rsid w:val="00AE386F"/>
    <w:rsid w:val="00AE3992"/>
    <w:rsid w:val="00AE3A2D"/>
    <w:rsid w:val="00AE3B13"/>
    <w:rsid w:val="00AE3C83"/>
    <w:rsid w:val="00AE41E9"/>
    <w:rsid w:val="00AE4326"/>
    <w:rsid w:val="00AE438F"/>
    <w:rsid w:val="00AE47DA"/>
    <w:rsid w:val="00AE4925"/>
    <w:rsid w:val="00AE4A0C"/>
    <w:rsid w:val="00AE4A3D"/>
    <w:rsid w:val="00AE5092"/>
    <w:rsid w:val="00AE50BD"/>
    <w:rsid w:val="00AE5277"/>
    <w:rsid w:val="00AE52D4"/>
    <w:rsid w:val="00AE549C"/>
    <w:rsid w:val="00AE55D7"/>
    <w:rsid w:val="00AE5730"/>
    <w:rsid w:val="00AE587E"/>
    <w:rsid w:val="00AE5B2B"/>
    <w:rsid w:val="00AE5E07"/>
    <w:rsid w:val="00AE5F5A"/>
    <w:rsid w:val="00AE6170"/>
    <w:rsid w:val="00AE61BC"/>
    <w:rsid w:val="00AE6269"/>
    <w:rsid w:val="00AE6351"/>
    <w:rsid w:val="00AE65E9"/>
    <w:rsid w:val="00AE66C6"/>
    <w:rsid w:val="00AE6727"/>
    <w:rsid w:val="00AE676F"/>
    <w:rsid w:val="00AE6943"/>
    <w:rsid w:val="00AE779B"/>
    <w:rsid w:val="00AE781A"/>
    <w:rsid w:val="00AE78A8"/>
    <w:rsid w:val="00AE7B27"/>
    <w:rsid w:val="00AE7B86"/>
    <w:rsid w:val="00AE7C67"/>
    <w:rsid w:val="00AE7C6B"/>
    <w:rsid w:val="00AE7D10"/>
    <w:rsid w:val="00AF003B"/>
    <w:rsid w:val="00AF01F8"/>
    <w:rsid w:val="00AF029E"/>
    <w:rsid w:val="00AF046D"/>
    <w:rsid w:val="00AF0D14"/>
    <w:rsid w:val="00AF0FB5"/>
    <w:rsid w:val="00AF1092"/>
    <w:rsid w:val="00AF1692"/>
    <w:rsid w:val="00AF1898"/>
    <w:rsid w:val="00AF1CDC"/>
    <w:rsid w:val="00AF1FA4"/>
    <w:rsid w:val="00AF22EF"/>
    <w:rsid w:val="00AF22FD"/>
    <w:rsid w:val="00AF2305"/>
    <w:rsid w:val="00AF23EC"/>
    <w:rsid w:val="00AF28C5"/>
    <w:rsid w:val="00AF2A93"/>
    <w:rsid w:val="00AF2C0E"/>
    <w:rsid w:val="00AF316D"/>
    <w:rsid w:val="00AF377F"/>
    <w:rsid w:val="00AF37B3"/>
    <w:rsid w:val="00AF3878"/>
    <w:rsid w:val="00AF3C00"/>
    <w:rsid w:val="00AF3D7E"/>
    <w:rsid w:val="00AF3E2E"/>
    <w:rsid w:val="00AF402F"/>
    <w:rsid w:val="00AF4050"/>
    <w:rsid w:val="00AF4426"/>
    <w:rsid w:val="00AF4553"/>
    <w:rsid w:val="00AF46AA"/>
    <w:rsid w:val="00AF4820"/>
    <w:rsid w:val="00AF4C95"/>
    <w:rsid w:val="00AF571C"/>
    <w:rsid w:val="00AF5B5F"/>
    <w:rsid w:val="00AF5D98"/>
    <w:rsid w:val="00AF5E4E"/>
    <w:rsid w:val="00AF5EA8"/>
    <w:rsid w:val="00AF5FD3"/>
    <w:rsid w:val="00AF60E6"/>
    <w:rsid w:val="00AF6100"/>
    <w:rsid w:val="00AF6360"/>
    <w:rsid w:val="00AF63C5"/>
    <w:rsid w:val="00AF646D"/>
    <w:rsid w:val="00AF6579"/>
    <w:rsid w:val="00AF69B3"/>
    <w:rsid w:val="00AF6C84"/>
    <w:rsid w:val="00AF6CD5"/>
    <w:rsid w:val="00AF6E63"/>
    <w:rsid w:val="00AF7151"/>
    <w:rsid w:val="00AF7307"/>
    <w:rsid w:val="00AF735D"/>
    <w:rsid w:val="00AF73D7"/>
    <w:rsid w:val="00AF7485"/>
    <w:rsid w:val="00AF76A1"/>
    <w:rsid w:val="00AF77C6"/>
    <w:rsid w:val="00AF7D27"/>
    <w:rsid w:val="00AF7F42"/>
    <w:rsid w:val="00B0011E"/>
    <w:rsid w:val="00B0032B"/>
    <w:rsid w:val="00B0045C"/>
    <w:rsid w:val="00B0053D"/>
    <w:rsid w:val="00B006BA"/>
    <w:rsid w:val="00B0072B"/>
    <w:rsid w:val="00B00A48"/>
    <w:rsid w:val="00B00A77"/>
    <w:rsid w:val="00B00D71"/>
    <w:rsid w:val="00B00E53"/>
    <w:rsid w:val="00B0101E"/>
    <w:rsid w:val="00B010D7"/>
    <w:rsid w:val="00B012ED"/>
    <w:rsid w:val="00B0157F"/>
    <w:rsid w:val="00B0175A"/>
    <w:rsid w:val="00B01905"/>
    <w:rsid w:val="00B01B25"/>
    <w:rsid w:val="00B01BD2"/>
    <w:rsid w:val="00B020A1"/>
    <w:rsid w:val="00B0250C"/>
    <w:rsid w:val="00B028B9"/>
    <w:rsid w:val="00B02979"/>
    <w:rsid w:val="00B02AEB"/>
    <w:rsid w:val="00B02CBA"/>
    <w:rsid w:val="00B02DCB"/>
    <w:rsid w:val="00B03241"/>
    <w:rsid w:val="00B032B2"/>
    <w:rsid w:val="00B03380"/>
    <w:rsid w:val="00B0340B"/>
    <w:rsid w:val="00B03958"/>
    <w:rsid w:val="00B03A57"/>
    <w:rsid w:val="00B03DFB"/>
    <w:rsid w:val="00B041F1"/>
    <w:rsid w:val="00B04294"/>
    <w:rsid w:val="00B04411"/>
    <w:rsid w:val="00B044AD"/>
    <w:rsid w:val="00B044C6"/>
    <w:rsid w:val="00B04569"/>
    <w:rsid w:val="00B0458F"/>
    <w:rsid w:val="00B04814"/>
    <w:rsid w:val="00B04ECC"/>
    <w:rsid w:val="00B04EDF"/>
    <w:rsid w:val="00B04EF1"/>
    <w:rsid w:val="00B050AE"/>
    <w:rsid w:val="00B0510E"/>
    <w:rsid w:val="00B05270"/>
    <w:rsid w:val="00B052EB"/>
    <w:rsid w:val="00B05751"/>
    <w:rsid w:val="00B05898"/>
    <w:rsid w:val="00B05B1C"/>
    <w:rsid w:val="00B05B83"/>
    <w:rsid w:val="00B05C55"/>
    <w:rsid w:val="00B05E1B"/>
    <w:rsid w:val="00B064B0"/>
    <w:rsid w:val="00B065C8"/>
    <w:rsid w:val="00B06750"/>
    <w:rsid w:val="00B068D0"/>
    <w:rsid w:val="00B069ED"/>
    <w:rsid w:val="00B06A27"/>
    <w:rsid w:val="00B06D09"/>
    <w:rsid w:val="00B06E21"/>
    <w:rsid w:val="00B06F57"/>
    <w:rsid w:val="00B070AE"/>
    <w:rsid w:val="00B07359"/>
    <w:rsid w:val="00B0748D"/>
    <w:rsid w:val="00B07630"/>
    <w:rsid w:val="00B0773A"/>
    <w:rsid w:val="00B077E4"/>
    <w:rsid w:val="00B07B97"/>
    <w:rsid w:val="00B07E20"/>
    <w:rsid w:val="00B07F5E"/>
    <w:rsid w:val="00B07FBE"/>
    <w:rsid w:val="00B100C8"/>
    <w:rsid w:val="00B10341"/>
    <w:rsid w:val="00B104BB"/>
    <w:rsid w:val="00B10592"/>
    <w:rsid w:val="00B10610"/>
    <w:rsid w:val="00B1071C"/>
    <w:rsid w:val="00B10F84"/>
    <w:rsid w:val="00B11081"/>
    <w:rsid w:val="00B110A7"/>
    <w:rsid w:val="00B110AD"/>
    <w:rsid w:val="00B11339"/>
    <w:rsid w:val="00B113CD"/>
    <w:rsid w:val="00B11494"/>
    <w:rsid w:val="00B117C6"/>
    <w:rsid w:val="00B1183C"/>
    <w:rsid w:val="00B11FF2"/>
    <w:rsid w:val="00B120DE"/>
    <w:rsid w:val="00B121FE"/>
    <w:rsid w:val="00B12236"/>
    <w:rsid w:val="00B122FC"/>
    <w:rsid w:val="00B12421"/>
    <w:rsid w:val="00B126EE"/>
    <w:rsid w:val="00B1272A"/>
    <w:rsid w:val="00B12965"/>
    <w:rsid w:val="00B12A99"/>
    <w:rsid w:val="00B12BBD"/>
    <w:rsid w:val="00B12CBB"/>
    <w:rsid w:val="00B12D1F"/>
    <w:rsid w:val="00B1318A"/>
    <w:rsid w:val="00B13304"/>
    <w:rsid w:val="00B1332C"/>
    <w:rsid w:val="00B1351C"/>
    <w:rsid w:val="00B13533"/>
    <w:rsid w:val="00B13548"/>
    <w:rsid w:val="00B13564"/>
    <w:rsid w:val="00B13E99"/>
    <w:rsid w:val="00B13F6F"/>
    <w:rsid w:val="00B13FBD"/>
    <w:rsid w:val="00B141B0"/>
    <w:rsid w:val="00B14360"/>
    <w:rsid w:val="00B143B2"/>
    <w:rsid w:val="00B147F1"/>
    <w:rsid w:val="00B14922"/>
    <w:rsid w:val="00B149E1"/>
    <w:rsid w:val="00B14A05"/>
    <w:rsid w:val="00B14C8B"/>
    <w:rsid w:val="00B14D12"/>
    <w:rsid w:val="00B14ECD"/>
    <w:rsid w:val="00B1504B"/>
    <w:rsid w:val="00B15442"/>
    <w:rsid w:val="00B154C3"/>
    <w:rsid w:val="00B15B62"/>
    <w:rsid w:val="00B15FBC"/>
    <w:rsid w:val="00B163E5"/>
    <w:rsid w:val="00B167AC"/>
    <w:rsid w:val="00B16A20"/>
    <w:rsid w:val="00B16B20"/>
    <w:rsid w:val="00B16B21"/>
    <w:rsid w:val="00B16C03"/>
    <w:rsid w:val="00B16C6A"/>
    <w:rsid w:val="00B16F8C"/>
    <w:rsid w:val="00B17028"/>
    <w:rsid w:val="00B17056"/>
    <w:rsid w:val="00B17329"/>
    <w:rsid w:val="00B178A2"/>
    <w:rsid w:val="00B17A17"/>
    <w:rsid w:val="00B17B67"/>
    <w:rsid w:val="00B17F47"/>
    <w:rsid w:val="00B200FE"/>
    <w:rsid w:val="00B20403"/>
    <w:rsid w:val="00B208D6"/>
    <w:rsid w:val="00B20A02"/>
    <w:rsid w:val="00B20E3F"/>
    <w:rsid w:val="00B21086"/>
    <w:rsid w:val="00B210E7"/>
    <w:rsid w:val="00B21335"/>
    <w:rsid w:val="00B2182F"/>
    <w:rsid w:val="00B21A58"/>
    <w:rsid w:val="00B21D09"/>
    <w:rsid w:val="00B21FF2"/>
    <w:rsid w:val="00B2222C"/>
    <w:rsid w:val="00B22328"/>
    <w:rsid w:val="00B22420"/>
    <w:rsid w:val="00B22910"/>
    <w:rsid w:val="00B22960"/>
    <w:rsid w:val="00B229C1"/>
    <w:rsid w:val="00B22B50"/>
    <w:rsid w:val="00B22D10"/>
    <w:rsid w:val="00B22DE4"/>
    <w:rsid w:val="00B23045"/>
    <w:rsid w:val="00B233CA"/>
    <w:rsid w:val="00B235DD"/>
    <w:rsid w:val="00B237D7"/>
    <w:rsid w:val="00B23BFD"/>
    <w:rsid w:val="00B23C11"/>
    <w:rsid w:val="00B23DC6"/>
    <w:rsid w:val="00B24424"/>
    <w:rsid w:val="00B245C3"/>
    <w:rsid w:val="00B248E3"/>
    <w:rsid w:val="00B24A71"/>
    <w:rsid w:val="00B24A76"/>
    <w:rsid w:val="00B24F9D"/>
    <w:rsid w:val="00B25147"/>
    <w:rsid w:val="00B2518C"/>
    <w:rsid w:val="00B2559B"/>
    <w:rsid w:val="00B25927"/>
    <w:rsid w:val="00B25D95"/>
    <w:rsid w:val="00B25D99"/>
    <w:rsid w:val="00B2607A"/>
    <w:rsid w:val="00B26193"/>
    <w:rsid w:val="00B261AC"/>
    <w:rsid w:val="00B261DF"/>
    <w:rsid w:val="00B26221"/>
    <w:rsid w:val="00B26224"/>
    <w:rsid w:val="00B2646C"/>
    <w:rsid w:val="00B26537"/>
    <w:rsid w:val="00B26668"/>
    <w:rsid w:val="00B266E1"/>
    <w:rsid w:val="00B26935"/>
    <w:rsid w:val="00B269E3"/>
    <w:rsid w:val="00B26A46"/>
    <w:rsid w:val="00B26A57"/>
    <w:rsid w:val="00B26ADA"/>
    <w:rsid w:val="00B26B5C"/>
    <w:rsid w:val="00B26C60"/>
    <w:rsid w:val="00B26CD1"/>
    <w:rsid w:val="00B26CDA"/>
    <w:rsid w:val="00B2701F"/>
    <w:rsid w:val="00B273DE"/>
    <w:rsid w:val="00B27A34"/>
    <w:rsid w:val="00B27BAD"/>
    <w:rsid w:val="00B27EDF"/>
    <w:rsid w:val="00B303E2"/>
    <w:rsid w:val="00B305AB"/>
    <w:rsid w:val="00B308E3"/>
    <w:rsid w:val="00B30930"/>
    <w:rsid w:val="00B30B35"/>
    <w:rsid w:val="00B30B9D"/>
    <w:rsid w:val="00B30C01"/>
    <w:rsid w:val="00B30C26"/>
    <w:rsid w:val="00B30EFA"/>
    <w:rsid w:val="00B30FE5"/>
    <w:rsid w:val="00B31402"/>
    <w:rsid w:val="00B3147D"/>
    <w:rsid w:val="00B31855"/>
    <w:rsid w:val="00B31870"/>
    <w:rsid w:val="00B31C46"/>
    <w:rsid w:val="00B31C59"/>
    <w:rsid w:val="00B31FEE"/>
    <w:rsid w:val="00B32406"/>
    <w:rsid w:val="00B32B36"/>
    <w:rsid w:val="00B32C1C"/>
    <w:rsid w:val="00B32D16"/>
    <w:rsid w:val="00B3351C"/>
    <w:rsid w:val="00B3363B"/>
    <w:rsid w:val="00B33657"/>
    <w:rsid w:val="00B339BA"/>
    <w:rsid w:val="00B33DCE"/>
    <w:rsid w:val="00B33DDE"/>
    <w:rsid w:val="00B340B5"/>
    <w:rsid w:val="00B341F3"/>
    <w:rsid w:val="00B34272"/>
    <w:rsid w:val="00B344C2"/>
    <w:rsid w:val="00B34709"/>
    <w:rsid w:val="00B34751"/>
    <w:rsid w:val="00B347ED"/>
    <w:rsid w:val="00B34A9C"/>
    <w:rsid w:val="00B34E49"/>
    <w:rsid w:val="00B34F63"/>
    <w:rsid w:val="00B3542B"/>
    <w:rsid w:val="00B35490"/>
    <w:rsid w:val="00B35670"/>
    <w:rsid w:val="00B357AB"/>
    <w:rsid w:val="00B35C4B"/>
    <w:rsid w:val="00B35D48"/>
    <w:rsid w:val="00B35EE0"/>
    <w:rsid w:val="00B36126"/>
    <w:rsid w:val="00B362F5"/>
    <w:rsid w:val="00B365AC"/>
    <w:rsid w:val="00B36747"/>
    <w:rsid w:val="00B36934"/>
    <w:rsid w:val="00B36C4B"/>
    <w:rsid w:val="00B36D21"/>
    <w:rsid w:val="00B36F90"/>
    <w:rsid w:val="00B3715A"/>
    <w:rsid w:val="00B3765E"/>
    <w:rsid w:val="00B378DE"/>
    <w:rsid w:val="00B37D67"/>
    <w:rsid w:val="00B4012B"/>
    <w:rsid w:val="00B401A5"/>
    <w:rsid w:val="00B40369"/>
    <w:rsid w:val="00B403A9"/>
    <w:rsid w:val="00B40B54"/>
    <w:rsid w:val="00B40EDB"/>
    <w:rsid w:val="00B4111D"/>
    <w:rsid w:val="00B411E7"/>
    <w:rsid w:val="00B4124F"/>
    <w:rsid w:val="00B4161C"/>
    <w:rsid w:val="00B41861"/>
    <w:rsid w:val="00B41B38"/>
    <w:rsid w:val="00B41E0B"/>
    <w:rsid w:val="00B4219F"/>
    <w:rsid w:val="00B4234C"/>
    <w:rsid w:val="00B423B8"/>
    <w:rsid w:val="00B42510"/>
    <w:rsid w:val="00B42C6E"/>
    <w:rsid w:val="00B42D9C"/>
    <w:rsid w:val="00B43015"/>
    <w:rsid w:val="00B43126"/>
    <w:rsid w:val="00B43254"/>
    <w:rsid w:val="00B435FD"/>
    <w:rsid w:val="00B4385A"/>
    <w:rsid w:val="00B43961"/>
    <w:rsid w:val="00B43975"/>
    <w:rsid w:val="00B43C96"/>
    <w:rsid w:val="00B44073"/>
    <w:rsid w:val="00B4430F"/>
    <w:rsid w:val="00B44359"/>
    <w:rsid w:val="00B444AE"/>
    <w:rsid w:val="00B447CB"/>
    <w:rsid w:val="00B44A8E"/>
    <w:rsid w:val="00B44C4B"/>
    <w:rsid w:val="00B44E8B"/>
    <w:rsid w:val="00B44FDE"/>
    <w:rsid w:val="00B45185"/>
    <w:rsid w:val="00B453E4"/>
    <w:rsid w:val="00B454C5"/>
    <w:rsid w:val="00B45513"/>
    <w:rsid w:val="00B455FF"/>
    <w:rsid w:val="00B45601"/>
    <w:rsid w:val="00B45D9D"/>
    <w:rsid w:val="00B45DD3"/>
    <w:rsid w:val="00B45DDC"/>
    <w:rsid w:val="00B45E3E"/>
    <w:rsid w:val="00B45E91"/>
    <w:rsid w:val="00B460EB"/>
    <w:rsid w:val="00B4668B"/>
    <w:rsid w:val="00B466CE"/>
    <w:rsid w:val="00B46BC3"/>
    <w:rsid w:val="00B46D3A"/>
    <w:rsid w:val="00B4705A"/>
    <w:rsid w:val="00B4717C"/>
    <w:rsid w:val="00B47247"/>
    <w:rsid w:val="00B4736D"/>
    <w:rsid w:val="00B47561"/>
    <w:rsid w:val="00B47AD8"/>
    <w:rsid w:val="00B47D08"/>
    <w:rsid w:val="00B50165"/>
    <w:rsid w:val="00B50242"/>
    <w:rsid w:val="00B5029A"/>
    <w:rsid w:val="00B50530"/>
    <w:rsid w:val="00B50776"/>
    <w:rsid w:val="00B50870"/>
    <w:rsid w:val="00B50AC8"/>
    <w:rsid w:val="00B50AD3"/>
    <w:rsid w:val="00B50E89"/>
    <w:rsid w:val="00B51172"/>
    <w:rsid w:val="00B51722"/>
    <w:rsid w:val="00B51AD1"/>
    <w:rsid w:val="00B51C60"/>
    <w:rsid w:val="00B51E85"/>
    <w:rsid w:val="00B51F77"/>
    <w:rsid w:val="00B5210B"/>
    <w:rsid w:val="00B526CB"/>
    <w:rsid w:val="00B5275C"/>
    <w:rsid w:val="00B527B8"/>
    <w:rsid w:val="00B52897"/>
    <w:rsid w:val="00B5297C"/>
    <w:rsid w:val="00B52C14"/>
    <w:rsid w:val="00B52CA2"/>
    <w:rsid w:val="00B52D14"/>
    <w:rsid w:val="00B52D89"/>
    <w:rsid w:val="00B52E38"/>
    <w:rsid w:val="00B52EDB"/>
    <w:rsid w:val="00B53081"/>
    <w:rsid w:val="00B531CD"/>
    <w:rsid w:val="00B53261"/>
    <w:rsid w:val="00B53406"/>
    <w:rsid w:val="00B5370B"/>
    <w:rsid w:val="00B5371F"/>
    <w:rsid w:val="00B53806"/>
    <w:rsid w:val="00B53856"/>
    <w:rsid w:val="00B53968"/>
    <w:rsid w:val="00B53A21"/>
    <w:rsid w:val="00B53AF5"/>
    <w:rsid w:val="00B53B49"/>
    <w:rsid w:val="00B53FEF"/>
    <w:rsid w:val="00B540DA"/>
    <w:rsid w:val="00B54125"/>
    <w:rsid w:val="00B54390"/>
    <w:rsid w:val="00B54420"/>
    <w:rsid w:val="00B54561"/>
    <w:rsid w:val="00B548FA"/>
    <w:rsid w:val="00B54923"/>
    <w:rsid w:val="00B54A0A"/>
    <w:rsid w:val="00B54AAC"/>
    <w:rsid w:val="00B550CC"/>
    <w:rsid w:val="00B553D9"/>
    <w:rsid w:val="00B5544A"/>
    <w:rsid w:val="00B55907"/>
    <w:rsid w:val="00B55F65"/>
    <w:rsid w:val="00B56071"/>
    <w:rsid w:val="00B5615E"/>
    <w:rsid w:val="00B56666"/>
    <w:rsid w:val="00B56BF2"/>
    <w:rsid w:val="00B56C0D"/>
    <w:rsid w:val="00B56DB0"/>
    <w:rsid w:val="00B56FF3"/>
    <w:rsid w:val="00B57109"/>
    <w:rsid w:val="00B57401"/>
    <w:rsid w:val="00B577B3"/>
    <w:rsid w:val="00B57A5D"/>
    <w:rsid w:val="00B57AFD"/>
    <w:rsid w:val="00B57EA9"/>
    <w:rsid w:val="00B6002F"/>
    <w:rsid w:val="00B60479"/>
    <w:rsid w:val="00B6096E"/>
    <w:rsid w:val="00B60AB4"/>
    <w:rsid w:val="00B615AD"/>
    <w:rsid w:val="00B615B1"/>
    <w:rsid w:val="00B617B0"/>
    <w:rsid w:val="00B6195D"/>
    <w:rsid w:val="00B61B3C"/>
    <w:rsid w:val="00B61CA7"/>
    <w:rsid w:val="00B61D39"/>
    <w:rsid w:val="00B622CB"/>
    <w:rsid w:val="00B62310"/>
    <w:rsid w:val="00B624E3"/>
    <w:rsid w:val="00B626FD"/>
    <w:rsid w:val="00B62915"/>
    <w:rsid w:val="00B62970"/>
    <w:rsid w:val="00B62B94"/>
    <w:rsid w:val="00B62CD6"/>
    <w:rsid w:val="00B62DF5"/>
    <w:rsid w:val="00B62DFA"/>
    <w:rsid w:val="00B63130"/>
    <w:rsid w:val="00B633A6"/>
    <w:rsid w:val="00B63560"/>
    <w:rsid w:val="00B6376E"/>
    <w:rsid w:val="00B63B13"/>
    <w:rsid w:val="00B63F9F"/>
    <w:rsid w:val="00B64069"/>
    <w:rsid w:val="00B64153"/>
    <w:rsid w:val="00B64178"/>
    <w:rsid w:val="00B641F8"/>
    <w:rsid w:val="00B64399"/>
    <w:rsid w:val="00B64541"/>
    <w:rsid w:val="00B648D2"/>
    <w:rsid w:val="00B64C1A"/>
    <w:rsid w:val="00B64E7B"/>
    <w:rsid w:val="00B64E9F"/>
    <w:rsid w:val="00B64F5E"/>
    <w:rsid w:val="00B650B4"/>
    <w:rsid w:val="00B651F1"/>
    <w:rsid w:val="00B65346"/>
    <w:rsid w:val="00B65476"/>
    <w:rsid w:val="00B65CAC"/>
    <w:rsid w:val="00B65D6B"/>
    <w:rsid w:val="00B65DEF"/>
    <w:rsid w:val="00B66347"/>
    <w:rsid w:val="00B6634E"/>
    <w:rsid w:val="00B667C9"/>
    <w:rsid w:val="00B6684D"/>
    <w:rsid w:val="00B66D05"/>
    <w:rsid w:val="00B66D9C"/>
    <w:rsid w:val="00B6719A"/>
    <w:rsid w:val="00B671EC"/>
    <w:rsid w:val="00B6733F"/>
    <w:rsid w:val="00B6768D"/>
    <w:rsid w:val="00B67B7B"/>
    <w:rsid w:val="00B67CB3"/>
    <w:rsid w:val="00B67E5A"/>
    <w:rsid w:val="00B7018B"/>
    <w:rsid w:val="00B7021E"/>
    <w:rsid w:val="00B703A8"/>
    <w:rsid w:val="00B70BC6"/>
    <w:rsid w:val="00B715CC"/>
    <w:rsid w:val="00B71600"/>
    <w:rsid w:val="00B71A56"/>
    <w:rsid w:val="00B71C1B"/>
    <w:rsid w:val="00B71F9C"/>
    <w:rsid w:val="00B72022"/>
    <w:rsid w:val="00B7228A"/>
    <w:rsid w:val="00B7249D"/>
    <w:rsid w:val="00B728F6"/>
    <w:rsid w:val="00B72D9C"/>
    <w:rsid w:val="00B72E2F"/>
    <w:rsid w:val="00B72E5E"/>
    <w:rsid w:val="00B72E7B"/>
    <w:rsid w:val="00B72EC5"/>
    <w:rsid w:val="00B72FA6"/>
    <w:rsid w:val="00B732C5"/>
    <w:rsid w:val="00B737B1"/>
    <w:rsid w:val="00B73852"/>
    <w:rsid w:val="00B73AFD"/>
    <w:rsid w:val="00B73D40"/>
    <w:rsid w:val="00B73E34"/>
    <w:rsid w:val="00B73FCD"/>
    <w:rsid w:val="00B74096"/>
    <w:rsid w:val="00B74467"/>
    <w:rsid w:val="00B744E9"/>
    <w:rsid w:val="00B745BF"/>
    <w:rsid w:val="00B74657"/>
    <w:rsid w:val="00B74B1D"/>
    <w:rsid w:val="00B74BA8"/>
    <w:rsid w:val="00B74CE7"/>
    <w:rsid w:val="00B74E62"/>
    <w:rsid w:val="00B74FE0"/>
    <w:rsid w:val="00B752F3"/>
    <w:rsid w:val="00B75368"/>
    <w:rsid w:val="00B7552E"/>
    <w:rsid w:val="00B75762"/>
    <w:rsid w:val="00B758B5"/>
    <w:rsid w:val="00B7598B"/>
    <w:rsid w:val="00B75CDF"/>
    <w:rsid w:val="00B75E43"/>
    <w:rsid w:val="00B75EC7"/>
    <w:rsid w:val="00B75F8D"/>
    <w:rsid w:val="00B76015"/>
    <w:rsid w:val="00B76076"/>
    <w:rsid w:val="00B7662E"/>
    <w:rsid w:val="00B77311"/>
    <w:rsid w:val="00B7738A"/>
    <w:rsid w:val="00B7747C"/>
    <w:rsid w:val="00B777F8"/>
    <w:rsid w:val="00B77867"/>
    <w:rsid w:val="00B77B8B"/>
    <w:rsid w:val="00B77FE0"/>
    <w:rsid w:val="00B80296"/>
    <w:rsid w:val="00B8074B"/>
    <w:rsid w:val="00B8088F"/>
    <w:rsid w:val="00B80A60"/>
    <w:rsid w:val="00B80AF3"/>
    <w:rsid w:val="00B80C64"/>
    <w:rsid w:val="00B81055"/>
    <w:rsid w:val="00B81332"/>
    <w:rsid w:val="00B813E8"/>
    <w:rsid w:val="00B81479"/>
    <w:rsid w:val="00B816E9"/>
    <w:rsid w:val="00B81720"/>
    <w:rsid w:val="00B81985"/>
    <w:rsid w:val="00B819CA"/>
    <w:rsid w:val="00B81C00"/>
    <w:rsid w:val="00B81F1A"/>
    <w:rsid w:val="00B81F89"/>
    <w:rsid w:val="00B81FCB"/>
    <w:rsid w:val="00B82086"/>
    <w:rsid w:val="00B820A6"/>
    <w:rsid w:val="00B82283"/>
    <w:rsid w:val="00B82288"/>
    <w:rsid w:val="00B82849"/>
    <w:rsid w:val="00B82BDD"/>
    <w:rsid w:val="00B82EED"/>
    <w:rsid w:val="00B831BC"/>
    <w:rsid w:val="00B831FE"/>
    <w:rsid w:val="00B8343B"/>
    <w:rsid w:val="00B8344A"/>
    <w:rsid w:val="00B8374E"/>
    <w:rsid w:val="00B837FC"/>
    <w:rsid w:val="00B83B09"/>
    <w:rsid w:val="00B83BD4"/>
    <w:rsid w:val="00B83C22"/>
    <w:rsid w:val="00B8429D"/>
    <w:rsid w:val="00B8478E"/>
    <w:rsid w:val="00B84B4A"/>
    <w:rsid w:val="00B84BDD"/>
    <w:rsid w:val="00B84D1B"/>
    <w:rsid w:val="00B85470"/>
    <w:rsid w:val="00B85553"/>
    <w:rsid w:val="00B85555"/>
    <w:rsid w:val="00B8597C"/>
    <w:rsid w:val="00B85B10"/>
    <w:rsid w:val="00B85C66"/>
    <w:rsid w:val="00B86095"/>
    <w:rsid w:val="00B861BE"/>
    <w:rsid w:val="00B861CE"/>
    <w:rsid w:val="00B86622"/>
    <w:rsid w:val="00B86A7D"/>
    <w:rsid w:val="00B86AB7"/>
    <w:rsid w:val="00B86DB3"/>
    <w:rsid w:val="00B8708E"/>
    <w:rsid w:val="00B87192"/>
    <w:rsid w:val="00B8752F"/>
    <w:rsid w:val="00B8755C"/>
    <w:rsid w:val="00B8762F"/>
    <w:rsid w:val="00B876F7"/>
    <w:rsid w:val="00B87902"/>
    <w:rsid w:val="00B87A4A"/>
    <w:rsid w:val="00B90793"/>
    <w:rsid w:val="00B90922"/>
    <w:rsid w:val="00B911D9"/>
    <w:rsid w:val="00B91263"/>
    <w:rsid w:val="00B913D9"/>
    <w:rsid w:val="00B91532"/>
    <w:rsid w:val="00B91EE0"/>
    <w:rsid w:val="00B920A0"/>
    <w:rsid w:val="00B92310"/>
    <w:rsid w:val="00B9235F"/>
    <w:rsid w:val="00B923ED"/>
    <w:rsid w:val="00B9241A"/>
    <w:rsid w:val="00B9242F"/>
    <w:rsid w:val="00B924FD"/>
    <w:rsid w:val="00B9266C"/>
    <w:rsid w:val="00B927E5"/>
    <w:rsid w:val="00B928A7"/>
    <w:rsid w:val="00B928CA"/>
    <w:rsid w:val="00B92B05"/>
    <w:rsid w:val="00B92D98"/>
    <w:rsid w:val="00B92F33"/>
    <w:rsid w:val="00B930C5"/>
    <w:rsid w:val="00B93351"/>
    <w:rsid w:val="00B935C9"/>
    <w:rsid w:val="00B9387F"/>
    <w:rsid w:val="00B93A21"/>
    <w:rsid w:val="00B93A4E"/>
    <w:rsid w:val="00B93B87"/>
    <w:rsid w:val="00B94033"/>
    <w:rsid w:val="00B94099"/>
    <w:rsid w:val="00B94141"/>
    <w:rsid w:val="00B94440"/>
    <w:rsid w:val="00B9490A"/>
    <w:rsid w:val="00B94A9E"/>
    <w:rsid w:val="00B94ADE"/>
    <w:rsid w:val="00B94E09"/>
    <w:rsid w:val="00B94FEB"/>
    <w:rsid w:val="00B9500F"/>
    <w:rsid w:val="00B950B3"/>
    <w:rsid w:val="00B95116"/>
    <w:rsid w:val="00B954E8"/>
    <w:rsid w:val="00B95612"/>
    <w:rsid w:val="00B95768"/>
    <w:rsid w:val="00B9589F"/>
    <w:rsid w:val="00B9590C"/>
    <w:rsid w:val="00B95DAE"/>
    <w:rsid w:val="00B95DBD"/>
    <w:rsid w:val="00B961D7"/>
    <w:rsid w:val="00B96214"/>
    <w:rsid w:val="00B965EA"/>
    <w:rsid w:val="00B966CC"/>
    <w:rsid w:val="00B9695D"/>
    <w:rsid w:val="00B9700B"/>
    <w:rsid w:val="00B9715A"/>
    <w:rsid w:val="00B975F3"/>
    <w:rsid w:val="00B97A57"/>
    <w:rsid w:val="00B97B6D"/>
    <w:rsid w:val="00BA0003"/>
    <w:rsid w:val="00BA018A"/>
    <w:rsid w:val="00BA01A3"/>
    <w:rsid w:val="00BA0396"/>
    <w:rsid w:val="00BA03D8"/>
    <w:rsid w:val="00BA04ED"/>
    <w:rsid w:val="00BA0BDA"/>
    <w:rsid w:val="00BA0CAD"/>
    <w:rsid w:val="00BA1766"/>
    <w:rsid w:val="00BA17D6"/>
    <w:rsid w:val="00BA1A74"/>
    <w:rsid w:val="00BA1DD5"/>
    <w:rsid w:val="00BA1E11"/>
    <w:rsid w:val="00BA21A3"/>
    <w:rsid w:val="00BA2312"/>
    <w:rsid w:val="00BA2454"/>
    <w:rsid w:val="00BA246D"/>
    <w:rsid w:val="00BA25C0"/>
    <w:rsid w:val="00BA27C3"/>
    <w:rsid w:val="00BA28A0"/>
    <w:rsid w:val="00BA28BC"/>
    <w:rsid w:val="00BA2908"/>
    <w:rsid w:val="00BA2B09"/>
    <w:rsid w:val="00BA2BAE"/>
    <w:rsid w:val="00BA305F"/>
    <w:rsid w:val="00BA3142"/>
    <w:rsid w:val="00BA31BB"/>
    <w:rsid w:val="00BA3419"/>
    <w:rsid w:val="00BA3471"/>
    <w:rsid w:val="00BA3B9A"/>
    <w:rsid w:val="00BA43AC"/>
    <w:rsid w:val="00BA4409"/>
    <w:rsid w:val="00BA456D"/>
    <w:rsid w:val="00BA4686"/>
    <w:rsid w:val="00BA4D64"/>
    <w:rsid w:val="00BA4D6C"/>
    <w:rsid w:val="00BA4DD0"/>
    <w:rsid w:val="00BA56A1"/>
    <w:rsid w:val="00BA57E5"/>
    <w:rsid w:val="00BA5A58"/>
    <w:rsid w:val="00BA5AEE"/>
    <w:rsid w:val="00BA6057"/>
    <w:rsid w:val="00BA6092"/>
    <w:rsid w:val="00BA6BF7"/>
    <w:rsid w:val="00BA6C63"/>
    <w:rsid w:val="00BA6C71"/>
    <w:rsid w:val="00BA6E9F"/>
    <w:rsid w:val="00BA6F21"/>
    <w:rsid w:val="00BA77E8"/>
    <w:rsid w:val="00BA78F7"/>
    <w:rsid w:val="00BA79C0"/>
    <w:rsid w:val="00BA7A21"/>
    <w:rsid w:val="00BA7A31"/>
    <w:rsid w:val="00BA7BEF"/>
    <w:rsid w:val="00BB0B42"/>
    <w:rsid w:val="00BB0B70"/>
    <w:rsid w:val="00BB0F3D"/>
    <w:rsid w:val="00BB10AC"/>
    <w:rsid w:val="00BB1782"/>
    <w:rsid w:val="00BB1975"/>
    <w:rsid w:val="00BB1ABE"/>
    <w:rsid w:val="00BB1B6E"/>
    <w:rsid w:val="00BB2155"/>
    <w:rsid w:val="00BB227A"/>
    <w:rsid w:val="00BB238C"/>
    <w:rsid w:val="00BB23EE"/>
    <w:rsid w:val="00BB23F7"/>
    <w:rsid w:val="00BB258A"/>
    <w:rsid w:val="00BB277E"/>
    <w:rsid w:val="00BB2844"/>
    <w:rsid w:val="00BB285C"/>
    <w:rsid w:val="00BB2938"/>
    <w:rsid w:val="00BB2B10"/>
    <w:rsid w:val="00BB2E59"/>
    <w:rsid w:val="00BB2F23"/>
    <w:rsid w:val="00BB34DF"/>
    <w:rsid w:val="00BB35D1"/>
    <w:rsid w:val="00BB3AF7"/>
    <w:rsid w:val="00BB3B42"/>
    <w:rsid w:val="00BB3C2D"/>
    <w:rsid w:val="00BB3CA6"/>
    <w:rsid w:val="00BB4030"/>
    <w:rsid w:val="00BB418E"/>
    <w:rsid w:val="00BB4377"/>
    <w:rsid w:val="00BB43BA"/>
    <w:rsid w:val="00BB4606"/>
    <w:rsid w:val="00BB47A8"/>
    <w:rsid w:val="00BB4C26"/>
    <w:rsid w:val="00BB4C70"/>
    <w:rsid w:val="00BB4D48"/>
    <w:rsid w:val="00BB505F"/>
    <w:rsid w:val="00BB5697"/>
    <w:rsid w:val="00BB59BF"/>
    <w:rsid w:val="00BB6167"/>
    <w:rsid w:val="00BB6272"/>
    <w:rsid w:val="00BB6379"/>
    <w:rsid w:val="00BB69A5"/>
    <w:rsid w:val="00BB69B6"/>
    <w:rsid w:val="00BB6A6D"/>
    <w:rsid w:val="00BB7081"/>
    <w:rsid w:val="00BB727F"/>
    <w:rsid w:val="00BB7321"/>
    <w:rsid w:val="00BB7357"/>
    <w:rsid w:val="00BB77A2"/>
    <w:rsid w:val="00BB7A35"/>
    <w:rsid w:val="00BB7D6B"/>
    <w:rsid w:val="00BB7D8A"/>
    <w:rsid w:val="00BC0345"/>
    <w:rsid w:val="00BC0596"/>
    <w:rsid w:val="00BC0712"/>
    <w:rsid w:val="00BC07EC"/>
    <w:rsid w:val="00BC08DF"/>
    <w:rsid w:val="00BC0A5F"/>
    <w:rsid w:val="00BC0EB5"/>
    <w:rsid w:val="00BC0EFB"/>
    <w:rsid w:val="00BC0F04"/>
    <w:rsid w:val="00BC0F8D"/>
    <w:rsid w:val="00BC1165"/>
    <w:rsid w:val="00BC13D8"/>
    <w:rsid w:val="00BC1593"/>
    <w:rsid w:val="00BC1720"/>
    <w:rsid w:val="00BC17D3"/>
    <w:rsid w:val="00BC189A"/>
    <w:rsid w:val="00BC1A5C"/>
    <w:rsid w:val="00BC2070"/>
    <w:rsid w:val="00BC21EE"/>
    <w:rsid w:val="00BC22B5"/>
    <w:rsid w:val="00BC233B"/>
    <w:rsid w:val="00BC2503"/>
    <w:rsid w:val="00BC25EB"/>
    <w:rsid w:val="00BC29CD"/>
    <w:rsid w:val="00BC2CCB"/>
    <w:rsid w:val="00BC2D23"/>
    <w:rsid w:val="00BC2E31"/>
    <w:rsid w:val="00BC300A"/>
    <w:rsid w:val="00BC312D"/>
    <w:rsid w:val="00BC3412"/>
    <w:rsid w:val="00BC3542"/>
    <w:rsid w:val="00BC36CB"/>
    <w:rsid w:val="00BC37A3"/>
    <w:rsid w:val="00BC3D68"/>
    <w:rsid w:val="00BC3E19"/>
    <w:rsid w:val="00BC40B4"/>
    <w:rsid w:val="00BC436E"/>
    <w:rsid w:val="00BC48FB"/>
    <w:rsid w:val="00BC4959"/>
    <w:rsid w:val="00BC4A0A"/>
    <w:rsid w:val="00BC4A4D"/>
    <w:rsid w:val="00BC4F4D"/>
    <w:rsid w:val="00BC5166"/>
    <w:rsid w:val="00BC543D"/>
    <w:rsid w:val="00BC5495"/>
    <w:rsid w:val="00BC5817"/>
    <w:rsid w:val="00BC587A"/>
    <w:rsid w:val="00BC5B30"/>
    <w:rsid w:val="00BC5DA9"/>
    <w:rsid w:val="00BC5DF3"/>
    <w:rsid w:val="00BC5EA1"/>
    <w:rsid w:val="00BC5FD4"/>
    <w:rsid w:val="00BC61E6"/>
    <w:rsid w:val="00BC62CE"/>
    <w:rsid w:val="00BC6456"/>
    <w:rsid w:val="00BC647A"/>
    <w:rsid w:val="00BC64E3"/>
    <w:rsid w:val="00BC65D8"/>
    <w:rsid w:val="00BC6695"/>
    <w:rsid w:val="00BC6712"/>
    <w:rsid w:val="00BC6A32"/>
    <w:rsid w:val="00BC6A47"/>
    <w:rsid w:val="00BC6B6B"/>
    <w:rsid w:val="00BC6EE9"/>
    <w:rsid w:val="00BC7338"/>
    <w:rsid w:val="00BC7785"/>
    <w:rsid w:val="00BC77F8"/>
    <w:rsid w:val="00BC7B58"/>
    <w:rsid w:val="00BC7D79"/>
    <w:rsid w:val="00BD04C7"/>
    <w:rsid w:val="00BD0DDF"/>
    <w:rsid w:val="00BD0DF4"/>
    <w:rsid w:val="00BD0EF1"/>
    <w:rsid w:val="00BD0F87"/>
    <w:rsid w:val="00BD1120"/>
    <w:rsid w:val="00BD11F6"/>
    <w:rsid w:val="00BD1415"/>
    <w:rsid w:val="00BD16A8"/>
    <w:rsid w:val="00BD1B81"/>
    <w:rsid w:val="00BD1BDB"/>
    <w:rsid w:val="00BD1DFE"/>
    <w:rsid w:val="00BD1E92"/>
    <w:rsid w:val="00BD2245"/>
    <w:rsid w:val="00BD2350"/>
    <w:rsid w:val="00BD2385"/>
    <w:rsid w:val="00BD24B8"/>
    <w:rsid w:val="00BD2989"/>
    <w:rsid w:val="00BD2C16"/>
    <w:rsid w:val="00BD2CB3"/>
    <w:rsid w:val="00BD2CBD"/>
    <w:rsid w:val="00BD2D10"/>
    <w:rsid w:val="00BD2D50"/>
    <w:rsid w:val="00BD2FE7"/>
    <w:rsid w:val="00BD30B6"/>
    <w:rsid w:val="00BD316B"/>
    <w:rsid w:val="00BD32DC"/>
    <w:rsid w:val="00BD338E"/>
    <w:rsid w:val="00BD3698"/>
    <w:rsid w:val="00BD3740"/>
    <w:rsid w:val="00BD38F1"/>
    <w:rsid w:val="00BD3C64"/>
    <w:rsid w:val="00BD3CD9"/>
    <w:rsid w:val="00BD41A2"/>
    <w:rsid w:val="00BD44C5"/>
    <w:rsid w:val="00BD456F"/>
    <w:rsid w:val="00BD4653"/>
    <w:rsid w:val="00BD47C9"/>
    <w:rsid w:val="00BD4B1E"/>
    <w:rsid w:val="00BD4EEF"/>
    <w:rsid w:val="00BD4F7A"/>
    <w:rsid w:val="00BD5466"/>
    <w:rsid w:val="00BD5507"/>
    <w:rsid w:val="00BD560B"/>
    <w:rsid w:val="00BD5964"/>
    <w:rsid w:val="00BD5ACF"/>
    <w:rsid w:val="00BD5AE8"/>
    <w:rsid w:val="00BD5DFB"/>
    <w:rsid w:val="00BD5EEF"/>
    <w:rsid w:val="00BD60C6"/>
    <w:rsid w:val="00BD6475"/>
    <w:rsid w:val="00BD64F6"/>
    <w:rsid w:val="00BD65D4"/>
    <w:rsid w:val="00BD6668"/>
    <w:rsid w:val="00BD67BB"/>
    <w:rsid w:val="00BD6A08"/>
    <w:rsid w:val="00BD6D06"/>
    <w:rsid w:val="00BD6D43"/>
    <w:rsid w:val="00BD6F06"/>
    <w:rsid w:val="00BD6FBF"/>
    <w:rsid w:val="00BD7330"/>
    <w:rsid w:val="00BD74A0"/>
    <w:rsid w:val="00BD768B"/>
    <w:rsid w:val="00BD798F"/>
    <w:rsid w:val="00BD7DDD"/>
    <w:rsid w:val="00BD7EE2"/>
    <w:rsid w:val="00BE0050"/>
    <w:rsid w:val="00BE0395"/>
    <w:rsid w:val="00BE0476"/>
    <w:rsid w:val="00BE0B0F"/>
    <w:rsid w:val="00BE0CD6"/>
    <w:rsid w:val="00BE0EE4"/>
    <w:rsid w:val="00BE102D"/>
    <w:rsid w:val="00BE167E"/>
    <w:rsid w:val="00BE1749"/>
    <w:rsid w:val="00BE1894"/>
    <w:rsid w:val="00BE196A"/>
    <w:rsid w:val="00BE19E5"/>
    <w:rsid w:val="00BE1D62"/>
    <w:rsid w:val="00BE1FD5"/>
    <w:rsid w:val="00BE2286"/>
    <w:rsid w:val="00BE2499"/>
    <w:rsid w:val="00BE280F"/>
    <w:rsid w:val="00BE2845"/>
    <w:rsid w:val="00BE2A6A"/>
    <w:rsid w:val="00BE2D02"/>
    <w:rsid w:val="00BE2D5A"/>
    <w:rsid w:val="00BE2E66"/>
    <w:rsid w:val="00BE3099"/>
    <w:rsid w:val="00BE31D2"/>
    <w:rsid w:val="00BE3249"/>
    <w:rsid w:val="00BE32E2"/>
    <w:rsid w:val="00BE34A7"/>
    <w:rsid w:val="00BE35B4"/>
    <w:rsid w:val="00BE4260"/>
    <w:rsid w:val="00BE43B8"/>
    <w:rsid w:val="00BE454E"/>
    <w:rsid w:val="00BE463E"/>
    <w:rsid w:val="00BE482C"/>
    <w:rsid w:val="00BE4C43"/>
    <w:rsid w:val="00BE4E26"/>
    <w:rsid w:val="00BE50DD"/>
    <w:rsid w:val="00BE52C0"/>
    <w:rsid w:val="00BE54CA"/>
    <w:rsid w:val="00BE567B"/>
    <w:rsid w:val="00BE572D"/>
    <w:rsid w:val="00BE57AD"/>
    <w:rsid w:val="00BE59FE"/>
    <w:rsid w:val="00BE5B32"/>
    <w:rsid w:val="00BE5C28"/>
    <w:rsid w:val="00BE5C95"/>
    <w:rsid w:val="00BE6072"/>
    <w:rsid w:val="00BE61E0"/>
    <w:rsid w:val="00BE65A9"/>
    <w:rsid w:val="00BE66F0"/>
    <w:rsid w:val="00BE6721"/>
    <w:rsid w:val="00BE6807"/>
    <w:rsid w:val="00BE6A0C"/>
    <w:rsid w:val="00BE6B26"/>
    <w:rsid w:val="00BE6C60"/>
    <w:rsid w:val="00BE6DC0"/>
    <w:rsid w:val="00BE72F5"/>
    <w:rsid w:val="00BE75B4"/>
    <w:rsid w:val="00BE766D"/>
    <w:rsid w:val="00BE7A38"/>
    <w:rsid w:val="00BE7B8F"/>
    <w:rsid w:val="00BE7BAF"/>
    <w:rsid w:val="00BE7DDC"/>
    <w:rsid w:val="00BF0271"/>
    <w:rsid w:val="00BF06D9"/>
    <w:rsid w:val="00BF06DD"/>
    <w:rsid w:val="00BF081F"/>
    <w:rsid w:val="00BF0847"/>
    <w:rsid w:val="00BF0999"/>
    <w:rsid w:val="00BF0D5A"/>
    <w:rsid w:val="00BF0D91"/>
    <w:rsid w:val="00BF0E7D"/>
    <w:rsid w:val="00BF0F41"/>
    <w:rsid w:val="00BF0F57"/>
    <w:rsid w:val="00BF1040"/>
    <w:rsid w:val="00BF1075"/>
    <w:rsid w:val="00BF1134"/>
    <w:rsid w:val="00BF12C4"/>
    <w:rsid w:val="00BF130B"/>
    <w:rsid w:val="00BF134D"/>
    <w:rsid w:val="00BF138C"/>
    <w:rsid w:val="00BF1399"/>
    <w:rsid w:val="00BF16AD"/>
    <w:rsid w:val="00BF1745"/>
    <w:rsid w:val="00BF19EC"/>
    <w:rsid w:val="00BF1B0D"/>
    <w:rsid w:val="00BF1CC2"/>
    <w:rsid w:val="00BF1CE2"/>
    <w:rsid w:val="00BF2357"/>
    <w:rsid w:val="00BF2488"/>
    <w:rsid w:val="00BF26F2"/>
    <w:rsid w:val="00BF2777"/>
    <w:rsid w:val="00BF2A4E"/>
    <w:rsid w:val="00BF2B8A"/>
    <w:rsid w:val="00BF2C0E"/>
    <w:rsid w:val="00BF2E22"/>
    <w:rsid w:val="00BF2E2C"/>
    <w:rsid w:val="00BF2ED4"/>
    <w:rsid w:val="00BF2F4C"/>
    <w:rsid w:val="00BF2F9B"/>
    <w:rsid w:val="00BF321B"/>
    <w:rsid w:val="00BF3536"/>
    <w:rsid w:val="00BF3672"/>
    <w:rsid w:val="00BF3A0B"/>
    <w:rsid w:val="00BF3AEE"/>
    <w:rsid w:val="00BF3D12"/>
    <w:rsid w:val="00BF3D94"/>
    <w:rsid w:val="00BF41DA"/>
    <w:rsid w:val="00BF4586"/>
    <w:rsid w:val="00BF4699"/>
    <w:rsid w:val="00BF48C7"/>
    <w:rsid w:val="00BF49C3"/>
    <w:rsid w:val="00BF4A21"/>
    <w:rsid w:val="00BF4B6A"/>
    <w:rsid w:val="00BF51BB"/>
    <w:rsid w:val="00BF522D"/>
    <w:rsid w:val="00BF55D3"/>
    <w:rsid w:val="00BF55E3"/>
    <w:rsid w:val="00BF5C40"/>
    <w:rsid w:val="00BF5E1A"/>
    <w:rsid w:val="00BF5E81"/>
    <w:rsid w:val="00BF5EFE"/>
    <w:rsid w:val="00BF62B4"/>
    <w:rsid w:val="00BF6395"/>
    <w:rsid w:val="00BF6553"/>
    <w:rsid w:val="00BF65CA"/>
    <w:rsid w:val="00BF6871"/>
    <w:rsid w:val="00BF6959"/>
    <w:rsid w:val="00BF6A6A"/>
    <w:rsid w:val="00BF6BBC"/>
    <w:rsid w:val="00BF6D46"/>
    <w:rsid w:val="00BF7351"/>
    <w:rsid w:val="00BF7422"/>
    <w:rsid w:val="00BF7731"/>
    <w:rsid w:val="00BF79B0"/>
    <w:rsid w:val="00BF7BEE"/>
    <w:rsid w:val="00BF7CB5"/>
    <w:rsid w:val="00BF7EC9"/>
    <w:rsid w:val="00BF7F1A"/>
    <w:rsid w:val="00C000B9"/>
    <w:rsid w:val="00C001E6"/>
    <w:rsid w:val="00C003A2"/>
    <w:rsid w:val="00C00551"/>
    <w:rsid w:val="00C00679"/>
    <w:rsid w:val="00C006EE"/>
    <w:rsid w:val="00C01123"/>
    <w:rsid w:val="00C0117D"/>
    <w:rsid w:val="00C011FB"/>
    <w:rsid w:val="00C01211"/>
    <w:rsid w:val="00C01B00"/>
    <w:rsid w:val="00C01E09"/>
    <w:rsid w:val="00C01FC0"/>
    <w:rsid w:val="00C0201A"/>
    <w:rsid w:val="00C020FA"/>
    <w:rsid w:val="00C02116"/>
    <w:rsid w:val="00C0227F"/>
    <w:rsid w:val="00C02312"/>
    <w:rsid w:val="00C028D6"/>
    <w:rsid w:val="00C02CE9"/>
    <w:rsid w:val="00C02ED3"/>
    <w:rsid w:val="00C032C6"/>
    <w:rsid w:val="00C034B3"/>
    <w:rsid w:val="00C035F1"/>
    <w:rsid w:val="00C03830"/>
    <w:rsid w:val="00C0399D"/>
    <w:rsid w:val="00C039F9"/>
    <w:rsid w:val="00C03A44"/>
    <w:rsid w:val="00C03FA9"/>
    <w:rsid w:val="00C04157"/>
    <w:rsid w:val="00C04302"/>
    <w:rsid w:val="00C04451"/>
    <w:rsid w:val="00C04A54"/>
    <w:rsid w:val="00C04AA3"/>
    <w:rsid w:val="00C04C42"/>
    <w:rsid w:val="00C04CCE"/>
    <w:rsid w:val="00C052F6"/>
    <w:rsid w:val="00C05382"/>
    <w:rsid w:val="00C05440"/>
    <w:rsid w:val="00C056FA"/>
    <w:rsid w:val="00C059DF"/>
    <w:rsid w:val="00C05AF0"/>
    <w:rsid w:val="00C05FCE"/>
    <w:rsid w:val="00C06121"/>
    <w:rsid w:val="00C06284"/>
    <w:rsid w:val="00C0662E"/>
    <w:rsid w:val="00C06740"/>
    <w:rsid w:val="00C06776"/>
    <w:rsid w:val="00C06D16"/>
    <w:rsid w:val="00C06D28"/>
    <w:rsid w:val="00C06DC7"/>
    <w:rsid w:val="00C06E04"/>
    <w:rsid w:val="00C06F95"/>
    <w:rsid w:val="00C071F3"/>
    <w:rsid w:val="00C0741B"/>
    <w:rsid w:val="00C0762D"/>
    <w:rsid w:val="00C0764D"/>
    <w:rsid w:val="00C0777B"/>
    <w:rsid w:val="00C077CA"/>
    <w:rsid w:val="00C1036C"/>
    <w:rsid w:val="00C104A6"/>
    <w:rsid w:val="00C104E9"/>
    <w:rsid w:val="00C10938"/>
    <w:rsid w:val="00C109F1"/>
    <w:rsid w:val="00C110F3"/>
    <w:rsid w:val="00C1110D"/>
    <w:rsid w:val="00C11217"/>
    <w:rsid w:val="00C118E5"/>
    <w:rsid w:val="00C11A50"/>
    <w:rsid w:val="00C11C72"/>
    <w:rsid w:val="00C11E1D"/>
    <w:rsid w:val="00C11FAD"/>
    <w:rsid w:val="00C12082"/>
    <w:rsid w:val="00C124A7"/>
    <w:rsid w:val="00C127B1"/>
    <w:rsid w:val="00C12813"/>
    <w:rsid w:val="00C12829"/>
    <w:rsid w:val="00C12ABA"/>
    <w:rsid w:val="00C12B60"/>
    <w:rsid w:val="00C12B79"/>
    <w:rsid w:val="00C12ED8"/>
    <w:rsid w:val="00C12F4B"/>
    <w:rsid w:val="00C134B7"/>
    <w:rsid w:val="00C134EA"/>
    <w:rsid w:val="00C13924"/>
    <w:rsid w:val="00C1398B"/>
    <w:rsid w:val="00C139B0"/>
    <w:rsid w:val="00C13BF1"/>
    <w:rsid w:val="00C13C8B"/>
    <w:rsid w:val="00C13DF3"/>
    <w:rsid w:val="00C13E79"/>
    <w:rsid w:val="00C13EC6"/>
    <w:rsid w:val="00C14079"/>
    <w:rsid w:val="00C1424B"/>
    <w:rsid w:val="00C142D9"/>
    <w:rsid w:val="00C14647"/>
    <w:rsid w:val="00C146C3"/>
    <w:rsid w:val="00C1477D"/>
    <w:rsid w:val="00C14CCC"/>
    <w:rsid w:val="00C15028"/>
    <w:rsid w:val="00C1564C"/>
    <w:rsid w:val="00C15811"/>
    <w:rsid w:val="00C158FC"/>
    <w:rsid w:val="00C15938"/>
    <w:rsid w:val="00C15E0C"/>
    <w:rsid w:val="00C15E87"/>
    <w:rsid w:val="00C16429"/>
    <w:rsid w:val="00C16663"/>
    <w:rsid w:val="00C16B7E"/>
    <w:rsid w:val="00C1722E"/>
    <w:rsid w:val="00C175AE"/>
    <w:rsid w:val="00C175B5"/>
    <w:rsid w:val="00C175D0"/>
    <w:rsid w:val="00C1763D"/>
    <w:rsid w:val="00C179AF"/>
    <w:rsid w:val="00C17E4D"/>
    <w:rsid w:val="00C17F28"/>
    <w:rsid w:val="00C203D6"/>
    <w:rsid w:val="00C20422"/>
    <w:rsid w:val="00C205C5"/>
    <w:rsid w:val="00C207EB"/>
    <w:rsid w:val="00C2083A"/>
    <w:rsid w:val="00C2096B"/>
    <w:rsid w:val="00C20A93"/>
    <w:rsid w:val="00C20AED"/>
    <w:rsid w:val="00C20C2B"/>
    <w:rsid w:val="00C20E0B"/>
    <w:rsid w:val="00C2150D"/>
    <w:rsid w:val="00C217FC"/>
    <w:rsid w:val="00C21839"/>
    <w:rsid w:val="00C21A8D"/>
    <w:rsid w:val="00C21E2C"/>
    <w:rsid w:val="00C21F20"/>
    <w:rsid w:val="00C22231"/>
    <w:rsid w:val="00C22785"/>
    <w:rsid w:val="00C22959"/>
    <w:rsid w:val="00C22A9B"/>
    <w:rsid w:val="00C22D8B"/>
    <w:rsid w:val="00C22FC4"/>
    <w:rsid w:val="00C2305E"/>
    <w:rsid w:val="00C2318B"/>
    <w:rsid w:val="00C2341E"/>
    <w:rsid w:val="00C23471"/>
    <w:rsid w:val="00C23819"/>
    <w:rsid w:val="00C239BD"/>
    <w:rsid w:val="00C239F9"/>
    <w:rsid w:val="00C23AEA"/>
    <w:rsid w:val="00C23CD5"/>
    <w:rsid w:val="00C23D5A"/>
    <w:rsid w:val="00C23F1D"/>
    <w:rsid w:val="00C24131"/>
    <w:rsid w:val="00C24440"/>
    <w:rsid w:val="00C245A6"/>
    <w:rsid w:val="00C24872"/>
    <w:rsid w:val="00C24876"/>
    <w:rsid w:val="00C2488A"/>
    <w:rsid w:val="00C248B2"/>
    <w:rsid w:val="00C24DB0"/>
    <w:rsid w:val="00C24DF5"/>
    <w:rsid w:val="00C24E52"/>
    <w:rsid w:val="00C24F02"/>
    <w:rsid w:val="00C25062"/>
    <w:rsid w:val="00C254A1"/>
    <w:rsid w:val="00C25581"/>
    <w:rsid w:val="00C25B20"/>
    <w:rsid w:val="00C25BEE"/>
    <w:rsid w:val="00C25C09"/>
    <w:rsid w:val="00C25CD4"/>
    <w:rsid w:val="00C25E73"/>
    <w:rsid w:val="00C25F0B"/>
    <w:rsid w:val="00C25F5D"/>
    <w:rsid w:val="00C26143"/>
    <w:rsid w:val="00C26309"/>
    <w:rsid w:val="00C266F1"/>
    <w:rsid w:val="00C267E2"/>
    <w:rsid w:val="00C267F6"/>
    <w:rsid w:val="00C2690D"/>
    <w:rsid w:val="00C26AED"/>
    <w:rsid w:val="00C26B1C"/>
    <w:rsid w:val="00C26D2D"/>
    <w:rsid w:val="00C26E7C"/>
    <w:rsid w:val="00C273D8"/>
    <w:rsid w:val="00C274AA"/>
    <w:rsid w:val="00C27516"/>
    <w:rsid w:val="00C276A8"/>
    <w:rsid w:val="00C277F1"/>
    <w:rsid w:val="00C27900"/>
    <w:rsid w:val="00C27B51"/>
    <w:rsid w:val="00C27C8E"/>
    <w:rsid w:val="00C27E10"/>
    <w:rsid w:val="00C27E87"/>
    <w:rsid w:val="00C30233"/>
    <w:rsid w:val="00C30264"/>
    <w:rsid w:val="00C30307"/>
    <w:rsid w:val="00C3040E"/>
    <w:rsid w:val="00C3092C"/>
    <w:rsid w:val="00C30C69"/>
    <w:rsid w:val="00C318AE"/>
    <w:rsid w:val="00C318F2"/>
    <w:rsid w:val="00C31BC6"/>
    <w:rsid w:val="00C31D05"/>
    <w:rsid w:val="00C31F93"/>
    <w:rsid w:val="00C31FD2"/>
    <w:rsid w:val="00C320C7"/>
    <w:rsid w:val="00C3225B"/>
    <w:rsid w:val="00C3232C"/>
    <w:rsid w:val="00C3242D"/>
    <w:rsid w:val="00C324EB"/>
    <w:rsid w:val="00C32728"/>
    <w:rsid w:val="00C32866"/>
    <w:rsid w:val="00C328F4"/>
    <w:rsid w:val="00C3293E"/>
    <w:rsid w:val="00C32965"/>
    <w:rsid w:val="00C32B38"/>
    <w:rsid w:val="00C32D10"/>
    <w:rsid w:val="00C32E3F"/>
    <w:rsid w:val="00C32E8F"/>
    <w:rsid w:val="00C33493"/>
    <w:rsid w:val="00C337C2"/>
    <w:rsid w:val="00C339D3"/>
    <w:rsid w:val="00C33B78"/>
    <w:rsid w:val="00C33BA9"/>
    <w:rsid w:val="00C33F64"/>
    <w:rsid w:val="00C34028"/>
    <w:rsid w:val="00C3420B"/>
    <w:rsid w:val="00C3426D"/>
    <w:rsid w:val="00C34798"/>
    <w:rsid w:val="00C34D3E"/>
    <w:rsid w:val="00C350E3"/>
    <w:rsid w:val="00C352A4"/>
    <w:rsid w:val="00C354C6"/>
    <w:rsid w:val="00C357AA"/>
    <w:rsid w:val="00C357CC"/>
    <w:rsid w:val="00C35D68"/>
    <w:rsid w:val="00C35E6C"/>
    <w:rsid w:val="00C35EE7"/>
    <w:rsid w:val="00C36744"/>
    <w:rsid w:val="00C3693D"/>
    <w:rsid w:val="00C36B2D"/>
    <w:rsid w:val="00C36BA3"/>
    <w:rsid w:val="00C36C4B"/>
    <w:rsid w:val="00C36D3E"/>
    <w:rsid w:val="00C36DF4"/>
    <w:rsid w:val="00C372E4"/>
    <w:rsid w:val="00C375E2"/>
    <w:rsid w:val="00C37801"/>
    <w:rsid w:val="00C37915"/>
    <w:rsid w:val="00C379FC"/>
    <w:rsid w:val="00C37BD8"/>
    <w:rsid w:val="00C37CE9"/>
    <w:rsid w:val="00C37FB1"/>
    <w:rsid w:val="00C401D5"/>
    <w:rsid w:val="00C4059E"/>
    <w:rsid w:val="00C40718"/>
    <w:rsid w:val="00C40A15"/>
    <w:rsid w:val="00C40C6E"/>
    <w:rsid w:val="00C40DC3"/>
    <w:rsid w:val="00C40DD2"/>
    <w:rsid w:val="00C4146E"/>
    <w:rsid w:val="00C4159C"/>
    <w:rsid w:val="00C419B6"/>
    <w:rsid w:val="00C419C7"/>
    <w:rsid w:val="00C41B68"/>
    <w:rsid w:val="00C41E76"/>
    <w:rsid w:val="00C4207A"/>
    <w:rsid w:val="00C42693"/>
    <w:rsid w:val="00C42800"/>
    <w:rsid w:val="00C428E0"/>
    <w:rsid w:val="00C42C57"/>
    <w:rsid w:val="00C42FA9"/>
    <w:rsid w:val="00C433E3"/>
    <w:rsid w:val="00C4361F"/>
    <w:rsid w:val="00C436A8"/>
    <w:rsid w:val="00C43797"/>
    <w:rsid w:val="00C437BA"/>
    <w:rsid w:val="00C437CF"/>
    <w:rsid w:val="00C437E2"/>
    <w:rsid w:val="00C43E9A"/>
    <w:rsid w:val="00C43EE7"/>
    <w:rsid w:val="00C443E7"/>
    <w:rsid w:val="00C44668"/>
    <w:rsid w:val="00C44ADA"/>
    <w:rsid w:val="00C44C39"/>
    <w:rsid w:val="00C44CA4"/>
    <w:rsid w:val="00C452D3"/>
    <w:rsid w:val="00C4568B"/>
    <w:rsid w:val="00C458C1"/>
    <w:rsid w:val="00C458EE"/>
    <w:rsid w:val="00C45AE4"/>
    <w:rsid w:val="00C46060"/>
    <w:rsid w:val="00C46082"/>
    <w:rsid w:val="00C4618F"/>
    <w:rsid w:val="00C46466"/>
    <w:rsid w:val="00C46749"/>
    <w:rsid w:val="00C46846"/>
    <w:rsid w:val="00C47036"/>
    <w:rsid w:val="00C4764A"/>
    <w:rsid w:val="00C4796A"/>
    <w:rsid w:val="00C47A53"/>
    <w:rsid w:val="00C47D9A"/>
    <w:rsid w:val="00C47E3C"/>
    <w:rsid w:val="00C47EE8"/>
    <w:rsid w:val="00C47FAA"/>
    <w:rsid w:val="00C50711"/>
    <w:rsid w:val="00C50734"/>
    <w:rsid w:val="00C50988"/>
    <w:rsid w:val="00C50B06"/>
    <w:rsid w:val="00C50DAB"/>
    <w:rsid w:val="00C51030"/>
    <w:rsid w:val="00C5140D"/>
    <w:rsid w:val="00C51753"/>
    <w:rsid w:val="00C51DF9"/>
    <w:rsid w:val="00C521F1"/>
    <w:rsid w:val="00C523C6"/>
    <w:rsid w:val="00C52427"/>
    <w:rsid w:val="00C525BA"/>
    <w:rsid w:val="00C5282D"/>
    <w:rsid w:val="00C52B4D"/>
    <w:rsid w:val="00C52C69"/>
    <w:rsid w:val="00C52E05"/>
    <w:rsid w:val="00C53065"/>
    <w:rsid w:val="00C533F4"/>
    <w:rsid w:val="00C53622"/>
    <w:rsid w:val="00C53B4D"/>
    <w:rsid w:val="00C53E6A"/>
    <w:rsid w:val="00C54204"/>
    <w:rsid w:val="00C54375"/>
    <w:rsid w:val="00C54399"/>
    <w:rsid w:val="00C546AC"/>
    <w:rsid w:val="00C54857"/>
    <w:rsid w:val="00C54B12"/>
    <w:rsid w:val="00C54C75"/>
    <w:rsid w:val="00C54EF6"/>
    <w:rsid w:val="00C551F6"/>
    <w:rsid w:val="00C552B7"/>
    <w:rsid w:val="00C55300"/>
    <w:rsid w:val="00C555F7"/>
    <w:rsid w:val="00C55803"/>
    <w:rsid w:val="00C558A1"/>
    <w:rsid w:val="00C559C0"/>
    <w:rsid w:val="00C55A0D"/>
    <w:rsid w:val="00C55EA8"/>
    <w:rsid w:val="00C55EF8"/>
    <w:rsid w:val="00C56446"/>
    <w:rsid w:val="00C564A0"/>
    <w:rsid w:val="00C5653C"/>
    <w:rsid w:val="00C5661F"/>
    <w:rsid w:val="00C56765"/>
    <w:rsid w:val="00C56880"/>
    <w:rsid w:val="00C568EE"/>
    <w:rsid w:val="00C56BB7"/>
    <w:rsid w:val="00C57073"/>
    <w:rsid w:val="00C57165"/>
    <w:rsid w:val="00C571C5"/>
    <w:rsid w:val="00C57269"/>
    <w:rsid w:val="00C572F9"/>
    <w:rsid w:val="00C57390"/>
    <w:rsid w:val="00C57950"/>
    <w:rsid w:val="00C57A2F"/>
    <w:rsid w:val="00C57BBC"/>
    <w:rsid w:val="00C57EB6"/>
    <w:rsid w:val="00C57FA4"/>
    <w:rsid w:val="00C6004C"/>
    <w:rsid w:val="00C60075"/>
    <w:rsid w:val="00C600B8"/>
    <w:rsid w:val="00C60261"/>
    <w:rsid w:val="00C60513"/>
    <w:rsid w:val="00C60609"/>
    <w:rsid w:val="00C60863"/>
    <w:rsid w:val="00C6097A"/>
    <w:rsid w:val="00C60D11"/>
    <w:rsid w:val="00C60DCC"/>
    <w:rsid w:val="00C60E96"/>
    <w:rsid w:val="00C6106A"/>
    <w:rsid w:val="00C61706"/>
    <w:rsid w:val="00C6199E"/>
    <w:rsid w:val="00C61B08"/>
    <w:rsid w:val="00C61B60"/>
    <w:rsid w:val="00C61C8C"/>
    <w:rsid w:val="00C61CF4"/>
    <w:rsid w:val="00C62156"/>
    <w:rsid w:val="00C62591"/>
    <w:rsid w:val="00C627A4"/>
    <w:rsid w:val="00C627D6"/>
    <w:rsid w:val="00C6285D"/>
    <w:rsid w:val="00C62904"/>
    <w:rsid w:val="00C62BEF"/>
    <w:rsid w:val="00C62DAA"/>
    <w:rsid w:val="00C62FEA"/>
    <w:rsid w:val="00C630EC"/>
    <w:rsid w:val="00C63135"/>
    <w:rsid w:val="00C63533"/>
    <w:rsid w:val="00C638EB"/>
    <w:rsid w:val="00C638ED"/>
    <w:rsid w:val="00C639E3"/>
    <w:rsid w:val="00C63B01"/>
    <w:rsid w:val="00C63B40"/>
    <w:rsid w:val="00C63C57"/>
    <w:rsid w:val="00C63D8A"/>
    <w:rsid w:val="00C6401A"/>
    <w:rsid w:val="00C64029"/>
    <w:rsid w:val="00C640E3"/>
    <w:rsid w:val="00C6412E"/>
    <w:rsid w:val="00C64396"/>
    <w:rsid w:val="00C643F7"/>
    <w:rsid w:val="00C643F9"/>
    <w:rsid w:val="00C644E4"/>
    <w:rsid w:val="00C6464A"/>
    <w:rsid w:val="00C6466E"/>
    <w:rsid w:val="00C64719"/>
    <w:rsid w:val="00C64E81"/>
    <w:rsid w:val="00C64F16"/>
    <w:rsid w:val="00C64F4A"/>
    <w:rsid w:val="00C64FB2"/>
    <w:rsid w:val="00C6501C"/>
    <w:rsid w:val="00C651C2"/>
    <w:rsid w:val="00C65233"/>
    <w:rsid w:val="00C65393"/>
    <w:rsid w:val="00C654A6"/>
    <w:rsid w:val="00C656A4"/>
    <w:rsid w:val="00C657BE"/>
    <w:rsid w:val="00C6586B"/>
    <w:rsid w:val="00C658D2"/>
    <w:rsid w:val="00C65C61"/>
    <w:rsid w:val="00C65CC8"/>
    <w:rsid w:val="00C65E45"/>
    <w:rsid w:val="00C662E4"/>
    <w:rsid w:val="00C66800"/>
    <w:rsid w:val="00C66888"/>
    <w:rsid w:val="00C668F6"/>
    <w:rsid w:val="00C66BD1"/>
    <w:rsid w:val="00C66D7C"/>
    <w:rsid w:val="00C66EE1"/>
    <w:rsid w:val="00C67389"/>
    <w:rsid w:val="00C674A4"/>
    <w:rsid w:val="00C67763"/>
    <w:rsid w:val="00C6777E"/>
    <w:rsid w:val="00C67BDA"/>
    <w:rsid w:val="00C702B8"/>
    <w:rsid w:val="00C70351"/>
    <w:rsid w:val="00C7037E"/>
    <w:rsid w:val="00C70427"/>
    <w:rsid w:val="00C70563"/>
    <w:rsid w:val="00C7059B"/>
    <w:rsid w:val="00C70692"/>
    <w:rsid w:val="00C707A1"/>
    <w:rsid w:val="00C7085C"/>
    <w:rsid w:val="00C70BA0"/>
    <w:rsid w:val="00C70E1C"/>
    <w:rsid w:val="00C71217"/>
    <w:rsid w:val="00C71272"/>
    <w:rsid w:val="00C71292"/>
    <w:rsid w:val="00C7146F"/>
    <w:rsid w:val="00C71484"/>
    <w:rsid w:val="00C7166C"/>
    <w:rsid w:val="00C716CA"/>
    <w:rsid w:val="00C71808"/>
    <w:rsid w:val="00C7182C"/>
    <w:rsid w:val="00C71837"/>
    <w:rsid w:val="00C71B7E"/>
    <w:rsid w:val="00C720D5"/>
    <w:rsid w:val="00C72225"/>
    <w:rsid w:val="00C722CD"/>
    <w:rsid w:val="00C72305"/>
    <w:rsid w:val="00C72896"/>
    <w:rsid w:val="00C72A0C"/>
    <w:rsid w:val="00C72BE5"/>
    <w:rsid w:val="00C72D2E"/>
    <w:rsid w:val="00C72E71"/>
    <w:rsid w:val="00C7307D"/>
    <w:rsid w:val="00C7357A"/>
    <w:rsid w:val="00C735A7"/>
    <w:rsid w:val="00C7368F"/>
    <w:rsid w:val="00C736EF"/>
    <w:rsid w:val="00C73A35"/>
    <w:rsid w:val="00C73BEB"/>
    <w:rsid w:val="00C74305"/>
    <w:rsid w:val="00C743BB"/>
    <w:rsid w:val="00C747EC"/>
    <w:rsid w:val="00C74829"/>
    <w:rsid w:val="00C74CCD"/>
    <w:rsid w:val="00C74D4D"/>
    <w:rsid w:val="00C74E81"/>
    <w:rsid w:val="00C754E4"/>
    <w:rsid w:val="00C757D8"/>
    <w:rsid w:val="00C76A2A"/>
    <w:rsid w:val="00C76B41"/>
    <w:rsid w:val="00C76BBE"/>
    <w:rsid w:val="00C76CA3"/>
    <w:rsid w:val="00C76CD9"/>
    <w:rsid w:val="00C76D2D"/>
    <w:rsid w:val="00C76FA3"/>
    <w:rsid w:val="00C76FAC"/>
    <w:rsid w:val="00C76FFE"/>
    <w:rsid w:val="00C7713E"/>
    <w:rsid w:val="00C77A08"/>
    <w:rsid w:val="00C77A3A"/>
    <w:rsid w:val="00C77B63"/>
    <w:rsid w:val="00C77C38"/>
    <w:rsid w:val="00C77DB1"/>
    <w:rsid w:val="00C77F4F"/>
    <w:rsid w:val="00C77FDF"/>
    <w:rsid w:val="00C8011D"/>
    <w:rsid w:val="00C80665"/>
    <w:rsid w:val="00C80684"/>
    <w:rsid w:val="00C80756"/>
    <w:rsid w:val="00C808E0"/>
    <w:rsid w:val="00C808F4"/>
    <w:rsid w:val="00C80ABB"/>
    <w:rsid w:val="00C80B26"/>
    <w:rsid w:val="00C8109F"/>
    <w:rsid w:val="00C810C3"/>
    <w:rsid w:val="00C812F6"/>
    <w:rsid w:val="00C815A6"/>
    <w:rsid w:val="00C81607"/>
    <w:rsid w:val="00C8170F"/>
    <w:rsid w:val="00C81AD0"/>
    <w:rsid w:val="00C81CA8"/>
    <w:rsid w:val="00C81D26"/>
    <w:rsid w:val="00C81D64"/>
    <w:rsid w:val="00C82B4F"/>
    <w:rsid w:val="00C830BB"/>
    <w:rsid w:val="00C830C9"/>
    <w:rsid w:val="00C8321C"/>
    <w:rsid w:val="00C8323B"/>
    <w:rsid w:val="00C833CB"/>
    <w:rsid w:val="00C833D9"/>
    <w:rsid w:val="00C833F0"/>
    <w:rsid w:val="00C834C4"/>
    <w:rsid w:val="00C839B7"/>
    <w:rsid w:val="00C839BE"/>
    <w:rsid w:val="00C83B1A"/>
    <w:rsid w:val="00C83B97"/>
    <w:rsid w:val="00C83CAB"/>
    <w:rsid w:val="00C83D46"/>
    <w:rsid w:val="00C84231"/>
    <w:rsid w:val="00C8434C"/>
    <w:rsid w:val="00C84BB9"/>
    <w:rsid w:val="00C85074"/>
    <w:rsid w:val="00C85078"/>
    <w:rsid w:val="00C85101"/>
    <w:rsid w:val="00C853B5"/>
    <w:rsid w:val="00C85485"/>
    <w:rsid w:val="00C8566F"/>
    <w:rsid w:val="00C85787"/>
    <w:rsid w:val="00C858C6"/>
    <w:rsid w:val="00C859AE"/>
    <w:rsid w:val="00C859B2"/>
    <w:rsid w:val="00C85BEF"/>
    <w:rsid w:val="00C85E7F"/>
    <w:rsid w:val="00C85F74"/>
    <w:rsid w:val="00C8605F"/>
    <w:rsid w:val="00C8606A"/>
    <w:rsid w:val="00C861B6"/>
    <w:rsid w:val="00C86390"/>
    <w:rsid w:val="00C86419"/>
    <w:rsid w:val="00C8641E"/>
    <w:rsid w:val="00C8692B"/>
    <w:rsid w:val="00C8698B"/>
    <w:rsid w:val="00C86AB8"/>
    <w:rsid w:val="00C87076"/>
    <w:rsid w:val="00C872EF"/>
    <w:rsid w:val="00C87585"/>
    <w:rsid w:val="00C8779F"/>
    <w:rsid w:val="00C87C43"/>
    <w:rsid w:val="00C87D1E"/>
    <w:rsid w:val="00C87E04"/>
    <w:rsid w:val="00C903A0"/>
    <w:rsid w:val="00C9056F"/>
    <w:rsid w:val="00C90A0C"/>
    <w:rsid w:val="00C90B18"/>
    <w:rsid w:val="00C90C78"/>
    <w:rsid w:val="00C90CD1"/>
    <w:rsid w:val="00C90DD5"/>
    <w:rsid w:val="00C90F97"/>
    <w:rsid w:val="00C90F9E"/>
    <w:rsid w:val="00C912B2"/>
    <w:rsid w:val="00C91409"/>
    <w:rsid w:val="00C9177F"/>
    <w:rsid w:val="00C9186A"/>
    <w:rsid w:val="00C9193D"/>
    <w:rsid w:val="00C91BC5"/>
    <w:rsid w:val="00C91C29"/>
    <w:rsid w:val="00C91EE1"/>
    <w:rsid w:val="00C9216C"/>
    <w:rsid w:val="00C924BD"/>
    <w:rsid w:val="00C927B6"/>
    <w:rsid w:val="00C927BA"/>
    <w:rsid w:val="00C92DA9"/>
    <w:rsid w:val="00C92E5B"/>
    <w:rsid w:val="00C93024"/>
    <w:rsid w:val="00C930E5"/>
    <w:rsid w:val="00C93312"/>
    <w:rsid w:val="00C93347"/>
    <w:rsid w:val="00C93402"/>
    <w:rsid w:val="00C93B0E"/>
    <w:rsid w:val="00C93BA1"/>
    <w:rsid w:val="00C93D9F"/>
    <w:rsid w:val="00C94003"/>
    <w:rsid w:val="00C9412D"/>
    <w:rsid w:val="00C944AC"/>
    <w:rsid w:val="00C9468A"/>
    <w:rsid w:val="00C94892"/>
    <w:rsid w:val="00C94A00"/>
    <w:rsid w:val="00C94A3E"/>
    <w:rsid w:val="00C94B34"/>
    <w:rsid w:val="00C94BBA"/>
    <w:rsid w:val="00C9512C"/>
    <w:rsid w:val="00C9530C"/>
    <w:rsid w:val="00C9543A"/>
    <w:rsid w:val="00C9553B"/>
    <w:rsid w:val="00C95867"/>
    <w:rsid w:val="00C95E9E"/>
    <w:rsid w:val="00C961AE"/>
    <w:rsid w:val="00C96242"/>
    <w:rsid w:val="00C96384"/>
    <w:rsid w:val="00C966F9"/>
    <w:rsid w:val="00C9671E"/>
    <w:rsid w:val="00C968EF"/>
    <w:rsid w:val="00C9695A"/>
    <w:rsid w:val="00C96D85"/>
    <w:rsid w:val="00C96E99"/>
    <w:rsid w:val="00C96F1B"/>
    <w:rsid w:val="00C97212"/>
    <w:rsid w:val="00C97476"/>
    <w:rsid w:val="00C9779E"/>
    <w:rsid w:val="00C97872"/>
    <w:rsid w:val="00C979BF"/>
    <w:rsid w:val="00C979D0"/>
    <w:rsid w:val="00C97BC6"/>
    <w:rsid w:val="00C97BF5"/>
    <w:rsid w:val="00C97C06"/>
    <w:rsid w:val="00C97E1B"/>
    <w:rsid w:val="00CA01E4"/>
    <w:rsid w:val="00CA039D"/>
    <w:rsid w:val="00CA0439"/>
    <w:rsid w:val="00CA045B"/>
    <w:rsid w:val="00CA07F0"/>
    <w:rsid w:val="00CA0C57"/>
    <w:rsid w:val="00CA0C97"/>
    <w:rsid w:val="00CA0CA3"/>
    <w:rsid w:val="00CA0EB4"/>
    <w:rsid w:val="00CA0F92"/>
    <w:rsid w:val="00CA13C0"/>
    <w:rsid w:val="00CA1501"/>
    <w:rsid w:val="00CA185D"/>
    <w:rsid w:val="00CA18E6"/>
    <w:rsid w:val="00CA1C08"/>
    <w:rsid w:val="00CA20E2"/>
    <w:rsid w:val="00CA2378"/>
    <w:rsid w:val="00CA2618"/>
    <w:rsid w:val="00CA28AF"/>
    <w:rsid w:val="00CA29EE"/>
    <w:rsid w:val="00CA2EA4"/>
    <w:rsid w:val="00CA2F3E"/>
    <w:rsid w:val="00CA2F65"/>
    <w:rsid w:val="00CA3034"/>
    <w:rsid w:val="00CA305B"/>
    <w:rsid w:val="00CA32D4"/>
    <w:rsid w:val="00CA338E"/>
    <w:rsid w:val="00CA33F6"/>
    <w:rsid w:val="00CA37F0"/>
    <w:rsid w:val="00CA384A"/>
    <w:rsid w:val="00CA3AB7"/>
    <w:rsid w:val="00CA3D95"/>
    <w:rsid w:val="00CA3ECC"/>
    <w:rsid w:val="00CA401A"/>
    <w:rsid w:val="00CA40F4"/>
    <w:rsid w:val="00CA410E"/>
    <w:rsid w:val="00CA415D"/>
    <w:rsid w:val="00CA447E"/>
    <w:rsid w:val="00CA470C"/>
    <w:rsid w:val="00CA4945"/>
    <w:rsid w:val="00CA4B01"/>
    <w:rsid w:val="00CA4B9C"/>
    <w:rsid w:val="00CA4C57"/>
    <w:rsid w:val="00CA4C91"/>
    <w:rsid w:val="00CA4EE4"/>
    <w:rsid w:val="00CA51CD"/>
    <w:rsid w:val="00CA5294"/>
    <w:rsid w:val="00CA5306"/>
    <w:rsid w:val="00CA54DC"/>
    <w:rsid w:val="00CA58D5"/>
    <w:rsid w:val="00CA5B76"/>
    <w:rsid w:val="00CA5C8E"/>
    <w:rsid w:val="00CA60F6"/>
    <w:rsid w:val="00CA633E"/>
    <w:rsid w:val="00CA6475"/>
    <w:rsid w:val="00CA6503"/>
    <w:rsid w:val="00CA650E"/>
    <w:rsid w:val="00CA6562"/>
    <w:rsid w:val="00CA6882"/>
    <w:rsid w:val="00CA6A46"/>
    <w:rsid w:val="00CA6B59"/>
    <w:rsid w:val="00CA6BDD"/>
    <w:rsid w:val="00CA6CD9"/>
    <w:rsid w:val="00CA6E2F"/>
    <w:rsid w:val="00CA6F99"/>
    <w:rsid w:val="00CA7274"/>
    <w:rsid w:val="00CA7728"/>
    <w:rsid w:val="00CA7860"/>
    <w:rsid w:val="00CA7A89"/>
    <w:rsid w:val="00CA7AE1"/>
    <w:rsid w:val="00CA7CE2"/>
    <w:rsid w:val="00CA7CEA"/>
    <w:rsid w:val="00CA7DA1"/>
    <w:rsid w:val="00CA7DF4"/>
    <w:rsid w:val="00CA7EC1"/>
    <w:rsid w:val="00CB0104"/>
    <w:rsid w:val="00CB0328"/>
    <w:rsid w:val="00CB057C"/>
    <w:rsid w:val="00CB0A40"/>
    <w:rsid w:val="00CB0C2F"/>
    <w:rsid w:val="00CB0C60"/>
    <w:rsid w:val="00CB0CA4"/>
    <w:rsid w:val="00CB0CDF"/>
    <w:rsid w:val="00CB0D1A"/>
    <w:rsid w:val="00CB0FE7"/>
    <w:rsid w:val="00CB103A"/>
    <w:rsid w:val="00CB118E"/>
    <w:rsid w:val="00CB15B0"/>
    <w:rsid w:val="00CB17EC"/>
    <w:rsid w:val="00CB19C8"/>
    <w:rsid w:val="00CB1DDE"/>
    <w:rsid w:val="00CB1EB0"/>
    <w:rsid w:val="00CB211E"/>
    <w:rsid w:val="00CB21E1"/>
    <w:rsid w:val="00CB2211"/>
    <w:rsid w:val="00CB2213"/>
    <w:rsid w:val="00CB2493"/>
    <w:rsid w:val="00CB27FD"/>
    <w:rsid w:val="00CB2853"/>
    <w:rsid w:val="00CB2940"/>
    <w:rsid w:val="00CB2A7E"/>
    <w:rsid w:val="00CB2AE3"/>
    <w:rsid w:val="00CB2E02"/>
    <w:rsid w:val="00CB31A6"/>
    <w:rsid w:val="00CB334F"/>
    <w:rsid w:val="00CB33EC"/>
    <w:rsid w:val="00CB37BE"/>
    <w:rsid w:val="00CB3905"/>
    <w:rsid w:val="00CB3FF0"/>
    <w:rsid w:val="00CB406C"/>
    <w:rsid w:val="00CB42F5"/>
    <w:rsid w:val="00CB4413"/>
    <w:rsid w:val="00CB4753"/>
    <w:rsid w:val="00CB483F"/>
    <w:rsid w:val="00CB4990"/>
    <w:rsid w:val="00CB49C9"/>
    <w:rsid w:val="00CB4CE9"/>
    <w:rsid w:val="00CB4DDB"/>
    <w:rsid w:val="00CB4DE3"/>
    <w:rsid w:val="00CB5232"/>
    <w:rsid w:val="00CB528D"/>
    <w:rsid w:val="00CB5543"/>
    <w:rsid w:val="00CB5B29"/>
    <w:rsid w:val="00CB5DDA"/>
    <w:rsid w:val="00CB5E9C"/>
    <w:rsid w:val="00CB5F2E"/>
    <w:rsid w:val="00CB61AB"/>
    <w:rsid w:val="00CB635C"/>
    <w:rsid w:val="00CB6580"/>
    <w:rsid w:val="00CB6665"/>
    <w:rsid w:val="00CB6AD8"/>
    <w:rsid w:val="00CB6AF3"/>
    <w:rsid w:val="00CB710B"/>
    <w:rsid w:val="00CB7139"/>
    <w:rsid w:val="00CB7321"/>
    <w:rsid w:val="00CB782B"/>
    <w:rsid w:val="00CB7E0A"/>
    <w:rsid w:val="00CB7E90"/>
    <w:rsid w:val="00CC013C"/>
    <w:rsid w:val="00CC040F"/>
    <w:rsid w:val="00CC0588"/>
    <w:rsid w:val="00CC0680"/>
    <w:rsid w:val="00CC06E6"/>
    <w:rsid w:val="00CC092A"/>
    <w:rsid w:val="00CC0B9A"/>
    <w:rsid w:val="00CC0D25"/>
    <w:rsid w:val="00CC0E2E"/>
    <w:rsid w:val="00CC0ECA"/>
    <w:rsid w:val="00CC128E"/>
    <w:rsid w:val="00CC1367"/>
    <w:rsid w:val="00CC142F"/>
    <w:rsid w:val="00CC1687"/>
    <w:rsid w:val="00CC1BFB"/>
    <w:rsid w:val="00CC2072"/>
    <w:rsid w:val="00CC244D"/>
    <w:rsid w:val="00CC271C"/>
    <w:rsid w:val="00CC2760"/>
    <w:rsid w:val="00CC27F2"/>
    <w:rsid w:val="00CC27FD"/>
    <w:rsid w:val="00CC284A"/>
    <w:rsid w:val="00CC28FB"/>
    <w:rsid w:val="00CC2C35"/>
    <w:rsid w:val="00CC2E7D"/>
    <w:rsid w:val="00CC2EB5"/>
    <w:rsid w:val="00CC3027"/>
    <w:rsid w:val="00CC32C4"/>
    <w:rsid w:val="00CC359F"/>
    <w:rsid w:val="00CC36AD"/>
    <w:rsid w:val="00CC36E2"/>
    <w:rsid w:val="00CC37FA"/>
    <w:rsid w:val="00CC384D"/>
    <w:rsid w:val="00CC390D"/>
    <w:rsid w:val="00CC39A2"/>
    <w:rsid w:val="00CC3CC9"/>
    <w:rsid w:val="00CC4051"/>
    <w:rsid w:val="00CC4158"/>
    <w:rsid w:val="00CC421B"/>
    <w:rsid w:val="00CC422B"/>
    <w:rsid w:val="00CC466B"/>
    <w:rsid w:val="00CC4998"/>
    <w:rsid w:val="00CC4F6B"/>
    <w:rsid w:val="00CC5413"/>
    <w:rsid w:val="00CC55D6"/>
    <w:rsid w:val="00CC5AFF"/>
    <w:rsid w:val="00CC5BEE"/>
    <w:rsid w:val="00CC5D15"/>
    <w:rsid w:val="00CC5D29"/>
    <w:rsid w:val="00CC5E6C"/>
    <w:rsid w:val="00CC63F9"/>
    <w:rsid w:val="00CC6870"/>
    <w:rsid w:val="00CC6AEA"/>
    <w:rsid w:val="00CC6E1D"/>
    <w:rsid w:val="00CC6FCC"/>
    <w:rsid w:val="00CC711E"/>
    <w:rsid w:val="00CC71D5"/>
    <w:rsid w:val="00CC726E"/>
    <w:rsid w:val="00CC7397"/>
    <w:rsid w:val="00CC73AF"/>
    <w:rsid w:val="00CC7504"/>
    <w:rsid w:val="00CC7B0E"/>
    <w:rsid w:val="00CC7D85"/>
    <w:rsid w:val="00CC7FF6"/>
    <w:rsid w:val="00CD0163"/>
    <w:rsid w:val="00CD02DF"/>
    <w:rsid w:val="00CD034B"/>
    <w:rsid w:val="00CD0388"/>
    <w:rsid w:val="00CD0512"/>
    <w:rsid w:val="00CD0B38"/>
    <w:rsid w:val="00CD0C73"/>
    <w:rsid w:val="00CD0E01"/>
    <w:rsid w:val="00CD0EC4"/>
    <w:rsid w:val="00CD1426"/>
    <w:rsid w:val="00CD155C"/>
    <w:rsid w:val="00CD19AE"/>
    <w:rsid w:val="00CD1BC6"/>
    <w:rsid w:val="00CD1CF7"/>
    <w:rsid w:val="00CD1D8D"/>
    <w:rsid w:val="00CD1E91"/>
    <w:rsid w:val="00CD1F41"/>
    <w:rsid w:val="00CD2157"/>
    <w:rsid w:val="00CD2289"/>
    <w:rsid w:val="00CD2582"/>
    <w:rsid w:val="00CD26BC"/>
    <w:rsid w:val="00CD27EE"/>
    <w:rsid w:val="00CD2872"/>
    <w:rsid w:val="00CD2880"/>
    <w:rsid w:val="00CD2B2A"/>
    <w:rsid w:val="00CD2E60"/>
    <w:rsid w:val="00CD30A3"/>
    <w:rsid w:val="00CD31AA"/>
    <w:rsid w:val="00CD3445"/>
    <w:rsid w:val="00CD3526"/>
    <w:rsid w:val="00CD3672"/>
    <w:rsid w:val="00CD3681"/>
    <w:rsid w:val="00CD3A4D"/>
    <w:rsid w:val="00CD40C1"/>
    <w:rsid w:val="00CD41B9"/>
    <w:rsid w:val="00CD41E9"/>
    <w:rsid w:val="00CD487F"/>
    <w:rsid w:val="00CD4975"/>
    <w:rsid w:val="00CD49EA"/>
    <w:rsid w:val="00CD4A72"/>
    <w:rsid w:val="00CD4B7A"/>
    <w:rsid w:val="00CD4C4C"/>
    <w:rsid w:val="00CD4E23"/>
    <w:rsid w:val="00CD540E"/>
    <w:rsid w:val="00CD552C"/>
    <w:rsid w:val="00CD5868"/>
    <w:rsid w:val="00CD58DE"/>
    <w:rsid w:val="00CD5F6D"/>
    <w:rsid w:val="00CD634A"/>
    <w:rsid w:val="00CD637B"/>
    <w:rsid w:val="00CD6702"/>
    <w:rsid w:val="00CD67BA"/>
    <w:rsid w:val="00CD6CFC"/>
    <w:rsid w:val="00CD6E37"/>
    <w:rsid w:val="00CD6F79"/>
    <w:rsid w:val="00CD7038"/>
    <w:rsid w:val="00CD71A7"/>
    <w:rsid w:val="00CD7C4D"/>
    <w:rsid w:val="00CD7D40"/>
    <w:rsid w:val="00CD7D8F"/>
    <w:rsid w:val="00CE03AF"/>
    <w:rsid w:val="00CE0677"/>
    <w:rsid w:val="00CE085F"/>
    <w:rsid w:val="00CE0B42"/>
    <w:rsid w:val="00CE0B5A"/>
    <w:rsid w:val="00CE0D2F"/>
    <w:rsid w:val="00CE0DCA"/>
    <w:rsid w:val="00CE10BD"/>
    <w:rsid w:val="00CE10C9"/>
    <w:rsid w:val="00CE1230"/>
    <w:rsid w:val="00CE14C0"/>
    <w:rsid w:val="00CE1858"/>
    <w:rsid w:val="00CE191E"/>
    <w:rsid w:val="00CE1A33"/>
    <w:rsid w:val="00CE1AFE"/>
    <w:rsid w:val="00CE1B4E"/>
    <w:rsid w:val="00CE1E6C"/>
    <w:rsid w:val="00CE1ECB"/>
    <w:rsid w:val="00CE1F17"/>
    <w:rsid w:val="00CE1FB0"/>
    <w:rsid w:val="00CE2029"/>
    <w:rsid w:val="00CE20F8"/>
    <w:rsid w:val="00CE21AB"/>
    <w:rsid w:val="00CE2578"/>
    <w:rsid w:val="00CE2731"/>
    <w:rsid w:val="00CE29F8"/>
    <w:rsid w:val="00CE2B39"/>
    <w:rsid w:val="00CE2B52"/>
    <w:rsid w:val="00CE2F52"/>
    <w:rsid w:val="00CE3224"/>
    <w:rsid w:val="00CE32D2"/>
    <w:rsid w:val="00CE3388"/>
    <w:rsid w:val="00CE4595"/>
    <w:rsid w:val="00CE459A"/>
    <w:rsid w:val="00CE478F"/>
    <w:rsid w:val="00CE48A6"/>
    <w:rsid w:val="00CE4A9B"/>
    <w:rsid w:val="00CE4B32"/>
    <w:rsid w:val="00CE4D99"/>
    <w:rsid w:val="00CE52D7"/>
    <w:rsid w:val="00CE5653"/>
    <w:rsid w:val="00CE59E3"/>
    <w:rsid w:val="00CE5A7B"/>
    <w:rsid w:val="00CE5BB7"/>
    <w:rsid w:val="00CE5C60"/>
    <w:rsid w:val="00CE5C88"/>
    <w:rsid w:val="00CE5F4D"/>
    <w:rsid w:val="00CE6084"/>
    <w:rsid w:val="00CE60A0"/>
    <w:rsid w:val="00CE62AA"/>
    <w:rsid w:val="00CE6854"/>
    <w:rsid w:val="00CE68BA"/>
    <w:rsid w:val="00CE69DE"/>
    <w:rsid w:val="00CE6B32"/>
    <w:rsid w:val="00CE6B34"/>
    <w:rsid w:val="00CE7195"/>
    <w:rsid w:val="00CE71E4"/>
    <w:rsid w:val="00CE78E7"/>
    <w:rsid w:val="00CE7977"/>
    <w:rsid w:val="00CE7B84"/>
    <w:rsid w:val="00CE7BE8"/>
    <w:rsid w:val="00CE7F13"/>
    <w:rsid w:val="00CF00F0"/>
    <w:rsid w:val="00CF0108"/>
    <w:rsid w:val="00CF035D"/>
    <w:rsid w:val="00CF0364"/>
    <w:rsid w:val="00CF04C0"/>
    <w:rsid w:val="00CF0545"/>
    <w:rsid w:val="00CF05C3"/>
    <w:rsid w:val="00CF0FB1"/>
    <w:rsid w:val="00CF141E"/>
    <w:rsid w:val="00CF151B"/>
    <w:rsid w:val="00CF1ACA"/>
    <w:rsid w:val="00CF1F0E"/>
    <w:rsid w:val="00CF21BE"/>
    <w:rsid w:val="00CF228E"/>
    <w:rsid w:val="00CF25F5"/>
    <w:rsid w:val="00CF26BF"/>
    <w:rsid w:val="00CF26E5"/>
    <w:rsid w:val="00CF2CE1"/>
    <w:rsid w:val="00CF2DD7"/>
    <w:rsid w:val="00CF2E71"/>
    <w:rsid w:val="00CF2E90"/>
    <w:rsid w:val="00CF309D"/>
    <w:rsid w:val="00CF30F5"/>
    <w:rsid w:val="00CF31E5"/>
    <w:rsid w:val="00CF327F"/>
    <w:rsid w:val="00CF32DD"/>
    <w:rsid w:val="00CF346C"/>
    <w:rsid w:val="00CF3711"/>
    <w:rsid w:val="00CF3825"/>
    <w:rsid w:val="00CF3A87"/>
    <w:rsid w:val="00CF3C44"/>
    <w:rsid w:val="00CF3FB2"/>
    <w:rsid w:val="00CF41AA"/>
    <w:rsid w:val="00CF4273"/>
    <w:rsid w:val="00CF43A4"/>
    <w:rsid w:val="00CF451A"/>
    <w:rsid w:val="00CF4800"/>
    <w:rsid w:val="00CF4866"/>
    <w:rsid w:val="00CF489E"/>
    <w:rsid w:val="00CF4B24"/>
    <w:rsid w:val="00CF4B7F"/>
    <w:rsid w:val="00CF549E"/>
    <w:rsid w:val="00CF58AB"/>
    <w:rsid w:val="00CF5B29"/>
    <w:rsid w:val="00CF602B"/>
    <w:rsid w:val="00CF6228"/>
    <w:rsid w:val="00CF66A7"/>
    <w:rsid w:val="00CF66CE"/>
    <w:rsid w:val="00CF67CB"/>
    <w:rsid w:val="00CF6A0C"/>
    <w:rsid w:val="00CF6EA2"/>
    <w:rsid w:val="00CF74AA"/>
    <w:rsid w:val="00CF7517"/>
    <w:rsid w:val="00CF7B8D"/>
    <w:rsid w:val="00CF7EA0"/>
    <w:rsid w:val="00CF7FCE"/>
    <w:rsid w:val="00D00075"/>
    <w:rsid w:val="00D004BE"/>
    <w:rsid w:val="00D0069F"/>
    <w:rsid w:val="00D00852"/>
    <w:rsid w:val="00D009F8"/>
    <w:rsid w:val="00D00A59"/>
    <w:rsid w:val="00D00B11"/>
    <w:rsid w:val="00D00C34"/>
    <w:rsid w:val="00D00CCF"/>
    <w:rsid w:val="00D00DBC"/>
    <w:rsid w:val="00D00E37"/>
    <w:rsid w:val="00D00F9D"/>
    <w:rsid w:val="00D01028"/>
    <w:rsid w:val="00D01198"/>
    <w:rsid w:val="00D011B3"/>
    <w:rsid w:val="00D01352"/>
    <w:rsid w:val="00D013F6"/>
    <w:rsid w:val="00D01560"/>
    <w:rsid w:val="00D01772"/>
    <w:rsid w:val="00D01A6A"/>
    <w:rsid w:val="00D01AEF"/>
    <w:rsid w:val="00D01CFE"/>
    <w:rsid w:val="00D01D64"/>
    <w:rsid w:val="00D01EB9"/>
    <w:rsid w:val="00D02117"/>
    <w:rsid w:val="00D02992"/>
    <w:rsid w:val="00D02B71"/>
    <w:rsid w:val="00D02E94"/>
    <w:rsid w:val="00D030A2"/>
    <w:rsid w:val="00D030C7"/>
    <w:rsid w:val="00D03251"/>
    <w:rsid w:val="00D032C0"/>
    <w:rsid w:val="00D03586"/>
    <w:rsid w:val="00D0387F"/>
    <w:rsid w:val="00D03B28"/>
    <w:rsid w:val="00D03D1A"/>
    <w:rsid w:val="00D03FCC"/>
    <w:rsid w:val="00D040FB"/>
    <w:rsid w:val="00D0419A"/>
    <w:rsid w:val="00D04253"/>
    <w:rsid w:val="00D0427B"/>
    <w:rsid w:val="00D043AE"/>
    <w:rsid w:val="00D043C3"/>
    <w:rsid w:val="00D045F9"/>
    <w:rsid w:val="00D047A7"/>
    <w:rsid w:val="00D04AEC"/>
    <w:rsid w:val="00D04BE6"/>
    <w:rsid w:val="00D04E9B"/>
    <w:rsid w:val="00D05177"/>
    <w:rsid w:val="00D0566F"/>
    <w:rsid w:val="00D05726"/>
    <w:rsid w:val="00D05E7B"/>
    <w:rsid w:val="00D05FB1"/>
    <w:rsid w:val="00D0614C"/>
    <w:rsid w:val="00D061BC"/>
    <w:rsid w:val="00D064CE"/>
    <w:rsid w:val="00D06A0D"/>
    <w:rsid w:val="00D06A32"/>
    <w:rsid w:val="00D06B5F"/>
    <w:rsid w:val="00D06E80"/>
    <w:rsid w:val="00D06EF0"/>
    <w:rsid w:val="00D06FD4"/>
    <w:rsid w:val="00D07121"/>
    <w:rsid w:val="00D07510"/>
    <w:rsid w:val="00D075C6"/>
    <w:rsid w:val="00D0794B"/>
    <w:rsid w:val="00D07C37"/>
    <w:rsid w:val="00D07E61"/>
    <w:rsid w:val="00D07E93"/>
    <w:rsid w:val="00D10017"/>
    <w:rsid w:val="00D100DA"/>
    <w:rsid w:val="00D10182"/>
    <w:rsid w:val="00D10235"/>
    <w:rsid w:val="00D10350"/>
    <w:rsid w:val="00D1043A"/>
    <w:rsid w:val="00D10676"/>
    <w:rsid w:val="00D10907"/>
    <w:rsid w:val="00D1097B"/>
    <w:rsid w:val="00D10AA0"/>
    <w:rsid w:val="00D10C7E"/>
    <w:rsid w:val="00D10C97"/>
    <w:rsid w:val="00D10FB1"/>
    <w:rsid w:val="00D110DA"/>
    <w:rsid w:val="00D111C7"/>
    <w:rsid w:val="00D11231"/>
    <w:rsid w:val="00D1183C"/>
    <w:rsid w:val="00D11BBB"/>
    <w:rsid w:val="00D11CDA"/>
    <w:rsid w:val="00D11DD7"/>
    <w:rsid w:val="00D11E33"/>
    <w:rsid w:val="00D12403"/>
    <w:rsid w:val="00D12479"/>
    <w:rsid w:val="00D12C35"/>
    <w:rsid w:val="00D12C55"/>
    <w:rsid w:val="00D12D9E"/>
    <w:rsid w:val="00D12FBC"/>
    <w:rsid w:val="00D12FC9"/>
    <w:rsid w:val="00D130FC"/>
    <w:rsid w:val="00D1332E"/>
    <w:rsid w:val="00D133C4"/>
    <w:rsid w:val="00D135C8"/>
    <w:rsid w:val="00D14044"/>
    <w:rsid w:val="00D1404E"/>
    <w:rsid w:val="00D14138"/>
    <w:rsid w:val="00D14149"/>
    <w:rsid w:val="00D143E2"/>
    <w:rsid w:val="00D144A4"/>
    <w:rsid w:val="00D144FF"/>
    <w:rsid w:val="00D14590"/>
    <w:rsid w:val="00D148FC"/>
    <w:rsid w:val="00D14B8C"/>
    <w:rsid w:val="00D14DAF"/>
    <w:rsid w:val="00D14FB9"/>
    <w:rsid w:val="00D1503B"/>
    <w:rsid w:val="00D150B8"/>
    <w:rsid w:val="00D151E5"/>
    <w:rsid w:val="00D15226"/>
    <w:rsid w:val="00D15336"/>
    <w:rsid w:val="00D1561D"/>
    <w:rsid w:val="00D15729"/>
    <w:rsid w:val="00D15745"/>
    <w:rsid w:val="00D15ABD"/>
    <w:rsid w:val="00D16156"/>
    <w:rsid w:val="00D16384"/>
    <w:rsid w:val="00D163AF"/>
    <w:rsid w:val="00D16582"/>
    <w:rsid w:val="00D16648"/>
    <w:rsid w:val="00D1674C"/>
    <w:rsid w:val="00D169DC"/>
    <w:rsid w:val="00D16D64"/>
    <w:rsid w:val="00D16DF5"/>
    <w:rsid w:val="00D16EBE"/>
    <w:rsid w:val="00D16EFE"/>
    <w:rsid w:val="00D171AD"/>
    <w:rsid w:val="00D176F9"/>
    <w:rsid w:val="00D178E0"/>
    <w:rsid w:val="00D17993"/>
    <w:rsid w:val="00D17A69"/>
    <w:rsid w:val="00D17B86"/>
    <w:rsid w:val="00D17E5F"/>
    <w:rsid w:val="00D17EED"/>
    <w:rsid w:val="00D204BE"/>
    <w:rsid w:val="00D205D9"/>
    <w:rsid w:val="00D20605"/>
    <w:rsid w:val="00D20687"/>
    <w:rsid w:val="00D207F0"/>
    <w:rsid w:val="00D20901"/>
    <w:rsid w:val="00D2109E"/>
    <w:rsid w:val="00D21131"/>
    <w:rsid w:val="00D21140"/>
    <w:rsid w:val="00D21321"/>
    <w:rsid w:val="00D213E9"/>
    <w:rsid w:val="00D2149C"/>
    <w:rsid w:val="00D21518"/>
    <w:rsid w:val="00D2188B"/>
    <w:rsid w:val="00D218BB"/>
    <w:rsid w:val="00D21AC2"/>
    <w:rsid w:val="00D21C5E"/>
    <w:rsid w:val="00D21D5C"/>
    <w:rsid w:val="00D21E6B"/>
    <w:rsid w:val="00D22073"/>
    <w:rsid w:val="00D225CB"/>
    <w:rsid w:val="00D2275D"/>
    <w:rsid w:val="00D229C4"/>
    <w:rsid w:val="00D229CF"/>
    <w:rsid w:val="00D22A4B"/>
    <w:rsid w:val="00D22C76"/>
    <w:rsid w:val="00D22C99"/>
    <w:rsid w:val="00D22ED0"/>
    <w:rsid w:val="00D232BF"/>
    <w:rsid w:val="00D23B13"/>
    <w:rsid w:val="00D23BCA"/>
    <w:rsid w:val="00D23D6F"/>
    <w:rsid w:val="00D23F73"/>
    <w:rsid w:val="00D246BB"/>
    <w:rsid w:val="00D25261"/>
    <w:rsid w:val="00D252A4"/>
    <w:rsid w:val="00D25465"/>
    <w:rsid w:val="00D2566D"/>
    <w:rsid w:val="00D25717"/>
    <w:rsid w:val="00D25992"/>
    <w:rsid w:val="00D25A6B"/>
    <w:rsid w:val="00D25B4C"/>
    <w:rsid w:val="00D25FD2"/>
    <w:rsid w:val="00D25FD5"/>
    <w:rsid w:val="00D260C2"/>
    <w:rsid w:val="00D2709A"/>
    <w:rsid w:val="00D27352"/>
    <w:rsid w:val="00D27646"/>
    <w:rsid w:val="00D278D1"/>
    <w:rsid w:val="00D2799F"/>
    <w:rsid w:val="00D27A32"/>
    <w:rsid w:val="00D27CE9"/>
    <w:rsid w:val="00D27DD1"/>
    <w:rsid w:val="00D300FD"/>
    <w:rsid w:val="00D30320"/>
    <w:rsid w:val="00D30561"/>
    <w:rsid w:val="00D30565"/>
    <w:rsid w:val="00D3056C"/>
    <w:rsid w:val="00D3082E"/>
    <w:rsid w:val="00D30E66"/>
    <w:rsid w:val="00D30E72"/>
    <w:rsid w:val="00D312AE"/>
    <w:rsid w:val="00D3180E"/>
    <w:rsid w:val="00D3196B"/>
    <w:rsid w:val="00D319C4"/>
    <w:rsid w:val="00D31E42"/>
    <w:rsid w:val="00D31FDB"/>
    <w:rsid w:val="00D324D8"/>
    <w:rsid w:val="00D32599"/>
    <w:rsid w:val="00D32782"/>
    <w:rsid w:val="00D3293D"/>
    <w:rsid w:val="00D32A04"/>
    <w:rsid w:val="00D32B92"/>
    <w:rsid w:val="00D33043"/>
    <w:rsid w:val="00D3355B"/>
    <w:rsid w:val="00D336AF"/>
    <w:rsid w:val="00D33702"/>
    <w:rsid w:val="00D33917"/>
    <w:rsid w:val="00D339DD"/>
    <w:rsid w:val="00D33B6C"/>
    <w:rsid w:val="00D33C0F"/>
    <w:rsid w:val="00D33CE4"/>
    <w:rsid w:val="00D33E3E"/>
    <w:rsid w:val="00D34109"/>
    <w:rsid w:val="00D34111"/>
    <w:rsid w:val="00D34253"/>
    <w:rsid w:val="00D3454C"/>
    <w:rsid w:val="00D3468E"/>
    <w:rsid w:val="00D34775"/>
    <w:rsid w:val="00D34BEF"/>
    <w:rsid w:val="00D34D76"/>
    <w:rsid w:val="00D34E54"/>
    <w:rsid w:val="00D34ED9"/>
    <w:rsid w:val="00D3507C"/>
    <w:rsid w:val="00D355F0"/>
    <w:rsid w:val="00D356FD"/>
    <w:rsid w:val="00D357B5"/>
    <w:rsid w:val="00D35C56"/>
    <w:rsid w:val="00D361FF"/>
    <w:rsid w:val="00D364F9"/>
    <w:rsid w:val="00D3699C"/>
    <w:rsid w:val="00D36BBA"/>
    <w:rsid w:val="00D36C0E"/>
    <w:rsid w:val="00D36C74"/>
    <w:rsid w:val="00D36CE1"/>
    <w:rsid w:val="00D37080"/>
    <w:rsid w:val="00D37298"/>
    <w:rsid w:val="00D37414"/>
    <w:rsid w:val="00D374A9"/>
    <w:rsid w:val="00D378B8"/>
    <w:rsid w:val="00D37F45"/>
    <w:rsid w:val="00D4019A"/>
    <w:rsid w:val="00D401C1"/>
    <w:rsid w:val="00D404EA"/>
    <w:rsid w:val="00D40616"/>
    <w:rsid w:val="00D406BD"/>
    <w:rsid w:val="00D4086F"/>
    <w:rsid w:val="00D408F2"/>
    <w:rsid w:val="00D4092C"/>
    <w:rsid w:val="00D40D7D"/>
    <w:rsid w:val="00D40E4A"/>
    <w:rsid w:val="00D4105E"/>
    <w:rsid w:val="00D4117A"/>
    <w:rsid w:val="00D411ED"/>
    <w:rsid w:val="00D412C1"/>
    <w:rsid w:val="00D414A9"/>
    <w:rsid w:val="00D414B4"/>
    <w:rsid w:val="00D415D3"/>
    <w:rsid w:val="00D41C92"/>
    <w:rsid w:val="00D41D95"/>
    <w:rsid w:val="00D41DF4"/>
    <w:rsid w:val="00D41EE2"/>
    <w:rsid w:val="00D4264D"/>
    <w:rsid w:val="00D42745"/>
    <w:rsid w:val="00D42BB6"/>
    <w:rsid w:val="00D42BC0"/>
    <w:rsid w:val="00D42E24"/>
    <w:rsid w:val="00D43008"/>
    <w:rsid w:val="00D43021"/>
    <w:rsid w:val="00D4305A"/>
    <w:rsid w:val="00D43066"/>
    <w:rsid w:val="00D436BF"/>
    <w:rsid w:val="00D437FB"/>
    <w:rsid w:val="00D43A7C"/>
    <w:rsid w:val="00D43AEB"/>
    <w:rsid w:val="00D43B8C"/>
    <w:rsid w:val="00D43C41"/>
    <w:rsid w:val="00D43D0B"/>
    <w:rsid w:val="00D43D58"/>
    <w:rsid w:val="00D43FCD"/>
    <w:rsid w:val="00D440A8"/>
    <w:rsid w:val="00D440D1"/>
    <w:rsid w:val="00D44124"/>
    <w:rsid w:val="00D44499"/>
    <w:rsid w:val="00D44564"/>
    <w:rsid w:val="00D44A44"/>
    <w:rsid w:val="00D44AC6"/>
    <w:rsid w:val="00D4541A"/>
    <w:rsid w:val="00D45511"/>
    <w:rsid w:val="00D455B9"/>
    <w:rsid w:val="00D457F4"/>
    <w:rsid w:val="00D45844"/>
    <w:rsid w:val="00D458CC"/>
    <w:rsid w:val="00D45A1E"/>
    <w:rsid w:val="00D45D14"/>
    <w:rsid w:val="00D45E69"/>
    <w:rsid w:val="00D45FD2"/>
    <w:rsid w:val="00D46107"/>
    <w:rsid w:val="00D461B8"/>
    <w:rsid w:val="00D464B6"/>
    <w:rsid w:val="00D46911"/>
    <w:rsid w:val="00D46A07"/>
    <w:rsid w:val="00D46F68"/>
    <w:rsid w:val="00D473C1"/>
    <w:rsid w:val="00D4754B"/>
    <w:rsid w:val="00D4774D"/>
    <w:rsid w:val="00D47B76"/>
    <w:rsid w:val="00D47E81"/>
    <w:rsid w:val="00D501DC"/>
    <w:rsid w:val="00D5034A"/>
    <w:rsid w:val="00D505ED"/>
    <w:rsid w:val="00D5084C"/>
    <w:rsid w:val="00D50854"/>
    <w:rsid w:val="00D50899"/>
    <w:rsid w:val="00D508C7"/>
    <w:rsid w:val="00D509D8"/>
    <w:rsid w:val="00D50B9D"/>
    <w:rsid w:val="00D50C68"/>
    <w:rsid w:val="00D51037"/>
    <w:rsid w:val="00D516DD"/>
    <w:rsid w:val="00D5184B"/>
    <w:rsid w:val="00D51F53"/>
    <w:rsid w:val="00D5256E"/>
    <w:rsid w:val="00D52693"/>
    <w:rsid w:val="00D528E7"/>
    <w:rsid w:val="00D52DB1"/>
    <w:rsid w:val="00D52DEA"/>
    <w:rsid w:val="00D53618"/>
    <w:rsid w:val="00D53697"/>
    <w:rsid w:val="00D536A1"/>
    <w:rsid w:val="00D53706"/>
    <w:rsid w:val="00D537FF"/>
    <w:rsid w:val="00D5381B"/>
    <w:rsid w:val="00D53F42"/>
    <w:rsid w:val="00D53FCC"/>
    <w:rsid w:val="00D54042"/>
    <w:rsid w:val="00D54158"/>
    <w:rsid w:val="00D543ED"/>
    <w:rsid w:val="00D54C02"/>
    <w:rsid w:val="00D54E28"/>
    <w:rsid w:val="00D54F71"/>
    <w:rsid w:val="00D55013"/>
    <w:rsid w:val="00D551C9"/>
    <w:rsid w:val="00D5522A"/>
    <w:rsid w:val="00D5536D"/>
    <w:rsid w:val="00D55773"/>
    <w:rsid w:val="00D557A6"/>
    <w:rsid w:val="00D557E1"/>
    <w:rsid w:val="00D5603F"/>
    <w:rsid w:val="00D564A4"/>
    <w:rsid w:val="00D564BC"/>
    <w:rsid w:val="00D5654D"/>
    <w:rsid w:val="00D565D6"/>
    <w:rsid w:val="00D56885"/>
    <w:rsid w:val="00D5688B"/>
    <w:rsid w:val="00D56CA2"/>
    <w:rsid w:val="00D57213"/>
    <w:rsid w:val="00D5723D"/>
    <w:rsid w:val="00D572C3"/>
    <w:rsid w:val="00D57363"/>
    <w:rsid w:val="00D575DE"/>
    <w:rsid w:val="00D57620"/>
    <w:rsid w:val="00D578C2"/>
    <w:rsid w:val="00D579A8"/>
    <w:rsid w:val="00D57A1F"/>
    <w:rsid w:val="00D57EB6"/>
    <w:rsid w:val="00D600D0"/>
    <w:rsid w:val="00D603C4"/>
    <w:rsid w:val="00D6041E"/>
    <w:rsid w:val="00D6052E"/>
    <w:rsid w:val="00D60DAA"/>
    <w:rsid w:val="00D60E4D"/>
    <w:rsid w:val="00D6107F"/>
    <w:rsid w:val="00D61409"/>
    <w:rsid w:val="00D61549"/>
    <w:rsid w:val="00D615EB"/>
    <w:rsid w:val="00D61B81"/>
    <w:rsid w:val="00D61C3D"/>
    <w:rsid w:val="00D61D6F"/>
    <w:rsid w:val="00D6221F"/>
    <w:rsid w:val="00D62373"/>
    <w:rsid w:val="00D623E0"/>
    <w:rsid w:val="00D626AC"/>
    <w:rsid w:val="00D628AD"/>
    <w:rsid w:val="00D629BC"/>
    <w:rsid w:val="00D62C79"/>
    <w:rsid w:val="00D634C8"/>
    <w:rsid w:val="00D63840"/>
    <w:rsid w:val="00D63A04"/>
    <w:rsid w:val="00D63B02"/>
    <w:rsid w:val="00D63BD1"/>
    <w:rsid w:val="00D63D53"/>
    <w:rsid w:val="00D640A6"/>
    <w:rsid w:val="00D642A1"/>
    <w:rsid w:val="00D64321"/>
    <w:rsid w:val="00D64382"/>
    <w:rsid w:val="00D646E7"/>
    <w:rsid w:val="00D648E4"/>
    <w:rsid w:val="00D64CA1"/>
    <w:rsid w:val="00D64FDA"/>
    <w:rsid w:val="00D6503A"/>
    <w:rsid w:val="00D65051"/>
    <w:rsid w:val="00D652D4"/>
    <w:rsid w:val="00D6536E"/>
    <w:rsid w:val="00D65577"/>
    <w:rsid w:val="00D6571E"/>
    <w:rsid w:val="00D658A5"/>
    <w:rsid w:val="00D65991"/>
    <w:rsid w:val="00D65A01"/>
    <w:rsid w:val="00D65A1F"/>
    <w:rsid w:val="00D65A5B"/>
    <w:rsid w:val="00D65BE5"/>
    <w:rsid w:val="00D65FFC"/>
    <w:rsid w:val="00D66359"/>
    <w:rsid w:val="00D66946"/>
    <w:rsid w:val="00D6698C"/>
    <w:rsid w:val="00D66D34"/>
    <w:rsid w:val="00D66EBD"/>
    <w:rsid w:val="00D66FFB"/>
    <w:rsid w:val="00D673D0"/>
    <w:rsid w:val="00D67544"/>
    <w:rsid w:val="00D676B5"/>
    <w:rsid w:val="00D67EB9"/>
    <w:rsid w:val="00D7011B"/>
    <w:rsid w:val="00D702D3"/>
    <w:rsid w:val="00D70590"/>
    <w:rsid w:val="00D7081B"/>
    <w:rsid w:val="00D70855"/>
    <w:rsid w:val="00D70866"/>
    <w:rsid w:val="00D70F12"/>
    <w:rsid w:val="00D71073"/>
    <w:rsid w:val="00D7120C"/>
    <w:rsid w:val="00D71427"/>
    <w:rsid w:val="00D714A0"/>
    <w:rsid w:val="00D7161D"/>
    <w:rsid w:val="00D719AE"/>
    <w:rsid w:val="00D71AF6"/>
    <w:rsid w:val="00D71C36"/>
    <w:rsid w:val="00D71C43"/>
    <w:rsid w:val="00D71F18"/>
    <w:rsid w:val="00D72181"/>
    <w:rsid w:val="00D722B2"/>
    <w:rsid w:val="00D7233E"/>
    <w:rsid w:val="00D72738"/>
    <w:rsid w:val="00D72826"/>
    <w:rsid w:val="00D72C79"/>
    <w:rsid w:val="00D72E38"/>
    <w:rsid w:val="00D73344"/>
    <w:rsid w:val="00D734D2"/>
    <w:rsid w:val="00D73528"/>
    <w:rsid w:val="00D73830"/>
    <w:rsid w:val="00D7396F"/>
    <w:rsid w:val="00D7409A"/>
    <w:rsid w:val="00D7411C"/>
    <w:rsid w:val="00D74183"/>
    <w:rsid w:val="00D742B1"/>
    <w:rsid w:val="00D74490"/>
    <w:rsid w:val="00D74844"/>
    <w:rsid w:val="00D7499D"/>
    <w:rsid w:val="00D75084"/>
    <w:rsid w:val="00D751B9"/>
    <w:rsid w:val="00D7523E"/>
    <w:rsid w:val="00D7544A"/>
    <w:rsid w:val="00D756EC"/>
    <w:rsid w:val="00D757F7"/>
    <w:rsid w:val="00D7595B"/>
    <w:rsid w:val="00D75AFB"/>
    <w:rsid w:val="00D75BCA"/>
    <w:rsid w:val="00D75E52"/>
    <w:rsid w:val="00D75F7D"/>
    <w:rsid w:val="00D7613B"/>
    <w:rsid w:val="00D76331"/>
    <w:rsid w:val="00D763BC"/>
    <w:rsid w:val="00D76465"/>
    <w:rsid w:val="00D76A33"/>
    <w:rsid w:val="00D76ABF"/>
    <w:rsid w:val="00D76C86"/>
    <w:rsid w:val="00D76E07"/>
    <w:rsid w:val="00D76E6B"/>
    <w:rsid w:val="00D77764"/>
    <w:rsid w:val="00D7781F"/>
    <w:rsid w:val="00D77889"/>
    <w:rsid w:val="00D77B40"/>
    <w:rsid w:val="00D77B6F"/>
    <w:rsid w:val="00D77BD4"/>
    <w:rsid w:val="00D800DF"/>
    <w:rsid w:val="00D800E4"/>
    <w:rsid w:val="00D801DB"/>
    <w:rsid w:val="00D80333"/>
    <w:rsid w:val="00D803A9"/>
    <w:rsid w:val="00D8083F"/>
    <w:rsid w:val="00D8084D"/>
    <w:rsid w:val="00D80B5D"/>
    <w:rsid w:val="00D80B75"/>
    <w:rsid w:val="00D80C24"/>
    <w:rsid w:val="00D80C4B"/>
    <w:rsid w:val="00D80F5F"/>
    <w:rsid w:val="00D810B1"/>
    <w:rsid w:val="00D812AA"/>
    <w:rsid w:val="00D81379"/>
    <w:rsid w:val="00D814E5"/>
    <w:rsid w:val="00D816E7"/>
    <w:rsid w:val="00D81AF1"/>
    <w:rsid w:val="00D81B5D"/>
    <w:rsid w:val="00D82136"/>
    <w:rsid w:val="00D828BA"/>
    <w:rsid w:val="00D8290E"/>
    <w:rsid w:val="00D82CE5"/>
    <w:rsid w:val="00D83234"/>
    <w:rsid w:val="00D8341F"/>
    <w:rsid w:val="00D83452"/>
    <w:rsid w:val="00D8382F"/>
    <w:rsid w:val="00D83896"/>
    <w:rsid w:val="00D839B6"/>
    <w:rsid w:val="00D83B18"/>
    <w:rsid w:val="00D83CCF"/>
    <w:rsid w:val="00D83CFC"/>
    <w:rsid w:val="00D8412E"/>
    <w:rsid w:val="00D8437A"/>
    <w:rsid w:val="00D843D7"/>
    <w:rsid w:val="00D84778"/>
    <w:rsid w:val="00D84807"/>
    <w:rsid w:val="00D84E2B"/>
    <w:rsid w:val="00D84E4B"/>
    <w:rsid w:val="00D85515"/>
    <w:rsid w:val="00D8553A"/>
    <w:rsid w:val="00D855A7"/>
    <w:rsid w:val="00D857CD"/>
    <w:rsid w:val="00D857D0"/>
    <w:rsid w:val="00D8597F"/>
    <w:rsid w:val="00D85AE4"/>
    <w:rsid w:val="00D85E41"/>
    <w:rsid w:val="00D86090"/>
    <w:rsid w:val="00D864E1"/>
    <w:rsid w:val="00D86999"/>
    <w:rsid w:val="00D86AC4"/>
    <w:rsid w:val="00D86B60"/>
    <w:rsid w:val="00D86C72"/>
    <w:rsid w:val="00D86CDD"/>
    <w:rsid w:val="00D86E21"/>
    <w:rsid w:val="00D86E89"/>
    <w:rsid w:val="00D87149"/>
    <w:rsid w:val="00D871FE"/>
    <w:rsid w:val="00D8728B"/>
    <w:rsid w:val="00D872C5"/>
    <w:rsid w:val="00D877FF"/>
    <w:rsid w:val="00D878E6"/>
    <w:rsid w:val="00D87919"/>
    <w:rsid w:val="00D87C34"/>
    <w:rsid w:val="00D87DAE"/>
    <w:rsid w:val="00D87FCD"/>
    <w:rsid w:val="00D90334"/>
    <w:rsid w:val="00D90345"/>
    <w:rsid w:val="00D906AD"/>
    <w:rsid w:val="00D907BB"/>
    <w:rsid w:val="00D907EF"/>
    <w:rsid w:val="00D909C4"/>
    <w:rsid w:val="00D91404"/>
    <w:rsid w:val="00D91473"/>
    <w:rsid w:val="00D91C9D"/>
    <w:rsid w:val="00D91E3A"/>
    <w:rsid w:val="00D91E5D"/>
    <w:rsid w:val="00D92160"/>
    <w:rsid w:val="00D9289C"/>
    <w:rsid w:val="00D92A4E"/>
    <w:rsid w:val="00D931C9"/>
    <w:rsid w:val="00D932FD"/>
    <w:rsid w:val="00D934D9"/>
    <w:rsid w:val="00D935C3"/>
    <w:rsid w:val="00D93624"/>
    <w:rsid w:val="00D93932"/>
    <w:rsid w:val="00D93998"/>
    <w:rsid w:val="00D93C87"/>
    <w:rsid w:val="00D93D58"/>
    <w:rsid w:val="00D94709"/>
    <w:rsid w:val="00D94826"/>
    <w:rsid w:val="00D9489A"/>
    <w:rsid w:val="00D948BF"/>
    <w:rsid w:val="00D94AC3"/>
    <w:rsid w:val="00D94CC2"/>
    <w:rsid w:val="00D94D0A"/>
    <w:rsid w:val="00D94D4A"/>
    <w:rsid w:val="00D952D5"/>
    <w:rsid w:val="00D95442"/>
    <w:rsid w:val="00D9545D"/>
    <w:rsid w:val="00D9564F"/>
    <w:rsid w:val="00D9568A"/>
    <w:rsid w:val="00D958FF"/>
    <w:rsid w:val="00D9599F"/>
    <w:rsid w:val="00D95A45"/>
    <w:rsid w:val="00D95B6E"/>
    <w:rsid w:val="00D95B96"/>
    <w:rsid w:val="00D95BB2"/>
    <w:rsid w:val="00D95F1B"/>
    <w:rsid w:val="00D95F27"/>
    <w:rsid w:val="00D961C0"/>
    <w:rsid w:val="00D965A3"/>
    <w:rsid w:val="00D96708"/>
    <w:rsid w:val="00D967FB"/>
    <w:rsid w:val="00D968AE"/>
    <w:rsid w:val="00D96A93"/>
    <w:rsid w:val="00D96C60"/>
    <w:rsid w:val="00D97706"/>
    <w:rsid w:val="00D9771D"/>
    <w:rsid w:val="00D9773A"/>
    <w:rsid w:val="00D97B2C"/>
    <w:rsid w:val="00D97BB1"/>
    <w:rsid w:val="00D97D5D"/>
    <w:rsid w:val="00D97D5E"/>
    <w:rsid w:val="00DA009D"/>
    <w:rsid w:val="00DA0466"/>
    <w:rsid w:val="00DA05B6"/>
    <w:rsid w:val="00DA0674"/>
    <w:rsid w:val="00DA093E"/>
    <w:rsid w:val="00DA0BF8"/>
    <w:rsid w:val="00DA0C61"/>
    <w:rsid w:val="00DA0DAF"/>
    <w:rsid w:val="00DA0E66"/>
    <w:rsid w:val="00DA1257"/>
    <w:rsid w:val="00DA1327"/>
    <w:rsid w:val="00DA13D5"/>
    <w:rsid w:val="00DA14CC"/>
    <w:rsid w:val="00DA1613"/>
    <w:rsid w:val="00DA173E"/>
    <w:rsid w:val="00DA1806"/>
    <w:rsid w:val="00DA1D7A"/>
    <w:rsid w:val="00DA1F1E"/>
    <w:rsid w:val="00DA1F85"/>
    <w:rsid w:val="00DA2264"/>
    <w:rsid w:val="00DA2374"/>
    <w:rsid w:val="00DA240E"/>
    <w:rsid w:val="00DA2802"/>
    <w:rsid w:val="00DA2A59"/>
    <w:rsid w:val="00DA2BCB"/>
    <w:rsid w:val="00DA30B1"/>
    <w:rsid w:val="00DA3190"/>
    <w:rsid w:val="00DA3583"/>
    <w:rsid w:val="00DA3644"/>
    <w:rsid w:val="00DA3EF2"/>
    <w:rsid w:val="00DA3FA8"/>
    <w:rsid w:val="00DA4017"/>
    <w:rsid w:val="00DA41CC"/>
    <w:rsid w:val="00DA4739"/>
    <w:rsid w:val="00DA4A2C"/>
    <w:rsid w:val="00DA4BD6"/>
    <w:rsid w:val="00DA4C7B"/>
    <w:rsid w:val="00DA4E99"/>
    <w:rsid w:val="00DA5309"/>
    <w:rsid w:val="00DA5972"/>
    <w:rsid w:val="00DA599D"/>
    <w:rsid w:val="00DA5B94"/>
    <w:rsid w:val="00DA5C4A"/>
    <w:rsid w:val="00DA5C62"/>
    <w:rsid w:val="00DA5D6B"/>
    <w:rsid w:val="00DA5E28"/>
    <w:rsid w:val="00DA5F78"/>
    <w:rsid w:val="00DA637B"/>
    <w:rsid w:val="00DA638C"/>
    <w:rsid w:val="00DA65BD"/>
    <w:rsid w:val="00DA66BF"/>
    <w:rsid w:val="00DA6701"/>
    <w:rsid w:val="00DA670F"/>
    <w:rsid w:val="00DA6990"/>
    <w:rsid w:val="00DA6B63"/>
    <w:rsid w:val="00DA6E52"/>
    <w:rsid w:val="00DA72DC"/>
    <w:rsid w:val="00DA73CE"/>
    <w:rsid w:val="00DA73E0"/>
    <w:rsid w:val="00DA75A9"/>
    <w:rsid w:val="00DA767E"/>
    <w:rsid w:val="00DA7707"/>
    <w:rsid w:val="00DA7CB0"/>
    <w:rsid w:val="00DA7D78"/>
    <w:rsid w:val="00DB0331"/>
    <w:rsid w:val="00DB04B2"/>
    <w:rsid w:val="00DB09A8"/>
    <w:rsid w:val="00DB09D3"/>
    <w:rsid w:val="00DB0A5B"/>
    <w:rsid w:val="00DB0AC9"/>
    <w:rsid w:val="00DB0CC7"/>
    <w:rsid w:val="00DB0DB3"/>
    <w:rsid w:val="00DB0EFA"/>
    <w:rsid w:val="00DB16ED"/>
    <w:rsid w:val="00DB18EA"/>
    <w:rsid w:val="00DB19CD"/>
    <w:rsid w:val="00DB1BC9"/>
    <w:rsid w:val="00DB20D1"/>
    <w:rsid w:val="00DB2126"/>
    <w:rsid w:val="00DB2506"/>
    <w:rsid w:val="00DB29E2"/>
    <w:rsid w:val="00DB2A4E"/>
    <w:rsid w:val="00DB2C9D"/>
    <w:rsid w:val="00DB2FB4"/>
    <w:rsid w:val="00DB3175"/>
    <w:rsid w:val="00DB3185"/>
    <w:rsid w:val="00DB3273"/>
    <w:rsid w:val="00DB34B2"/>
    <w:rsid w:val="00DB38C4"/>
    <w:rsid w:val="00DB3E36"/>
    <w:rsid w:val="00DB3E8D"/>
    <w:rsid w:val="00DB3EFC"/>
    <w:rsid w:val="00DB4135"/>
    <w:rsid w:val="00DB449F"/>
    <w:rsid w:val="00DB45F9"/>
    <w:rsid w:val="00DB46F8"/>
    <w:rsid w:val="00DB470C"/>
    <w:rsid w:val="00DB4B26"/>
    <w:rsid w:val="00DB4D53"/>
    <w:rsid w:val="00DB4F56"/>
    <w:rsid w:val="00DB4FA8"/>
    <w:rsid w:val="00DB5101"/>
    <w:rsid w:val="00DB515D"/>
    <w:rsid w:val="00DB521F"/>
    <w:rsid w:val="00DB5227"/>
    <w:rsid w:val="00DB52FB"/>
    <w:rsid w:val="00DB52FC"/>
    <w:rsid w:val="00DB53B3"/>
    <w:rsid w:val="00DB5549"/>
    <w:rsid w:val="00DB591D"/>
    <w:rsid w:val="00DB5965"/>
    <w:rsid w:val="00DB598E"/>
    <w:rsid w:val="00DB5A30"/>
    <w:rsid w:val="00DB5A51"/>
    <w:rsid w:val="00DB5C76"/>
    <w:rsid w:val="00DB5D50"/>
    <w:rsid w:val="00DB6043"/>
    <w:rsid w:val="00DB63A0"/>
    <w:rsid w:val="00DB64DB"/>
    <w:rsid w:val="00DB6743"/>
    <w:rsid w:val="00DB67E2"/>
    <w:rsid w:val="00DB6828"/>
    <w:rsid w:val="00DB6A79"/>
    <w:rsid w:val="00DB6BEC"/>
    <w:rsid w:val="00DB71E5"/>
    <w:rsid w:val="00DB7328"/>
    <w:rsid w:val="00DB74D8"/>
    <w:rsid w:val="00DB75DE"/>
    <w:rsid w:val="00DB779D"/>
    <w:rsid w:val="00DB7B8F"/>
    <w:rsid w:val="00DB7F19"/>
    <w:rsid w:val="00DC0159"/>
    <w:rsid w:val="00DC0259"/>
    <w:rsid w:val="00DC0500"/>
    <w:rsid w:val="00DC0594"/>
    <w:rsid w:val="00DC0604"/>
    <w:rsid w:val="00DC0635"/>
    <w:rsid w:val="00DC0D15"/>
    <w:rsid w:val="00DC0F6D"/>
    <w:rsid w:val="00DC1146"/>
    <w:rsid w:val="00DC186E"/>
    <w:rsid w:val="00DC1CF1"/>
    <w:rsid w:val="00DC2015"/>
    <w:rsid w:val="00DC2144"/>
    <w:rsid w:val="00DC236B"/>
    <w:rsid w:val="00DC23C6"/>
    <w:rsid w:val="00DC2550"/>
    <w:rsid w:val="00DC2637"/>
    <w:rsid w:val="00DC26A5"/>
    <w:rsid w:val="00DC26C6"/>
    <w:rsid w:val="00DC2840"/>
    <w:rsid w:val="00DC2B46"/>
    <w:rsid w:val="00DC2B97"/>
    <w:rsid w:val="00DC2C1F"/>
    <w:rsid w:val="00DC2D1E"/>
    <w:rsid w:val="00DC329D"/>
    <w:rsid w:val="00DC36E8"/>
    <w:rsid w:val="00DC3742"/>
    <w:rsid w:val="00DC3809"/>
    <w:rsid w:val="00DC398C"/>
    <w:rsid w:val="00DC3BB8"/>
    <w:rsid w:val="00DC3CB8"/>
    <w:rsid w:val="00DC3D7B"/>
    <w:rsid w:val="00DC3D8F"/>
    <w:rsid w:val="00DC4150"/>
    <w:rsid w:val="00DC4526"/>
    <w:rsid w:val="00DC46F3"/>
    <w:rsid w:val="00DC4C8F"/>
    <w:rsid w:val="00DC4D35"/>
    <w:rsid w:val="00DC4D53"/>
    <w:rsid w:val="00DC4FC6"/>
    <w:rsid w:val="00DC5090"/>
    <w:rsid w:val="00DC525C"/>
    <w:rsid w:val="00DC55DC"/>
    <w:rsid w:val="00DC56D0"/>
    <w:rsid w:val="00DC56DD"/>
    <w:rsid w:val="00DC577E"/>
    <w:rsid w:val="00DC5817"/>
    <w:rsid w:val="00DC5974"/>
    <w:rsid w:val="00DC5AE4"/>
    <w:rsid w:val="00DC5CC7"/>
    <w:rsid w:val="00DC5F9C"/>
    <w:rsid w:val="00DC61C4"/>
    <w:rsid w:val="00DC6291"/>
    <w:rsid w:val="00DC67B3"/>
    <w:rsid w:val="00DC693A"/>
    <w:rsid w:val="00DC6CCE"/>
    <w:rsid w:val="00DC714A"/>
    <w:rsid w:val="00DC7A0C"/>
    <w:rsid w:val="00DC7B2F"/>
    <w:rsid w:val="00DC7DD7"/>
    <w:rsid w:val="00DC7E96"/>
    <w:rsid w:val="00DD078C"/>
    <w:rsid w:val="00DD0AA7"/>
    <w:rsid w:val="00DD0CA0"/>
    <w:rsid w:val="00DD0D1E"/>
    <w:rsid w:val="00DD0DD7"/>
    <w:rsid w:val="00DD0E00"/>
    <w:rsid w:val="00DD0E23"/>
    <w:rsid w:val="00DD107B"/>
    <w:rsid w:val="00DD11F0"/>
    <w:rsid w:val="00DD1229"/>
    <w:rsid w:val="00DD13D8"/>
    <w:rsid w:val="00DD1459"/>
    <w:rsid w:val="00DD147E"/>
    <w:rsid w:val="00DD1675"/>
    <w:rsid w:val="00DD1854"/>
    <w:rsid w:val="00DD19FE"/>
    <w:rsid w:val="00DD1C4B"/>
    <w:rsid w:val="00DD1DCC"/>
    <w:rsid w:val="00DD1E82"/>
    <w:rsid w:val="00DD1EC6"/>
    <w:rsid w:val="00DD1F3E"/>
    <w:rsid w:val="00DD20AD"/>
    <w:rsid w:val="00DD21B6"/>
    <w:rsid w:val="00DD21FC"/>
    <w:rsid w:val="00DD2403"/>
    <w:rsid w:val="00DD2760"/>
    <w:rsid w:val="00DD2831"/>
    <w:rsid w:val="00DD2A5F"/>
    <w:rsid w:val="00DD2B27"/>
    <w:rsid w:val="00DD2D93"/>
    <w:rsid w:val="00DD2F32"/>
    <w:rsid w:val="00DD2F82"/>
    <w:rsid w:val="00DD2FC5"/>
    <w:rsid w:val="00DD306A"/>
    <w:rsid w:val="00DD31AF"/>
    <w:rsid w:val="00DD381F"/>
    <w:rsid w:val="00DD3831"/>
    <w:rsid w:val="00DD3950"/>
    <w:rsid w:val="00DD3A48"/>
    <w:rsid w:val="00DD3C94"/>
    <w:rsid w:val="00DD3EC8"/>
    <w:rsid w:val="00DD4121"/>
    <w:rsid w:val="00DD46EB"/>
    <w:rsid w:val="00DD478B"/>
    <w:rsid w:val="00DD4B7F"/>
    <w:rsid w:val="00DD4E53"/>
    <w:rsid w:val="00DD4EF1"/>
    <w:rsid w:val="00DD52E0"/>
    <w:rsid w:val="00DD5791"/>
    <w:rsid w:val="00DD5947"/>
    <w:rsid w:val="00DD5BCE"/>
    <w:rsid w:val="00DD5E5A"/>
    <w:rsid w:val="00DD5F70"/>
    <w:rsid w:val="00DD61E5"/>
    <w:rsid w:val="00DD6250"/>
    <w:rsid w:val="00DD6266"/>
    <w:rsid w:val="00DD62ED"/>
    <w:rsid w:val="00DD6357"/>
    <w:rsid w:val="00DD6447"/>
    <w:rsid w:val="00DD65EE"/>
    <w:rsid w:val="00DD664F"/>
    <w:rsid w:val="00DD672E"/>
    <w:rsid w:val="00DD69DD"/>
    <w:rsid w:val="00DD6CD7"/>
    <w:rsid w:val="00DD6D90"/>
    <w:rsid w:val="00DD6E4E"/>
    <w:rsid w:val="00DD70AD"/>
    <w:rsid w:val="00DD7385"/>
    <w:rsid w:val="00DD73CB"/>
    <w:rsid w:val="00DD73E3"/>
    <w:rsid w:val="00DD776A"/>
    <w:rsid w:val="00DD7929"/>
    <w:rsid w:val="00DD792B"/>
    <w:rsid w:val="00DD79F1"/>
    <w:rsid w:val="00DD7DFA"/>
    <w:rsid w:val="00DD7E17"/>
    <w:rsid w:val="00DD7E47"/>
    <w:rsid w:val="00DE006B"/>
    <w:rsid w:val="00DE00A9"/>
    <w:rsid w:val="00DE0140"/>
    <w:rsid w:val="00DE01DD"/>
    <w:rsid w:val="00DE0268"/>
    <w:rsid w:val="00DE0566"/>
    <w:rsid w:val="00DE05BE"/>
    <w:rsid w:val="00DE0842"/>
    <w:rsid w:val="00DE0950"/>
    <w:rsid w:val="00DE0CF0"/>
    <w:rsid w:val="00DE1061"/>
    <w:rsid w:val="00DE116D"/>
    <w:rsid w:val="00DE17AD"/>
    <w:rsid w:val="00DE19A5"/>
    <w:rsid w:val="00DE1AFE"/>
    <w:rsid w:val="00DE1B29"/>
    <w:rsid w:val="00DE230A"/>
    <w:rsid w:val="00DE261E"/>
    <w:rsid w:val="00DE2BEC"/>
    <w:rsid w:val="00DE2D5A"/>
    <w:rsid w:val="00DE2D75"/>
    <w:rsid w:val="00DE305C"/>
    <w:rsid w:val="00DE30CE"/>
    <w:rsid w:val="00DE313E"/>
    <w:rsid w:val="00DE31B0"/>
    <w:rsid w:val="00DE32C8"/>
    <w:rsid w:val="00DE34FB"/>
    <w:rsid w:val="00DE35DB"/>
    <w:rsid w:val="00DE3937"/>
    <w:rsid w:val="00DE3BE0"/>
    <w:rsid w:val="00DE3D66"/>
    <w:rsid w:val="00DE41C3"/>
    <w:rsid w:val="00DE4484"/>
    <w:rsid w:val="00DE4894"/>
    <w:rsid w:val="00DE4FBD"/>
    <w:rsid w:val="00DE5619"/>
    <w:rsid w:val="00DE56E2"/>
    <w:rsid w:val="00DE5ABD"/>
    <w:rsid w:val="00DE5AD0"/>
    <w:rsid w:val="00DE5CE6"/>
    <w:rsid w:val="00DE5E83"/>
    <w:rsid w:val="00DE5EF4"/>
    <w:rsid w:val="00DE6244"/>
    <w:rsid w:val="00DE62D3"/>
    <w:rsid w:val="00DE62D7"/>
    <w:rsid w:val="00DE6491"/>
    <w:rsid w:val="00DE6689"/>
    <w:rsid w:val="00DE66A3"/>
    <w:rsid w:val="00DE67F8"/>
    <w:rsid w:val="00DE687F"/>
    <w:rsid w:val="00DE7144"/>
    <w:rsid w:val="00DE74F4"/>
    <w:rsid w:val="00DE777C"/>
    <w:rsid w:val="00DE78F3"/>
    <w:rsid w:val="00DE79EC"/>
    <w:rsid w:val="00DE7A87"/>
    <w:rsid w:val="00DE7BE8"/>
    <w:rsid w:val="00DE7D4D"/>
    <w:rsid w:val="00DE7D66"/>
    <w:rsid w:val="00DE7FD3"/>
    <w:rsid w:val="00DF00E6"/>
    <w:rsid w:val="00DF0103"/>
    <w:rsid w:val="00DF01A4"/>
    <w:rsid w:val="00DF02DC"/>
    <w:rsid w:val="00DF0969"/>
    <w:rsid w:val="00DF0F70"/>
    <w:rsid w:val="00DF127C"/>
    <w:rsid w:val="00DF140E"/>
    <w:rsid w:val="00DF1753"/>
    <w:rsid w:val="00DF17A6"/>
    <w:rsid w:val="00DF187F"/>
    <w:rsid w:val="00DF19C2"/>
    <w:rsid w:val="00DF26B9"/>
    <w:rsid w:val="00DF2A00"/>
    <w:rsid w:val="00DF2A3A"/>
    <w:rsid w:val="00DF2E34"/>
    <w:rsid w:val="00DF30DD"/>
    <w:rsid w:val="00DF3428"/>
    <w:rsid w:val="00DF3569"/>
    <w:rsid w:val="00DF3621"/>
    <w:rsid w:val="00DF39FA"/>
    <w:rsid w:val="00DF3A2B"/>
    <w:rsid w:val="00DF3AB0"/>
    <w:rsid w:val="00DF3B17"/>
    <w:rsid w:val="00DF3C26"/>
    <w:rsid w:val="00DF3ED1"/>
    <w:rsid w:val="00DF4253"/>
    <w:rsid w:val="00DF45C9"/>
    <w:rsid w:val="00DF4731"/>
    <w:rsid w:val="00DF4B26"/>
    <w:rsid w:val="00DF4EDB"/>
    <w:rsid w:val="00DF5190"/>
    <w:rsid w:val="00DF527E"/>
    <w:rsid w:val="00DF5436"/>
    <w:rsid w:val="00DF544A"/>
    <w:rsid w:val="00DF583C"/>
    <w:rsid w:val="00DF5970"/>
    <w:rsid w:val="00DF59C3"/>
    <w:rsid w:val="00DF5B8F"/>
    <w:rsid w:val="00DF5E04"/>
    <w:rsid w:val="00DF5EEE"/>
    <w:rsid w:val="00DF61E6"/>
    <w:rsid w:val="00DF631B"/>
    <w:rsid w:val="00DF645F"/>
    <w:rsid w:val="00DF65F7"/>
    <w:rsid w:val="00DF6B4C"/>
    <w:rsid w:val="00DF6F17"/>
    <w:rsid w:val="00DF701F"/>
    <w:rsid w:val="00DF711A"/>
    <w:rsid w:val="00DF71DE"/>
    <w:rsid w:val="00DF72ED"/>
    <w:rsid w:val="00DF7378"/>
    <w:rsid w:val="00DF74F8"/>
    <w:rsid w:val="00DF7565"/>
    <w:rsid w:val="00DF77C4"/>
    <w:rsid w:val="00DF78A1"/>
    <w:rsid w:val="00DF7A77"/>
    <w:rsid w:val="00DF7D22"/>
    <w:rsid w:val="00DF7ED4"/>
    <w:rsid w:val="00E00214"/>
    <w:rsid w:val="00E003E2"/>
    <w:rsid w:val="00E007A9"/>
    <w:rsid w:val="00E00820"/>
    <w:rsid w:val="00E00883"/>
    <w:rsid w:val="00E008A6"/>
    <w:rsid w:val="00E00A5E"/>
    <w:rsid w:val="00E00C09"/>
    <w:rsid w:val="00E00DDA"/>
    <w:rsid w:val="00E00F12"/>
    <w:rsid w:val="00E00F18"/>
    <w:rsid w:val="00E00F70"/>
    <w:rsid w:val="00E01476"/>
    <w:rsid w:val="00E015EE"/>
    <w:rsid w:val="00E01954"/>
    <w:rsid w:val="00E01B1A"/>
    <w:rsid w:val="00E01CFA"/>
    <w:rsid w:val="00E01E0D"/>
    <w:rsid w:val="00E01E4A"/>
    <w:rsid w:val="00E01E4C"/>
    <w:rsid w:val="00E01E9E"/>
    <w:rsid w:val="00E01F00"/>
    <w:rsid w:val="00E01FC2"/>
    <w:rsid w:val="00E0202E"/>
    <w:rsid w:val="00E0218C"/>
    <w:rsid w:val="00E0229A"/>
    <w:rsid w:val="00E0244C"/>
    <w:rsid w:val="00E02464"/>
    <w:rsid w:val="00E02467"/>
    <w:rsid w:val="00E02645"/>
    <w:rsid w:val="00E026A4"/>
    <w:rsid w:val="00E026D7"/>
    <w:rsid w:val="00E027DB"/>
    <w:rsid w:val="00E02998"/>
    <w:rsid w:val="00E02B0C"/>
    <w:rsid w:val="00E02C1F"/>
    <w:rsid w:val="00E02D08"/>
    <w:rsid w:val="00E02F0E"/>
    <w:rsid w:val="00E02FBA"/>
    <w:rsid w:val="00E03077"/>
    <w:rsid w:val="00E03686"/>
    <w:rsid w:val="00E03709"/>
    <w:rsid w:val="00E03768"/>
    <w:rsid w:val="00E037BE"/>
    <w:rsid w:val="00E037E2"/>
    <w:rsid w:val="00E03827"/>
    <w:rsid w:val="00E0383C"/>
    <w:rsid w:val="00E03A84"/>
    <w:rsid w:val="00E03B9D"/>
    <w:rsid w:val="00E04557"/>
    <w:rsid w:val="00E04685"/>
    <w:rsid w:val="00E04858"/>
    <w:rsid w:val="00E04B47"/>
    <w:rsid w:val="00E04CEA"/>
    <w:rsid w:val="00E053C2"/>
    <w:rsid w:val="00E05F24"/>
    <w:rsid w:val="00E05FA9"/>
    <w:rsid w:val="00E0626C"/>
    <w:rsid w:val="00E06451"/>
    <w:rsid w:val="00E065EA"/>
    <w:rsid w:val="00E06605"/>
    <w:rsid w:val="00E0699D"/>
    <w:rsid w:val="00E06DEA"/>
    <w:rsid w:val="00E06E61"/>
    <w:rsid w:val="00E06E72"/>
    <w:rsid w:val="00E06F5A"/>
    <w:rsid w:val="00E07113"/>
    <w:rsid w:val="00E07148"/>
    <w:rsid w:val="00E074BD"/>
    <w:rsid w:val="00E0773A"/>
    <w:rsid w:val="00E07813"/>
    <w:rsid w:val="00E07A98"/>
    <w:rsid w:val="00E07AEB"/>
    <w:rsid w:val="00E07FA2"/>
    <w:rsid w:val="00E1010A"/>
    <w:rsid w:val="00E10636"/>
    <w:rsid w:val="00E106DC"/>
    <w:rsid w:val="00E107CC"/>
    <w:rsid w:val="00E109F3"/>
    <w:rsid w:val="00E10B39"/>
    <w:rsid w:val="00E10BB0"/>
    <w:rsid w:val="00E10CDE"/>
    <w:rsid w:val="00E10D6C"/>
    <w:rsid w:val="00E10E5A"/>
    <w:rsid w:val="00E10EB7"/>
    <w:rsid w:val="00E10FF4"/>
    <w:rsid w:val="00E11018"/>
    <w:rsid w:val="00E1104E"/>
    <w:rsid w:val="00E111AB"/>
    <w:rsid w:val="00E11458"/>
    <w:rsid w:val="00E114C1"/>
    <w:rsid w:val="00E1152C"/>
    <w:rsid w:val="00E115B8"/>
    <w:rsid w:val="00E117B8"/>
    <w:rsid w:val="00E1191D"/>
    <w:rsid w:val="00E11AC9"/>
    <w:rsid w:val="00E11C39"/>
    <w:rsid w:val="00E12208"/>
    <w:rsid w:val="00E12273"/>
    <w:rsid w:val="00E126D0"/>
    <w:rsid w:val="00E126FF"/>
    <w:rsid w:val="00E127D9"/>
    <w:rsid w:val="00E129E2"/>
    <w:rsid w:val="00E12C3D"/>
    <w:rsid w:val="00E12DED"/>
    <w:rsid w:val="00E13335"/>
    <w:rsid w:val="00E13351"/>
    <w:rsid w:val="00E1353A"/>
    <w:rsid w:val="00E13742"/>
    <w:rsid w:val="00E138EA"/>
    <w:rsid w:val="00E138F1"/>
    <w:rsid w:val="00E139F6"/>
    <w:rsid w:val="00E13A43"/>
    <w:rsid w:val="00E13FAE"/>
    <w:rsid w:val="00E13FC7"/>
    <w:rsid w:val="00E1406B"/>
    <w:rsid w:val="00E1415D"/>
    <w:rsid w:val="00E14198"/>
    <w:rsid w:val="00E142AD"/>
    <w:rsid w:val="00E14493"/>
    <w:rsid w:val="00E14520"/>
    <w:rsid w:val="00E1453E"/>
    <w:rsid w:val="00E146B3"/>
    <w:rsid w:val="00E14719"/>
    <w:rsid w:val="00E148F2"/>
    <w:rsid w:val="00E14A30"/>
    <w:rsid w:val="00E14C01"/>
    <w:rsid w:val="00E14FBF"/>
    <w:rsid w:val="00E15126"/>
    <w:rsid w:val="00E1514F"/>
    <w:rsid w:val="00E15265"/>
    <w:rsid w:val="00E153A5"/>
    <w:rsid w:val="00E153D9"/>
    <w:rsid w:val="00E155DB"/>
    <w:rsid w:val="00E1578F"/>
    <w:rsid w:val="00E157B0"/>
    <w:rsid w:val="00E15847"/>
    <w:rsid w:val="00E158C9"/>
    <w:rsid w:val="00E15C6F"/>
    <w:rsid w:val="00E15D0D"/>
    <w:rsid w:val="00E15D68"/>
    <w:rsid w:val="00E15F90"/>
    <w:rsid w:val="00E1604E"/>
    <w:rsid w:val="00E16142"/>
    <w:rsid w:val="00E161E6"/>
    <w:rsid w:val="00E162F4"/>
    <w:rsid w:val="00E164A3"/>
    <w:rsid w:val="00E1655A"/>
    <w:rsid w:val="00E166A6"/>
    <w:rsid w:val="00E16975"/>
    <w:rsid w:val="00E16AD1"/>
    <w:rsid w:val="00E16E0E"/>
    <w:rsid w:val="00E16EF5"/>
    <w:rsid w:val="00E17060"/>
    <w:rsid w:val="00E1719D"/>
    <w:rsid w:val="00E17431"/>
    <w:rsid w:val="00E174C1"/>
    <w:rsid w:val="00E17BA4"/>
    <w:rsid w:val="00E17C1C"/>
    <w:rsid w:val="00E17F4B"/>
    <w:rsid w:val="00E201A0"/>
    <w:rsid w:val="00E202E0"/>
    <w:rsid w:val="00E203A2"/>
    <w:rsid w:val="00E20479"/>
    <w:rsid w:val="00E20599"/>
    <w:rsid w:val="00E20660"/>
    <w:rsid w:val="00E20BD9"/>
    <w:rsid w:val="00E21230"/>
    <w:rsid w:val="00E21283"/>
    <w:rsid w:val="00E214E3"/>
    <w:rsid w:val="00E21579"/>
    <w:rsid w:val="00E216A6"/>
    <w:rsid w:val="00E2178D"/>
    <w:rsid w:val="00E21B54"/>
    <w:rsid w:val="00E21E32"/>
    <w:rsid w:val="00E22C59"/>
    <w:rsid w:val="00E234A1"/>
    <w:rsid w:val="00E2361E"/>
    <w:rsid w:val="00E23626"/>
    <w:rsid w:val="00E2370E"/>
    <w:rsid w:val="00E2379E"/>
    <w:rsid w:val="00E23B04"/>
    <w:rsid w:val="00E240D3"/>
    <w:rsid w:val="00E24194"/>
    <w:rsid w:val="00E2432E"/>
    <w:rsid w:val="00E24377"/>
    <w:rsid w:val="00E247D8"/>
    <w:rsid w:val="00E24B36"/>
    <w:rsid w:val="00E24D16"/>
    <w:rsid w:val="00E24EF7"/>
    <w:rsid w:val="00E251B1"/>
    <w:rsid w:val="00E25627"/>
    <w:rsid w:val="00E2588F"/>
    <w:rsid w:val="00E25C30"/>
    <w:rsid w:val="00E25D51"/>
    <w:rsid w:val="00E25ED4"/>
    <w:rsid w:val="00E26034"/>
    <w:rsid w:val="00E264C5"/>
    <w:rsid w:val="00E2675E"/>
    <w:rsid w:val="00E2688A"/>
    <w:rsid w:val="00E26D79"/>
    <w:rsid w:val="00E26FA0"/>
    <w:rsid w:val="00E270CC"/>
    <w:rsid w:val="00E272E1"/>
    <w:rsid w:val="00E27448"/>
    <w:rsid w:val="00E2749E"/>
    <w:rsid w:val="00E27C79"/>
    <w:rsid w:val="00E27D19"/>
    <w:rsid w:val="00E27EE5"/>
    <w:rsid w:val="00E30136"/>
    <w:rsid w:val="00E30161"/>
    <w:rsid w:val="00E301C9"/>
    <w:rsid w:val="00E30644"/>
    <w:rsid w:val="00E306CD"/>
    <w:rsid w:val="00E30739"/>
    <w:rsid w:val="00E307C8"/>
    <w:rsid w:val="00E30D8A"/>
    <w:rsid w:val="00E3151A"/>
    <w:rsid w:val="00E31592"/>
    <w:rsid w:val="00E315F1"/>
    <w:rsid w:val="00E319C0"/>
    <w:rsid w:val="00E32127"/>
    <w:rsid w:val="00E32193"/>
    <w:rsid w:val="00E322F1"/>
    <w:rsid w:val="00E3240E"/>
    <w:rsid w:val="00E32534"/>
    <w:rsid w:val="00E32697"/>
    <w:rsid w:val="00E32F92"/>
    <w:rsid w:val="00E3320C"/>
    <w:rsid w:val="00E3326C"/>
    <w:rsid w:val="00E332CD"/>
    <w:rsid w:val="00E332F7"/>
    <w:rsid w:val="00E33346"/>
    <w:rsid w:val="00E33460"/>
    <w:rsid w:val="00E33634"/>
    <w:rsid w:val="00E33773"/>
    <w:rsid w:val="00E33E8C"/>
    <w:rsid w:val="00E33F69"/>
    <w:rsid w:val="00E34313"/>
    <w:rsid w:val="00E3465E"/>
    <w:rsid w:val="00E3479D"/>
    <w:rsid w:val="00E34826"/>
    <w:rsid w:val="00E34910"/>
    <w:rsid w:val="00E349CC"/>
    <w:rsid w:val="00E34A64"/>
    <w:rsid w:val="00E34C01"/>
    <w:rsid w:val="00E34C35"/>
    <w:rsid w:val="00E34D12"/>
    <w:rsid w:val="00E34D47"/>
    <w:rsid w:val="00E34E6C"/>
    <w:rsid w:val="00E350D4"/>
    <w:rsid w:val="00E35327"/>
    <w:rsid w:val="00E35739"/>
    <w:rsid w:val="00E3592F"/>
    <w:rsid w:val="00E35ABF"/>
    <w:rsid w:val="00E35B18"/>
    <w:rsid w:val="00E35BAA"/>
    <w:rsid w:val="00E35F5F"/>
    <w:rsid w:val="00E36053"/>
    <w:rsid w:val="00E362D7"/>
    <w:rsid w:val="00E36889"/>
    <w:rsid w:val="00E3699A"/>
    <w:rsid w:val="00E36A15"/>
    <w:rsid w:val="00E36AC9"/>
    <w:rsid w:val="00E36C33"/>
    <w:rsid w:val="00E36C88"/>
    <w:rsid w:val="00E36D8B"/>
    <w:rsid w:val="00E36DBF"/>
    <w:rsid w:val="00E36DC5"/>
    <w:rsid w:val="00E36E42"/>
    <w:rsid w:val="00E36F79"/>
    <w:rsid w:val="00E3718D"/>
    <w:rsid w:val="00E371B6"/>
    <w:rsid w:val="00E372CF"/>
    <w:rsid w:val="00E37361"/>
    <w:rsid w:val="00E374E0"/>
    <w:rsid w:val="00E37A0C"/>
    <w:rsid w:val="00E37C0B"/>
    <w:rsid w:val="00E37C3E"/>
    <w:rsid w:val="00E37FB5"/>
    <w:rsid w:val="00E40089"/>
    <w:rsid w:val="00E40142"/>
    <w:rsid w:val="00E40271"/>
    <w:rsid w:val="00E4054C"/>
    <w:rsid w:val="00E40610"/>
    <w:rsid w:val="00E406E6"/>
    <w:rsid w:val="00E40B7F"/>
    <w:rsid w:val="00E40DAE"/>
    <w:rsid w:val="00E40E4D"/>
    <w:rsid w:val="00E4134E"/>
    <w:rsid w:val="00E4163D"/>
    <w:rsid w:val="00E4188A"/>
    <w:rsid w:val="00E41BF8"/>
    <w:rsid w:val="00E41C6C"/>
    <w:rsid w:val="00E41CAA"/>
    <w:rsid w:val="00E41D14"/>
    <w:rsid w:val="00E4209A"/>
    <w:rsid w:val="00E420E6"/>
    <w:rsid w:val="00E423EF"/>
    <w:rsid w:val="00E4279A"/>
    <w:rsid w:val="00E4287B"/>
    <w:rsid w:val="00E428C5"/>
    <w:rsid w:val="00E42E35"/>
    <w:rsid w:val="00E4344F"/>
    <w:rsid w:val="00E437EE"/>
    <w:rsid w:val="00E43A54"/>
    <w:rsid w:val="00E43D05"/>
    <w:rsid w:val="00E43E29"/>
    <w:rsid w:val="00E43EB1"/>
    <w:rsid w:val="00E43F56"/>
    <w:rsid w:val="00E4425D"/>
    <w:rsid w:val="00E446D5"/>
    <w:rsid w:val="00E446F5"/>
    <w:rsid w:val="00E4488C"/>
    <w:rsid w:val="00E44ADC"/>
    <w:rsid w:val="00E44C23"/>
    <w:rsid w:val="00E44F2B"/>
    <w:rsid w:val="00E44F4E"/>
    <w:rsid w:val="00E4530B"/>
    <w:rsid w:val="00E45623"/>
    <w:rsid w:val="00E456D0"/>
    <w:rsid w:val="00E45757"/>
    <w:rsid w:val="00E45775"/>
    <w:rsid w:val="00E457AD"/>
    <w:rsid w:val="00E45ABE"/>
    <w:rsid w:val="00E45D7F"/>
    <w:rsid w:val="00E4635D"/>
    <w:rsid w:val="00E46697"/>
    <w:rsid w:val="00E46885"/>
    <w:rsid w:val="00E46985"/>
    <w:rsid w:val="00E46C1D"/>
    <w:rsid w:val="00E46E47"/>
    <w:rsid w:val="00E46F96"/>
    <w:rsid w:val="00E46FF2"/>
    <w:rsid w:val="00E47122"/>
    <w:rsid w:val="00E47430"/>
    <w:rsid w:val="00E47581"/>
    <w:rsid w:val="00E4775F"/>
    <w:rsid w:val="00E479CC"/>
    <w:rsid w:val="00E47E96"/>
    <w:rsid w:val="00E5030A"/>
    <w:rsid w:val="00E5044A"/>
    <w:rsid w:val="00E50484"/>
    <w:rsid w:val="00E506DE"/>
    <w:rsid w:val="00E5073B"/>
    <w:rsid w:val="00E50784"/>
    <w:rsid w:val="00E5079B"/>
    <w:rsid w:val="00E508C4"/>
    <w:rsid w:val="00E50982"/>
    <w:rsid w:val="00E50E3C"/>
    <w:rsid w:val="00E50E86"/>
    <w:rsid w:val="00E50FA8"/>
    <w:rsid w:val="00E51204"/>
    <w:rsid w:val="00E5126E"/>
    <w:rsid w:val="00E5187C"/>
    <w:rsid w:val="00E51937"/>
    <w:rsid w:val="00E51A44"/>
    <w:rsid w:val="00E51A5E"/>
    <w:rsid w:val="00E51A78"/>
    <w:rsid w:val="00E51B33"/>
    <w:rsid w:val="00E51C12"/>
    <w:rsid w:val="00E5213A"/>
    <w:rsid w:val="00E523F8"/>
    <w:rsid w:val="00E52452"/>
    <w:rsid w:val="00E524D8"/>
    <w:rsid w:val="00E525EB"/>
    <w:rsid w:val="00E52620"/>
    <w:rsid w:val="00E527F8"/>
    <w:rsid w:val="00E52B7A"/>
    <w:rsid w:val="00E53026"/>
    <w:rsid w:val="00E53ADB"/>
    <w:rsid w:val="00E53ADF"/>
    <w:rsid w:val="00E53C6B"/>
    <w:rsid w:val="00E53DD7"/>
    <w:rsid w:val="00E53DEE"/>
    <w:rsid w:val="00E54183"/>
    <w:rsid w:val="00E54187"/>
    <w:rsid w:val="00E541A7"/>
    <w:rsid w:val="00E547AF"/>
    <w:rsid w:val="00E547DF"/>
    <w:rsid w:val="00E54893"/>
    <w:rsid w:val="00E54982"/>
    <w:rsid w:val="00E54A3C"/>
    <w:rsid w:val="00E54BC0"/>
    <w:rsid w:val="00E54E16"/>
    <w:rsid w:val="00E550FD"/>
    <w:rsid w:val="00E5517E"/>
    <w:rsid w:val="00E5549C"/>
    <w:rsid w:val="00E55684"/>
    <w:rsid w:val="00E556A4"/>
    <w:rsid w:val="00E557C5"/>
    <w:rsid w:val="00E55BE9"/>
    <w:rsid w:val="00E55F79"/>
    <w:rsid w:val="00E560B2"/>
    <w:rsid w:val="00E568FD"/>
    <w:rsid w:val="00E56BF8"/>
    <w:rsid w:val="00E56DD2"/>
    <w:rsid w:val="00E56EDA"/>
    <w:rsid w:val="00E56FD9"/>
    <w:rsid w:val="00E56FF6"/>
    <w:rsid w:val="00E57278"/>
    <w:rsid w:val="00E57525"/>
    <w:rsid w:val="00E57930"/>
    <w:rsid w:val="00E57C40"/>
    <w:rsid w:val="00E57D61"/>
    <w:rsid w:val="00E6007F"/>
    <w:rsid w:val="00E600FD"/>
    <w:rsid w:val="00E602D6"/>
    <w:rsid w:val="00E60788"/>
    <w:rsid w:val="00E607FE"/>
    <w:rsid w:val="00E6089E"/>
    <w:rsid w:val="00E608CB"/>
    <w:rsid w:val="00E60B8C"/>
    <w:rsid w:val="00E60D93"/>
    <w:rsid w:val="00E60DD3"/>
    <w:rsid w:val="00E6138C"/>
    <w:rsid w:val="00E616E4"/>
    <w:rsid w:val="00E617F6"/>
    <w:rsid w:val="00E619D1"/>
    <w:rsid w:val="00E61F5E"/>
    <w:rsid w:val="00E621A3"/>
    <w:rsid w:val="00E62282"/>
    <w:rsid w:val="00E622CF"/>
    <w:rsid w:val="00E6233B"/>
    <w:rsid w:val="00E624B2"/>
    <w:rsid w:val="00E628AC"/>
    <w:rsid w:val="00E628E9"/>
    <w:rsid w:val="00E629B6"/>
    <w:rsid w:val="00E62AFE"/>
    <w:rsid w:val="00E62B32"/>
    <w:rsid w:val="00E62C9B"/>
    <w:rsid w:val="00E62F23"/>
    <w:rsid w:val="00E63027"/>
    <w:rsid w:val="00E63115"/>
    <w:rsid w:val="00E6361C"/>
    <w:rsid w:val="00E63625"/>
    <w:rsid w:val="00E63647"/>
    <w:rsid w:val="00E63651"/>
    <w:rsid w:val="00E6370C"/>
    <w:rsid w:val="00E63797"/>
    <w:rsid w:val="00E638CD"/>
    <w:rsid w:val="00E63AE6"/>
    <w:rsid w:val="00E63AEB"/>
    <w:rsid w:val="00E63D09"/>
    <w:rsid w:val="00E64032"/>
    <w:rsid w:val="00E64200"/>
    <w:rsid w:val="00E64221"/>
    <w:rsid w:val="00E64755"/>
    <w:rsid w:val="00E64944"/>
    <w:rsid w:val="00E64C50"/>
    <w:rsid w:val="00E651BD"/>
    <w:rsid w:val="00E65652"/>
    <w:rsid w:val="00E65D20"/>
    <w:rsid w:val="00E65E2C"/>
    <w:rsid w:val="00E660C6"/>
    <w:rsid w:val="00E662E8"/>
    <w:rsid w:val="00E66675"/>
    <w:rsid w:val="00E6677A"/>
    <w:rsid w:val="00E66E3D"/>
    <w:rsid w:val="00E66F42"/>
    <w:rsid w:val="00E66FDA"/>
    <w:rsid w:val="00E67159"/>
    <w:rsid w:val="00E672C6"/>
    <w:rsid w:val="00E674B6"/>
    <w:rsid w:val="00E67768"/>
    <w:rsid w:val="00E67851"/>
    <w:rsid w:val="00E6792B"/>
    <w:rsid w:val="00E67A0A"/>
    <w:rsid w:val="00E67A59"/>
    <w:rsid w:val="00E67AD0"/>
    <w:rsid w:val="00E67BA0"/>
    <w:rsid w:val="00E67C6A"/>
    <w:rsid w:val="00E7009F"/>
    <w:rsid w:val="00E701B5"/>
    <w:rsid w:val="00E701C0"/>
    <w:rsid w:val="00E70238"/>
    <w:rsid w:val="00E70553"/>
    <w:rsid w:val="00E70937"/>
    <w:rsid w:val="00E70C9F"/>
    <w:rsid w:val="00E70E3B"/>
    <w:rsid w:val="00E70EEA"/>
    <w:rsid w:val="00E70F0F"/>
    <w:rsid w:val="00E71093"/>
    <w:rsid w:val="00E7113A"/>
    <w:rsid w:val="00E712DE"/>
    <w:rsid w:val="00E7176E"/>
    <w:rsid w:val="00E717AC"/>
    <w:rsid w:val="00E7183D"/>
    <w:rsid w:val="00E71A35"/>
    <w:rsid w:val="00E71D65"/>
    <w:rsid w:val="00E71E7E"/>
    <w:rsid w:val="00E7211D"/>
    <w:rsid w:val="00E7213B"/>
    <w:rsid w:val="00E722AE"/>
    <w:rsid w:val="00E72335"/>
    <w:rsid w:val="00E72913"/>
    <w:rsid w:val="00E72B30"/>
    <w:rsid w:val="00E72D86"/>
    <w:rsid w:val="00E72D90"/>
    <w:rsid w:val="00E73036"/>
    <w:rsid w:val="00E7307D"/>
    <w:rsid w:val="00E73403"/>
    <w:rsid w:val="00E73749"/>
    <w:rsid w:val="00E73931"/>
    <w:rsid w:val="00E7396E"/>
    <w:rsid w:val="00E73ADA"/>
    <w:rsid w:val="00E73B73"/>
    <w:rsid w:val="00E73D74"/>
    <w:rsid w:val="00E73DB9"/>
    <w:rsid w:val="00E73DFB"/>
    <w:rsid w:val="00E73E19"/>
    <w:rsid w:val="00E73E71"/>
    <w:rsid w:val="00E73E99"/>
    <w:rsid w:val="00E74576"/>
    <w:rsid w:val="00E7460F"/>
    <w:rsid w:val="00E7494E"/>
    <w:rsid w:val="00E74993"/>
    <w:rsid w:val="00E749B2"/>
    <w:rsid w:val="00E74C11"/>
    <w:rsid w:val="00E74EFE"/>
    <w:rsid w:val="00E74FCE"/>
    <w:rsid w:val="00E7509B"/>
    <w:rsid w:val="00E751BC"/>
    <w:rsid w:val="00E754B4"/>
    <w:rsid w:val="00E75679"/>
    <w:rsid w:val="00E7581C"/>
    <w:rsid w:val="00E75EA2"/>
    <w:rsid w:val="00E75F2D"/>
    <w:rsid w:val="00E767E3"/>
    <w:rsid w:val="00E7736A"/>
    <w:rsid w:val="00E7739E"/>
    <w:rsid w:val="00E77404"/>
    <w:rsid w:val="00E77477"/>
    <w:rsid w:val="00E7754F"/>
    <w:rsid w:val="00E77574"/>
    <w:rsid w:val="00E776A0"/>
    <w:rsid w:val="00E77992"/>
    <w:rsid w:val="00E77A4C"/>
    <w:rsid w:val="00E77B77"/>
    <w:rsid w:val="00E77BBC"/>
    <w:rsid w:val="00E77D36"/>
    <w:rsid w:val="00E77F8F"/>
    <w:rsid w:val="00E801DA"/>
    <w:rsid w:val="00E802DB"/>
    <w:rsid w:val="00E80301"/>
    <w:rsid w:val="00E80550"/>
    <w:rsid w:val="00E80608"/>
    <w:rsid w:val="00E80B36"/>
    <w:rsid w:val="00E80BBC"/>
    <w:rsid w:val="00E80BCA"/>
    <w:rsid w:val="00E80D32"/>
    <w:rsid w:val="00E80D58"/>
    <w:rsid w:val="00E80F18"/>
    <w:rsid w:val="00E810EC"/>
    <w:rsid w:val="00E81146"/>
    <w:rsid w:val="00E814AC"/>
    <w:rsid w:val="00E814DC"/>
    <w:rsid w:val="00E8163D"/>
    <w:rsid w:val="00E819C9"/>
    <w:rsid w:val="00E81A8D"/>
    <w:rsid w:val="00E81AD1"/>
    <w:rsid w:val="00E81C52"/>
    <w:rsid w:val="00E81C97"/>
    <w:rsid w:val="00E8210C"/>
    <w:rsid w:val="00E8216F"/>
    <w:rsid w:val="00E82176"/>
    <w:rsid w:val="00E824FB"/>
    <w:rsid w:val="00E82566"/>
    <w:rsid w:val="00E827C4"/>
    <w:rsid w:val="00E8286D"/>
    <w:rsid w:val="00E82891"/>
    <w:rsid w:val="00E82A28"/>
    <w:rsid w:val="00E82A7A"/>
    <w:rsid w:val="00E82A9C"/>
    <w:rsid w:val="00E82AE6"/>
    <w:rsid w:val="00E82B59"/>
    <w:rsid w:val="00E82CC3"/>
    <w:rsid w:val="00E82CE2"/>
    <w:rsid w:val="00E834A6"/>
    <w:rsid w:val="00E834C8"/>
    <w:rsid w:val="00E83580"/>
    <w:rsid w:val="00E83813"/>
    <w:rsid w:val="00E839D6"/>
    <w:rsid w:val="00E83AD5"/>
    <w:rsid w:val="00E83B2C"/>
    <w:rsid w:val="00E83C7F"/>
    <w:rsid w:val="00E83D72"/>
    <w:rsid w:val="00E8449E"/>
    <w:rsid w:val="00E844D9"/>
    <w:rsid w:val="00E84532"/>
    <w:rsid w:val="00E845BA"/>
    <w:rsid w:val="00E84673"/>
    <w:rsid w:val="00E84924"/>
    <w:rsid w:val="00E850BE"/>
    <w:rsid w:val="00E85305"/>
    <w:rsid w:val="00E854F4"/>
    <w:rsid w:val="00E8561A"/>
    <w:rsid w:val="00E856C3"/>
    <w:rsid w:val="00E85717"/>
    <w:rsid w:val="00E85819"/>
    <w:rsid w:val="00E85D0D"/>
    <w:rsid w:val="00E8605F"/>
    <w:rsid w:val="00E86376"/>
    <w:rsid w:val="00E86400"/>
    <w:rsid w:val="00E8663A"/>
    <w:rsid w:val="00E867B4"/>
    <w:rsid w:val="00E86AC4"/>
    <w:rsid w:val="00E86D1F"/>
    <w:rsid w:val="00E86E0E"/>
    <w:rsid w:val="00E86EAF"/>
    <w:rsid w:val="00E87130"/>
    <w:rsid w:val="00E87384"/>
    <w:rsid w:val="00E873B9"/>
    <w:rsid w:val="00E879D4"/>
    <w:rsid w:val="00E87A1A"/>
    <w:rsid w:val="00E87AB2"/>
    <w:rsid w:val="00E87ABA"/>
    <w:rsid w:val="00E87B0F"/>
    <w:rsid w:val="00E87B8B"/>
    <w:rsid w:val="00E87DE3"/>
    <w:rsid w:val="00E87EE5"/>
    <w:rsid w:val="00E87F29"/>
    <w:rsid w:val="00E9041B"/>
    <w:rsid w:val="00E9066D"/>
    <w:rsid w:val="00E90B19"/>
    <w:rsid w:val="00E90D42"/>
    <w:rsid w:val="00E90DA9"/>
    <w:rsid w:val="00E910F7"/>
    <w:rsid w:val="00E9120C"/>
    <w:rsid w:val="00E9139B"/>
    <w:rsid w:val="00E915F5"/>
    <w:rsid w:val="00E917E1"/>
    <w:rsid w:val="00E91BB5"/>
    <w:rsid w:val="00E91C7B"/>
    <w:rsid w:val="00E91C9C"/>
    <w:rsid w:val="00E91F9C"/>
    <w:rsid w:val="00E92294"/>
    <w:rsid w:val="00E9253B"/>
    <w:rsid w:val="00E92778"/>
    <w:rsid w:val="00E92842"/>
    <w:rsid w:val="00E929B9"/>
    <w:rsid w:val="00E92C22"/>
    <w:rsid w:val="00E92F00"/>
    <w:rsid w:val="00E92F87"/>
    <w:rsid w:val="00E930D8"/>
    <w:rsid w:val="00E932D5"/>
    <w:rsid w:val="00E93768"/>
    <w:rsid w:val="00E93B81"/>
    <w:rsid w:val="00E93CCC"/>
    <w:rsid w:val="00E93F9E"/>
    <w:rsid w:val="00E94070"/>
    <w:rsid w:val="00E940D9"/>
    <w:rsid w:val="00E943FF"/>
    <w:rsid w:val="00E9444D"/>
    <w:rsid w:val="00E94519"/>
    <w:rsid w:val="00E94C7A"/>
    <w:rsid w:val="00E94CFF"/>
    <w:rsid w:val="00E950E7"/>
    <w:rsid w:val="00E956CF"/>
    <w:rsid w:val="00E95898"/>
    <w:rsid w:val="00E960FC"/>
    <w:rsid w:val="00E96B04"/>
    <w:rsid w:val="00E96C5C"/>
    <w:rsid w:val="00E96D12"/>
    <w:rsid w:val="00E96D22"/>
    <w:rsid w:val="00E96E99"/>
    <w:rsid w:val="00E96F87"/>
    <w:rsid w:val="00E97032"/>
    <w:rsid w:val="00E9726A"/>
    <w:rsid w:val="00E973EC"/>
    <w:rsid w:val="00E9758C"/>
    <w:rsid w:val="00E97592"/>
    <w:rsid w:val="00E97606"/>
    <w:rsid w:val="00E97B4D"/>
    <w:rsid w:val="00E97C38"/>
    <w:rsid w:val="00E97F09"/>
    <w:rsid w:val="00E97F4A"/>
    <w:rsid w:val="00EA0050"/>
    <w:rsid w:val="00EA017C"/>
    <w:rsid w:val="00EA01B6"/>
    <w:rsid w:val="00EA0AE8"/>
    <w:rsid w:val="00EA0F96"/>
    <w:rsid w:val="00EA10FD"/>
    <w:rsid w:val="00EA122A"/>
    <w:rsid w:val="00EA1232"/>
    <w:rsid w:val="00EA1330"/>
    <w:rsid w:val="00EA144E"/>
    <w:rsid w:val="00EA17F4"/>
    <w:rsid w:val="00EA1A5E"/>
    <w:rsid w:val="00EA1BCF"/>
    <w:rsid w:val="00EA1C7E"/>
    <w:rsid w:val="00EA2018"/>
    <w:rsid w:val="00EA21D4"/>
    <w:rsid w:val="00EA22AC"/>
    <w:rsid w:val="00EA2559"/>
    <w:rsid w:val="00EA2796"/>
    <w:rsid w:val="00EA2A81"/>
    <w:rsid w:val="00EA2CA6"/>
    <w:rsid w:val="00EA2D72"/>
    <w:rsid w:val="00EA2D9C"/>
    <w:rsid w:val="00EA3012"/>
    <w:rsid w:val="00EA31EE"/>
    <w:rsid w:val="00EA3232"/>
    <w:rsid w:val="00EA34E0"/>
    <w:rsid w:val="00EA3534"/>
    <w:rsid w:val="00EA359A"/>
    <w:rsid w:val="00EA35D6"/>
    <w:rsid w:val="00EA3698"/>
    <w:rsid w:val="00EA38AD"/>
    <w:rsid w:val="00EA3E42"/>
    <w:rsid w:val="00EA4265"/>
    <w:rsid w:val="00EA42DE"/>
    <w:rsid w:val="00EA44E0"/>
    <w:rsid w:val="00EA4718"/>
    <w:rsid w:val="00EA4891"/>
    <w:rsid w:val="00EA49AA"/>
    <w:rsid w:val="00EA4AC9"/>
    <w:rsid w:val="00EA4AE7"/>
    <w:rsid w:val="00EA4E77"/>
    <w:rsid w:val="00EA5351"/>
    <w:rsid w:val="00EA547F"/>
    <w:rsid w:val="00EA592B"/>
    <w:rsid w:val="00EA5AC6"/>
    <w:rsid w:val="00EA5CDD"/>
    <w:rsid w:val="00EA5CFA"/>
    <w:rsid w:val="00EA6179"/>
    <w:rsid w:val="00EA628F"/>
    <w:rsid w:val="00EA638C"/>
    <w:rsid w:val="00EA6516"/>
    <w:rsid w:val="00EA69C4"/>
    <w:rsid w:val="00EA6AF5"/>
    <w:rsid w:val="00EA6D1D"/>
    <w:rsid w:val="00EA722F"/>
    <w:rsid w:val="00EA726C"/>
    <w:rsid w:val="00EA7293"/>
    <w:rsid w:val="00EA7477"/>
    <w:rsid w:val="00EA74AC"/>
    <w:rsid w:val="00EA7510"/>
    <w:rsid w:val="00EA7760"/>
    <w:rsid w:val="00EA77F3"/>
    <w:rsid w:val="00EA785A"/>
    <w:rsid w:val="00EA788E"/>
    <w:rsid w:val="00EA7C4C"/>
    <w:rsid w:val="00EA7F69"/>
    <w:rsid w:val="00EB0342"/>
    <w:rsid w:val="00EB03D5"/>
    <w:rsid w:val="00EB04BD"/>
    <w:rsid w:val="00EB099F"/>
    <w:rsid w:val="00EB09A1"/>
    <w:rsid w:val="00EB0B3F"/>
    <w:rsid w:val="00EB0CB8"/>
    <w:rsid w:val="00EB0CDB"/>
    <w:rsid w:val="00EB0DF9"/>
    <w:rsid w:val="00EB0EC9"/>
    <w:rsid w:val="00EB0F20"/>
    <w:rsid w:val="00EB107D"/>
    <w:rsid w:val="00EB1081"/>
    <w:rsid w:val="00EB12C4"/>
    <w:rsid w:val="00EB1464"/>
    <w:rsid w:val="00EB1623"/>
    <w:rsid w:val="00EB1ABC"/>
    <w:rsid w:val="00EB1BFC"/>
    <w:rsid w:val="00EB1C97"/>
    <w:rsid w:val="00EB1D20"/>
    <w:rsid w:val="00EB2277"/>
    <w:rsid w:val="00EB2638"/>
    <w:rsid w:val="00EB26FB"/>
    <w:rsid w:val="00EB27D6"/>
    <w:rsid w:val="00EB2839"/>
    <w:rsid w:val="00EB2D3C"/>
    <w:rsid w:val="00EB2EB6"/>
    <w:rsid w:val="00EB2F5B"/>
    <w:rsid w:val="00EB31DB"/>
    <w:rsid w:val="00EB326C"/>
    <w:rsid w:val="00EB33ED"/>
    <w:rsid w:val="00EB34DB"/>
    <w:rsid w:val="00EB36DF"/>
    <w:rsid w:val="00EB39C8"/>
    <w:rsid w:val="00EB3B7A"/>
    <w:rsid w:val="00EB3DED"/>
    <w:rsid w:val="00EB3E83"/>
    <w:rsid w:val="00EB3FD8"/>
    <w:rsid w:val="00EB41C3"/>
    <w:rsid w:val="00EB425C"/>
    <w:rsid w:val="00EB451B"/>
    <w:rsid w:val="00EB48A7"/>
    <w:rsid w:val="00EB4C19"/>
    <w:rsid w:val="00EB4C93"/>
    <w:rsid w:val="00EB4F0B"/>
    <w:rsid w:val="00EB5343"/>
    <w:rsid w:val="00EB568F"/>
    <w:rsid w:val="00EB57F0"/>
    <w:rsid w:val="00EB5B08"/>
    <w:rsid w:val="00EB5BB5"/>
    <w:rsid w:val="00EB5D6A"/>
    <w:rsid w:val="00EB5D85"/>
    <w:rsid w:val="00EB623A"/>
    <w:rsid w:val="00EB652D"/>
    <w:rsid w:val="00EB6595"/>
    <w:rsid w:val="00EB6753"/>
    <w:rsid w:val="00EB6850"/>
    <w:rsid w:val="00EB6871"/>
    <w:rsid w:val="00EB6873"/>
    <w:rsid w:val="00EB68DF"/>
    <w:rsid w:val="00EB6AD5"/>
    <w:rsid w:val="00EB6AE6"/>
    <w:rsid w:val="00EB6B61"/>
    <w:rsid w:val="00EB6DA6"/>
    <w:rsid w:val="00EB6F78"/>
    <w:rsid w:val="00EB70B4"/>
    <w:rsid w:val="00EB7363"/>
    <w:rsid w:val="00EB7641"/>
    <w:rsid w:val="00EB7FC4"/>
    <w:rsid w:val="00EC0090"/>
    <w:rsid w:val="00EC010E"/>
    <w:rsid w:val="00EC01ED"/>
    <w:rsid w:val="00EC0346"/>
    <w:rsid w:val="00EC045E"/>
    <w:rsid w:val="00EC0534"/>
    <w:rsid w:val="00EC0540"/>
    <w:rsid w:val="00EC058F"/>
    <w:rsid w:val="00EC0890"/>
    <w:rsid w:val="00EC0D34"/>
    <w:rsid w:val="00EC0D4F"/>
    <w:rsid w:val="00EC0EA3"/>
    <w:rsid w:val="00EC110F"/>
    <w:rsid w:val="00EC1188"/>
    <w:rsid w:val="00EC1511"/>
    <w:rsid w:val="00EC1B69"/>
    <w:rsid w:val="00EC1D43"/>
    <w:rsid w:val="00EC1FA1"/>
    <w:rsid w:val="00EC243F"/>
    <w:rsid w:val="00EC2B54"/>
    <w:rsid w:val="00EC2C46"/>
    <w:rsid w:val="00EC2F58"/>
    <w:rsid w:val="00EC312E"/>
    <w:rsid w:val="00EC35BA"/>
    <w:rsid w:val="00EC370D"/>
    <w:rsid w:val="00EC3F55"/>
    <w:rsid w:val="00EC3F9D"/>
    <w:rsid w:val="00EC472E"/>
    <w:rsid w:val="00EC4772"/>
    <w:rsid w:val="00EC4AED"/>
    <w:rsid w:val="00EC4DCF"/>
    <w:rsid w:val="00EC4EDD"/>
    <w:rsid w:val="00EC4FB9"/>
    <w:rsid w:val="00EC4FFF"/>
    <w:rsid w:val="00EC5260"/>
    <w:rsid w:val="00EC53C5"/>
    <w:rsid w:val="00EC5421"/>
    <w:rsid w:val="00EC54E7"/>
    <w:rsid w:val="00EC55CB"/>
    <w:rsid w:val="00EC5902"/>
    <w:rsid w:val="00EC5D8C"/>
    <w:rsid w:val="00EC5E44"/>
    <w:rsid w:val="00EC5F5E"/>
    <w:rsid w:val="00EC63BF"/>
    <w:rsid w:val="00EC666A"/>
    <w:rsid w:val="00EC66D2"/>
    <w:rsid w:val="00EC6A83"/>
    <w:rsid w:val="00EC6C0A"/>
    <w:rsid w:val="00EC6D08"/>
    <w:rsid w:val="00EC6F62"/>
    <w:rsid w:val="00EC6FE0"/>
    <w:rsid w:val="00EC716B"/>
    <w:rsid w:val="00EC7205"/>
    <w:rsid w:val="00EC73A1"/>
    <w:rsid w:val="00EC7657"/>
    <w:rsid w:val="00EC78FE"/>
    <w:rsid w:val="00ED0125"/>
    <w:rsid w:val="00ED0455"/>
    <w:rsid w:val="00ED0678"/>
    <w:rsid w:val="00ED08DD"/>
    <w:rsid w:val="00ED096D"/>
    <w:rsid w:val="00ED0BFB"/>
    <w:rsid w:val="00ED0CEB"/>
    <w:rsid w:val="00ED0D92"/>
    <w:rsid w:val="00ED1000"/>
    <w:rsid w:val="00ED1056"/>
    <w:rsid w:val="00ED113D"/>
    <w:rsid w:val="00ED124E"/>
    <w:rsid w:val="00ED14E2"/>
    <w:rsid w:val="00ED164A"/>
    <w:rsid w:val="00ED1689"/>
    <w:rsid w:val="00ED1E89"/>
    <w:rsid w:val="00ED1E8E"/>
    <w:rsid w:val="00ED2164"/>
    <w:rsid w:val="00ED21DA"/>
    <w:rsid w:val="00ED2450"/>
    <w:rsid w:val="00ED24F2"/>
    <w:rsid w:val="00ED299B"/>
    <w:rsid w:val="00ED2EC4"/>
    <w:rsid w:val="00ED2F51"/>
    <w:rsid w:val="00ED320F"/>
    <w:rsid w:val="00ED32D7"/>
    <w:rsid w:val="00ED34B8"/>
    <w:rsid w:val="00ED3513"/>
    <w:rsid w:val="00ED372A"/>
    <w:rsid w:val="00ED3A51"/>
    <w:rsid w:val="00ED40F1"/>
    <w:rsid w:val="00ED41B0"/>
    <w:rsid w:val="00ED43DB"/>
    <w:rsid w:val="00ED4504"/>
    <w:rsid w:val="00ED467D"/>
    <w:rsid w:val="00ED472A"/>
    <w:rsid w:val="00ED488F"/>
    <w:rsid w:val="00ED4ADE"/>
    <w:rsid w:val="00ED4B4D"/>
    <w:rsid w:val="00ED4B9D"/>
    <w:rsid w:val="00ED4D7D"/>
    <w:rsid w:val="00ED4F34"/>
    <w:rsid w:val="00ED506B"/>
    <w:rsid w:val="00ED53E1"/>
    <w:rsid w:val="00ED5A50"/>
    <w:rsid w:val="00ED5B64"/>
    <w:rsid w:val="00ED5BFC"/>
    <w:rsid w:val="00ED5ED3"/>
    <w:rsid w:val="00ED5F31"/>
    <w:rsid w:val="00ED614A"/>
    <w:rsid w:val="00ED6630"/>
    <w:rsid w:val="00ED6727"/>
    <w:rsid w:val="00ED6837"/>
    <w:rsid w:val="00ED6AB3"/>
    <w:rsid w:val="00ED6D05"/>
    <w:rsid w:val="00ED6D64"/>
    <w:rsid w:val="00ED72C7"/>
    <w:rsid w:val="00ED72CE"/>
    <w:rsid w:val="00ED7557"/>
    <w:rsid w:val="00ED7D95"/>
    <w:rsid w:val="00ED7E12"/>
    <w:rsid w:val="00ED7E19"/>
    <w:rsid w:val="00ED7E86"/>
    <w:rsid w:val="00EE00AB"/>
    <w:rsid w:val="00EE0686"/>
    <w:rsid w:val="00EE0777"/>
    <w:rsid w:val="00EE08FE"/>
    <w:rsid w:val="00EE0AAC"/>
    <w:rsid w:val="00EE0DF5"/>
    <w:rsid w:val="00EE1062"/>
    <w:rsid w:val="00EE10F5"/>
    <w:rsid w:val="00EE1147"/>
    <w:rsid w:val="00EE138C"/>
    <w:rsid w:val="00EE1426"/>
    <w:rsid w:val="00EE1551"/>
    <w:rsid w:val="00EE164D"/>
    <w:rsid w:val="00EE183E"/>
    <w:rsid w:val="00EE193A"/>
    <w:rsid w:val="00EE1B2D"/>
    <w:rsid w:val="00EE1FEE"/>
    <w:rsid w:val="00EE2123"/>
    <w:rsid w:val="00EE2131"/>
    <w:rsid w:val="00EE22B2"/>
    <w:rsid w:val="00EE233F"/>
    <w:rsid w:val="00EE23B2"/>
    <w:rsid w:val="00EE23FA"/>
    <w:rsid w:val="00EE26AC"/>
    <w:rsid w:val="00EE2715"/>
    <w:rsid w:val="00EE368E"/>
    <w:rsid w:val="00EE3731"/>
    <w:rsid w:val="00EE38D0"/>
    <w:rsid w:val="00EE3B15"/>
    <w:rsid w:val="00EE3C04"/>
    <w:rsid w:val="00EE3C80"/>
    <w:rsid w:val="00EE4183"/>
    <w:rsid w:val="00EE452D"/>
    <w:rsid w:val="00EE45AC"/>
    <w:rsid w:val="00EE485E"/>
    <w:rsid w:val="00EE48B0"/>
    <w:rsid w:val="00EE4994"/>
    <w:rsid w:val="00EE4A46"/>
    <w:rsid w:val="00EE4B12"/>
    <w:rsid w:val="00EE4F29"/>
    <w:rsid w:val="00EE5259"/>
    <w:rsid w:val="00EE52C5"/>
    <w:rsid w:val="00EE5309"/>
    <w:rsid w:val="00EE5583"/>
    <w:rsid w:val="00EE5971"/>
    <w:rsid w:val="00EE597F"/>
    <w:rsid w:val="00EE5C7B"/>
    <w:rsid w:val="00EE5CF5"/>
    <w:rsid w:val="00EE5DCC"/>
    <w:rsid w:val="00EE5DE9"/>
    <w:rsid w:val="00EE5FBB"/>
    <w:rsid w:val="00EE60C7"/>
    <w:rsid w:val="00EE6109"/>
    <w:rsid w:val="00EE6369"/>
    <w:rsid w:val="00EE66A4"/>
    <w:rsid w:val="00EE6712"/>
    <w:rsid w:val="00EE6EC4"/>
    <w:rsid w:val="00EE7294"/>
    <w:rsid w:val="00EE7612"/>
    <w:rsid w:val="00EE7723"/>
    <w:rsid w:val="00EE78B5"/>
    <w:rsid w:val="00EE798A"/>
    <w:rsid w:val="00EE79C9"/>
    <w:rsid w:val="00EE7AAF"/>
    <w:rsid w:val="00EE7B61"/>
    <w:rsid w:val="00EE7CFD"/>
    <w:rsid w:val="00EE7E01"/>
    <w:rsid w:val="00EF038F"/>
    <w:rsid w:val="00EF09AA"/>
    <w:rsid w:val="00EF0B3F"/>
    <w:rsid w:val="00EF0E1B"/>
    <w:rsid w:val="00EF0F87"/>
    <w:rsid w:val="00EF0FBE"/>
    <w:rsid w:val="00EF1095"/>
    <w:rsid w:val="00EF10B6"/>
    <w:rsid w:val="00EF122E"/>
    <w:rsid w:val="00EF1404"/>
    <w:rsid w:val="00EF147B"/>
    <w:rsid w:val="00EF15CD"/>
    <w:rsid w:val="00EF19BC"/>
    <w:rsid w:val="00EF1A26"/>
    <w:rsid w:val="00EF2039"/>
    <w:rsid w:val="00EF2574"/>
    <w:rsid w:val="00EF2802"/>
    <w:rsid w:val="00EF28D0"/>
    <w:rsid w:val="00EF2DED"/>
    <w:rsid w:val="00EF2F15"/>
    <w:rsid w:val="00EF30DB"/>
    <w:rsid w:val="00EF30F7"/>
    <w:rsid w:val="00EF336B"/>
    <w:rsid w:val="00EF3503"/>
    <w:rsid w:val="00EF3C63"/>
    <w:rsid w:val="00EF3CD2"/>
    <w:rsid w:val="00EF3D7F"/>
    <w:rsid w:val="00EF3EFC"/>
    <w:rsid w:val="00EF418F"/>
    <w:rsid w:val="00EF4282"/>
    <w:rsid w:val="00EF438D"/>
    <w:rsid w:val="00EF488B"/>
    <w:rsid w:val="00EF4BD7"/>
    <w:rsid w:val="00EF4C29"/>
    <w:rsid w:val="00EF4EF7"/>
    <w:rsid w:val="00EF4FD5"/>
    <w:rsid w:val="00EF50E3"/>
    <w:rsid w:val="00EF556B"/>
    <w:rsid w:val="00EF5945"/>
    <w:rsid w:val="00EF5C89"/>
    <w:rsid w:val="00EF5D59"/>
    <w:rsid w:val="00EF5E6B"/>
    <w:rsid w:val="00EF5FE5"/>
    <w:rsid w:val="00EF6389"/>
    <w:rsid w:val="00EF6395"/>
    <w:rsid w:val="00EF654C"/>
    <w:rsid w:val="00EF69A3"/>
    <w:rsid w:val="00EF6BB9"/>
    <w:rsid w:val="00EF6E86"/>
    <w:rsid w:val="00EF7028"/>
    <w:rsid w:val="00EF719D"/>
    <w:rsid w:val="00EF7628"/>
    <w:rsid w:val="00EF7942"/>
    <w:rsid w:val="00EF7A65"/>
    <w:rsid w:val="00EF7AB9"/>
    <w:rsid w:val="00EF7BFA"/>
    <w:rsid w:val="00EF7C35"/>
    <w:rsid w:val="00EF7DDF"/>
    <w:rsid w:val="00EF7F5A"/>
    <w:rsid w:val="00F0000F"/>
    <w:rsid w:val="00F0021B"/>
    <w:rsid w:val="00F00641"/>
    <w:rsid w:val="00F007FD"/>
    <w:rsid w:val="00F00AF7"/>
    <w:rsid w:val="00F01066"/>
    <w:rsid w:val="00F014BC"/>
    <w:rsid w:val="00F01529"/>
    <w:rsid w:val="00F01C29"/>
    <w:rsid w:val="00F01CA3"/>
    <w:rsid w:val="00F0202C"/>
    <w:rsid w:val="00F02051"/>
    <w:rsid w:val="00F0243F"/>
    <w:rsid w:val="00F02718"/>
    <w:rsid w:val="00F0296B"/>
    <w:rsid w:val="00F02DC5"/>
    <w:rsid w:val="00F02F60"/>
    <w:rsid w:val="00F03014"/>
    <w:rsid w:val="00F030BF"/>
    <w:rsid w:val="00F032E5"/>
    <w:rsid w:val="00F033E6"/>
    <w:rsid w:val="00F03B9F"/>
    <w:rsid w:val="00F03BC8"/>
    <w:rsid w:val="00F03C61"/>
    <w:rsid w:val="00F03CC3"/>
    <w:rsid w:val="00F03CD3"/>
    <w:rsid w:val="00F03E20"/>
    <w:rsid w:val="00F040BF"/>
    <w:rsid w:val="00F04575"/>
    <w:rsid w:val="00F04DC5"/>
    <w:rsid w:val="00F04FF0"/>
    <w:rsid w:val="00F0516E"/>
    <w:rsid w:val="00F05329"/>
    <w:rsid w:val="00F05773"/>
    <w:rsid w:val="00F0580D"/>
    <w:rsid w:val="00F059EA"/>
    <w:rsid w:val="00F05C93"/>
    <w:rsid w:val="00F05E04"/>
    <w:rsid w:val="00F05F32"/>
    <w:rsid w:val="00F05F9A"/>
    <w:rsid w:val="00F06255"/>
    <w:rsid w:val="00F0663B"/>
    <w:rsid w:val="00F06BE3"/>
    <w:rsid w:val="00F06FA7"/>
    <w:rsid w:val="00F072F6"/>
    <w:rsid w:val="00F07694"/>
    <w:rsid w:val="00F07BDD"/>
    <w:rsid w:val="00F07D32"/>
    <w:rsid w:val="00F07E73"/>
    <w:rsid w:val="00F07EE4"/>
    <w:rsid w:val="00F1017D"/>
    <w:rsid w:val="00F1025D"/>
    <w:rsid w:val="00F105DC"/>
    <w:rsid w:val="00F106AA"/>
    <w:rsid w:val="00F107B7"/>
    <w:rsid w:val="00F10ABE"/>
    <w:rsid w:val="00F10C42"/>
    <w:rsid w:val="00F10DFE"/>
    <w:rsid w:val="00F10F9E"/>
    <w:rsid w:val="00F11054"/>
    <w:rsid w:val="00F11083"/>
    <w:rsid w:val="00F113BB"/>
    <w:rsid w:val="00F118F4"/>
    <w:rsid w:val="00F11AFB"/>
    <w:rsid w:val="00F11B62"/>
    <w:rsid w:val="00F11EAA"/>
    <w:rsid w:val="00F11F5A"/>
    <w:rsid w:val="00F1223C"/>
    <w:rsid w:val="00F1230B"/>
    <w:rsid w:val="00F12725"/>
    <w:rsid w:val="00F1272D"/>
    <w:rsid w:val="00F12778"/>
    <w:rsid w:val="00F12A69"/>
    <w:rsid w:val="00F12D19"/>
    <w:rsid w:val="00F12D3F"/>
    <w:rsid w:val="00F12E31"/>
    <w:rsid w:val="00F12F62"/>
    <w:rsid w:val="00F12FEB"/>
    <w:rsid w:val="00F13152"/>
    <w:rsid w:val="00F13346"/>
    <w:rsid w:val="00F13564"/>
    <w:rsid w:val="00F13625"/>
    <w:rsid w:val="00F13867"/>
    <w:rsid w:val="00F13875"/>
    <w:rsid w:val="00F1392E"/>
    <w:rsid w:val="00F1395D"/>
    <w:rsid w:val="00F13B7D"/>
    <w:rsid w:val="00F13E6F"/>
    <w:rsid w:val="00F140E7"/>
    <w:rsid w:val="00F1412A"/>
    <w:rsid w:val="00F14526"/>
    <w:rsid w:val="00F14892"/>
    <w:rsid w:val="00F14A96"/>
    <w:rsid w:val="00F14B74"/>
    <w:rsid w:val="00F14C3F"/>
    <w:rsid w:val="00F15257"/>
    <w:rsid w:val="00F15276"/>
    <w:rsid w:val="00F15419"/>
    <w:rsid w:val="00F156D9"/>
    <w:rsid w:val="00F157F4"/>
    <w:rsid w:val="00F1588F"/>
    <w:rsid w:val="00F159E2"/>
    <w:rsid w:val="00F15A11"/>
    <w:rsid w:val="00F15C62"/>
    <w:rsid w:val="00F15D50"/>
    <w:rsid w:val="00F15D95"/>
    <w:rsid w:val="00F16033"/>
    <w:rsid w:val="00F160D8"/>
    <w:rsid w:val="00F16134"/>
    <w:rsid w:val="00F1648A"/>
    <w:rsid w:val="00F164D4"/>
    <w:rsid w:val="00F16725"/>
    <w:rsid w:val="00F16D3E"/>
    <w:rsid w:val="00F16DD0"/>
    <w:rsid w:val="00F16EA5"/>
    <w:rsid w:val="00F1704B"/>
    <w:rsid w:val="00F17189"/>
    <w:rsid w:val="00F171EE"/>
    <w:rsid w:val="00F1737D"/>
    <w:rsid w:val="00F175D9"/>
    <w:rsid w:val="00F178C7"/>
    <w:rsid w:val="00F17DDF"/>
    <w:rsid w:val="00F17ED5"/>
    <w:rsid w:val="00F200FD"/>
    <w:rsid w:val="00F201A8"/>
    <w:rsid w:val="00F2023C"/>
    <w:rsid w:val="00F202C4"/>
    <w:rsid w:val="00F204FC"/>
    <w:rsid w:val="00F20719"/>
    <w:rsid w:val="00F20B56"/>
    <w:rsid w:val="00F20BF3"/>
    <w:rsid w:val="00F20F75"/>
    <w:rsid w:val="00F20F9D"/>
    <w:rsid w:val="00F21249"/>
    <w:rsid w:val="00F215C1"/>
    <w:rsid w:val="00F217C7"/>
    <w:rsid w:val="00F2188C"/>
    <w:rsid w:val="00F21947"/>
    <w:rsid w:val="00F21B62"/>
    <w:rsid w:val="00F21B73"/>
    <w:rsid w:val="00F21D7E"/>
    <w:rsid w:val="00F21DB2"/>
    <w:rsid w:val="00F21E2C"/>
    <w:rsid w:val="00F22188"/>
    <w:rsid w:val="00F221EF"/>
    <w:rsid w:val="00F22249"/>
    <w:rsid w:val="00F2245D"/>
    <w:rsid w:val="00F2262D"/>
    <w:rsid w:val="00F228AF"/>
    <w:rsid w:val="00F228B3"/>
    <w:rsid w:val="00F22941"/>
    <w:rsid w:val="00F22961"/>
    <w:rsid w:val="00F22C81"/>
    <w:rsid w:val="00F22EDA"/>
    <w:rsid w:val="00F2310D"/>
    <w:rsid w:val="00F23221"/>
    <w:rsid w:val="00F238C8"/>
    <w:rsid w:val="00F239CA"/>
    <w:rsid w:val="00F23A69"/>
    <w:rsid w:val="00F23B47"/>
    <w:rsid w:val="00F23C8E"/>
    <w:rsid w:val="00F23CE5"/>
    <w:rsid w:val="00F23D3D"/>
    <w:rsid w:val="00F2402F"/>
    <w:rsid w:val="00F240B4"/>
    <w:rsid w:val="00F241AB"/>
    <w:rsid w:val="00F242AA"/>
    <w:rsid w:val="00F2433E"/>
    <w:rsid w:val="00F248DC"/>
    <w:rsid w:val="00F24B45"/>
    <w:rsid w:val="00F24FC9"/>
    <w:rsid w:val="00F24FD9"/>
    <w:rsid w:val="00F25328"/>
    <w:rsid w:val="00F25724"/>
    <w:rsid w:val="00F25AA7"/>
    <w:rsid w:val="00F25C5B"/>
    <w:rsid w:val="00F25F0A"/>
    <w:rsid w:val="00F2603F"/>
    <w:rsid w:val="00F2604E"/>
    <w:rsid w:val="00F261DA"/>
    <w:rsid w:val="00F262F3"/>
    <w:rsid w:val="00F266EF"/>
    <w:rsid w:val="00F269BC"/>
    <w:rsid w:val="00F26A35"/>
    <w:rsid w:val="00F26A79"/>
    <w:rsid w:val="00F26AC5"/>
    <w:rsid w:val="00F26CD3"/>
    <w:rsid w:val="00F26CF0"/>
    <w:rsid w:val="00F26DF9"/>
    <w:rsid w:val="00F26E6A"/>
    <w:rsid w:val="00F26F70"/>
    <w:rsid w:val="00F26F9D"/>
    <w:rsid w:val="00F272AA"/>
    <w:rsid w:val="00F2734C"/>
    <w:rsid w:val="00F27455"/>
    <w:rsid w:val="00F274A3"/>
    <w:rsid w:val="00F277B9"/>
    <w:rsid w:val="00F2791D"/>
    <w:rsid w:val="00F27B0B"/>
    <w:rsid w:val="00F27C62"/>
    <w:rsid w:val="00F27E1E"/>
    <w:rsid w:val="00F27F26"/>
    <w:rsid w:val="00F3028C"/>
    <w:rsid w:val="00F30D25"/>
    <w:rsid w:val="00F30E94"/>
    <w:rsid w:val="00F3100A"/>
    <w:rsid w:val="00F311A4"/>
    <w:rsid w:val="00F31358"/>
    <w:rsid w:val="00F31395"/>
    <w:rsid w:val="00F3140C"/>
    <w:rsid w:val="00F31987"/>
    <w:rsid w:val="00F32205"/>
    <w:rsid w:val="00F3254E"/>
    <w:rsid w:val="00F325BD"/>
    <w:rsid w:val="00F32A73"/>
    <w:rsid w:val="00F32B06"/>
    <w:rsid w:val="00F32D65"/>
    <w:rsid w:val="00F32E48"/>
    <w:rsid w:val="00F331C3"/>
    <w:rsid w:val="00F331DE"/>
    <w:rsid w:val="00F335EE"/>
    <w:rsid w:val="00F3385A"/>
    <w:rsid w:val="00F338E1"/>
    <w:rsid w:val="00F338E9"/>
    <w:rsid w:val="00F33C6F"/>
    <w:rsid w:val="00F33E2C"/>
    <w:rsid w:val="00F340F1"/>
    <w:rsid w:val="00F3426A"/>
    <w:rsid w:val="00F34818"/>
    <w:rsid w:val="00F34BD1"/>
    <w:rsid w:val="00F3544B"/>
    <w:rsid w:val="00F3549F"/>
    <w:rsid w:val="00F35524"/>
    <w:rsid w:val="00F35893"/>
    <w:rsid w:val="00F3594B"/>
    <w:rsid w:val="00F35B1C"/>
    <w:rsid w:val="00F36033"/>
    <w:rsid w:val="00F36760"/>
    <w:rsid w:val="00F36874"/>
    <w:rsid w:val="00F368CD"/>
    <w:rsid w:val="00F36968"/>
    <w:rsid w:val="00F36B35"/>
    <w:rsid w:val="00F36DA0"/>
    <w:rsid w:val="00F36E4A"/>
    <w:rsid w:val="00F36E85"/>
    <w:rsid w:val="00F37222"/>
    <w:rsid w:val="00F3742E"/>
    <w:rsid w:val="00F37463"/>
    <w:rsid w:val="00F3786E"/>
    <w:rsid w:val="00F37985"/>
    <w:rsid w:val="00F37B1D"/>
    <w:rsid w:val="00F37B37"/>
    <w:rsid w:val="00F37B9A"/>
    <w:rsid w:val="00F37D96"/>
    <w:rsid w:val="00F402CA"/>
    <w:rsid w:val="00F406E4"/>
    <w:rsid w:val="00F40709"/>
    <w:rsid w:val="00F407E2"/>
    <w:rsid w:val="00F40BD1"/>
    <w:rsid w:val="00F40E47"/>
    <w:rsid w:val="00F4109B"/>
    <w:rsid w:val="00F413A1"/>
    <w:rsid w:val="00F4192B"/>
    <w:rsid w:val="00F419A6"/>
    <w:rsid w:val="00F41BB0"/>
    <w:rsid w:val="00F41C86"/>
    <w:rsid w:val="00F41CEC"/>
    <w:rsid w:val="00F41D0A"/>
    <w:rsid w:val="00F41EF1"/>
    <w:rsid w:val="00F42328"/>
    <w:rsid w:val="00F42345"/>
    <w:rsid w:val="00F423B9"/>
    <w:rsid w:val="00F4252F"/>
    <w:rsid w:val="00F42671"/>
    <w:rsid w:val="00F42747"/>
    <w:rsid w:val="00F428F0"/>
    <w:rsid w:val="00F42949"/>
    <w:rsid w:val="00F42959"/>
    <w:rsid w:val="00F42A32"/>
    <w:rsid w:val="00F42A3B"/>
    <w:rsid w:val="00F42A85"/>
    <w:rsid w:val="00F42A87"/>
    <w:rsid w:val="00F42ABC"/>
    <w:rsid w:val="00F42CD5"/>
    <w:rsid w:val="00F43133"/>
    <w:rsid w:val="00F4317E"/>
    <w:rsid w:val="00F434E0"/>
    <w:rsid w:val="00F4359C"/>
    <w:rsid w:val="00F4386B"/>
    <w:rsid w:val="00F43A7C"/>
    <w:rsid w:val="00F43B77"/>
    <w:rsid w:val="00F43B78"/>
    <w:rsid w:val="00F43E38"/>
    <w:rsid w:val="00F44078"/>
    <w:rsid w:val="00F4416A"/>
    <w:rsid w:val="00F4423C"/>
    <w:rsid w:val="00F442C3"/>
    <w:rsid w:val="00F44337"/>
    <w:rsid w:val="00F44612"/>
    <w:rsid w:val="00F44776"/>
    <w:rsid w:val="00F44817"/>
    <w:rsid w:val="00F44B3B"/>
    <w:rsid w:val="00F45ADF"/>
    <w:rsid w:val="00F45EDF"/>
    <w:rsid w:val="00F4678C"/>
    <w:rsid w:val="00F46918"/>
    <w:rsid w:val="00F4694E"/>
    <w:rsid w:val="00F46AAE"/>
    <w:rsid w:val="00F46AEA"/>
    <w:rsid w:val="00F46BA7"/>
    <w:rsid w:val="00F47077"/>
    <w:rsid w:val="00F471A5"/>
    <w:rsid w:val="00F472B7"/>
    <w:rsid w:val="00F4735C"/>
    <w:rsid w:val="00F47416"/>
    <w:rsid w:val="00F474CC"/>
    <w:rsid w:val="00F47585"/>
    <w:rsid w:val="00F47AB6"/>
    <w:rsid w:val="00F47B46"/>
    <w:rsid w:val="00F50368"/>
    <w:rsid w:val="00F504DB"/>
    <w:rsid w:val="00F50573"/>
    <w:rsid w:val="00F509ED"/>
    <w:rsid w:val="00F50CB0"/>
    <w:rsid w:val="00F50CF4"/>
    <w:rsid w:val="00F50E3C"/>
    <w:rsid w:val="00F5116C"/>
    <w:rsid w:val="00F5125F"/>
    <w:rsid w:val="00F515D8"/>
    <w:rsid w:val="00F519CC"/>
    <w:rsid w:val="00F51E0E"/>
    <w:rsid w:val="00F51E53"/>
    <w:rsid w:val="00F51EC5"/>
    <w:rsid w:val="00F51F63"/>
    <w:rsid w:val="00F52183"/>
    <w:rsid w:val="00F523AF"/>
    <w:rsid w:val="00F523BB"/>
    <w:rsid w:val="00F52430"/>
    <w:rsid w:val="00F52466"/>
    <w:rsid w:val="00F525B7"/>
    <w:rsid w:val="00F52740"/>
    <w:rsid w:val="00F528EA"/>
    <w:rsid w:val="00F5290E"/>
    <w:rsid w:val="00F52BD3"/>
    <w:rsid w:val="00F52D53"/>
    <w:rsid w:val="00F5301E"/>
    <w:rsid w:val="00F5317F"/>
    <w:rsid w:val="00F53647"/>
    <w:rsid w:val="00F5378D"/>
    <w:rsid w:val="00F53E33"/>
    <w:rsid w:val="00F53E57"/>
    <w:rsid w:val="00F53EF0"/>
    <w:rsid w:val="00F54249"/>
    <w:rsid w:val="00F542BD"/>
    <w:rsid w:val="00F5430D"/>
    <w:rsid w:val="00F5449E"/>
    <w:rsid w:val="00F54501"/>
    <w:rsid w:val="00F5454B"/>
    <w:rsid w:val="00F5454C"/>
    <w:rsid w:val="00F54657"/>
    <w:rsid w:val="00F54852"/>
    <w:rsid w:val="00F54AA4"/>
    <w:rsid w:val="00F54B07"/>
    <w:rsid w:val="00F54C1F"/>
    <w:rsid w:val="00F5524E"/>
    <w:rsid w:val="00F556EC"/>
    <w:rsid w:val="00F558FA"/>
    <w:rsid w:val="00F55C70"/>
    <w:rsid w:val="00F55F9F"/>
    <w:rsid w:val="00F5600C"/>
    <w:rsid w:val="00F560F4"/>
    <w:rsid w:val="00F5612A"/>
    <w:rsid w:val="00F561FA"/>
    <w:rsid w:val="00F56228"/>
    <w:rsid w:val="00F56313"/>
    <w:rsid w:val="00F564BA"/>
    <w:rsid w:val="00F565A6"/>
    <w:rsid w:val="00F56C1F"/>
    <w:rsid w:val="00F56DC0"/>
    <w:rsid w:val="00F56DE8"/>
    <w:rsid w:val="00F56EAE"/>
    <w:rsid w:val="00F57209"/>
    <w:rsid w:val="00F5725B"/>
    <w:rsid w:val="00F5735F"/>
    <w:rsid w:val="00F573D7"/>
    <w:rsid w:val="00F578C5"/>
    <w:rsid w:val="00F57D7B"/>
    <w:rsid w:val="00F57D90"/>
    <w:rsid w:val="00F60012"/>
    <w:rsid w:val="00F6007E"/>
    <w:rsid w:val="00F60452"/>
    <w:rsid w:val="00F6093A"/>
    <w:rsid w:val="00F60AB9"/>
    <w:rsid w:val="00F60B7B"/>
    <w:rsid w:val="00F60C18"/>
    <w:rsid w:val="00F60C26"/>
    <w:rsid w:val="00F60CFF"/>
    <w:rsid w:val="00F60E9E"/>
    <w:rsid w:val="00F612C8"/>
    <w:rsid w:val="00F618F4"/>
    <w:rsid w:val="00F61C31"/>
    <w:rsid w:val="00F61D99"/>
    <w:rsid w:val="00F61DCF"/>
    <w:rsid w:val="00F61DE6"/>
    <w:rsid w:val="00F62025"/>
    <w:rsid w:val="00F62576"/>
    <w:rsid w:val="00F62FA5"/>
    <w:rsid w:val="00F630CA"/>
    <w:rsid w:val="00F6314F"/>
    <w:rsid w:val="00F633E0"/>
    <w:rsid w:val="00F6341A"/>
    <w:rsid w:val="00F641EF"/>
    <w:rsid w:val="00F643AC"/>
    <w:rsid w:val="00F64894"/>
    <w:rsid w:val="00F64975"/>
    <w:rsid w:val="00F64D3F"/>
    <w:rsid w:val="00F64E63"/>
    <w:rsid w:val="00F64FA3"/>
    <w:rsid w:val="00F651FE"/>
    <w:rsid w:val="00F6522B"/>
    <w:rsid w:val="00F6538F"/>
    <w:rsid w:val="00F653DF"/>
    <w:rsid w:val="00F655B3"/>
    <w:rsid w:val="00F65AC0"/>
    <w:rsid w:val="00F65D40"/>
    <w:rsid w:val="00F65DF5"/>
    <w:rsid w:val="00F661BC"/>
    <w:rsid w:val="00F66203"/>
    <w:rsid w:val="00F66283"/>
    <w:rsid w:val="00F664CE"/>
    <w:rsid w:val="00F6656A"/>
    <w:rsid w:val="00F6690A"/>
    <w:rsid w:val="00F66A3B"/>
    <w:rsid w:val="00F66BD8"/>
    <w:rsid w:val="00F66C33"/>
    <w:rsid w:val="00F66C8C"/>
    <w:rsid w:val="00F66D60"/>
    <w:rsid w:val="00F66D6E"/>
    <w:rsid w:val="00F66FAB"/>
    <w:rsid w:val="00F66FE7"/>
    <w:rsid w:val="00F67303"/>
    <w:rsid w:val="00F6756C"/>
    <w:rsid w:val="00F67587"/>
    <w:rsid w:val="00F67C58"/>
    <w:rsid w:val="00F67D95"/>
    <w:rsid w:val="00F67EBD"/>
    <w:rsid w:val="00F7000C"/>
    <w:rsid w:val="00F70032"/>
    <w:rsid w:val="00F705BE"/>
    <w:rsid w:val="00F706C6"/>
    <w:rsid w:val="00F7083F"/>
    <w:rsid w:val="00F70959"/>
    <w:rsid w:val="00F70AB5"/>
    <w:rsid w:val="00F70BDC"/>
    <w:rsid w:val="00F70E0B"/>
    <w:rsid w:val="00F70E33"/>
    <w:rsid w:val="00F70ECC"/>
    <w:rsid w:val="00F71008"/>
    <w:rsid w:val="00F7117A"/>
    <w:rsid w:val="00F713D0"/>
    <w:rsid w:val="00F71433"/>
    <w:rsid w:val="00F71582"/>
    <w:rsid w:val="00F7166E"/>
    <w:rsid w:val="00F716C8"/>
    <w:rsid w:val="00F719B6"/>
    <w:rsid w:val="00F71CC3"/>
    <w:rsid w:val="00F71DA5"/>
    <w:rsid w:val="00F722A7"/>
    <w:rsid w:val="00F7248D"/>
    <w:rsid w:val="00F727F2"/>
    <w:rsid w:val="00F72EB3"/>
    <w:rsid w:val="00F7306E"/>
    <w:rsid w:val="00F730ED"/>
    <w:rsid w:val="00F73147"/>
    <w:rsid w:val="00F7317C"/>
    <w:rsid w:val="00F73231"/>
    <w:rsid w:val="00F73283"/>
    <w:rsid w:val="00F733F7"/>
    <w:rsid w:val="00F733F9"/>
    <w:rsid w:val="00F7351C"/>
    <w:rsid w:val="00F73637"/>
    <w:rsid w:val="00F737CE"/>
    <w:rsid w:val="00F73A3A"/>
    <w:rsid w:val="00F73AD4"/>
    <w:rsid w:val="00F73B77"/>
    <w:rsid w:val="00F73C24"/>
    <w:rsid w:val="00F740D9"/>
    <w:rsid w:val="00F74147"/>
    <w:rsid w:val="00F7426D"/>
    <w:rsid w:val="00F74881"/>
    <w:rsid w:val="00F74BC9"/>
    <w:rsid w:val="00F74C71"/>
    <w:rsid w:val="00F74F5B"/>
    <w:rsid w:val="00F75079"/>
    <w:rsid w:val="00F750B9"/>
    <w:rsid w:val="00F7513B"/>
    <w:rsid w:val="00F751B6"/>
    <w:rsid w:val="00F75289"/>
    <w:rsid w:val="00F753E7"/>
    <w:rsid w:val="00F75804"/>
    <w:rsid w:val="00F75823"/>
    <w:rsid w:val="00F75963"/>
    <w:rsid w:val="00F75AEB"/>
    <w:rsid w:val="00F75B13"/>
    <w:rsid w:val="00F75D4D"/>
    <w:rsid w:val="00F7606E"/>
    <w:rsid w:val="00F76369"/>
    <w:rsid w:val="00F7649C"/>
    <w:rsid w:val="00F76626"/>
    <w:rsid w:val="00F766AC"/>
    <w:rsid w:val="00F767F2"/>
    <w:rsid w:val="00F76F01"/>
    <w:rsid w:val="00F77459"/>
    <w:rsid w:val="00F774C4"/>
    <w:rsid w:val="00F77868"/>
    <w:rsid w:val="00F77A3A"/>
    <w:rsid w:val="00F77B7F"/>
    <w:rsid w:val="00F77DC4"/>
    <w:rsid w:val="00F77E91"/>
    <w:rsid w:val="00F77E97"/>
    <w:rsid w:val="00F77EAA"/>
    <w:rsid w:val="00F8006D"/>
    <w:rsid w:val="00F800A2"/>
    <w:rsid w:val="00F8050B"/>
    <w:rsid w:val="00F8068E"/>
    <w:rsid w:val="00F80779"/>
    <w:rsid w:val="00F8080E"/>
    <w:rsid w:val="00F808BA"/>
    <w:rsid w:val="00F80939"/>
    <w:rsid w:val="00F80AB4"/>
    <w:rsid w:val="00F80E03"/>
    <w:rsid w:val="00F810E2"/>
    <w:rsid w:val="00F81384"/>
    <w:rsid w:val="00F813B9"/>
    <w:rsid w:val="00F817BB"/>
    <w:rsid w:val="00F81978"/>
    <w:rsid w:val="00F81BD7"/>
    <w:rsid w:val="00F81DD5"/>
    <w:rsid w:val="00F81E83"/>
    <w:rsid w:val="00F82242"/>
    <w:rsid w:val="00F82643"/>
    <w:rsid w:val="00F82781"/>
    <w:rsid w:val="00F829FB"/>
    <w:rsid w:val="00F82C0D"/>
    <w:rsid w:val="00F82C5F"/>
    <w:rsid w:val="00F8339A"/>
    <w:rsid w:val="00F83611"/>
    <w:rsid w:val="00F836B6"/>
    <w:rsid w:val="00F8375C"/>
    <w:rsid w:val="00F8382E"/>
    <w:rsid w:val="00F83C82"/>
    <w:rsid w:val="00F83F03"/>
    <w:rsid w:val="00F83F98"/>
    <w:rsid w:val="00F84354"/>
    <w:rsid w:val="00F84487"/>
    <w:rsid w:val="00F84697"/>
    <w:rsid w:val="00F848A4"/>
    <w:rsid w:val="00F84A20"/>
    <w:rsid w:val="00F84A29"/>
    <w:rsid w:val="00F850EA"/>
    <w:rsid w:val="00F85196"/>
    <w:rsid w:val="00F85261"/>
    <w:rsid w:val="00F85315"/>
    <w:rsid w:val="00F853BF"/>
    <w:rsid w:val="00F853FE"/>
    <w:rsid w:val="00F85727"/>
    <w:rsid w:val="00F858F6"/>
    <w:rsid w:val="00F8591D"/>
    <w:rsid w:val="00F85F26"/>
    <w:rsid w:val="00F86279"/>
    <w:rsid w:val="00F863C1"/>
    <w:rsid w:val="00F86671"/>
    <w:rsid w:val="00F867BD"/>
    <w:rsid w:val="00F86994"/>
    <w:rsid w:val="00F86D19"/>
    <w:rsid w:val="00F86E78"/>
    <w:rsid w:val="00F86E83"/>
    <w:rsid w:val="00F86FFA"/>
    <w:rsid w:val="00F8739B"/>
    <w:rsid w:val="00F87777"/>
    <w:rsid w:val="00F879ED"/>
    <w:rsid w:val="00F87AA5"/>
    <w:rsid w:val="00F902D8"/>
    <w:rsid w:val="00F9058F"/>
    <w:rsid w:val="00F90613"/>
    <w:rsid w:val="00F9086D"/>
    <w:rsid w:val="00F90A77"/>
    <w:rsid w:val="00F90E6C"/>
    <w:rsid w:val="00F911A3"/>
    <w:rsid w:val="00F913C1"/>
    <w:rsid w:val="00F91475"/>
    <w:rsid w:val="00F9155C"/>
    <w:rsid w:val="00F91658"/>
    <w:rsid w:val="00F9170B"/>
    <w:rsid w:val="00F9172F"/>
    <w:rsid w:val="00F9179C"/>
    <w:rsid w:val="00F917F1"/>
    <w:rsid w:val="00F9185D"/>
    <w:rsid w:val="00F91AAD"/>
    <w:rsid w:val="00F91F46"/>
    <w:rsid w:val="00F92010"/>
    <w:rsid w:val="00F920D8"/>
    <w:rsid w:val="00F92721"/>
    <w:rsid w:val="00F92934"/>
    <w:rsid w:val="00F929AF"/>
    <w:rsid w:val="00F92A76"/>
    <w:rsid w:val="00F92AA3"/>
    <w:rsid w:val="00F92E3E"/>
    <w:rsid w:val="00F92E7B"/>
    <w:rsid w:val="00F92FF1"/>
    <w:rsid w:val="00F9310E"/>
    <w:rsid w:val="00F93129"/>
    <w:rsid w:val="00F93233"/>
    <w:rsid w:val="00F935A1"/>
    <w:rsid w:val="00F937FC"/>
    <w:rsid w:val="00F93812"/>
    <w:rsid w:val="00F939B7"/>
    <w:rsid w:val="00F93B41"/>
    <w:rsid w:val="00F93BB5"/>
    <w:rsid w:val="00F93D6B"/>
    <w:rsid w:val="00F93DF7"/>
    <w:rsid w:val="00F9412F"/>
    <w:rsid w:val="00F941E3"/>
    <w:rsid w:val="00F945EB"/>
    <w:rsid w:val="00F94867"/>
    <w:rsid w:val="00F94928"/>
    <w:rsid w:val="00F9494A"/>
    <w:rsid w:val="00F94D25"/>
    <w:rsid w:val="00F94DA8"/>
    <w:rsid w:val="00F94E78"/>
    <w:rsid w:val="00F95064"/>
    <w:rsid w:val="00F95746"/>
    <w:rsid w:val="00F9597D"/>
    <w:rsid w:val="00F95B43"/>
    <w:rsid w:val="00F95FCD"/>
    <w:rsid w:val="00F95FEE"/>
    <w:rsid w:val="00F961F6"/>
    <w:rsid w:val="00F9627E"/>
    <w:rsid w:val="00F9629D"/>
    <w:rsid w:val="00F9668F"/>
    <w:rsid w:val="00F96C45"/>
    <w:rsid w:val="00F96F67"/>
    <w:rsid w:val="00F970AA"/>
    <w:rsid w:val="00FA0133"/>
    <w:rsid w:val="00FA048A"/>
    <w:rsid w:val="00FA05F2"/>
    <w:rsid w:val="00FA05F5"/>
    <w:rsid w:val="00FA088D"/>
    <w:rsid w:val="00FA0E19"/>
    <w:rsid w:val="00FA0EA1"/>
    <w:rsid w:val="00FA0F29"/>
    <w:rsid w:val="00FA0F66"/>
    <w:rsid w:val="00FA0FC5"/>
    <w:rsid w:val="00FA1034"/>
    <w:rsid w:val="00FA129B"/>
    <w:rsid w:val="00FA1401"/>
    <w:rsid w:val="00FA1AB2"/>
    <w:rsid w:val="00FA1BCD"/>
    <w:rsid w:val="00FA1F31"/>
    <w:rsid w:val="00FA204B"/>
    <w:rsid w:val="00FA224C"/>
    <w:rsid w:val="00FA230C"/>
    <w:rsid w:val="00FA2330"/>
    <w:rsid w:val="00FA23D7"/>
    <w:rsid w:val="00FA2534"/>
    <w:rsid w:val="00FA26E3"/>
    <w:rsid w:val="00FA2A88"/>
    <w:rsid w:val="00FA3144"/>
    <w:rsid w:val="00FA348D"/>
    <w:rsid w:val="00FA35A5"/>
    <w:rsid w:val="00FA37CB"/>
    <w:rsid w:val="00FA387B"/>
    <w:rsid w:val="00FA3C22"/>
    <w:rsid w:val="00FA3CA3"/>
    <w:rsid w:val="00FA3CD0"/>
    <w:rsid w:val="00FA3E4E"/>
    <w:rsid w:val="00FA3F18"/>
    <w:rsid w:val="00FA3FC2"/>
    <w:rsid w:val="00FA410B"/>
    <w:rsid w:val="00FA42B6"/>
    <w:rsid w:val="00FA441A"/>
    <w:rsid w:val="00FA459F"/>
    <w:rsid w:val="00FA4956"/>
    <w:rsid w:val="00FA5090"/>
    <w:rsid w:val="00FA5260"/>
    <w:rsid w:val="00FA5487"/>
    <w:rsid w:val="00FA565E"/>
    <w:rsid w:val="00FA5762"/>
    <w:rsid w:val="00FA583B"/>
    <w:rsid w:val="00FA5877"/>
    <w:rsid w:val="00FA59F8"/>
    <w:rsid w:val="00FA5A84"/>
    <w:rsid w:val="00FA5A92"/>
    <w:rsid w:val="00FA5C61"/>
    <w:rsid w:val="00FA5D1D"/>
    <w:rsid w:val="00FA6210"/>
    <w:rsid w:val="00FA63FB"/>
    <w:rsid w:val="00FA6466"/>
    <w:rsid w:val="00FA6498"/>
    <w:rsid w:val="00FA658D"/>
    <w:rsid w:val="00FA69BD"/>
    <w:rsid w:val="00FA6C36"/>
    <w:rsid w:val="00FA6CB4"/>
    <w:rsid w:val="00FA6DC7"/>
    <w:rsid w:val="00FA7007"/>
    <w:rsid w:val="00FA7080"/>
    <w:rsid w:val="00FA7245"/>
    <w:rsid w:val="00FA729E"/>
    <w:rsid w:val="00FA72A2"/>
    <w:rsid w:val="00FA739C"/>
    <w:rsid w:val="00FA73B9"/>
    <w:rsid w:val="00FA73CB"/>
    <w:rsid w:val="00FA7477"/>
    <w:rsid w:val="00FA7650"/>
    <w:rsid w:val="00FA76BA"/>
    <w:rsid w:val="00FA7773"/>
    <w:rsid w:val="00FA7BEC"/>
    <w:rsid w:val="00FA7C0B"/>
    <w:rsid w:val="00FA7D57"/>
    <w:rsid w:val="00FB0025"/>
    <w:rsid w:val="00FB0313"/>
    <w:rsid w:val="00FB0BE7"/>
    <w:rsid w:val="00FB10FE"/>
    <w:rsid w:val="00FB1192"/>
    <w:rsid w:val="00FB1262"/>
    <w:rsid w:val="00FB1921"/>
    <w:rsid w:val="00FB1A2F"/>
    <w:rsid w:val="00FB1B7D"/>
    <w:rsid w:val="00FB1EE6"/>
    <w:rsid w:val="00FB1F56"/>
    <w:rsid w:val="00FB1F72"/>
    <w:rsid w:val="00FB1FA4"/>
    <w:rsid w:val="00FB2168"/>
    <w:rsid w:val="00FB2259"/>
    <w:rsid w:val="00FB23F1"/>
    <w:rsid w:val="00FB25B5"/>
    <w:rsid w:val="00FB2830"/>
    <w:rsid w:val="00FB289F"/>
    <w:rsid w:val="00FB29B7"/>
    <w:rsid w:val="00FB38BF"/>
    <w:rsid w:val="00FB3A91"/>
    <w:rsid w:val="00FB3B6A"/>
    <w:rsid w:val="00FB4235"/>
    <w:rsid w:val="00FB462B"/>
    <w:rsid w:val="00FB471C"/>
    <w:rsid w:val="00FB48CF"/>
    <w:rsid w:val="00FB48D4"/>
    <w:rsid w:val="00FB48E6"/>
    <w:rsid w:val="00FB4B5A"/>
    <w:rsid w:val="00FB4C9D"/>
    <w:rsid w:val="00FB5027"/>
    <w:rsid w:val="00FB5629"/>
    <w:rsid w:val="00FB565B"/>
    <w:rsid w:val="00FB5895"/>
    <w:rsid w:val="00FB5BDD"/>
    <w:rsid w:val="00FB5D72"/>
    <w:rsid w:val="00FB5E2C"/>
    <w:rsid w:val="00FB5F6F"/>
    <w:rsid w:val="00FB5F80"/>
    <w:rsid w:val="00FB60D7"/>
    <w:rsid w:val="00FB650B"/>
    <w:rsid w:val="00FB65C9"/>
    <w:rsid w:val="00FB6786"/>
    <w:rsid w:val="00FB68B2"/>
    <w:rsid w:val="00FB68C2"/>
    <w:rsid w:val="00FB6980"/>
    <w:rsid w:val="00FB6AA2"/>
    <w:rsid w:val="00FB6B4D"/>
    <w:rsid w:val="00FB6D28"/>
    <w:rsid w:val="00FB6E9B"/>
    <w:rsid w:val="00FB6FC0"/>
    <w:rsid w:val="00FB74D7"/>
    <w:rsid w:val="00FB7811"/>
    <w:rsid w:val="00FB7890"/>
    <w:rsid w:val="00FB7C55"/>
    <w:rsid w:val="00FB7F82"/>
    <w:rsid w:val="00FC00D5"/>
    <w:rsid w:val="00FC0254"/>
    <w:rsid w:val="00FC0717"/>
    <w:rsid w:val="00FC075E"/>
    <w:rsid w:val="00FC0871"/>
    <w:rsid w:val="00FC0911"/>
    <w:rsid w:val="00FC0B1F"/>
    <w:rsid w:val="00FC0EAE"/>
    <w:rsid w:val="00FC0F9E"/>
    <w:rsid w:val="00FC1290"/>
    <w:rsid w:val="00FC13CF"/>
    <w:rsid w:val="00FC13E2"/>
    <w:rsid w:val="00FC1F0F"/>
    <w:rsid w:val="00FC2012"/>
    <w:rsid w:val="00FC27B2"/>
    <w:rsid w:val="00FC2944"/>
    <w:rsid w:val="00FC2B2B"/>
    <w:rsid w:val="00FC2D2F"/>
    <w:rsid w:val="00FC2F50"/>
    <w:rsid w:val="00FC306D"/>
    <w:rsid w:val="00FC31E1"/>
    <w:rsid w:val="00FC31FE"/>
    <w:rsid w:val="00FC327F"/>
    <w:rsid w:val="00FC351C"/>
    <w:rsid w:val="00FC35B8"/>
    <w:rsid w:val="00FC3B32"/>
    <w:rsid w:val="00FC3D82"/>
    <w:rsid w:val="00FC3DF4"/>
    <w:rsid w:val="00FC3F0F"/>
    <w:rsid w:val="00FC426C"/>
    <w:rsid w:val="00FC461A"/>
    <w:rsid w:val="00FC46A6"/>
    <w:rsid w:val="00FC4891"/>
    <w:rsid w:val="00FC48F8"/>
    <w:rsid w:val="00FC4A60"/>
    <w:rsid w:val="00FC4BF5"/>
    <w:rsid w:val="00FC4D07"/>
    <w:rsid w:val="00FC4E5B"/>
    <w:rsid w:val="00FC4E8F"/>
    <w:rsid w:val="00FC5373"/>
    <w:rsid w:val="00FC53F1"/>
    <w:rsid w:val="00FC552B"/>
    <w:rsid w:val="00FC5655"/>
    <w:rsid w:val="00FC5660"/>
    <w:rsid w:val="00FC56C2"/>
    <w:rsid w:val="00FC58D8"/>
    <w:rsid w:val="00FC591E"/>
    <w:rsid w:val="00FC5A81"/>
    <w:rsid w:val="00FC5D0F"/>
    <w:rsid w:val="00FC5E71"/>
    <w:rsid w:val="00FC5EDB"/>
    <w:rsid w:val="00FC62D1"/>
    <w:rsid w:val="00FC65DA"/>
    <w:rsid w:val="00FC67F4"/>
    <w:rsid w:val="00FC6860"/>
    <w:rsid w:val="00FC6D8B"/>
    <w:rsid w:val="00FC6E0F"/>
    <w:rsid w:val="00FC6E39"/>
    <w:rsid w:val="00FC6ED3"/>
    <w:rsid w:val="00FC6FB6"/>
    <w:rsid w:val="00FC6FB8"/>
    <w:rsid w:val="00FC7048"/>
    <w:rsid w:val="00FC7183"/>
    <w:rsid w:val="00FC7B5A"/>
    <w:rsid w:val="00FC7B79"/>
    <w:rsid w:val="00FC7D64"/>
    <w:rsid w:val="00FC7D82"/>
    <w:rsid w:val="00FC7DB1"/>
    <w:rsid w:val="00FC7E3D"/>
    <w:rsid w:val="00FC7E7D"/>
    <w:rsid w:val="00FD04F1"/>
    <w:rsid w:val="00FD0696"/>
    <w:rsid w:val="00FD07D2"/>
    <w:rsid w:val="00FD08B8"/>
    <w:rsid w:val="00FD0A45"/>
    <w:rsid w:val="00FD0AB2"/>
    <w:rsid w:val="00FD0E37"/>
    <w:rsid w:val="00FD107D"/>
    <w:rsid w:val="00FD10A7"/>
    <w:rsid w:val="00FD122A"/>
    <w:rsid w:val="00FD1499"/>
    <w:rsid w:val="00FD1959"/>
    <w:rsid w:val="00FD196D"/>
    <w:rsid w:val="00FD1E9F"/>
    <w:rsid w:val="00FD223C"/>
    <w:rsid w:val="00FD230A"/>
    <w:rsid w:val="00FD2505"/>
    <w:rsid w:val="00FD2539"/>
    <w:rsid w:val="00FD283D"/>
    <w:rsid w:val="00FD2870"/>
    <w:rsid w:val="00FD2933"/>
    <w:rsid w:val="00FD2B24"/>
    <w:rsid w:val="00FD2FEE"/>
    <w:rsid w:val="00FD3113"/>
    <w:rsid w:val="00FD3123"/>
    <w:rsid w:val="00FD322C"/>
    <w:rsid w:val="00FD32D5"/>
    <w:rsid w:val="00FD3606"/>
    <w:rsid w:val="00FD36A2"/>
    <w:rsid w:val="00FD37EF"/>
    <w:rsid w:val="00FD37FF"/>
    <w:rsid w:val="00FD3A09"/>
    <w:rsid w:val="00FD3D00"/>
    <w:rsid w:val="00FD3D3B"/>
    <w:rsid w:val="00FD3FD2"/>
    <w:rsid w:val="00FD4046"/>
    <w:rsid w:val="00FD4292"/>
    <w:rsid w:val="00FD4502"/>
    <w:rsid w:val="00FD487F"/>
    <w:rsid w:val="00FD48BD"/>
    <w:rsid w:val="00FD4C08"/>
    <w:rsid w:val="00FD4E81"/>
    <w:rsid w:val="00FD4EFC"/>
    <w:rsid w:val="00FD4F97"/>
    <w:rsid w:val="00FD4FA3"/>
    <w:rsid w:val="00FD50E4"/>
    <w:rsid w:val="00FD5533"/>
    <w:rsid w:val="00FD55AF"/>
    <w:rsid w:val="00FD5934"/>
    <w:rsid w:val="00FD5F63"/>
    <w:rsid w:val="00FD61A3"/>
    <w:rsid w:val="00FD6229"/>
    <w:rsid w:val="00FD627B"/>
    <w:rsid w:val="00FD6444"/>
    <w:rsid w:val="00FD66FC"/>
    <w:rsid w:val="00FD684F"/>
    <w:rsid w:val="00FD6AE3"/>
    <w:rsid w:val="00FD6E53"/>
    <w:rsid w:val="00FD6EF2"/>
    <w:rsid w:val="00FD6F2F"/>
    <w:rsid w:val="00FD6F88"/>
    <w:rsid w:val="00FD7410"/>
    <w:rsid w:val="00FD7715"/>
    <w:rsid w:val="00FD7853"/>
    <w:rsid w:val="00FD791C"/>
    <w:rsid w:val="00FD7DE9"/>
    <w:rsid w:val="00FE0071"/>
    <w:rsid w:val="00FE0406"/>
    <w:rsid w:val="00FE04C3"/>
    <w:rsid w:val="00FE051C"/>
    <w:rsid w:val="00FE0557"/>
    <w:rsid w:val="00FE09F2"/>
    <w:rsid w:val="00FE0AD8"/>
    <w:rsid w:val="00FE0AEF"/>
    <w:rsid w:val="00FE0BA2"/>
    <w:rsid w:val="00FE11A2"/>
    <w:rsid w:val="00FE1205"/>
    <w:rsid w:val="00FE15BE"/>
    <w:rsid w:val="00FE1869"/>
    <w:rsid w:val="00FE191B"/>
    <w:rsid w:val="00FE1B5B"/>
    <w:rsid w:val="00FE1B8D"/>
    <w:rsid w:val="00FE1C16"/>
    <w:rsid w:val="00FE1D83"/>
    <w:rsid w:val="00FE1D96"/>
    <w:rsid w:val="00FE207E"/>
    <w:rsid w:val="00FE24AB"/>
    <w:rsid w:val="00FE24BC"/>
    <w:rsid w:val="00FE2637"/>
    <w:rsid w:val="00FE277C"/>
    <w:rsid w:val="00FE2953"/>
    <w:rsid w:val="00FE29D7"/>
    <w:rsid w:val="00FE2B9B"/>
    <w:rsid w:val="00FE2E2C"/>
    <w:rsid w:val="00FE3112"/>
    <w:rsid w:val="00FE32E5"/>
    <w:rsid w:val="00FE3863"/>
    <w:rsid w:val="00FE3CDC"/>
    <w:rsid w:val="00FE42D8"/>
    <w:rsid w:val="00FE4407"/>
    <w:rsid w:val="00FE4535"/>
    <w:rsid w:val="00FE4A4D"/>
    <w:rsid w:val="00FE4BB8"/>
    <w:rsid w:val="00FE4BBB"/>
    <w:rsid w:val="00FE4E06"/>
    <w:rsid w:val="00FE5010"/>
    <w:rsid w:val="00FE519C"/>
    <w:rsid w:val="00FE5266"/>
    <w:rsid w:val="00FE5338"/>
    <w:rsid w:val="00FE5772"/>
    <w:rsid w:val="00FE57C2"/>
    <w:rsid w:val="00FE5A9D"/>
    <w:rsid w:val="00FE5AE6"/>
    <w:rsid w:val="00FE5B11"/>
    <w:rsid w:val="00FE5BC1"/>
    <w:rsid w:val="00FE605E"/>
    <w:rsid w:val="00FE60B0"/>
    <w:rsid w:val="00FE624C"/>
    <w:rsid w:val="00FE667D"/>
    <w:rsid w:val="00FE6745"/>
    <w:rsid w:val="00FE68A6"/>
    <w:rsid w:val="00FE6A33"/>
    <w:rsid w:val="00FE7166"/>
    <w:rsid w:val="00FE7308"/>
    <w:rsid w:val="00FE74BF"/>
    <w:rsid w:val="00FE79CB"/>
    <w:rsid w:val="00FE7A64"/>
    <w:rsid w:val="00FE7FEA"/>
    <w:rsid w:val="00FF0099"/>
    <w:rsid w:val="00FF00BE"/>
    <w:rsid w:val="00FF0102"/>
    <w:rsid w:val="00FF01A6"/>
    <w:rsid w:val="00FF0305"/>
    <w:rsid w:val="00FF05FF"/>
    <w:rsid w:val="00FF09DB"/>
    <w:rsid w:val="00FF0AE9"/>
    <w:rsid w:val="00FF0D20"/>
    <w:rsid w:val="00FF1546"/>
    <w:rsid w:val="00FF16A0"/>
    <w:rsid w:val="00FF170F"/>
    <w:rsid w:val="00FF19DF"/>
    <w:rsid w:val="00FF1D63"/>
    <w:rsid w:val="00FF1FA2"/>
    <w:rsid w:val="00FF1FD5"/>
    <w:rsid w:val="00FF20A0"/>
    <w:rsid w:val="00FF20A6"/>
    <w:rsid w:val="00FF23D7"/>
    <w:rsid w:val="00FF2729"/>
    <w:rsid w:val="00FF2929"/>
    <w:rsid w:val="00FF2CAE"/>
    <w:rsid w:val="00FF2D73"/>
    <w:rsid w:val="00FF2F5E"/>
    <w:rsid w:val="00FF327C"/>
    <w:rsid w:val="00FF32A1"/>
    <w:rsid w:val="00FF32D0"/>
    <w:rsid w:val="00FF35AE"/>
    <w:rsid w:val="00FF3AA9"/>
    <w:rsid w:val="00FF3B76"/>
    <w:rsid w:val="00FF3E61"/>
    <w:rsid w:val="00FF3FBC"/>
    <w:rsid w:val="00FF40A5"/>
    <w:rsid w:val="00FF41BA"/>
    <w:rsid w:val="00FF4493"/>
    <w:rsid w:val="00FF47BD"/>
    <w:rsid w:val="00FF47E4"/>
    <w:rsid w:val="00FF49DD"/>
    <w:rsid w:val="00FF4B31"/>
    <w:rsid w:val="00FF4B8A"/>
    <w:rsid w:val="00FF4BDD"/>
    <w:rsid w:val="00FF4E4B"/>
    <w:rsid w:val="00FF4E89"/>
    <w:rsid w:val="00FF5114"/>
    <w:rsid w:val="00FF52D8"/>
    <w:rsid w:val="00FF53E4"/>
    <w:rsid w:val="00FF5566"/>
    <w:rsid w:val="00FF587D"/>
    <w:rsid w:val="00FF5B4B"/>
    <w:rsid w:val="00FF5C13"/>
    <w:rsid w:val="00FF5C1C"/>
    <w:rsid w:val="00FF6011"/>
    <w:rsid w:val="00FF60E9"/>
    <w:rsid w:val="00FF63F4"/>
    <w:rsid w:val="00FF63FF"/>
    <w:rsid w:val="00FF660F"/>
    <w:rsid w:val="00FF676F"/>
    <w:rsid w:val="00FF69AE"/>
    <w:rsid w:val="00FF6C15"/>
    <w:rsid w:val="00FF73C4"/>
    <w:rsid w:val="00FF73D6"/>
    <w:rsid w:val="00FF7474"/>
    <w:rsid w:val="00FF749B"/>
    <w:rsid w:val="00FF76B8"/>
    <w:rsid w:val="00FF7991"/>
    <w:rsid w:val="15EE8271"/>
    <w:rsid w:val="21331DA1"/>
    <w:rsid w:val="2E37CA2A"/>
    <w:rsid w:val="30A4BEA8"/>
    <w:rsid w:val="4DEED151"/>
    <w:rsid w:val="5E03C0CE"/>
    <w:rsid w:val="64AA6697"/>
    <w:rsid w:val="771EA2A7"/>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link w:val="Heading4Cha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tabs>
        <w:tab w:val="num" w:pos="360"/>
        <w:tab w:val="clear" w:pos="720"/>
      </w:tabs>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CB31A6"/>
    <w:rPr>
      <w:rFonts w:ascii="Times New Roman" w:hAnsi="Times New Roman" w:cs="Times New Roman"/>
      <w:sz w:val="26"/>
      <w:szCs w:val="20"/>
    </w:rPr>
  </w:style>
  <w:style w:type="paragraph" w:styleId="Revision">
    <w:name w:val="Revision"/>
    <w:hidden/>
    <w:uiPriority w:val="99"/>
    <w:semiHidden/>
    <w:rsid w:val="00AA1857"/>
    <w:pPr>
      <w:spacing w:after="0" w:line="240" w:lineRule="auto"/>
    </w:pPr>
    <w:rPr>
      <w:rFonts w:ascii="Times New Roman" w:hAnsi="Times New Roman" w:cs="Times New Roman"/>
      <w:sz w:val="26"/>
      <w:szCs w:val="22"/>
    </w:rPr>
  </w:style>
  <w:style w:type="character" w:customStyle="1" w:styleId="Heading4Char">
    <w:name w:val="Heading 4 Char"/>
    <w:basedOn w:val="DefaultParagraphFont"/>
    <w:link w:val="Heading4"/>
    <w:uiPriority w:val="9"/>
    <w:rsid w:val="002F409A"/>
    <w:rPr>
      <w:rFonts w:ascii="Times New Roman" w:eastAsia="Times New Roman" w:hAnsi="Times New Roman" w:cs="Times New Roman"/>
      <w:b/>
      <w:iCs/>
      <w:kern w:val="32"/>
      <w:sz w:val="26"/>
      <w:u w:val="single"/>
    </w:rPr>
  </w:style>
  <w:style w:type="character" w:styleId="Mention">
    <w:name w:val="Mention"/>
    <w:basedOn w:val="DefaultParagraphFont"/>
    <w:uiPriority w:val="99"/>
    <w:unhideWhenUsed/>
    <w:rsid w:val="00032557"/>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C4446474-AB89-44FC-A5D2-FDC8B5D80E0D}">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5e8733a2-e908-454b-85cf-c9d17e1d0943"/>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2B81DB4-34CF-4C43-BF57-E8BFAC33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B96CE-18E7-44A4-9FBA-548F6C044A93}">
  <ds:schemaRefs>
    <ds:schemaRef ds:uri="Microsoft.SharePoint.Taxonomy.ContentTypeSync"/>
  </ds:schemaRefs>
</ds:datastoreItem>
</file>

<file path=customXml/itemProps5.xml><?xml version="1.0" encoding="utf-8"?>
<ds:datastoreItem xmlns:ds="http://schemas.openxmlformats.org/officeDocument/2006/customXml" ds:itemID="{FE4F6AB3-4007-4062-BDA1-0492FD680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45</Pages>
  <Words>12625</Words>
  <Characters>71965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2025-01-29T15:00:12Z</cp:lastPrinted>
  <dcterms:created xsi:type="dcterms:W3CDTF">2025-01-29T01:16:00Z</dcterms:created>
  <dcterms:modified xsi:type="dcterms:W3CDTF">2025-01-29T02:07:00Z</dcterms:modified>
</cp:coreProperties>
</file>