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jc w:val="center"/>
      </w:pPr>
      <w:r>
        <w:rPr>
          <w:sz w:val="26"/>
        </w:rPr>
        <w:t>189 FERC ¶ 61,228</w:t>
      </w:r>
    </w:p>
    <w:p w:rsidR="002F2FCC" w:rsidRPr="00CD0B38" w:rsidP="00975B91">
      <w:pPr>
        <w:jc w:val="center"/>
      </w:pPr>
      <w:r>
        <w:rPr>
          <w:b/>
        </w:rPr>
        <w:fldChar w:fldCharType="begin"/>
      </w:r>
      <w:r>
        <w:rPr>
          <w:b/>
        </w:rPr>
        <w:instrText xml:space="preserve"> MACROBUTTON  AcceptAllChangesInDoc </w:instrText>
      </w:r>
      <w:r>
        <w:rPr>
          <w:b/>
        </w:rPr>
        <w:fldChar w:fldCharType="end"/>
      </w:r>
      <w:r w:rsidRPr="00F81A3A" w:rsidR="00F81A3A">
        <w:rPr>
          <w:b/>
        </w:rPr>
        <w:fldChar w:fldCharType="begin"/>
      </w:r>
      <w:r w:rsidRPr="00F81A3A" w:rsidR="00F81A3A">
        <w:rPr>
          <w:b/>
        </w:rPr>
        <w:instrText xml:space="preserve"> MACROBUTTON  AcceptAllChangesInDoc </w:instrText>
      </w:r>
      <w:r w:rsidRPr="00F81A3A" w:rsidR="00F81A3A">
        <w:rPr>
          <w:b/>
        </w:rPr>
        <w:fldChar w:fldCharType="end"/>
      </w:r>
      <w:r w:rsidRPr="00F81A3A" w:rsidR="00F81A3A">
        <w:rPr>
          <w:b/>
          <w:bCs/>
        </w:rPr>
        <w:t xml:space="preserve"> </w:t>
      </w:r>
      <w:r w:rsidRPr="00CD0B38">
        <w:t>UNITED STATES OF AMERICA</w:t>
      </w:r>
    </w:p>
    <w:p w:rsidR="002F2FCC" w:rsidRPr="00CD0B38">
      <w:pPr>
        <w:jc w:val="center"/>
      </w:pPr>
      <w:r w:rsidRPr="00CD0B38">
        <w:t>FEDERAL ENERGY REGULATORY COMMISSION</w:t>
      </w:r>
    </w:p>
    <w:p w:rsidR="002F2FCC" w:rsidRPr="00CD0B38"/>
    <w:p w:rsidR="002F2FCC" w:rsidRPr="00975B91" w:rsidP="00975B91">
      <w:pPr>
        <w:widowControl/>
      </w:pPr>
      <w:r w:rsidRPr="00975B91">
        <w:t>Before Commissioners:  Willie L. Phillips, Chairman;</w:t>
      </w:r>
    </w:p>
    <w:p w:rsidR="00975B91" w:rsidRPr="00975B91" w:rsidP="00975B91">
      <w:pPr>
        <w:widowControl/>
      </w:pPr>
      <w:r w:rsidRPr="00975B91">
        <w:t xml:space="preserve">                                        Mark C. Christie, David Rosner,</w:t>
      </w:r>
    </w:p>
    <w:p w:rsidR="00975B91" w:rsidRPr="00CD0B38" w:rsidP="00975B91">
      <w:pPr>
        <w:widowControl/>
      </w:pPr>
      <w:r w:rsidRPr="00975B91">
        <w:t xml:space="preserve">                                        Lindsay S. See and Judy W. Chang</w:t>
      </w:r>
    </w:p>
    <w:p w:rsidR="002F2FCC"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2F2FC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831B59">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New York</w:t>
            </w:r>
            <w:r w:rsidR="00B369FB">
              <w:rPr>
                <w:rFonts w:ascii="Times New Roman" w:eastAsia="Calibri" w:hAnsi="Times New Roman" w:cs="Arial"/>
                <w:sz w:val="26"/>
                <w:szCs w:val="22"/>
                <w:lang w:val="en-US" w:eastAsia="en-US" w:bidi="ar-SA"/>
              </w:rPr>
              <w:t xml:space="preserve"> Power Authority</w:t>
            </w:r>
          </w:p>
          <w:p w:rsidR="002F2FCC"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New York Independent System Operator</w:t>
            </w:r>
            <w:r w:rsidR="00232DF4">
              <w:rPr>
                <w:rFonts w:ascii="Times New Roman" w:eastAsia="Calibri" w:hAnsi="Times New Roman" w:cs="Arial"/>
                <w:sz w:val="26"/>
                <w:szCs w:val="22"/>
                <w:lang w:val="en-US" w:eastAsia="en-US" w:bidi="ar-SA"/>
              </w:rPr>
              <w:t xml:space="preserve">, Inc. </w:t>
            </w:r>
          </w:p>
        </w:tc>
        <w:tc>
          <w:tcPr>
            <w:tcW w:w="1560" w:type="dxa"/>
            <w:shd w:val="clear" w:color="auto" w:fill="auto"/>
          </w:tcPr>
          <w:p w:rsidR="002F2FCC" w:rsidRPr="00CD0B38" w:rsidP="002F2FCC">
            <w:pPr>
              <w:widowControl/>
              <w:autoSpaceDE/>
              <w:autoSpaceDN/>
              <w:adjustRightInd/>
              <w:spacing w:after="0" w:line="240" w:lineRule="auto"/>
              <w:jc w:val="right"/>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Docket No.</w:t>
            </w:r>
          </w:p>
        </w:tc>
        <w:tc>
          <w:tcPr>
            <w:tcW w:w="1928" w:type="dxa"/>
            <w:shd w:val="clear" w:color="auto" w:fill="auto"/>
            <w:tcMar>
              <w:left w:w="144" w:type="dxa"/>
            </w:tcMar>
          </w:tcPr>
          <w:p w:rsidR="002F2FCC" w:rsidRPr="00CD0B38">
            <w:pPr>
              <w:widowControl/>
              <w:autoSpaceDE/>
              <w:autoSpaceDN/>
              <w:adjustRightInd/>
              <w:spacing w:after="0" w:line="240" w:lineRule="auto"/>
              <w:ind w:hanging="230"/>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 xml:space="preserve">  </w:t>
            </w:r>
            <w:r>
              <w:rPr>
                <w:rFonts w:ascii="Times New Roman" w:eastAsia="Calibri" w:hAnsi="Times New Roman" w:cs="Arial"/>
                <w:sz w:val="26"/>
                <w:szCs w:val="22"/>
                <w:lang w:val="en-US" w:eastAsia="en-US" w:bidi="ar-SA"/>
              </w:rPr>
              <w:t>ER25-198-000</w:t>
            </w:r>
          </w:p>
        </w:tc>
      </w:tr>
    </w:tbl>
    <w:p w:rsidR="002F2FCC" w:rsidRPr="00CD0B38">
      <w:pPr>
        <w:jc w:val="center"/>
      </w:pPr>
    </w:p>
    <w:p w:rsidR="00711E89" w:rsidRPr="00711E89" w:rsidP="00711E89">
      <w:pPr>
        <w:jc w:val="center"/>
      </w:pPr>
      <w:r w:rsidRPr="00711E89">
        <w:t xml:space="preserve">ORDER </w:t>
      </w:r>
      <w:r w:rsidR="005A4536">
        <w:t>ON</w:t>
      </w:r>
      <w:r w:rsidRPr="00711E89">
        <w:t xml:space="preserve"> TARIFF REVISIONS AND ESTABLISHING HEARING AND SETTLEMENT JUDGE PROCEDURES</w:t>
      </w:r>
    </w:p>
    <w:p w:rsidR="002F2FCC" w:rsidRPr="00CD0B38">
      <w:pPr>
        <w:jc w:val="center"/>
      </w:pPr>
    </w:p>
    <w:p w:rsidR="002F2FCC" w:rsidP="00975B91">
      <w:pPr>
        <w:widowControl/>
        <w:jc w:val="center"/>
      </w:pPr>
      <w:r w:rsidRPr="00975B91">
        <w:t>(</w:t>
      </w:r>
      <w:r w:rsidRPr="00975B91">
        <w:fldChar w:fldCharType="begin"/>
      </w:r>
      <w:r w:rsidRPr="00975B91">
        <w:instrText xml:space="preserve"> MACROBUTTON  AcceptAllChangesInDoc </w:instrText>
      </w:r>
      <w:r w:rsidRPr="00975B91">
        <w:fldChar w:fldCharType="end"/>
      </w:r>
      <w:r w:rsidRPr="00975B91" w:rsidR="00975B91">
        <w:t>Issued December 23, 2024</w:t>
      </w:r>
      <w:r w:rsidRPr="00975B91">
        <w:t>)</w:t>
      </w:r>
    </w:p>
    <w:p w:rsidR="002F2FCC" w:rsidRPr="00C26B1C">
      <w:pPr>
        <w:rPr>
          <w:bCs/>
        </w:rPr>
      </w:pPr>
    </w:p>
    <w:p w:rsidR="002F2FCC" w:rsidP="00FD3D3B">
      <w:pPr>
        <w:pStyle w:val="FERCparanumber"/>
      </w:pPr>
      <w:r>
        <w:t>On October 24, 2024</w:t>
      </w:r>
      <w:r w:rsidR="00F42AFB">
        <w:t xml:space="preserve">, </w:t>
      </w:r>
      <w:r w:rsidRPr="000432A6" w:rsidR="000432A6">
        <w:t>pursuant to section 205 of the Federal Power Act (FPA)</w:t>
      </w:r>
      <w:r>
        <w:rPr>
          <w:b/>
          <w:vertAlign w:val="superscript"/>
        </w:rPr>
        <w:footnoteReference w:id="3"/>
      </w:r>
      <w:r w:rsidR="00C30B9D">
        <w:t xml:space="preserve"> and</w:t>
      </w:r>
      <w:r w:rsidRPr="000432A6" w:rsidR="000432A6">
        <w:rPr>
          <w:b/>
          <w:bCs/>
        </w:rPr>
        <w:t xml:space="preserve"> </w:t>
      </w:r>
      <w:r w:rsidR="00C45DE7">
        <w:t>p</w:t>
      </w:r>
      <w:r w:rsidRPr="000432A6" w:rsidR="000432A6">
        <w:t>art 35 of the Commission’s regulations,</w:t>
      </w:r>
      <w:r>
        <w:rPr>
          <w:b/>
          <w:vertAlign w:val="superscript"/>
        </w:rPr>
        <w:footnoteReference w:id="4"/>
      </w:r>
      <w:r w:rsidRPr="000432A6" w:rsidR="000432A6">
        <w:t xml:space="preserve"> </w:t>
      </w:r>
      <w:r w:rsidR="002F7C13">
        <w:t>New York Independent System Operator, Inc. (NYISO), on behalf of New York Power Authority</w:t>
      </w:r>
      <w:r w:rsidR="001E50D0">
        <w:t xml:space="preserve"> (NYPA)</w:t>
      </w:r>
      <w:r w:rsidR="002F7C13">
        <w:t xml:space="preserve">, </w:t>
      </w:r>
      <w:r w:rsidR="009E7C32">
        <w:t xml:space="preserve">submitted </w:t>
      </w:r>
      <w:r w:rsidRPr="00380A10" w:rsidR="00380A10">
        <w:t xml:space="preserve">revisions to </w:t>
      </w:r>
      <w:r w:rsidR="00E31E88">
        <w:t>s</w:t>
      </w:r>
      <w:r w:rsidRPr="00380A10" w:rsidR="00380A10">
        <w:t xml:space="preserve">ection 14.2.3.1 of Attachment H of the NYISO Open Access Transmission Tariff (OATT) to amend the </w:t>
      </w:r>
      <w:r w:rsidR="00BE78DB">
        <w:t>return on equity (</w:t>
      </w:r>
      <w:r w:rsidRPr="00380A10" w:rsidR="00380A10">
        <w:t>ROE</w:t>
      </w:r>
      <w:r w:rsidR="00EE4FA9">
        <w:t>)</w:t>
      </w:r>
      <w:r w:rsidRPr="00380A10" w:rsidR="00380A10">
        <w:t xml:space="preserve"> contained in the NYPA transmission formula rate template (Formula Rate), which calculates NYPA’s net annual transmission revenue requirement (ATRR)</w:t>
      </w:r>
      <w:r w:rsidR="00211F45">
        <w:t xml:space="preserve">, to </w:t>
      </w:r>
      <w:r w:rsidRPr="00380A10" w:rsidR="00211F45">
        <w:t>10.98</w:t>
      </w:r>
      <w:r w:rsidR="00211F45">
        <w:t>%</w:t>
      </w:r>
      <w:r w:rsidR="00380A10">
        <w:t>.</w:t>
      </w:r>
      <w:r>
        <w:rPr>
          <w:rStyle w:val="FootnoteReference"/>
        </w:rPr>
        <w:footnoteReference w:id="5"/>
      </w:r>
      <w:r w:rsidR="00B42969">
        <w:t xml:space="preserve">  </w:t>
      </w:r>
      <w:r w:rsidR="009C1741">
        <w:t xml:space="preserve">Notwithstanding its non-jurisdictional status, </w:t>
      </w:r>
      <w:r w:rsidR="00F445D0">
        <w:t xml:space="preserve">NYPA </w:t>
      </w:r>
      <w:r w:rsidR="0064043B">
        <w:t>commits to mak</w:t>
      </w:r>
      <w:r w:rsidR="00E82BA2">
        <w:t xml:space="preserve">ing appropriate refunds </w:t>
      </w:r>
      <w:r w:rsidR="0067745F">
        <w:t>for any collect</w:t>
      </w:r>
      <w:r w:rsidR="00BC0320">
        <w:t>ion</w:t>
      </w:r>
      <w:r w:rsidR="00E82BA2">
        <w:t xml:space="preserve"> </w:t>
      </w:r>
      <w:r w:rsidR="00DE19E8">
        <w:t xml:space="preserve">based on the ATRR </w:t>
      </w:r>
      <w:r w:rsidR="00062ADE">
        <w:t xml:space="preserve">that </w:t>
      </w:r>
      <w:r w:rsidR="00296F33">
        <w:t>exceeds what the Commission</w:t>
      </w:r>
      <w:r w:rsidR="00062ADE">
        <w:t xml:space="preserve"> </w:t>
      </w:r>
      <w:r w:rsidR="00296F33">
        <w:t>accepts as</w:t>
      </w:r>
      <w:r w:rsidR="00062ADE">
        <w:t xml:space="preserve"> just and reasonable.</w:t>
      </w:r>
      <w:r>
        <w:rPr>
          <w:rStyle w:val="FootnoteReference"/>
        </w:rPr>
        <w:footnoteReference w:id="6"/>
      </w:r>
      <w:r w:rsidR="00F445D0">
        <w:t xml:space="preserve">  </w:t>
      </w:r>
      <w:r w:rsidR="008C0225">
        <w:t>As discussed below, w</w:t>
      </w:r>
      <w:r w:rsidRPr="00B42969" w:rsidR="00B42969">
        <w:t xml:space="preserve">e accept </w:t>
      </w:r>
      <w:r w:rsidR="00B42969">
        <w:t>NYPA’s</w:t>
      </w:r>
      <w:r w:rsidRPr="00B42969" w:rsidR="00B42969">
        <w:t xml:space="preserve"> proposed </w:t>
      </w:r>
      <w:r w:rsidR="00036BCC">
        <w:t>OATT revisions</w:t>
      </w:r>
      <w:r w:rsidRPr="00B42969" w:rsidR="00B42969">
        <w:t xml:space="preserve">, to be </w:t>
      </w:r>
      <w:r w:rsidRPr="00AC7A6D" w:rsidR="00F43E72">
        <w:t xml:space="preserve">effective </w:t>
      </w:r>
      <w:r w:rsidR="00F43E72">
        <w:t>November</w:t>
      </w:r>
      <w:r w:rsidRPr="00AC7A6D" w:rsidR="00F43E72">
        <w:t xml:space="preserve"> 1, 2024, as requested</w:t>
      </w:r>
      <w:r w:rsidRPr="00B42969" w:rsidR="00B42969">
        <w:t xml:space="preserve">, </w:t>
      </w:r>
      <w:r w:rsidR="009010F9">
        <w:t xml:space="preserve">subject to refund, </w:t>
      </w:r>
      <w:r w:rsidR="00806945">
        <w:t xml:space="preserve">and </w:t>
      </w:r>
      <w:r w:rsidR="0044290A">
        <w:t>establish</w:t>
      </w:r>
      <w:r w:rsidR="00806945">
        <w:t xml:space="preserve"> </w:t>
      </w:r>
      <w:r w:rsidRPr="00B42969" w:rsidR="00B42969">
        <w:t>hearing and settlement judge procedures.</w:t>
      </w:r>
    </w:p>
    <w:p w:rsidR="008D4F30" w:rsidP="008D4F30">
      <w:pPr>
        <w:pStyle w:val="Heading1"/>
      </w:pPr>
      <w:r>
        <w:t>Background</w:t>
      </w:r>
    </w:p>
    <w:p w:rsidR="00D033C7" w:rsidP="00D033C7">
      <w:pPr>
        <w:pStyle w:val="FERCparanumber"/>
      </w:pPr>
      <w:r w:rsidRPr="002779F3">
        <w:t xml:space="preserve">NYPA is a corporate municipal instrumentality and a political subdivision of the State of New York, organized under the laws of the state, and operating pursuant to </w:t>
      </w:r>
      <w:r w:rsidR="00AC3FD7">
        <w:t xml:space="preserve">                 </w:t>
      </w:r>
      <w:r w:rsidRPr="002779F3">
        <w:t>Title 1 of Article 5 of the New York Public Authorities Law</w:t>
      </w:r>
      <w:r>
        <w:t>.</w:t>
      </w:r>
      <w:r>
        <w:rPr>
          <w:rStyle w:val="FootnoteReference"/>
        </w:rPr>
        <w:footnoteReference w:id="7"/>
      </w:r>
      <w:r w:rsidR="00734FE8">
        <w:t xml:space="preserve">  </w:t>
      </w:r>
      <w:r w:rsidRPr="00734FE8" w:rsidR="00734FE8">
        <w:t>NYPA states that it is a “municipality” within the meaning of FPA section 3(7) and is a “state instrumentality” within the meaning of FPA section 201(f).</w:t>
      </w:r>
      <w:r>
        <w:rPr>
          <w:b/>
          <w:vertAlign w:val="superscript"/>
        </w:rPr>
        <w:footnoteReference w:id="8"/>
      </w:r>
      <w:r w:rsidRPr="00734FE8" w:rsidR="00734FE8">
        <w:t xml:space="preserve">  NYPA generates, transmits, and sells electric power and energy at wholesale and retail throughout New York.  </w:t>
      </w:r>
      <w:r w:rsidRPr="00236352" w:rsidR="00236352">
        <w:t>NYPA has no distribution facilities or defined geographical service territory of its own, and since the inception of NYISO, has recovered its cost of owning and maintaining its backbone transmission facilities primarily through the NYPA Transmission Adjustment Charge</w:t>
      </w:r>
      <w:r w:rsidR="00581F6A">
        <w:t xml:space="preserve"> (NTAC)</w:t>
      </w:r>
      <w:r w:rsidRPr="00236352" w:rsidR="00236352">
        <w:t>, a charge assessed to virtually all loads in NYISO</w:t>
      </w:r>
      <w:r w:rsidR="00747104">
        <w:t xml:space="preserve"> and recovered in NYPA’s Formula Rate</w:t>
      </w:r>
      <w:r w:rsidRPr="00236352" w:rsidR="00236352">
        <w:t>.</w:t>
      </w:r>
      <w:r>
        <w:rPr>
          <w:rStyle w:val="FootnoteReference"/>
        </w:rPr>
        <w:footnoteReference w:id="9"/>
      </w:r>
    </w:p>
    <w:p w:rsidR="0050758D" w:rsidP="00D033C7">
      <w:pPr>
        <w:pStyle w:val="FERCparanumber"/>
      </w:pPr>
      <w:r>
        <w:t xml:space="preserve">NYPA states that </w:t>
      </w:r>
      <w:r w:rsidR="00832CEB">
        <w:t xml:space="preserve">its over </w:t>
      </w:r>
      <w:r w:rsidR="00CC6FB6">
        <w:t>$</w:t>
      </w:r>
      <w:r w:rsidR="00832CEB">
        <w:t>4.5</w:t>
      </w:r>
      <w:r w:rsidR="00CC6FB6">
        <w:t xml:space="preserve"> billion investment in constructing and</w:t>
      </w:r>
      <w:r w:rsidR="00EA44E7">
        <w:t xml:space="preserve"> expanding its transmission infrastructure and generation </w:t>
      </w:r>
      <w:r w:rsidR="002159D1">
        <w:t xml:space="preserve">from </w:t>
      </w:r>
      <w:r w:rsidR="00EA44E7">
        <w:t>2024 to 2030</w:t>
      </w:r>
      <w:r w:rsidR="00D52F86">
        <w:t xml:space="preserve"> is instrumental to achiev</w:t>
      </w:r>
      <w:r w:rsidR="004420C0">
        <w:t>ing</w:t>
      </w:r>
      <w:r w:rsidR="00D52F86">
        <w:t xml:space="preserve"> the requirements of New York State’s </w:t>
      </w:r>
      <w:r w:rsidR="002A2B1B">
        <w:t>C</w:t>
      </w:r>
      <w:r w:rsidRPr="002A2B1B" w:rsidR="002A2B1B">
        <w:t>limate Leadership and Community Protection Act</w:t>
      </w:r>
      <w:r w:rsidR="002A2B1B">
        <w:t xml:space="preserve"> (CLCPA)</w:t>
      </w:r>
      <w:r w:rsidR="0041772D">
        <w:t>.</w:t>
      </w:r>
      <w:r>
        <w:rPr>
          <w:rStyle w:val="FootnoteReference"/>
        </w:rPr>
        <w:footnoteReference w:id="10"/>
      </w:r>
      <w:r w:rsidR="00980FA6">
        <w:t xml:space="preserve">  Additionally, NYPA states that the </w:t>
      </w:r>
      <w:r w:rsidRPr="00851FE1" w:rsidR="00851FE1">
        <w:t>Accelerated Renewable Energy Growth and Community Benefit Act</w:t>
      </w:r>
      <w:r w:rsidR="00851FE1">
        <w:t xml:space="preserve"> requires New York State to </w:t>
      </w:r>
      <w:r w:rsidRPr="00851FE1" w:rsidR="00851FE1">
        <w:t>provide for the construction of</w:t>
      </w:r>
      <w:r w:rsidR="00AC4B23">
        <w:t xml:space="preserve"> </w:t>
      </w:r>
      <w:r w:rsidRPr="00AC4B23" w:rsidR="00AC4B23">
        <w:t xml:space="preserve">expanded transmission and distribution infrastructure sufficient to ensure that new renewable energy generation projects used to meet the CLCPA </w:t>
      </w:r>
      <w:r w:rsidR="00F83FAA">
        <w:t>r</w:t>
      </w:r>
      <w:r w:rsidRPr="00AC4B23" w:rsidR="00AC4B23">
        <w:t>equirements can be timely and cost-effectively delivered to load</w:t>
      </w:r>
      <w:r w:rsidR="00AC4B23">
        <w:t xml:space="preserve">. </w:t>
      </w:r>
    </w:p>
    <w:p w:rsidR="003A5A36" w:rsidP="003A5A36">
      <w:pPr>
        <w:pStyle w:val="Heading1"/>
      </w:pPr>
      <w:r>
        <w:t xml:space="preserve">NYPA’s </w:t>
      </w:r>
      <w:r w:rsidR="009354C2">
        <w:t>Filing</w:t>
      </w:r>
    </w:p>
    <w:p w:rsidR="00D95858" w:rsidP="008C20A3">
      <w:pPr>
        <w:pStyle w:val="FERCparanumber"/>
      </w:pPr>
      <w:r>
        <w:t xml:space="preserve">NYPA states its current </w:t>
      </w:r>
      <w:r w:rsidR="00C32593">
        <w:t xml:space="preserve">8.95% </w:t>
      </w:r>
      <w:r>
        <w:t>base ROE is the result of a 2016 settlement, which NYPA has used in its Formula Rate since 2016.</w:t>
      </w:r>
      <w:r>
        <w:rPr>
          <w:rStyle w:val="FootnoteReference"/>
        </w:rPr>
        <w:footnoteReference w:id="11"/>
      </w:r>
      <w:r>
        <w:t xml:space="preserve"> </w:t>
      </w:r>
      <w:r w:rsidR="001051C0">
        <w:t xml:space="preserve"> NYPA</w:t>
      </w:r>
      <w:r w:rsidR="00E672D3">
        <w:t xml:space="preserve"> asserts that</w:t>
      </w:r>
      <w:r w:rsidR="001051C0">
        <w:t xml:space="preserve"> </w:t>
      </w:r>
      <w:r w:rsidR="003E4467">
        <w:t>current economic conditions are far different than those that applied in 2016.</w:t>
      </w:r>
      <w:r>
        <w:rPr>
          <w:rStyle w:val="FootnoteReference"/>
        </w:rPr>
        <w:footnoteReference w:id="12"/>
      </w:r>
      <w:r w:rsidR="00AB5C35">
        <w:t xml:space="preserve">  NYPA </w:t>
      </w:r>
      <w:r w:rsidR="00B4328A">
        <w:t>states that</w:t>
      </w:r>
      <w:r w:rsidR="00040A26">
        <w:t xml:space="preserve"> it expects to invest</w:t>
      </w:r>
      <w:r w:rsidR="00B72BA8">
        <w:t xml:space="preserve"> over</w:t>
      </w:r>
      <w:r w:rsidR="00040A26">
        <w:t xml:space="preserve"> $4.5 billion </w:t>
      </w:r>
      <w:r w:rsidR="00071F74">
        <w:t>to</w:t>
      </w:r>
      <w:r w:rsidRPr="008C20A3" w:rsidR="008C20A3">
        <w:t xml:space="preserve"> construct and expand clean energy transmission infrastructure, generation facilities</w:t>
      </w:r>
      <w:r w:rsidR="0008665E">
        <w:t>,</w:t>
      </w:r>
      <w:r w:rsidRPr="008C20A3" w:rsidR="008C20A3">
        <w:t xml:space="preserve"> and supporting plant through 203</w:t>
      </w:r>
      <w:r w:rsidR="00043451">
        <w:t>0 and</w:t>
      </w:r>
      <w:r w:rsidR="00AB5C35">
        <w:t xml:space="preserve"> that </w:t>
      </w:r>
      <w:r w:rsidR="000E28AE">
        <w:t xml:space="preserve">additional capital spending in renewable generation may materialize in light of NYPA’s </w:t>
      </w:r>
      <w:r w:rsidR="00BD42C9">
        <w:t xml:space="preserve">expanded legislative authority enacted by New York State </w:t>
      </w:r>
      <w:r w:rsidR="00603822">
        <w:t>in</w:t>
      </w:r>
      <w:r w:rsidR="00BD42C9">
        <w:t xml:space="preserve"> 2023</w:t>
      </w:r>
      <w:r w:rsidR="00603822">
        <w:t>.</w:t>
      </w:r>
      <w:r>
        <w:rPr>
          <w:rStyle w:val="FootnoteReference"/>
        </w:rPr>
        <w:footnoteReference w:id="13"/>
      </w:r>
      <w:r w:rsidR="00E83BB2">
        <w:t xml:space="preserve">  NYPA </w:t>
      </w:r>
      <w:r w:rsidR="003F6A52">
        <w:t>explains</w:t>
      </w:r>
      <w:r w:rsidR="009D4BCA">
        <w:t xml:space="preserve"> that it </w:t>
      </w:r>
      <w:r w:rsidR="00E83BB2">
        <w:t xml:space="preserve">plans to finance these </w:t>
      </w:r>
      <w:r w:rsidR="00123032">
        <w:t>investments</w:t>
      </w:r>
      <w:r w:rsidR="009A7F6A">
        <w:t xml:space="preserve"> </w:t>
      </w:r>
      <w:r w:rsidR="00EB7C73">
        <w:t xml:space="preserve">through </w:t>
      </w:r>
      <w:r w:rsidR="004C0D31">
        <w:t>internally</w:t>
      </w:r>
      <w:r w:rsidR="008C73DE">
        <w:t>-</w:t>
      </w:r>
      <w:r w:rsidR="004C0D31">
        <w:t>generated funds and debt markets.</w:t>
      </w:r>
    </w:p>
    <w:p w:rsidR="00E365CD">
      <w:pPr>
        <w:pStyle w:val="FERCparanumber"/>
      </w:pPr>
      <w:r>
        <w:t>NYPA argues that the proposed base ROE of 10.98%</w:t>
      </w:r>
      <w:r w:rsidR="00020F19">
        <w:t xml:space="preserve"> is just and reasonable</w:t>
      </w:r>
      <w:r w:rsidR="008A4EEB">
        <w:t>.</w:t>
      </w:r>
      <w:r>
        <w:rPr>
          <w:rStyle w:val="FootnoteReference"/>
        </w:rPr>
        <w:footnoteReference w:id="14"/>
      </w:r>
      <w:r w:rsidR="00020F19">
        <w:t xml:space="preserve"> </w:t>
      </w:r>
      <w:r w:rsidR="00B55137">
        <w:t xml:space="preserve"> NYPA explains that 10.98% is </w:t>
      </w:r>
      <w:r w:rsidR="00020F19">
        <w:t>the median value</w:t>
      </w:r>
      <w:r w:rsidR="00B9633D">
        <w:t xml:space="preserve"> and within the zone of reasonableness </w:t>
      </w:r>
      <w:r w:rsidR="00881018">
        <w:t xml:space="preserve">calculated under </w:t>
      </w:r>
      <w:r w:rsidR="00B9633D">
        <w:t xml:space="preserve">the </w:t>
      </w:r>
      <w:r w:rsidR="00295255">
        <w:t>Commission’s two-model method</w:t>
      </w:r>
      <w:r w:rsidR="00C85B07">
        <w:t xml:space="preserve">, </w:t>
      </w:r>
      <w:r w:rsidR="007F5E1F">
        <w:t xml:space="preserve">which averages </w:t>
      </w:r>
      <w:r w:rsidR="00295255">
        <w:t xml:space="preserve">the </w:t>
      </w:r>
      <w:r w:rsidR="00B15D15">
        <w:t xml:space="preserve">two-step Discounted Cash Flow (DCF) </w:t>
      </w:r>
      <w:r w:rsidR="00796FA1">
        <w:t xml:space="preserve">model </w:t>
      </w:r>
      <w:r w:rsidR="00B15D15">
        <w:t>and Capital Asset</w:t>
      </w:r>
      <w:r w:rsidR="00AF219E">
        <w:t xml:space="preserve"> Pricing Model (CAPM)</w:t>
      </w:r>
      <w:r w:rsidR="003C331C">
        <w:t xml:space="preserve">, </w:t>
      </w:r>
      <w:r w:rsidR="009B0BF5">
        <w:t>identifying a zone of reasonablen</w:t>
      </w:r>
      <w:r w:rsidR="0071790C">
        <w:t xml:space="preserve">ess </w:t>
      </w:r>
      <w:r w:rsidR="007776AA">
        <w:t>from</w:t>
      </w:r>
      <w:r w:rsidR="003C331C">
        <w:t xml:space="preserve"> </w:t>
      </w:r>
      <w:r w:rsidRPr="000C149B" w:rsidR="007326A0">
        <w:t>8.87</w:t>
      </w:r>
      <w:r w:rsidR="007326A0">
        <w:t xml:space="preserve">% </w:t>
      </w:r>
      <w:r w:rsidR="007776AA">
        <w:t>to</w:t>
      </w:r>
      <w:r w:rsidR="007326A0">
        <w:t xml:space="preserve"> </w:t>
      </w:r>
      <w:r w:rsidRPr="000C149B" w:rsidR="007326A0">
        <w:t>12.32</w:t>
      </w:r>
      <w:r w:rsidR="007326A0">
        <w:t>%</w:t>
      </w:r>
      <w:r w:rsidR="00C85B07">
        <w:t>.  NYPA also explains that</w:t>
      </w:r>
      <w:r w:rsidR="004C4273">
        <w:t xml:space="preserve"> </w:t>
      </w:r>
      <w:r w:rsidR="002A662F">
        <w:t xml:space="preserve">an ROE of </w:t>
      </w:r>
      <w:r w:rsidR="00CC2F6C">
        <w:t>10.98%</w:t>
      </w:r>
      <w:r w:rsidR="00AF219E">
        <w:t xml:space="preserve"> </w:t>
      </w:r>
      <w:r w:rsidR="004718F3">
        <w:t xml:space="preserve">is within the zone of reasonableness calculated under </w:t>
      </w:r>
      <w:r w:rsidR="007326A0">
        <w:t xml:space="preserve">the </w:t>
      </w:r>
      <w:r w:rsidRPr="000C149B" w:rsidR="00B26AE2">
        <w:t>three</w:t>
      </w:r>
      <w:r w:rsidR="00CE0EC3">
        <w:t>-</w:t>
      </w:r>
      <w:r w:rsidRPr="000C149B" w:rsidR="00B26AE2">
        <w:t xml:space="preserve">model </w:t>
      </w:r>
      <w:r w:rsidR="00CE0EC3">
        <w:t>method</w:t>
      </w:r>
      <w:r w:rsidR="0021071F">
        <w:t>,</w:t>
      </w:r>
      <w:r w:rsidR="00CE0EC3">
        <w:t xml:space="preserve"> </w:t>
      </w:r>
      <w:r w:rsidR="00F92A18">
        <w:t>which averages</w:t>
      </w:r>
      <w:r w:rsidRPr="000C149B" w:rsidR="00B26AE2">
        <w:t xml:space="preserve"> the two-step DCF, CAPM</w:t>
      </w:r>
      <w:r w:rsidR="000766D1">
        <w:t>,</w:t>
      </w:r>
      <w:r w:rsidRPr="000C149B" w:rsidR="00B26AE2">
        <w:t xml:space="preserve"> and Risk Premium</w:t>
      </w:r>
      <w:r w:rsidR="0072236A">
        <w:t xml:space="preserve"> models</w:t>
      </w:r>
      <w:r w:rsidR="008E5A56">
        <w:t>, identifying a zone of reasonableness from 8.80% to 12.25%</w:t>
      </w:r>
      <w:r w:rsidR="002C6885">
        <w:t xml:space="preserve">.  NYPA </w:t>
      </w:r>
      <w:r w:rsidR="00334557">
        <w:t>adds</w:t>
      </w:r>
      <w:r w:rsidR="00916F53">
        <w:t xml:space="preserve"> that its DCF and CAPM analyses</w:t>
      </w:r>
      <w:r w:rsidR="008E1DE7">
        <w:t xml:space="preserve"> are</w:t>
      </w:r>
      <w:r w:rsidRPr="000C149B" w:rsidR="00B26AE2">
        <w:t xml:space="preserve"> based on cost of equity estimates for a proxy group established by</w:t>
      </w:r>
      <w:r w:rsidR="00B26AE2">
        <w:t xml:space="preserve"> NYPA’s testimony.</w:t>
      </w:r>
      <w:r>
        <w:rPr>
          <w:rStyle w:val="FootnoteReference"/>
        </w:rPr>
        <w:footnoteReference w:id="15"/>
      </w:r>
      <w:r w:rsidR="0082078F">
        <w:t xml:space="preserve">  </w:t>
      </w:r>
      <w:r w:rsidRPr="00E365CD">
        <w:t xml:space="preserve">NYPA </w:t>
      </w:r>
      <w:r w:rsidR="00427B62">
        <w:t xml:space="preserve">explains that it is appropriate </w:t>
      </w:r>
      <w:r w:rsidR="009E6CA9">
        <w:t>to adopt the two-</w:t>
      </w:r>
      <w:r w:rsidR="00862B3A">
        <w:t>model</w:t>
      </w:r>
      <w:r w:rsidR="009E6CA9">
        <w:t xml:space="preserve"> m</w:t>
      </w:r>
      <w:r w:rsidR="00862B3A">
        <w:t>ethod</w:t>
      </w:r>
      <w:r w:rsidR="009E6CA9">
        <w:t xml:space="preserve"> </w:t>
      </w:r>
      <w:r w:rsidR="0026246B">
        <w:t>because</w:t>
      </w:r>
      <w:r w:rsidR="00CA7BB5">
        <w:t>,</w:t>
      </w:r>
      <w:r w:rsidR="0026246B">
        <w:t xml:space="preserve"> </w:t>
      </w:r>
      <w:r w:rsidR="00E323A0">
        <w:t>in October 2024</w:t>
      </w:r>
      <w:r w:rsidR="00CA7BB5">
        <w:t>,</w:t>
      </w:r>
      <w:r w:rsidRPr="00E365CD">
        <w:t xml:space="preserve"> the</w:t>
      </w:r>
      <w:r w:rsidR="00206E7C">
        <w:t xml:space="preserve"> </w:t>
      </w:r>
      <w:r w:rsidRPr="00E365CD">
        <w:t>Commission determined that inclusion of the Risk Premium model could not be justified.</w:t>
      </w:r>
      <w:r>
        <w:rPr>
          <w:rStyle w:val="FootnoteReference"/>
        </w:rPr>
        <w:footnoteReference w:id="16"/>
      </w:r>
      <w:r w:rsidRPr="00E365CD">
        <w:t xml:space="preserve">  </w:t>
      </w:r>
      <w:r w:rsidR="00CF2084">
        <w:t>NYPA states that it presented the results o</w:t>
      </w:r>
      <w:r w:rsidR="00EB6A84">
        <w:t>f</w:t>
      </w:r>
      <w:r w:rsidR="00CF2084">
        <w:t xml:space="preserve"> both the tw</w:t>
      </w:r>
      <w:r w:rsidR="00836BE3">
        <w:t>o</w:t>
      </w:r>
      <w:r w:rsidR="00C92BC8">
        <w:t>-model method and the three-model method</w:t>
      </w:r>
      <w:r w:rsidRPr="00E365CD">
        <w:t xml:space="preserve"> because the Commission has relied upon the Risk Premium model in</w:t>
      </w:r>
      <w:r w:rsidR="00CD2760">
        <w:t xml:space="preserve"> other</w:t>
      </w:r>
      <w:r w:rsidRPr="00E365CD">
        <w:t xml:space="preserve"> recent decisions</w:t>
      </w:r>
      <w:r w:rsidR="00ED184F">
        <w:t>,</w:t>
      </w:r>
      <w:r w:rsidRPr="00E365CD">
        <w:t xml:space="preserve"> and </w:t>
      </w:r>
      <w:r w:rsidR="00ED184F">
        <w:t>the</w:t>
      </w:r>
      <w:r w:rsidRPr="00E365CD" w:rsidR="00ED184F">
        <w:t xml:space="preserve"> </w:t>
      </w:r>
      <w:r w:rsidR="00CE342A">
        <w:t xml:space="preserve">October 2024 </w:t>
      </w:r>
      <w:r w:rsidRPr="00E365CD">
        <w:t xml:space="preserve">MISO Order did not </w:t>
      </w:r>
      <w:r w:rsidR="00606FE8">
        <w:t xml:space="preserve">entirely </w:t>
      </w:r>
      <w:r w:rsidRPr="00E365CD">
        <w:t xml:space="preserve">foreclose using the </w:t>
      </w:r>
      <w:r w:rsidR="00CE342A">
        <w:t xml:space="preserve">Risk Premium </w:t>
      </w:r>
      <w:r w:rsidR="00B13FF7">
        <w:t>model</w:t>
      </w:r>
      <w:r w:rsidRPr="00E365CD">
        <w:t xml:space="preserve"> in future</w:t>
      </w:r>
      <w:r w:rsidR="00FA2B20">
        <w:t xml:space="preserve"> proceedings</w:t>
      </w:r>
      <w:r w:rsidRPr="0082078F">
        <w:t>.</w:t>
      </w:r>
      <w:r>
        <w:rPr>
          <w:rStyle w:val="FootnoteReference"/>
        </w:rPr>
        <w:footnoteReference w:id="17"/>
      </w:r>
    </w:p>
    <w:p w:rsidR="00DC346A">
      <w:pPr>
        <w:pStyle w:val="FERCparanumber"/>
      </w:pPr>
      <w:r>
        <w:t>NYPA contends t</w:t>
      </w:r>
      <w:r w:rsidR="00012109">
        <w:t>hat</w:t>
      </w:r>
      <w:r w:rsidR="002C45E5">
        <w:t xml:space="preserve"> ROE plays </w:t>
      </w:r>
      <w:r w:rsidR="008F3A98">
        <w:t xml:space="preserve">a critical role in </w:t>
      </w:r>
      <w:r w:rsidR="00E67BD7">
        <w:t>determining access to capital because</w:t>
      </w:r>
      <w:r w:rsidR="00012109">
        <w:t xml:space="preserve"> investors will only invest in opportunities where they are able to receive a </w:t>
      </w:r>
      <w:r w:rsidR="00DB3DD0">
        <w:t>return</w:t>
      </w:r>
      <w:r w:rsidR="00907441">
        <w:t xml:space="preserve"> that is</w:t>
      </w:r>
      <w:r w:rsidR="00507138">
        <w:t xml:space="preserve"> commensurate with the associated risks</w:t>
      </w:r>
      <w:r w:rsidR="00736185">
        <w:t>.</w:t>
      </w:r>
      <w:r>
        <w:rPr>
          <w:rStyle w:val="FootnoteReference"/>
        </w:rPr>
        <w:footnoteReference w:id="18"/>
      </w:r>
      <w:r w:rsidR="00507138">
        <w:t xml:space="preserve"> </w:t>
      </w:r>
      <w:r w:rsidR="00736185">
        <w:t xml:space="preserve"> NYPA adds</w:t>
      </w:r>
      <w:r w:rsidR="00507138">
        <w:t xml:space="preserve"> that the Commission should recognize that the risk to NYP</w:t>
      </w:r>
      <w:r w:rsidR="00E4275C">
        <w:t xml:space="preserve">A </w:t>
      </w:r>
      <w:r w:rsidR="009501C2">
        <w:t xml:space="preserve">from </w:t>
      </w:r>
      <w:r w:rsidR="00E4275C">
        <w:t xml:space="preserve">its transmission investments is determined </w:t>
      </w:r>
      <w:r w:rsidR="00CE30BD">
        <w:t xml:space="preserve">by the type </w:t>
      </w:r>
      <w:r w:rsidR="005E0980">
        <w:t xml:space="preserve">of </w:t>
      </w:r>
      <w:r w:rsidR="00CE30BD">
        <w:t>investment at issue</w:t>
      </w:r>
      <w:r w:rsidR="0066251A">
        <w:t xml:space="preserve"> rather than NYPA’s status as a municipal</w:t>
      </w:r>
      <w:r w:rsidR="00A764F7">
        <w:t xml:space="preserve"> utility</w:t>
      </w:r>
      <w:r w:rsidR="00CE30BD">
        <w:t>.</w:t>
      </w:r>
      <w:r>
        <w:rPr>
          <w:rStyle w:val="FootnoteReference"/>
        </w:rPr>
        <w:footnoteReference w:id="19"/>
      </w:r>
      <w:r w:rsidR="0030729B">
        <w:t xml:space="preserve">  </w:t>
      </w:r>
    </w:p>
    <w:p w:rsidR="009350CB">
      <w:pPr>
        <w:pStyle w:val="FERCparanumber"/>
      </w:pPr>
      <w:r>
        <w:t xml:space="preserve">NYPA states </w:t>
      </w:r>
      <w:r w:rsidR="001B0EEA">
        <w:t xml:space="preserve">that </w:t>
      </w:r>
      <w:r w:rsidR="00FF2CD5">
        <w:t>it employs a national proxy group composed of 28 electric utilities with investment grade credit ratings from S&amp;P Global Ratings (S&amp;P)</w:t>
      </w:r>
      <w:r w:rsidR="0004353D">
        <w:t xml:space="preserve"> </w:t>
      </w:r>
      <w:r w:rsidR="00FF2CD5">
        <w:t>or Moody’s Investor Service (Moody’s) (Proxy Group)</w:t>
      </w:r>
      <w:r w:rsidR="00A11CC0">
        <w:t xml:space="preserve"> </w:t>
      </w:r>
      <w:r w:rsidR="00E8633C">
        <w:t>for</w:t>
      </w:r>
      <w:r w:rsidR="00A11CC0">
        <w:t xml:space="preserve"> its DCF and CAPM calculations.</w:t>
      </w:r>
      <w:r>
        <w:rPr>
          <w:rStyle w:val="FootnoteReference"/>
        </w:rPr>
        <w:footnoteReference w:id="20"/>
      </w:r>
      <w:r w:rsidR="00350CF8">
        <w:t xml:space="preserve">  </w:t>
      </w:r>
      <w:r w:rsidR="00053DD1">
        <w:t>NYPA asserts that it selected i</w:t>
      </w:r>
      <w:r w:rsidRPr="00FB0B65" w:rsidR="00053DD1">
        <w:t xml:space="preserve">nvestor-owned companies in the </w:t>
      </w:r>
      <w:r w:rsidR="00485F58">
        <w:t>P</w:t>
      </w:r>
      <w:r w:rsidRPr="00FB0B65" w:rsidR="00053DD1">
        <w:t xml:space="preserve">roxy </w:t>
      </w:r>
      <w:r w:rsidR="00485F58">
        <w:t>G</w:t>
      </w:r>
      <w:r w:rsidRPr="00FB0B65" w:rsidR="00053DD1">
        <w:t xml:space="preserve">roup </w:t>
      </w:r>
      <w:r w:rsidR="00053DD1">
        <w:t xml:space="preserve">that </w:t>
      </w:r>
      <w:r w:rsidRPr="00FB0B65" w:rsidR="00053DD1">
        <w:t>reflect a risk similar to that faced by NYPA for its investments in transmission facilities</w:t>
      </w:r>
      <w:r w:rsidR="00053DD1">
        <w:t xml:space="preserve">.  NYPA maintains that government utilities like NYPA can </w:t>
      </w:r>
      <w:r w:rsidR="0003439F">
        <w:t>propose</w:t>
      </w:r>
      <w:r w:rsidR="00053DD1">
        <w:t xml:space="preserve"> a proxy group of companies that have equity securities traded on the marketplace.</w:t>
      </w:r>
      <w:r>
        <w:rPr>
          <w:rStyle w:val="FootnoteReference"/>
        </w:rPr>
        <w:footnoteReference w:id="21"/>
      </w:r>
      <w:r w:rsidR="00485F58">
        <w:t xml:space="preserve">  </w:t>
      </w:r>
      <w:r w:rsidR="00350CF8">
        <w:t>NYPA states that</w:t>
      </w:r>
      <w:r w:rsidR="00B81CBE">
        <w:t xml:space="preserve"> it is appropriate to includ</w:t>
      </w:r>
      <w:r w:rsidR="006D5F69">
        <w:t>e</w:t>
      </w:r>
      <w:r w:rsidR="00B81CBE">
        <w:t xml:space="preserve"> all investment grade companies in the Proxy Group</w:t>
      </w:r>
      <w:r w:rsidR="00350CF8">
        <w:t xml:space="preserve"> </w:t>
      </w:r>
      <w:r w:rsidR="006D5F69">
        <w:t xml:space="preserve">and relax the usual standard of confining the Proxy Group only to companies one notch above or below NYPA’s credit rating </w:t>
      </w:r>
      <w:r w:rsidR="00350CF8">
        <w:t xml:space="preserve">because </w:t>
      </w:r>
      <w:r w:rsidR="00C32127">
        <w:t xml:space="preserve">there are no companies that Value Line </w:t>
      </w:r>
      <w:r w:rsidR="00D01D78">
        <w:t>investment research classifies as “Electric Utilities” within one notch of NYPA</w:t>
      </w:r>
      <w:r w:rsidR="00412B22">
        <w:t>’s</w:t>
      </w:r>
      <w:r w:rsidR="00D01D78">
        <w:t xml:space="preserve"> </w:t>
      </w:r>
      <w:r w:rsidR="006C7AD5">
        <w:t xml:space="preserve">AA </w:t>
      </w:r>
      <w:r w:rsidR="00D01D78">
        <w:t xml:space="preserve">S&amp;P and </w:t>
      </w:r>
      <w:r w:rsidR="006C7AD5">
        <w:t xml:space="preserve">Aa1 </w:t>
      </w:r>
      <w:r w:rsidR="00D01D78">
        <w:t>Moody’s rating</w:t>
      </w:r>
      <w:r w:rsidR="00FD2412">
        <w:t>s</w:t>
      </w:r>
      <w:r w:rsidR="003C7A4D">
        <w:t>.</w:t>
      </w:r>
      <w:r>
        <w:rPr>
          <w:rStyle w:val="FootnoteReference"/>
        </w:rPr>
        <w:footnoteReference w:id="22"/>
      </w:r>
    </w:p>
    <w:p w:rsidR="00932BCE">
      <w:pPr>
        <w:pStyle w:val="FERCparanumber"/>
      </w:pPr>
      <w:r>
        <w:t>Additionally, NYPA states</w:t>
      </w:r>
      <w:r w:rsidR="00296C1B">
        <w:t xml:space="preserve"> that</w:t>
      </w:r>
      <w:r w:rsidR="00FE627D">
        <w:t>,</w:t>
      </w:r>
      <w:r w:rsidR="00296C1B">
        <w:t xml:space="preserve"> </w:t>
      </w:r>
      <w:r w:rsidR="009B45BC">
        <w:t>al</w:t>
      </w:r>
      <w:r w:rsidR="00296C1B">
        <w:t xml:space="preserve">though it does not affect its ROE </w:t>
      </w:r>
      <w:r w:rsidR="00FE627D">
        <w:t>a</w:t>
      </w:r>
      <w:r w:rsidR="00296C1B">
        <w:t>nalysis,</w:t>
      </w:r>
      <w:r>
        <w:t xml:space="preserve"> its current capital structure</w:t>
      </w:r>
      <w:r w:rsidR="00E15CF5">
        <w:t xml:space="preserve"> </w:t>
      </w:r>
      <w:r w:rsidRPr="00E15CF5" w:rsidR="00E15CF5">
        <w:t>contained in its Formula Rate of 50</w:t>
      </w:r>
      <w:r w:rsidR="00E15CF5">
        <w:t>%</w:t>
      </w:r>
      <w:r w:rsidRPr="00E15CF5" w:rsidR="00E15CF5">
        <w:t xml:space="preserve"> debt and 50</w:t>
      </w:r>
      <w:r w:rsidR="00E15CF5">
        <w:t>%</w:t>
      </w:r>
      <w:r w:rsidRPr="00E15CF5" w:rsidR="00E15CF5">
        <w:t xml:space="preserve"> equity should allow NYPA to achieve a reasonable rate of return and allow access to capital markets for significant borrowings that are expected over the next five year</w:t>
      </w:r>
      <w:r w:rsidR="006024D1">
        <w:t>s.</w:t>
      </w:r>
      <w:r>
        <w:rPr>
          <w:rStyle w:val="FootnoteReference"/>
        </w:rPr>
        <w:footnoteReference w:id="23"/>
      </w:r>
      <w:r w:rsidR="006024D1">
        <w:t xml:space="preserve"> </w:t>
      </w:r>
      <w:r w:rsidR="00FE627D">
        <w:t xml:space="preserve"> </w:t>
      </w:r>
      <w:r w:rsidR="006024D1">
        <w:t xml:space="preserve">According to NYPA, </w:t>
      </w:r>
      <w:r w:rsidR="00DC59F5">
        <w:t xml:space="preserve">because </w:t>
      </w:r>
      <w:r w:rsidR="00CA7381">
        <w:t>i</w:t>
      </w:r>
      <w:r w:rsidRPr="00CA7381" w:rsidR="00CA7381">
        <w:t>ts capital structure for transmission ratemaking purposes is conservative relative to NYPA’s actual equity ratio of 64</w:t>
      </w:r>
      <w:r w:rsidR="00CA7381">
        <w:t>%</w:t>
      </w:r>
      <w:r w:rsidR="00D64730">
        <w:t xml:space="preserve"> </w:t>
      </w:r>
      <w:r w:rsidRPr="00CA7381" w:rsidR="00CA7381">
        <w:t xml:space="preserve">common equity (i.e., its </w:t>
      </w:r>
      <w:r w:rsidR="005D172D">
        <w:t>n</w:t>
      </w:r>
      <w:r w:rsidRPr="00CA7381" w:rsidR="00CA7381">
        <w:t xml:space="preserve">et </w:t>
      </w:r>
      <w:r w:rsidR="005D172D">
        <w:t>p</w:t>
      </w:r>
      <w:r w:rsidRPr="00CA7381" w:rsidR="00CA7381">
        <w:t>osition)</w:t>
      </w:r>
      <w:r w:rsidR="009700D2">
        <w:t xml:space="preserve">, </w:t>
      </w:r>
      <w:r w:rsidRPr="00CA7381" w:rsidR="00CA7381">
        <w:t xml:space="preserve">customers benefit </w:t>
      </w:r>
      <w:r w:rsidR="00DC59F5">
        <w:t>from</w:t>
      </w:r>
      <w:r w:rsidRPr="00CA7381" w:rsidR="00CA7381">
        <w:t xml:space="preserve"> NYPA’s credit profile</w:t>
      </w:r>
      <w:r w:rsidR="00C16802">
        <w:t>,</w:t>
      </w:r>
      <w:r w:rsidRPr="00CA7381" w:rsidR="00CA7381">
        <w:t xml:space="preserve"> which allows NYPA to access debt at lower rates</w:t>
      </w:r>
      <w:r w:rsidR="00CA7381">
        <w:t xml:space="preserve">. </w:t>
      </w:r>
    </w:p>
    <w:p w:rsidR="00D668A2" w:rsidRPr="009354C2">
      <w:pPr>
        <w:pStyle w:val="FERCparanumber"/>
      </w:pPr>
      <w:r w:rsidRPr="00D31D64">
        <w:t xml:space="preserve">NYPA requests that the Commission accept the </w:t>
      </w:r>
      <w:r w:rsidR="002751B7">
        <w:t>proposed</w:t>
      </w:r>
      <w:r w:rsidRPr="00D31D64" w:rsidR="002751B7">
        <w:t xml:space="preserve"> </w:t>
      </w:r>
      <w:r w:rsidRPr="00D31D64">
        <w:t>base ROE to become effective, without suspension or hearing, on November 1, 202</w:t>
      </w:r>
      <w:r w:rsidR="005F50F7">
        <w:t>4</w:t>
      </w:r>
      <w:r w:rsidR="00DE6D8F">
        <w:t>, consistent with its status as a non-jurisdictional utility</w:t>
      </w:r>
      <w:r w:rsidR="005F50F7">
        <w:t>.</w:t>
      </w:r>
      <w:r>
        <w:rPr>
          <w:rStyle w:val="FootnoteReference"/>
        </w:rPr>
        <w:footnoteReference w:id="24"/>
      </w:r>
      <w:r w:rsidR="005F50F7">
        <w:t xml:space="preserve">  NYPA requests </w:t>
      </w:r>
      <w:r w:rsidRPr="00735668" w:rsidR="00735668">
        <w:t xml:space="preserve">waiver of the </w:t>
      </w:r>
      <w:r w:rsidR="00891867">
        <w:t xml:space="preserve">Commission’s </w:t>
      </w:r>
      <w:r w:rsidRPr="00735668" w:rsidR="00735668">
        <w:t>notice requirements to allow the earliest practicable recognition in transmission rates of the increased cost of capital facing NYPA and to</w:t>
      </w:r>
      <w:r w:rsidR="00B6606C">
        <w:t xml:space="preserve"> </w:t>
      </w:r>
      <w:r w:rsidRPr="00B6606C" w:rsidR="00B6606C">
        <w:t>avoid the complexity of administering a partial month of revenue collection that would result from an implementation date that would normally apply to a 60-day order</w:t>
      </w:r>
      <w:r w:rsidR="00B6606C">
        <w:t>.</w:t>
      </w:r>
      <w:r w:rsidRPr="00D327F6" w:rsidR="00D327F6">
        <w:t xml:space="preserve">  </w:t>
      </w:r>
      <w:r w:rsidRPr="00374AE1" w:rsidR="00374AE1">
        <w:t xml:space="preserve">NYPA </w:t>
      </w:r>
      <w:r w:rsidR="00374AE1">
        <w:t xml:space="preserve">states </w:t>
      </w:r>
      <w:r w:rsidR="005568DB">
        <w:t>that</w:t>
      </w:r>
      <w:r w:rsidR="00374AE1">
        <w:t xml:space="preserve"> it </w:t>
      </w:r>
      <w:r w:rsidRPr="00374AE1" w:rsidR="00374AE1">
        <w:t>commit</w:t>
      </w:r>
      <w:r w:rsidR="00311B4D">
        <w:t>s</w:t>
      </w:r>
      <w:r w:rsidRPr="00374AE1" w:rsidR="00374AE1">
        <w:t xml:space="preserve"> to making appropriate refunds if the resolution of the base ROE in this proceeding results in NYPA collecting revenues in excess of that which would apply using a base ROE ultimately determined to be just and reasonable</w:t>
      </w:r>
      <w:r w:rsidR="00374AE1">
        <w:t xml:space="preserve">, consistent with its past practice under its Formula Rate. </w:t>
      </w:r>
      <w:r w:rsidR="005568DB">
        <w:t xml:space="preserve"> In addition, NYPA </w:t>
      </w:r>
      <w:r w:rsidR="00F830A3">
        <w:t xml:space="preserve">requests </w:t>
      </w:r>
      <w:r w:rsidR="008B5E7A">
        <w:t>waiver</w:t>
      </w:r>
      <w:r w:rsidR="00F830A3">
        <w:t xml:space="preserve"> from compliance with any requirements of </w:t>
      </w:r>
      <w:r w:rsidRPr="00F830A3" w:rsidR="00F830A3">
        <w:t>section 35.13 of the Commission’s regulations not otherwise satisfied by this filing</w:t>
      </w:r>
      <w:r w:rsidR="00F830A3">
        <w:t xml:space="preserve">, consistent with the Commission’s established practice with respect to non-jurisdictional utilities, </w:t>
      </w:r>
      <w:r w:rsidR="00F9426C">
        <w:t>and any additional waivers required in connection with this filing.</w:t>
      </w:r>
      <w:r>
        <w:rPr>
          <w:rStyle w:val="FootnoteReference"/>
        </w:rPr>
        <w:footnoteReference w:id="25"/>
      </w:r>
    </w:p>
    <w:p w:rsidR="008D4F30" w:rsidP="008D4F30">
      <w:pPr>
        <w:pStyle w:val="Heading1"/>
      </w:pPr>
      <w:r>
        <w:t xml:space="preserve">Notice of </w:t>
      </w:r>
      <w:r w:rsidR="0074543B">
        <w:t>Filing and Responsive Pleadings</w:t>
      </w:r>
    </w:p>
    <w:p w:rsidR="00AF23DC" w:rsidP="00AF23DC">
      <w:pPr>
        <w:pStyle w:val="FERCparanumber"/>
      </w:pPr>
      <w:r w:rsidRPr="004454A8">
        <w:t xml:space="preserve">Notice of </w:t>
      </w:r>
      <w:r w:rsidR="00727528">
        <w:t xml:space="preserve">NYPA’s </w:t>
      </w:r>
      <w:r w:rsidRPr="004454A8">
        <w:t xml:space="preserve">filing was published in the </w:t>
      </w:r>
      <w:r w:rsidRPr="00465D39">
        <w:rPr>
          <w:i/>
        </w:rPr>
        <w:t>Federal Register</w:t>
      </w:r>
      <w:r w:rsidRPr="004454A8">
        <w:t xml:space="preserve">, </w:t>
      </w:r>
      <w:r w:rsidR="00AC3FD7">
        <w:t xml:space="preserve">                                    </w:t>
      </w:r>
      <w:r w:rsidRPr="00232891">
        <w:t>8</w:t>
      </w:r>
      <w:r w:rsidRPr="00232891" w:rsidR="00727528">
        <w:t>9</w:t>
      </w:r>
      <w:r w:rsidRPr="00232891">
        <w:t xml:space="preserve"> F</w:t>
      </w:r>
      <w:r w:rsidRPr="009E503A">
        <w:t xml:space="preserve">ed. </w:t>
      </w:r>
      <w:r w:rsidRPr="00232891">
        <w:t xml:space="preserve">Reg. </w:t>
      </w:r>
      <w:r w:rsidRPr="00232891" w:rsidR="00727528">
        <w:t>86</w:t>
      </w:r>
      <w:r w:rsidRPr="00232891" w:rsidR="009E503A">
        <w:t>793</w:t>
      </w:r>
      <w:r w:rsidRPr="00232891">
        <w:t xml:space="preserve"> (</w:t>
      </w:r>
      <w:r w:rsidRPr="00232891" w:rsidR="009E503A">
        <w:t>Oct.</w:t>
      </w:r>
      <w:r w:rsidRPr="00232891">
        <w:t xml:space="preserve"> </w:t>
      </w:r>
      <w:r w:rsidRPr="00232891" w:rsidR="009E503A">
        <w:t>31</w:t>
      </w:r>
      <w:r w:rsidRPr="00232891">
        <w:t>, 202</w:t>
      </w:r>
      <w:r w:rsidRPr="00232891" w:rsidR="006F4CDF">
        <w:t>4</w:t>
      </w:r>
      <w:r w:rsidRPr="00232891">
        <w:t>)</w:t>
      </w:r>
      <w:r w:rsidRPr="009E503A">
        <w:t>,</w:t>
      </w:r>
      <w:r w:rsidRPr="004454A8">
        <w:t xml:space="preserve"> </w:t>
      </w:r>
      <w:bookmarkStart w:id="0" w:name="_Hlk139975246"/>
      <w:r w:rsidRPr="004454A8">
        <w:t xml:space="preserve">with interventions and protests due on or before </w:t>
      </w:r>
      <w:r w:rsidR="006F4CDF">
        <w:t>November 14</w:t>
      </w:r>
      <w:r w:rsidRPr="004454A8">
        <w:t>, 202</w:t>
      </w:r>
      <w:r w:rsidR="006F4CDF">
        <w:t>4</w:t>
      </w:r>
      <w:r w:rsidRPr="004454A8">
        <w:t xml:space="preserve">.  </w:t>
      </w:r>
      <w:bookmarkEnd w:id="0"/>
      <w:r w:rsidRPr="004454A8">
        <w:t xml:space="preserve">Timely motions to intervene were filed by </w:t>
      </w:r>
      <w:r w:rsidR="00AB4B1A">
        <w:t>City of New York</w:t>
      </w:r>
      <w:r w:rsidR="00A43F60">
        <w:t xml:space="preserve"> </w:t>
      </w:r>
      <w:r w:rsidR="00AC3FD7">
        <w:t xml:space="preserve">            </w:t>
      </w:r>
      <w:r w:rsidR="00A43F60">
        <w:t>(New York City)</w:t>
      </w:r>
      <w:r w:rsidR="00AB4B1A">
        <w:t xml:space="preserve">, </w:t>
      </w:r>
      <w:r w:rsidR="009612BE">
        <w:t xml:space="preserve">Consolidated Edison Company of New York, Inc. and Orange and Rockland Utilities, Inc., </w:t>
      </w:r>
      <w:r w:rsidR="00F80F0F">
        <w:t>Multiple Intervenors,</w:t>
      </w:r>
      <w:r>
        <w:rPr>
          <w:rStyle w:val="FootnoteReference"/>
        </w:rPr>
        <w:footnoteReference w:id="26"/>
      </w:r>
      <w:r w:rsidR="00193C61">
        <w:t xml:space="preserve"> </w:t>
      </w:r>
      <w:r w:rsidR="00AB4B1A">
        <w:t>Municipal Electric Utilities Association of New York</w:t>
      </w:r>
      <w:r w:rsidR="006A4BE9">
        <w:t xml:space="preserve"> (MEUA)</w:t>
      </w:r>
      <w:r w:rsidR="00AB4B1A">
        <w:t xml:space="preserve">, </w:t>
      </w:r>
      <w:r w:rsidR="00AD7EC5">
        <w:t xml:space="preserve">New York Association of Public Power (NYAPP), </w:t>
      </w:r>
      <w:r w:rsidR="00060ADF">
        <w:t xml:space="preserve">and </w:t>
      </w:r>
      <w:r w:rsidR="00AC3FD7">
        <w:t xml:space="preserve">              </w:t>
      </w:r>
      <w:r w:rsidR="00394F23">
        <w:t>New York Transco, LLC</w:t>
      </w:r>
      <w:r w:rsidR="00AB4B1A">
        <w:t>.</w:t>
      </w:r>
      <w:r w:rsidR="00EC0A25">
        <w:t xml:space="preserve">  The New York State Public Service Commission</w:t>
      </w:r>
      <w:r w:rsidR="002E326A">
        <w:t xml:space="preserve"> (New York </w:t>
      </w:r>
      <w:r w:rsidR="00F503C3">
        <w:t>Commission</w:t>
      </w:r>
      <w:r w:rsidR="002E326A">
        <w:t>)</w:t>
      </w:r>
      <w:r w:rsidR="00EC0A25">
        <w:t xml:space="preserve"> filed a notice of </w:t>
      </w:r>
      <w:r w:rsidRPr="00187042" w:rsidR="00EC0A25">
        <w:t>intervention.</w:t>
      </w:r>
      <w:r w:rsidRPr="00232891" w:rsidR="00EC0A25">
        <w:t xml:space="preserve"> </w:t>
      </w:r>
      <w:r w:rsidRPr="00232891" w:rsidR="00060ADF">
        <w:t xml:space="preserve"> </w:t>
      </w:r>
      <w:r w:rsidRPr="00187042" w:rsidR="00371CB5">
        <w:t>On</w:t>
      </w:r>
      <w:r w:rsidR="00371CB5">
        <w:t xml:space="preserve"> November 14, 2024, </w:t>
      </w:r>
      <w:r w:rsidR="00392B28">
        <w:t xml:space="preserve">MEUA, </w:t>
      </w:r>
      <w:r w:rsidR="00A43F60">
        <w:t xml:space="preserve">New York </w:t>
      </w:r>
      <w:r w:rsidR="00CE22E9">
        <w:t>Commission</w:t>
      </w:r>
      <w:r w:rsidR="00B22FF1">
        <w:t>, and NYAPP</w:t>
      </w:r>
      <w:r w:rsidR="00CE22E9">
        <w:t xml:space="preserve"> filed protests</w:t>
      </w:r>
      <w:r w:rsidR="00B16011">
        <w:t xml:space="preserve"> and New York City and Multiple Intervenors (together, Consumer Advocates</w:t>
      </w:r>
      <w:r w:rsidR="00374D22">
        <w:t xml:space="preserve">) </w:t>
      </w:r>
      <w:r w:rsidR="00A56966">
        <w:t>filed a joint protest</w:t>
      </w:r>
      <w:r w:rsidR="00B22FF1">
        <w:t>.</w:t>
      </w:r>
    </w:p>
    <w:p w:rsidR="009B1031" w:rsidRPr="00213E73" w:rsidP="00AF23DC">
      <w:pPr>
        <w:pStyle w:val="FERCparanumber"/>
      </w:pPr>
      <w:r>
        <w:t>NYPA filed a motion</w:t>
      </w:r>
      <w:r w:rsidR="00C27DEC">
        <w:t xml:space="preserve"> for leave to answer and answer to the protests on </w:t>
      </w:r>
      <w:r w:rsidR="00AC3FD7">
        <w:t xml:space="preserve">            </w:t>
      </w:r>
      <w:r w:rsidR="00C27DEC">
        <w:t>November 27, 2024.</w:t>
      </w:r>
    </w:p>
    <w:p w:rsidR="00AF23DC" w:rsidRPr="00AF23DC" w:rsidP="0018184B">
      <w:pPr>
        <w:pStyle w:val="Heading2"/>
      </w:pPr>
      <w:r>
        <w:t>Protests</w:t>
      </w:r>
    </w:p>
    <w:p w:rsidR="00F327B5" w:rsidP="00F327B5">
      <w:pPr>
        <w:pStyle w:val="FERCparanumber"/>
      </w:pPr>
      <w:r>
        <w:t xml:space="preserve">NYAPP argues that setting </w:t>
      </w:r>
      <w:r w:rsidR="00213DF2">
        <w:t>NYPA’s base</w:t>
      </w:r>
      <w:r>
        <w:t xml:space="preserve"> ROE at the median of the zone of reasonableness is unjust and unreasonable</w:t>
      </w:r>
      <w:r w:rsidR="00167F0F">
        <w:t xml:space="preserve"> and that NYPA’s ROE should be set at 8.87%, the lowest value in the two-model method zone of reasonableness</w:t>
      </w:r>
      <w:r>
        <w:t>.</w:t>
      </w:r>
      <w:r>
        <w:rPr>
          <w:rStyle w:val="FootnoteReference"/>
        </w:rPr>
        <w:footnoteReference w:id="27"/>
      </w:r>
      <w:r>
        <w:t xml:space="preserve">  </w:t>
      </w:r>
      <w:r w:rsidR="002956E6">
        <w:t xml:space="preserve">NYAPP argues that NYPA’s </w:t>
      </w:r>
      <w:r w:rsidR="00610FF4">
        <w:t>P</w:t>
      </w:r>
      <w:r w:rsidR="002956E6">
        <w:t xml:space="preserve">roxy </w:t>
      </w:r>
      <w:r w:rsidR="00610FF4">
        <w:t>G</w:t>
      </w:r>
      <w:r w:rsidR="002956E6">
        <w:t>roup does not conform</w:t>
      </w:r>
      <w:r w:rsidR="007E60C4">
        <w:t xml:space="preserve"> to</w:t>
      </w:r>
      <w:r w:rsidR="002956E6">
        <w:t xml:space="preserve"> the Commission guidelines</w:t>
      </w:r>
      <w:r w:rsidR="003528AB">
        <w:t xml:space="preserve">, which </w:t>
      </w:r>
      <w:r w:rsidR="0002695C">
        <w:t>include selecting comp</w:t>
      </w:r>
      <w:r w:rsidR="00952E4C">
        <w:t>anies with credit ratings that are within one notch of the firm under review</w:t>
      </w:r>
      <w:r w:rsidR="00A73E09">
        <w:t xml:space="preserve">.  NYAPP </w:t>
      </w:r>
      <w:r w:rsidR="00D32FFE">
        <w:t>asserts</w:t>
      </w:r>
      <w:r w:rsidR="00255764">
        <w:t xml:space="preserve"> that NYPA’s AA S&amp;P rating and Aa1 Moody’s </w:t>
      </w:r>
      <w:r w:rsidR="00D32FFE">
        <w:t xml:space="preserve">rating </w:t>
      </w:r>
      <w:r w:rsidR="00C8185A">
        <w:t xml:space="preserve">is higher than all potential proxy group companies and reflects NYPA’s perceived </w:t>
      </w:r>
      <w:r w:rsidR="00FB111B">
        <w:t>low financial risk</w:t>
      </w:r>
      <w:r w:rsidR="00D71655">
        <w:t>.  NYAPP</w:t>
      </w:r>
      <w:r w:rsidR="00394056">
        <w:t xml:space="preserve"> </w:t>
      </w:r>
      <w:r w:rsidR="00A73E09">
        <w:t xml:space="preserve">contends </w:t>
      </w:r>
      <w:r w:rsidR="00195544">
        <w:t xml:space="preserve">that </w:t>
      </w:r>
      <w:r w:rsidR="00A73E09">
        <w:t xml:space="preserve">NYPA ignores the lack of risk by including all electric utilities with an investment </w:t>
      </w:r>
      <w:r w:rsidR="002E0623">
        <w:t xml:space="preserve">grade in its </w:t>
      </w:r>
      <w:r w:rsidR="00002D5E">
        <w:t>P</w:t>
      </w:r>
      <w:r w:rsidR="002E0623">
        <w:t xml:space="preserve">roxy </w:t>
      </w:r>
      <w:r w:rsidR="00002D5E">
        <w:t>G</w:t>
      </w:r>
      <w:r w:rsidR="002E0623">
        <w:t>roup</w:t>
      </w:r>
      <w:r w:rsidR="008D0B85">
        <w:t>.</w:t>
      </w:r>
      <w:r w:rsidR="002E0623">
        <w:t xml:space="preserve"> </w:t>
      </w:r>
      <w:r w:rsidR="00C63C00">
        <w:t xml:space="preserve"> </w:t>
      </w:r>
      <w:r w:rsidR="0087317D">
        <w:t xml:space="preserve">NYAPP </w:t>
      </w:r>
      <w:r w:rsidR="007B751D">
        <w:t xml:space="preserve">also </w:t>
      </w:r>
      <w:r w:rsidR="009B6D02">
        <w:t>notes that</w:t>
      </w:r>
      <w:r w:rsidR="00232F9C">
        <w:t>,</w:t>
      </w:r>
      <w:r w:rsidR="00890DDD">
        <w:t xml:space="preserve"> </w:t>
      </w:r>
      <w:r w:rsidR="00AB32F7">
        <w:t>in another recent proceeding</w:t>
      </w:r>
      <w:r w:rsidR="00A83004">
        <w:t xml:space="preserve"> </w:t>
      </w:r>
      <w:r w:rsidR="00232F9C">
        <w:t>involving</w:t>
      </w:r>
      <w:r w:rsidR="00A83004">
        <w:t xml:space="preserve"> a utility with a lower </w:t>
      </w:r>
      <w:r w:rsidR="005B690D">
        <w:t xml:space="preserve">credit rating </w:t>
      </w:r>
      <w:r w:rsidR="00232F9C">
        <w:t xml:space="preserve">than </w:t>
      </w:r>
      <w:r w:rsidR="00A83004">
        <w:t>NYPA’s</w:t>
      </w:r>
      <w:r w:rsidR="00232F9C">
        <w:t>, NYPA expert Nowak submitted a proxy group analysis</w:t>
      </w:r>
      <w:r w:rsidR="00AB32F7">
        <w:t xml:space="preserve"> </w:t>
      </w:r>
      <w:r w:rsidR="008370DA">
        <w:t xml:space="preserve">that </w:t>
      </w:r>
      <w:r w:rsidR="00703E3A">
        <w:t xml:space="preserve">included </w:t>
      </w:r>
      <w:r w:rsidR="00232F9C">
        <w:t xml:space="preserve">only </w:t>
      </w:r>
      <w:r w:rsidR="00AB32F7">
        <w:t>utilities</w:t>
      </w:r>
      <w:r w:rsidR="008F58BA">
        <w:t xml:space="preserve"> </w:t>
      </w:r>
      <w:r w:rsidR="00AB32F7">
        <w:t xml:space="preserve">within </w:t>
      </w:r>
      <w:r w:rsidR="00AC3FD7">
        <w:t xml:space="preserve">                    </w:t>
      </w:r>
      <w:r w:rsidR="00AB32F7">
        <w:t xml:space="preserve">two notches </w:t>
      </w:r>
      <w:r w:rsidR="00D7373F">
        <w:t>of the fil</w:t>
      </w:r>
      <w:r w:rsidR="001A48F3">
        <w:t xml:space="preserve">er’s </w:t>
      </w:r>
      <w:r w:rsidR="00D7373F">
        <w:t>credit rating</w:t>
      </w:r>
      <w:r w:rsidR="00601903">
        <w:t>—suggesting</w:t>
      </w:r>
      <w:r w:rsidR="00D7373F">
        <w:t xml:space="preserve"> </w:t>
      </w:r>
      <w:r w:rsidR="009428B5">
        <w:t>that NYPA’s decision to include all investment grade electric utilities in its Proxy Group may be unreasonable</w:t>
      </w:r>
      <w:r w:rsidR="00065736">
        <w:t>.</w:t>
      </w:r>
      <w:r>
        <w:rPr>
          <w:rStyle w:val="FootnoteReference"/>
        </w:rPr>
        <w:footnoteReference w:id="28"/>
      </w:r>
      <w:r w:rsidR="00960C6B">
        <w:t xml:space="preserve">  NYAPP also states that NYPA excludes five companies because of merger</w:t>
      </w:r>
      <w:r w:rsidR="00FC5BF3">
        <w:t>-</w:t>
      </w:r>
      <w:r w:rsidR="00960C6B">
        <w:t>related activity</w:t>
      </w:r>
      <w:r w:rsidR="00E84957">
        <w:t xml:space="preserve"> but does not provide </w:t>
      </w:r>
      <w:r w:rsidR="002D2F1D">
        <w:t>information</w:t>
      </w:r>
      <w:r w:rsidR="00D7373F">
        <w:t xml:space="preserve"> regarding what those activities are</w:t>
      </w:r>
      <w:r w:rsidR="002D2F1D">
        <w:t>.</w:t>
      </w:r>
      <w:r>
        <w:rPr>
          <w:rStyle w:val="FootnoteReference"/>
        </w:rPr>
        <w:footnoteReference w:id="29"/>
      </w:r>
      <w:r w:rsidR="002D2F1D">
        <w:t xml:space="preserve"> </w:t>
      </w:r>
      <w:r w:rsidR="00960C6B">
        <w:t xml:space="preserve"> </w:t>
      </w:r>
    </w:p>
    <w:p w:rsidR="008B2D0F" w:rsidP="00F327B5">
      <w:pPr>
        <w:pStyle w:val="FERCparanumber"/>
      </w:pPr>
      <w:r>
        <w:t>NYAPP contends that NYPA’s DCF analysis contains a flawed estimation of the long-term growth component</w:t>
      </w:r>
      <w:r w:rsidR="00807D06">
        <w:t xml:space="preserve"> </w:t>
      </w:r>
      <w:r w:rsidR="00FD1551">
        <w:t>because</w:t>
      </w:r>
      <w:r w:rsidR="00F0569E">
        <w:t>:  (1)</w:t>
      </w:r>
      <w:r w:rsidR="00FD1551">
        <w:t xml:space="preserve"> </w:t>
      </w:r>
      <w:r w:rsidR="00807D06">
        <w:t>the Commission</w:t>
      </w:r>
      <w:r w:rsidR="00E83FF8">
        <w:t xml:space="preserve"> does not</w:t>
      </w:r>
      <w:r w:rsidR="00807D06">
        <w:t xml:space="preserve"> use </w:t>
      </w:r>
      <w:r w:rsidRPr="00685B97" w:rsidR="00685B97">
        <w:t>Blue Chip Financial Forecasts</w:t>
      </w:r>
      <w:r w:rsidR="00E83FF8">
        <w:t xml:space="preserve"> to calculate the long-term </w:t>
      </w:r>
      <w:r w:rsidR="00CC0A7E">
        <w:t>gross domestic product (</w:t>
      </w:r>
      <w:r w:rsidR="00E83FF8">
        <w:t>GDP</w:t>
      </w:r>
      <w:r w:rsidR="00CC0A7E">
        <w:t>)</w:t>
      </w:r>
      <w:r w:rsidR="00E83FF8">
        <w:t xml:space="preserve"> growth rate component</w:t>
      </w:r>
      <w:r w:rsidR="00CC0A7E">
        <w:t xml:space="preserve"> that NYPA uses; (2)</w:t>
      </w:r>
      <w:r w:rsidR="00E83FF8">
        <w:t xml:space="preserve"> NYPA uses the 2023 </w:t>
      </w:r>
      <w:r w:rsidRPr="00420F7B" w:rsidR="00420F7B">
        <w:t xml:space="preserve">Social Security Administration’s </w:t>
      </w:r>
      <w:r w:rsidRPr="00B96417" w:rsidR="00B96417">
        <w:t>Old-Age, Survivors, and Disability Insurance</w:t>
      </w:r>
      <w:r w:rsidR="00B96417">
        <w:t xml:space="preserve"> </w:t>
      </w:r>
      <w:r w:rsidR="00A90158">
        <w:t xml:space="preserve">(OASDI) </w:t>
      </w:r>
      <w:r w:rsidRPr="00420F7B" w:rsidR="00420F7B">
        <w:t>Trustees Report</w:t>
      </w:r>
      <w:r w:rsidR="00420F7B">
        <w:t xml:space="preserve"> data rather th</w:t>
      </w:r>
      <w:r w:rsidR="00047DA1">
        <w:t xml:space="preserve">an the </w:t>
      </w:r>
      <w:r w:rsidR="003B75DA">
        <w:t>2024 dat</w:t>
      </w:r>
      <w:r w:rsidR="00D672BA">
        <w:t>a</w:t>
      </w:r>
      <w:r w:rsidR="00D37C3D">
        <w:t>;</w:t>
      </w:r>
      <w:r w:rsidR="00D672BA">
        <w:t xml:space="preserve"> and </w:t>
      </w:r>
      <w:r w:rsidR="00D37C3D">
        <w:t xml:space="preserve">(3) </w:t>
      </w:r>
      <w:r w:rsidR="00D672BA">
        <w:t>the time periods for estimating long-term GDP rates are incorrect.</w:t>
      </w:r>
      <w:r>
        <w:rPr>
          <w:rStyle w:val="FootnoteReference"/>
        </w:rPr>
        <w:footnoteReference w:id="30"/>
      </w:r>
    </w:p>
    <w:p w:rsidR="00487602">
      <w:pPr>
        <w:pStyle w:val="FERCparanumber"/>
      </w:pPr>
      <w:r>
        <w:t xml:space="preserve">NYAPP </w:t>
      </w:r>
      <w:r w:rsidR="0029402C">
        <w:t xml:space="preserve">also </w:t>
      </w:r>
      <w:r>
        <w:t>claims that NYPA uses a flawed application of the Commission’s CAPM methodology to determine the market risk premium</w:t>
      </w:r>
      <w:r w:rsidR="0029402C">
        <w:t xml:space="preserve"> by</w:t>
      </w:r>
      <w:r w:rsidR="00345451">
        <w:t>:</w:t>
      </w:r>
      <w:r>
        <w:rPr>
          <w:rStyle w:val="FootnoteReference"/>
        </w:rPr>
        <w:footnoteReference w:id="31"/>
      </w:r>
      <w:r w:rsidR="00345451">
        <w:t xml:space="preserve"> </w:t>
      </w:r>
      <w:r w:rsidR="0029402C">
        <w:t xml:space="preserve"> (1)</w:t>
      </w:r>
      <w:r w:rsidR="00582E25">
        <w:t xml:space="preserve"> us</w:t>
      </w:r>
      <w:r w:rsidR="000746DD">
        <w:t>ing</w:t>
      </w:r>
      <w:r w:rsidR="00582E25">
        <w:t xml:space="preserve"> </w:t>
      </w:r>
      <w:r w:rsidR="006C5BA8">
        <w:t xml:space="preserve">incorrect </w:t>
      </w:r>
      <w:r w:rsidR="000746DD">
        <w:t xml:space="preserve">Value Line </w:t>
      </w:r>
      <w:r w:rsidR="006C5BA8">
        <w:t>beta value</w:t>
      </w:r>
      <w:r w:rsidR="00B601BA">
        <w:t>s</w:t>
      </w:r>
      <w:r w:rsidR="0020506C">
        <w:t xml:space="preserve"> </w:t>
      </w:r>
      <w:r w:rsidR="000746DD">
        <w:t xml:space="preserve">instead of </w:t>
      </w:r>
      <w:r w:rsidR="00731EC8">
        <w:t>Bloomberg beta value</w:t>
      </w:r>
      <w:r w:rsidR="00AE7494">
        <w:t>s</w:t>
      </w:r>
      <w:r w:rsidR="000746DD">
        <w:t>;</w:t>
      </w:r>
      <w:r>
        <w:rPr>
          <w:rStyle w:val="FootnoteReference"/>
        </w:rPr>
        <w:footnoteReference w:id="32"/>
      </w:r>
      <w:r w:rsidR="000746DD">
        <w:t xml:space="preserve"> (2)</w:t>
      </w:r>
      <w:r w:rsidR="00F064C4">
        <w:t xml:space="preserve"> averag</w:t>
      </w:r>
      <w:r w:rsidR="00B25F37">
        <w:t>ing</w:t>
      </w:r>
      <w:r w:rsidR="00F064C4">
        <w:t xml:space="preserve"> </w:t>
      </w:r>
      <w:r w:rsidR="00636BC6">
        <w:t>I</w:t>
      </w:r>
      <w:r w:rsidRPr="00636BC6" w:rsidR="00636BC6">
        <w:t>nstitutional Brokers</w:t>
      </w:r>
      <w:r w:rsidR="00771E40">
        <w:t>’</w:t>
      </w:r>
      <w:r w:rsidRPr="00636BC6" w:rsidR="00636BC6">
        <w:t xml:space="preserve"> Estimate System </w:t>
      </w:r>
      <w:r w:rsidR="00636BC6">
        <w:t>(</w:t>
      </w:r>
      <w:r w:rsidR="00F064C4">
        <w:t>IBES</w:t>
      </w:r>
      <w:r w:rsidR="00636BC6">
        <w:t>)</w:t>
      </w:r>
      <w:r w:rsidR="00F064C4">
        <w:t xml:space="preserve"> earning</w:t>
      </w:r>
      <w:r w:rsidR="007D5BC4">
        <w:t>s</w:t>
      </w:r>
      <w:r w:rsidR="00F064C4">
        <w:t xml:space="preserve"> growth rates</w:t>
      </w:r>
      <w:r w:rsidR="00D9533B">
        <w:t xml:space="preserve"> with </w:t>
      </w:r>
      <w:r w:rsidR="00F064C4">
        <w:t>Value Line earnings growth rates</w:t>
      </w:r>
      <w:r w:rsidR="00D9533B">
        <w:t xml:space="preserve"> instead of using the IBES rates alon</w:t>
      </w:r>
      <w:r w:rsidR="006D6F0C">
        <w:t>e</w:t>
      </w:r>
      <w:r w:rsidR="00D9533B">
        <w:t>;</w:t>
      </w:r>
      <w:r>
        <w:rPr>
          <w:rStyle w:val="FootnoteReference"/>
        </w:rPr>
        <w:footnoteReference w:id="33"/>
      </w:r>
      <w:r w:rsidR="001055A0">
        <w:t xml:space="preserve"> </w:t>
      </w:r>
      <w:r w:rsidR="00D9533B">
        <w:t>(3)</w:t>
      </w:r>
      <w:r w:rsidR="001055A0">
        <w:t xml:space="preserve"> </w:t>
      </w:r>
      <w:r w:rsidR="006C49B9">
        <w:t xml:space="preserve">erroneously </w:t>
      </w:r>
      <w:r w:rsidRPr="00F7643D" w:rsidR="00F7643D">
        <w:t>calculat</w:t>
      </w:r>
      <w:r w:rsidR="00D9533B">
        <w:t>ing</w:t>
      </w:r>
      <w:r w:rsidRPr="00F7643D" w:rsidR="00F7643D">
        <w:t xml:space="preserve"> the S&amp;P 500 estimated market return by adjusting the weighted average dividend yield by one-half of the earnings growth rates, as in the Commission’s DCF model</w:t>
      </w:r>
      <w:r w:rsidR="00F7643D">
        <w:t>, even though</w:t>
      </w:r>
      <w:r w:rsidRPr="00F7643D" w:rsidR="00F7643D">
        <w:t xml:space="preserve"> the Commission’s market risk premium analysis does not include this adjustment</w:t>
      </w:r>
      <w:r w:rsidR="00ED4560">
        <w:t>;</w:t>
      </w:r>
      <w:r w:rsidR="00013ADC">
        <w:t xml:space="preserve"> </w:t>
      </w:r>
      <w:r w:rsidR="004867B6">
        <w:t>a</w:t>
      </w:r>
      <w:r w:rsidR="0042297E">
        <w:t xml:space="preserve">nd </w:t>
      </w:r>
      <w:r w:rsidR="00975B91">
        <w:t xml:space="preserve">       </w:t>
      </w:r>
      <w:r w:rsidR="00ED4560">
        <w:t>(4)</w:t>
      </w:r>
      <w:r w:rsidR="00013ADC">
        <w:t xml:space="preserve"> </w:t>
      </w:r>
      <w:r>
        <w:t>fail</w:t>
      </w:r>
      <w:r w:rsidR="00890F3A">
        <w:t>ing</w:t>
      </w:r>
      <w:r>
        <w:t xml:space="preserve"> to indicate the source of this size premium data.</w:t>
      </w:r>
      <w:r w:rsidR="00050D55">
        <w:t xml:space="preserve">  </w:t>
      </w:r>
    </w:p>
    <w:p w:rsidR="003852C3" w:rsidP="00F327B5">
      <w:pPr>
        <w:pStyle w:val="FERCparanumber"/>
      </w:pPr>
      <w:r>
        <w:t xml:space="preserve">The </w:t>
      </w:r>
      <w:r w:rsidR="00CF3F18">
        <w:t xml:space="preserve">New York Commission </w:t>
      </w:r>
      <w:r w:rsidR="009233FA">
        <w:t>maintains that</w:t>
      </w:r>
      <w:r w:rsidR="006D5831">
        <w:t xml:space="preserve"> </w:t>
      </w:r>
      <w:r w:rsidR="00252E4E">
        <w:t xml:space="preserve">NYPA’s proposed </w:t>
      </w:r>
      <w:r w:rsidR="006D5831">
        <w:t xml:space="preserve">total ROE of at least 11.48%, </w:t>
      </w:r>
      <w:r w:rsidR="00F4210B">
        <w:t>inclusive of the previously</w:t>
      </w:r>
      <w:r w:rsidR="00535950">
        <w:t>-</w:t>
      </w:r>
      <w:r w:rsidR="00F4210B">
        <w:t xml:space="preserve">granted 50 basis-point </w:t>
      </w:r>
      <w:r w:rsidR="00535950">
        <w:t>“</w:t>
      </w:r>
      <w:r w:rsidR="00F4210B">
        <w:t>RTO Participation Adder,</w:t>
      </w:r>
      <w:r w:rsidR="00535950">
        <w:t>”</w:t>
      </w:r>
      <w:r w:rsidR="006D5831">
        <w:t xml:space="preserve"> </w:t>
      </w:r>
      <w:r w:rsidR="00287952">
        <w:t xml:space="preserve">would result in </w:t>
      </w:r>
      <w:r w:rsidR="006D5831">
        <w:t>unjust and unreasonable</w:t>
      </w:r>
      <w:r w:rsidR="00287952">
        <w:t xml:space="preserve"> rates</w:t>
      </w:r>
      <w:r w:rsidR="00C261BF">
        <w:t>—</w:t>
      </w:r>
      <w:r w:rsidR="00F4210B">
        <w:t>and that</w:t>
      </w:r>
      <w:r w:rsidR="00C261BF">
        <w:t>, given</w:t>
      </w:r>
      <w:r w:rsidR="00F4210B">
        <w:t xml:space="preserve"> NYPA</w:t>
      </w:r>
      <w:r w:rsidR="00C261BF">
        <w:t xml:space="preserve">’s </w:t>
      </w:r>
      <w:r w:rsidR="005B1DFF">
        <w:t>ability to seek additional ROE incentive</w:t>
      </w:r>
      <w:r w:rsidR="008737AB">
        <w:t>s</w:t>
      </w:r>
      <w:r w:rsidR="005B1DFF">
        <w:t>, it</w:t>
      </w:r>
      <w:r w:rsidR="007D5BC4">
        <w:t xml:space="preserve"> is</w:t>
      </w:r>
      <w:r w:rsidR="005B1DFF">
        <w:t xml:space="preserve"> impossible to </w:t>
      </w:r>
      <w:r w:rsidR="00FD758E">
        <w:t xml:space="preserve">conclude that </w:t>
      </w:r>
      <w:r w:rsidR="008737AB">
        <w:t xml:space="preserve">NYPA’s </w:t>
      </w:r>
      <w:r w:rsidR="00FD758E">
        <w:t>ultimate ROE would be within the zone or reasonableness.</w:t>
      </w:r>
      <w:r>
        <w:rPr>
          <w:rStyle w:val="FootnoteReference"/>
        </w:rPr>
        <w:footnoteReference w:id="34"/>
      </w:r>
      <w:r w:rsidR="00135426">
        <w:t xml:space="preserve">  </w:t>
      </w:r>
      <w:r w:rsidR="005A608E">
        <w:t>The New York Commission also suggests that</w:t>
      </w:r>
      <w:r w:rsidR="004A5B5A">
        <w:t xml:space="preserve">, with respect to NYPA’s </w:t>
      </w:r>
      <w:r w:rsidR="00D352BF">
        <w:t>Proxy Group</w:t>
      </w:r>
      <w:r w:rsidR="004A5B5A">
        <w:t>,</w:t>
      </w:r>
      <w:r w:rsidR="005A608E">
        <w:t xml:space="preserve"> a narrow credit risk band should be applied, resulting in the elimination of several companies that have weaker credit ratings.  </w:t>
      </w:r>
      <w:r w:rsidR="00135426">
        <w:t xml:space="preserve">Additionally, </w:t>
      </w:r>
      <w:r>
        <w:t xml:space="preserve">the New York Commission </w:t>
      </w:r>
      <w:r w:rsidR="00135426">
        <w:t xml:space="preserve">argues that the determination of a just and reasonable rate requires more than just assessing whether the </w:t>
      </w:r>
      <w:r w:rsidR="009310A9">
        <w:t>p</w:t>
      </w:r>
      <w:r w:rsidR="00244712">
        <w:t>roposed rate falls with the zone of reasonableness</w:t>
      </w:r>
      <w:r>
        <w:rPr>
          <w:rStyle w:val="FootnoteReference"/>
        </w:rPr>
        <w:footnoteReference w:id="35"/>
      </w:r>
      <w:r w:rsidR="00630E80">
        <w:t xml:space="preserve"> and that an evidentiary hearing is needed to allow the parties an opportunity to cross examine NYPA’s witness on their factual claims with respect to the requested ROE.</w:t>
      </w:r>
      <w:r w:rsidR="00815878">
        <w:t xml:space="preserve"> </w:t>
      </w:r>
      <w:r w:rsidR="001A141E">
        <w:t xml:space="preserve"> </w:t>
      </w:r>
    </w:p>
    <w:p w:rsidR="0087317D" w:rsidP="00F327B5">
      <w:pPr>
        <w:pStyle w:val="FERCparanumber"/>
      </w:pPr>
      <w:r w:rsidRPr="001E322F">
        <w:t>MEUA</w:t>
      </w:r>
      <w:r>
        <w:t xml:space="preserve"> </w:t>
      </w:r>
      <w:r w:rsidR="00003776">
        <w:t xml:space="preserve">argues </w:t>
      </w:r>
      <w:r w:rsidR="00522BE9">
        <w:t>that NYPA lacks the factual foundation for directly estimating an assumed cost of equity apply</w:t>
      </w:r>
      <w:r w:rsidR="00F4079A">
        <w:t>ing</w:t>
      </w:r>
      <w:r w:rsidR="00522BE9">
        <w:t xml:space="preserve"> the DCF method</w:t>
      </w:r>
      <w:r w:rsidR="009A4AE8">
        <w:t xml:space="preserve"> because it does not have requisite dividend and stock price data</w:t>
      </w:r>
      <w:r w:rsidR="00815878">
        <w:t>.</w:t>
      </w:r>
      <w:r>
        <w:rPr>
          <w:rStyle w:val="FootnoteReference"/>
        </w:rPr>
        <w:footnoteReference w:id="36"/>
      </w:r>
      <w:r w:rsidR="006A4BE9">
        <w:t xml:space="preserve"> </w:t>
      </w:r>
      <w:r w:rsidR="00815878">
        <w:t xml:space="preserve"> </w:t>
      </w:r>
      <w:r w:rsidR="00E14F26">
        <w:t xml:space="preserve">MEUA also </w:t>
      </w:r>
      <w:r w:rsidR="00D760B7">
        <w:t>objects to</w:t>
      </w:r>
      <w:r w:rsidR="001B157B">
        <w:t xml:space="preserve"> NYPA’s </w:t>
      </w:r>
      <w:r w:rsidR="00E14F26">
        <w:t>calculati</w:t>
      </w:r>
      <w:r w:rsidR="00400C74">
        <w:t>on</w:t>
      </w:r>
      <w:r w:rsidR="00E14F26">
        <w:t xml:space="preserve"> </w:t>
      </w:r>
      <w:r w:rsidR="00400C74">
        <w:t xml:space="preserve">of </w:t>
      </w:r>
      <w:r w:rsidR="00E14F26">
        <w:t xml:space="preserve">the applicable risk premiums using the CAPM method </w:t>
      </w:r>
      <w:r w:rsidR="00400C74">
        <w:t>because</w:t>
      </w:r>
      <w:r w:rsidR="00127AED">
        <w:t xml:space="preserve"> it asserts that</w:t>
      </w:r>
      <w:r w:rsidR="00E14F26">
        <w:t xml:space="preserve"> NYPA disregards the comparable risk requirement</w:t>
      </w:r>
      <w:r w:rsidR="00EB2AE6">
        <w:t xml:space="preserve"> in its cost of equity analyses.  </w:t>
      </w:r>
      <w:r w:rsidR="009C4A76">
        <w:t>Additionally, MEUA assert</w:t>
      </w:r>
      <w:r w:rsidR="00C952DC">
        <w:t>s</w:t>
      </w:r>
      <w:r w:rsidR="009C4A76">
        <w:t xml:space="preserve"> that NYPA’s DCF and CAPM analyses systematically overstate a reasonable approximation of </w:t>
      </w:r>
      <w:r w:rsidR="005E763B">
        <w:t>NYPA</w:t>
      </w:r>
      <w:r w:rsidR="008D59D9">
        <w:t>’</w:t>
      </w:r>
      <w:r w:rsidR="005E763B">
        <w:t xml:space="preserve">s </w:t>
      </w:r>
      <w:r w:rsidR="009C4A76">
        <w:t xml:space="preserve">cost of equity </w:t>
      </w:r>
      <w:r w:rsidR="0062356D">
        <w:t>by failing to link NYP</w:t>
      </w:r>
      <w:r w:rsidR="000F3F47">
        <w:t xml:space="preserve">A’s </w:t>
      </w:r>
      <w:r w:rsidR="0015366C">
        <w:t xml:space="preserve">presumed cost of equity to </w:t>
      </w:r>
      <w:r w:rsidR="00941AA5">
        <w:t xml:space="preserve">comparably risky </w:t>
      </w:r>
      <w:r w:rsidR="005E763B">
        <w:t>utilities</w:t>
      </w:r>
      <w:r w:rsidR="00A4619D">
        <w:t>.</w:t>
      </w:r>
      <w:r w:rsidR="00DF18A4">
        <w:t xml:space="preserve">  </w:t>
      </w:r>
      <w:r w:rsidR="00332135">
        <w:t xml:space="preserve">MEUA contends that </w:t>
      </w:r>
      <w:r w:rsidR="004B419D">
        <w:t xml:space="preserve">NYPA </w:t>
      </w:r>
      <w:r w:rsidR="00C139D6">
        <w:t>must</w:t>
      </w:r>
      <w:r w:rsidR="004B419D">
        <w:t xml:space="preserve"> establish a reasoned bas</w:t>
      </w:r>
      <w:r w:rsidR="00054B1C">
        <w:t>is</w:t>
      </w:r>
      <w:r w:rsidR="00053AFA">
        <w:t xml:space="preserve"> for </w:t>
      </w:r>
      <w:r w:rsidR="00C139D6">
        <w:t>it</w:t>
      </w:r>
      <w:r w:rsidR="00053AFA">
        <w:t>s 50% equity and 50% long</w:t>
      </w:r>
      <w:r w:rsidR="00013850">
        <w:t>-</w:t>
      </w:r>
      <w:r w:rsidR="00053AFA">
        <w:t>term debt structure</w:t>
      </w:r>
      <w:r w:rsidR="00DF18A4">
        <w:t xml:space="preserve">.  </w:t>
      </w:r>
      <w:r w:rsidR="005D6BFE">
        <w:t>Additionally, MEUA argues that</w:t>
      </w:r>
      <w:r w:rsidR="00E8573D">
        <w:t>,</w:t>
      </w:r>
      <w:r w:rsidR="005D6BFE">
        <w:t xml:space="preserve"> based on NYPA’s reliance on </w:t>
      </w:r>
      <w:r w:rsidR="0004439F">
        <w:t>highly rated</w:t>
      </w:r>
      <w:r w:rsidR="005D6BFE">
        <w:t xml:space="preserve"> tax-exempt debt, </w:t>
      </w:r>
      <w:r w:rsidR="00D009B9">
        <w:t>NYPA should employ</w:t>
      </w:r>
      <w:r w:rsidR="009C6787">
        <w:t xml:space="preserve"> </w:t>
      </w:r>
      <w:r w:rsidR="005D6BFE">
        <w:t>an assumed equity ratio no higher than 40%</w:t>
      </w:r>
      <w:r w:rsidR="009C6787">
        <w:t xml:space="preserve"> for NTAC purposes rather than its </w:t>
      </w:r>
      <w:r w:rsidR="005D6BFE">
        <w:t xml:space="preserve">implied equity ratio of 64%. </w:t>
      </w:r>
      <w:r w:rsidR="00AA1AEB">
        <w:t xml:space="preserve"> MEUA also </w:t>
      </w:r>
      <w:r w:rsidR="009C6787">
        <w:t>asserts</w:t>
      </w:r>
      <w:r w:rsidR="00AA1AEB">
        <w:t xml:space="preserve"> th</w:t>
      </w:r>
      <w:r w:rsidR="00BB19DE">
        <w:t>at</w:t>
      </w:r>
      <w:r w:rsidR="00AA1AEB">
        <w:t xml:space="preserve"> NYPA has failed to demonstrate that an update to its presumed cost of equity is required at all for it to continue to attract sufficient capital and maintain its bond ratings.</w:t>
      </w:r>
      <w:r w:rsidR="00F85223">
        <w:rPr>
          <w:rStyle w:val="FootnoteReference"/>
        </w:rPr>
        <w:t xml:space="preserve"> </w:t>
      </w:r>
    </w:p>
    <w:p w:rsidR="001B5E7B">
      <w:pPr>
        <w:pStyle w:val="FERCparanumber"/>
      </w:pPr>
      <w:r>
        <w:t>Consumer Advo</w:t>
      </w:r>
      <w:r w:rsidR="009125A8">
        <w:t xml:space="preserve">cates </w:t>
      </w:r>
      <w:r w:rsidR="00140459">
        <w:t xml:space="preserve">assert that </w:t>
      </w:r>
      <w:r w:rsidR="007C3103">
        <w:t>NYPA’s proposed base ROE of 10.98% is excessive</w:t>
      </w:r>
      <w:r w:rsidR="006634F9">
        <w:t xml:space="preserve"> and that the</w:t>
      </w:r>
      <w:r w:rsidR="007A4A5C">
        <w:t xml:space="preserve">re are </w:t>
      </w:r>
      <w:r w:rsidR="00AC487F">
        <w:t>numerous f</w:t>
      </w:r>
      <w:r w:rsidR="0092496F">
        <w:t>laws in</w:t>
      </w:r>
      <w:r w:rsidR="00AE56AF">
        <w:t xml:space="preserve"> NYPA’s</w:t>
      </w:r>
      <w:r w:rsidR="00657D5D">
        <w:t xml:space="preserve"> </w:t>
      </w:r>
      <w:r w:rsidR="00AE56AF">
        <w:t>test</w:t>
      </w:r>
      <w:r w:rsidR="00D52734">
        <w:t>imony</w:t>
      </w:r>
      <w:r w:rsidR="00657D5D">
        <w:t xml:space="preserve"> support</w:t>
      </w:r>
      <w:r w:rsidR="0047067F">
        <w:t>ing</w:t>
      </w:r>
      <w:r w:rsidR="00657D5D">
        <w:t xml:space="preserve"> </w:t>
      </w:r>
      <w:r w:rsidR="00D12CA6">
        <w:t>the ROE</w:t>
      </w:r>
      <w:r w:rsidR="00140459">
        <w:t>.</w:t>
      </w:r>
      <w:r>
        <w:rPr>
          <w:rStyle w:val="FootnoteReference"/>
        </w:rPr>
        <w:footnoteReference w:id="37"/>
      </w:r>
      <w:r w:rsidR="00140459">
        <w:t xml:space="preserve">  </w:t>
      </w:r>
      <w:r w:rsidR="00450ED6">
        <w:t xml:space="preserve">Consumer Advocates </w:t>
      </w:r>
      <w:r w:rsidR="003F5D23">
        <w:t xml:space="preserve">argue that </w:t>
      </w:r>
      <w:r w:rsidR="005B7D73">
        <w:t>the determination of a just and reasonable ROE require</w:t>
      </w:r>
      <w:r w:rsidR="00C37F94">
        <w:t>s</w:t>
      </w:r>
      <w:r w:rsidR="005B7D73">
        <w:t xml:space="preserve"> more than </w:t>
      </w:r>
      <w:r w:rsidR="00BD3D5A">
        <w:t>merely</w:t>
      </w:r>
      <w:r w:rsidR="005B7D73">
        <w:t xml:space="preserve"> assessing whether </w:t>
      </w:r>
      <w:r w:rsidR="0024218A">
        <w:t>the proposed ROE falls within the zone of reasonableness.</w:t>
      </w:r>
      <w:r>
        <w:rPr>
          <w:rStyle w:val="FootnoteReference"/>
        </w:rPr>
        <w:footnoteReference w:id="38"/>
      </w:r>
      <w:r w:rsidR="0024218A">
        <w:t xml:space="preserve"> </w:t>
      </w:r>
      <w:r w:rsidR="003F5D23">
        <w:t xml:space="preserve"> </w:t>
      </w:r>
      <w:r w:rsidR="00450ED6">
        <w:t>Consumer Advocates</w:t>
      </w:r>
      <w:r w:rsidR="00403ABD">
        <w:t xml:space="preserve"> </w:t>
      </w:r>
      <w:r w:rsidR="009373BB">
        <w:t>assert that</w:t>
      </w:r>
      <w:r w:rsidR="002201B6">
        <w:t xml:space="preserve"> </w:t>
      </w:r>
      <w:r w:rsidR="00EC1832">
        <w:t>they calculate a median CAPM ROE of 8.56%</w:t>
      </w:r>
      <w:r w:rsidR="009373BB">
        <w:t xml:space="preserve"> by </w:t>
      </w:r>
      <w:r w:rsidR="00FC1FC9">
        <w:t>deriving the asset beta for each Proxy Group company, re-</w:t>
      </w:r>
      <w:r w:rsidR="006C4CFC">
        <w:t xml:space="preserve">levering the asset beta using </w:t>
      </w:r>
      <w:r w:rsidR="006E526B">
        <w:t xml:space="preserve">NYPA’s </w:t>
      </w:r>
      <w:r w:rsidR="006C4CFC">
        <w:t xml:space="preserve">target </w:t>
      </w:r>
      <w:r w:rsidRPr="00E15CF5" w:rsidR="0013743F">
        <w:t>50</w:t>
      </w:r>
      <w:r w:rsidR="0013743F">
        <w:t>%</w:t>
      </w:r>
      <w:r w:rsidRPr="00E15CF5" w:rsidR="0013743F">
        <w:t xml:space="preserve"> debt and 50</w:t>
      </w:r>
      <w:r w:rsidR="0013743F">
        <w:t>%</w:t>
      </w:r>
      <w:r w:rsidRPr="00E15CF5" w:rsidR="0013743F">
        <w:t xml:space="preserve"> equity </w:t>
      </w:r>
      <w:r w:rsidR="006C4CFC">
        <w:t xml:space="preserve">capital structure, and </w:t>
      </w:r>
      <w:r w:rsidR="008C448B">
        <w:t xml:space="preserve">then employing the re-levered beta in the CAPM formula to yield the ROE for a </w:t>
      </w:r>
      <w:r w:rsidRPr="00E15CF5" w:rsidR="0013743F">
        <w:t>50</w:t>
      </w:r>
      <w:r w:rsidR="0013743F">
        <w:t>%</w:t>
      </w:r>
      <w:r w:rsidRPr="00E15CF5" w:rsidR="0013743F">
        <w:t xml:space="preserve"> debt and 50</w:t>
      </w:r>
      <w:r w:rsidR="0013743F">
        <w:t>%</w:t>
      </w:r>
      <w:r w:rsidRPr="00E15CF5" w:rsidR="0013743F">
        <w:t xml:space="preserve"> equity </w:t>
      </w:r>
      <w:r w:rsidR="001E32A4">
        <w:t>capital structure</w:t>
      </w:r>
      <w:r w:rsidR="00403ABD">
        <w:t>.</w:t>
      </w:r>
      <w:r>
        <w:rPr>
          <w:rStyle w:val="FootnoteReference"/>
        </w:rPr>
        <w:footnoteReference w:id="39"/>
      </w:r>
      <w:r w:rsidR="00403ABD">
        <w:t xml:space="preserve">  </w:t>
      </w:r>
      <w:r w:rsidR="00B344F8">
        <w:t>Consumer Advocates also oppo</w:t>
      </w:r>
      <w:r w:rsidR="00A17B52">
        <w:t xml:space="preserve">se NYPA’s </w:t>
      </w:r>
      <w:r w:rsidRPr="007C0D74" w:rsidR="00ED6FD9">
        <w:t>proposed “small size premium</w:t>
      </w:r>
      <w:r w:rsidRPr="00FA6498" w:rsidR="00130DFB">
        <w:t>,</w:t>
      </w:r>
      <w:r w:rsidRPr="007C0D74" w:rsidR="00ED6FD9">
        <w:t>”</w:t>
      </w:r>
      <w:r w:rsidRPr="00FA6498" w:rsidR="00130DFB">
        <w:t xml:space="preserve"> which they argue</w:t>
      </w:r>
      <w:r w:rsidRPr="007C0D74" w:rsidR="00ED6FD9">
        <w:t xml:space="preserve"> inflates the CAPM results and has not been justified</w:t>
      </w:r>
      <w:r w:rsidR="00ED6FD9">
        <w:t xml:space="preserve">. </w:t>
      </w:r>
      <w:r w:rsidR="00A838FA">
        <w:t xml:space="preserve"> </w:t>
      </w:r>
    </w:p>
    <w:p w:rsidR="001B5E7B">
      <w:pPr>
        <w:pStyle w:val="FERCparanumber"/>
      </w:pPr>
      <w:r>
        <w:t>Consumer Advocates</w:t>
      </w:r>
      <w:r w:rsidR="00AD1559">
        <w:t xml:space="preserve"> also aver that NYPA’s DCF analyses </w:t>
      </w:r>
      <w:r w:rsidRPr="00581E99" w:rsidR="00581E99">
        <w:t>rel</w:t>
      </w:r>
      <w:r w:rsidR="00853BFE">
        <w:t>y</w:t>
      </w:r>
      <w:r w:rsidRPr="00581E99" w:rsidR="00581E99">
        <w:t xml:space="preserve"> on a proxy group that includes businesses with vastly different</w:t>
      </w:r>
      <w:r w:rsidR="00581E99">
        <w:t xml:space="preserve">, </w:t>
      </w:r>
      <w:r w:rsidRPr="00581E99" w:rsidR="00581E99">
        <w:t>and far riskier</w:t>
      </w:r>
      <w:r w:rsidR="000E7326">
        <w:t xml:space="preserve">, </w:t>
      </w:r>
      <w:r w:rsidRPr="00581E99" w:rsidR="00581E99">
        <w:t xml:space="preserve">profiles than </w:t>
      </w:r>
      <w:r w:rsidR="005D3403">
        <w:t>NYPA’</w:t>
      </w:r>
      <w:r w:rsidRPr="00581E99" w:rsidR="00581E99">
        <w:t>s transmission business</w:t>
      </w:r>
      <w:r w:rsidR="003D0369">
        <w:t>.  Consumer Advocates</w:t>
      </w:r>
      <w:r w:rsidR="00681044">
        <w:t xml:space="preserve"> recommend</w:t>
      </w:r>
      <w:r w:rsidRPr="00344182" w:rsidR="00344182">
        <w:t xml:space="preserve"> that only companies with an S&amp;P credit rating of AA- or A- be included for the purpose of the DCF analysis</w:t>
      </w:r>
      <w:r w:rsidR="000E7326">
        <w:t>.</w:t>
      </w:r>
      <w:r>
        <w:rPr>
          <w:rStyle w:val="FootnoteReference"/>
        </w:rPr>
        <w:footnoteReference w:id="40"/>
      </w:r>
      <w:r w:rsidR="0094508A">
        <w:t xml:space="preserve">  </w:t>
      </w:r>
      <w:r w:rsidR="00920E2F">
        <w:t xml:space="preserve">In addition, </w:t>
      </w:r>
      <w:r w:rsidR="00710F49">
        <w:t xml:space="preserve">Consumer Advocates </w:t>
      </w:r>
      <w:r w:rsidR="00920E2F">
        <w:t xml:space="preserve">recommend that </w:t>
      </w:r>
      <w:r w:rsidR="009C38F3">
        <w:t xml:space="preserve">NYPA </w:t>
      </w:r>
      <w:r w:rsidRPr="009C38F3" w:rsidR="009C38F3">
        <w:t xml:space="preserve">extend the study period </w:t>
      </w:r>
      <w:r w:rsidR="009C38F3">
        <w:t xml:space="preserve">used for its DCF analyses </w:t>
      </w:r>
      <w:r w:rsidRPr="009C38F3" w:rsidR="009C38F3">
        <w:t>to at least one year</w:t>
      </w:r>
      <w:r w:rsidR="004E6CF3">
        <w:t>,</w:t>
      </w:r>
      <w:r w:rsidR="001F349A">
        <w:t xml:space="preserve"> rather than two quarters</w:t>
      </w:r>
      <w:r w:rsidRPr="009C38F3" w:rsidR="009C38F3">
        <w:t xml:space="preserve"> </w:t>
      </w:r>
      <w:r w:rsidR="001F349A">
        <w:t>of dividend data</w:t>
      </w:r>
      <w:r w:rsidR="004E6CF3">
        <w:t>,</w:t>
      </w:r>
      <w:r w:rsidR="001F349A">
        <w:t xml:space="preserve"> </w:t>
      </w:r>
      <w:r w:rsidRPr="009C38F3" w:rsidR="009C38F3">
        <w:t>to provide a more comprehensive data set</w:t>
      </w:r>
      <w:r w:rsidR="00856DA9">
        <w:t>.</w:t>
      </w:r>
      <w:r w:rsidR="006905A3">
        <w:t xml:space="preserve"> </w:t>
      </w:r>
      <w:r w:rsidR="00856DA9">
        <w:t xml:space="preserve"> Consumer Advocates</w:t>
      </w:r>
      <w:r w:rsidR="006905A3">
        <w:t xml:space="preserve"> argue that interested parties should be permitted to further investigate </w:t>
      </w:r>
      <w:r w:rsidR="00F9438E">
        <w:t xml:space="preserve">the undisclosed number of years of annual dividend cash inflows used in the DCF analysis, among other </w:t>
      </w:r>
      <w:r w:rsidR="009302DE">
        <w:t>inputs to the ROE calculations.</w:t>
      </w:r>
      <w:r>
        <w:rPr>
          <w:rStyle w:val="FootnoteReference"/>
        </w:rPr>
        <w:footnoteReference w:id="41"/>
      </w:r>
      <w:r w:rsidR="00710F49">
        <w:t xml:space="preserve"> </w:t>
      </w:r>
      <w:r w:rsidR="00DD21C7">
        <w:t xml:space="preserve"> </w:t>
      </w:r>
    </w:p>
    <w:p w:rsidR="003F5D23">
      <w:pPr>
        <w:pStyle w:val="FERCparanumber"/>
      </w:pPr>
      <w:r>
        <w:t>Consumer Advocates</w:t>
      </w:r>
      <w:r w:rsidR="0094508A">
        <w:t xml:space="preserve"> also claim that the </w:t>
      </w:r>
      <w:r>
        <w:t>relevance of NYPA’s potential future investment in transmission and other infrastructure</w:t>
      </w:r>
      <w:r w:rsidR="00DB406D">
        <w:t xml:space="preserve"> </w:t>
      </w:r>
      <w:r w:rsidR="00077815">
        <w:t>raise factual issues that warrant further development</w:t>
      </w:r>
      <w:r>
        <w:t>.</w:t>
      </w:r>
      <w:r>
        <w:rPr>
          <w:rStyle w:val="FootnoteReference"/>
        </w:rPr>
        <w:footnoteReference w:id="42"/>
      </w:r>
      <w:r>
        <w:t xml:space="preserve">  </w:t>
      </w:r>
      <w:r w:rsidR="00CF2F4F">
        <w:t xml:space="preserve">According to </w:t>
      </w:r>
      <w:r>
        <w:t>Consumer Advocates</w:t>
      </w:r>
      <w:r w:rsidR="00CF2F4F">
        <w:t xml:space="preserve">, an evidentiary hearing is needed to </w:t>
      </w:r>
      <w:r w:rsidR="007D5061">
        <w:t xml:space="preserve">provide </w:t>
      </w:r>
      <w:r w:rsidR="00CF2F4F">
        <w:t>parties an opportunity to cross examine NYPA on its factual claims with respect to its base ROE</w:t>
      </w:r>
      <w:r w:rsidR="00231A5F">
        <w:t xml:space="preserve">, including </w:t>
      </w:r>
      <w:r w:rsidRPr="00481571" w:rsidR="0058456E">
        <w:t xml:space="preserve">the different approach </w:t>
      </w:r>
      <w:r w:rsidR="0058456E">
        <w:t>that</w:t>
      </w:r>
      <w:r w:rsidRPr="00481571" w:rsidR="0058456E">
        <w:t xml:space="preserve"> NYPA witness Nowak </w:t>
      </w:r>
      <w:r w:rsidR="0058456E">
        <w:t xml:space="preserve">employed </w:t>
      </w:r>
      <w:r w:rsidRPr="00481571" w:rsidR="0058456E">
        <w:t>in testimon</w:t>
      </w:r>
      <w:r w:rsidR="0058456E">
        <w:t>y</w:t>
      </w:r>
      <w:r w:rsidRPr="00481571" w:rsidR="0058456E">
        <w:t xml:space="preserve"> filed within the same week of </w:t>
      </w:r>
      <w:r w:rsidR="0058456E">
        <w:t>NYPA’s</w:t>
      </w:r>
      <w:r w:rsidRPr="00481571" w:rsidR="0058456E">
        <w:t xml:space="preserve"> and the possible implications </w:t>
      </w:r>
      <w:r w:rsidR="0058456E">
        <w:t xml:space="preserve">if applied </w:t>
      </w:r>
      <w:r w:rsidRPr="00481571" w:rsidR="0058456E">
        <w:t>to NYPA.</w:t>
      </w:r>
      <w:r>
        <w:rPr>
          <w:rStyle w:val="FootnoteReference"/>
        </w:rPr>
        <w:footnoteReference w:id="43"/>
      </w:r>
      <w:r w:rsidR="00CF2F4F">
        <w:t xml:space="preserve"> </w:t>
      </w:r>
    </w:p>
    <w:p w:rsidR="0017523E" w:rsidP="0017523E">
      <w:pPr>
        <w:pStyle w:val="Heading2"/>
      </w:pPr>
      <w:r>
        <w:t>Answer</w:t>
      </w:r>
    </w:p>
    <w:p w:rsidR="005555B7" w:rsidP="00DB485B">
      <w:pPr>
        <w:pStyle w:val="FERCparanumber"/>
      </w:pPr>
      <w:r>
        <w:t xml:space="preserve">NYPA </w:t>
      </w:r>
      <w:r w:rsidR="00B97BD2">
        <w:t>argues that the Com</w:t>
      </w:r>
      <w:r w:rsidR="00955E25">
        <w:t xml:space="preserve">mission should dismiss </w:t>
      </w:r>
      <w:r w:rsidR="006F48C7">
        <w:t>the protests because they contain flawed arguments and ignore Commission precedent</w:t>
      </w:r>
      <w:r w:rsidR="00DC434C">
        <w:t>.</w:t>
      </w:r>
      <w:r>
        <w:rPr>
          <w:rStyle w:val="FootnoteReference"/>
        </w:rPr>
        <w:footnoteReference w:id="44"/>
      </w:r>
      <w:r w:rsidR="00540E6C">
        <w:t xml:space="preserve"> </w:t>
      </w:r>
      <w:r w:rsidR="00DB485B">
        <w:t xml:space="preserve"> </w:t>
      </w:r>
      <w:r>
        <w:t>NYPA</w:t>
      </w:r>
      <w:r w:rsidR="001365D1">
        <w:t xml:space="preserve"> first</w:t>
      </w:r>
      <w:r>
        <w:t xml:space="preserve"> asserts that its proxy group selection is appropriate and follows </w:t>
      </w:r>
      <w:r w:rsidR="00453FAF">
        <w:t xml:space="preserve">the Commission’s policies given NYPA’s </w:t>
      </w:r>
      <w:r w:rsidR="001E3E3C">
        <w:t xml:space="preserve">status as a </w:t>
      </w:r>
      <w:r w:rsidR="00453FAF">
        <w:t xml:space="preserve">public power </w:t>
      </w:r>
      <w:r w:rsidR="001E3E3C">
        <w:t>entity</w:t>
      </w:r>
      <w:r w:rsidR="00453FAF">
        <w:t xml:space="preserve"> and </w:t>
      </w:r>
      <w:r w:rsidR="00643DC7">
        <w:t>NYPA’s</w:t>
      </w:r>
      <w:r w:rsidR="00453FAF">
        <w:t xml:space="preserve"> credit ratings.</w:t>
      </w:r>
      <w:r w:rsidR="00E7410D">
        <w:t xml:space="preserve">  </w:t>
      </w:r>
      <w:r w:rsidR="002A79AE">
        <w:t>NYPA not</w:t>
      </w:r>
      <w:r w:rsidR="001D33A7">
        <w:t>e</w:t>
      </w:r>
      <w:r w:rsidR="002A79AE">
        <w:t>s that no companies are within three notches of NYPA’s S&amp;P credit rating</w:t>
      </w:r>
      <w:r w:rsidR="001D33A7">
        <w:t xml:space="preserve"> or within four notches of NYPA’s Moody’s credit rating</w:t>
      </w:r>
      <w:r w:rsidR="00774313">
        <w:t xml:space="preserve">, and that, given the need to expand </w:t>
      </w:r>
      <w:r w:rsidR="00EC6CD3">
        <w:t>the usual Commission rule</w:t>
      </w:r>
      <w:r w:rsidR="008179EB">
        <w:t xml:space="preserve"> of only</w:t>
      </w:r>
      <w:r w:rsidR="00FD155A">
        <w:t xml:space="preserve"> including </w:t>
      </w:r>
      <w:r w:rsidR="008179EB">
        <w:t xml:space="preserve">the proxy group companies that have </w:t>
      </w:r>
      <w:r w:rsidR="00FD155A">
        <w:t xml:space="preserve">a </w:t>
      </w:r>
      <w:r w:rsidR="001557E5">
        <w:t>credit</w:t>
      </w:r>
      <w:r w:rsidR="00FD155A">
        <w:t xml:space="preserve"> </w:t>
      </w:r>
      <w:r w:rsidR="008179EB">
        <w:t xml:space="preserve">rating within one notch of the </w:t>
      </w:r>
      <w:r w:rsidR="001557E5">
        <w:t xml:space="preserve">credit </w:t>
      </w:r>
      <w:r w:rsidR="008179EB">
        <w:t>rating of the subject company</w:t>
      </w:r>
      <w:r w:rsidR="00FD155A">
        <w:t>, the line between including a company within four</w:t>
      </w:r>
      <w:r w:rsidR="001557E5">
        <w:t xml:space="preserve"> credit</w:t>
      </w:r>
      <w:r w:rsidR="00FD155A">
        <w:t xml:space="preserve"> notches versus six</w:t>
      </w:r>
      <w:r w:rsidR="001557E5">
        <w:t xml:space="preserve"> credit notches is arbitrary.</w:t>
      </w:r>
      <w:r w:rsidR="0089271B">
        <w:t xml:space="preserve">  NYPA </w:t>
      </w:r>
      <w:r w:rsidR="009225EA">
        <w:t xml:space="preserve">claims that the New York Commission fails to explain </w:t>
      </w:r>
      <w:r w:rsidR="00D33126">
        <w:t>the effect</w:t>
      </w:r>
      <w:r w:rsidR="009225EA">
        <w:t xml:space="preserve"> of its suggested narrow credit risk band or how it would reconcile divergent S&amp;P and Moody’s credit ratings for potential proxy companies.</w:t>
      </w:r>
      <w:r>
        <w:rPr>
          <w:rStyle w:val="FootnoteReference"/>
        </w:rPr>
        <w:footnoteReference w:id="45"/>
      </w:r>
      <w:r w:rsidR="00940467">
        <w:t xml:space="preserve">  NYPA </w:t>
      </w:r>
      <w:r w:rsidR="000B372A">
        <w:t>argues that</w:t>
      </w:r>
      <w:r w:rsidR="00940467">
        <w:t xml:space="preserve"> Consumer Advocates’ proposed DCF analysis </w:t>
      </w:r>
      <w:r w:rsidR="003B5E9D">
        <w:t>do</w:t>
      </w:r>
      <w:r w:rsidR="000B372A">
        <w:t>es</w:t>
      </w:r>
      <w:r w:rsidR="003B5E9D">
        <w:t xml:space="preserve"> not </w:t>
      </w:r>
      <w:r w:rsidR="00E16A47">
        <w:t>apply</w:t>
      </w:r>
      <w:r w:rsidR="00E8572B">
        <w:t xml:space="preserve"> the </w:t>
      </w:r>
      <w:r w:rsidR="00702E3A">
        <w:t xml:space="preserve">proposed DCF </w:t>
      </w:r>
      <w:r w:rsidR="00E8572B">
        <w:t>proxy</w:t>
      </w:r>
      <w:r w:rsidR="002A3378">
        <w:t xml:space="preserve"> group selection criteria </w:t>
      </w:r>
      <w:r w:rsidR="00702E3A">
        <w:t xml:space="preserve">to their CAPM analysis and </w:t>
      </w:r>
      <w:r w:rsidR="005212A5">
        <w:t>ignor</w:t>
      </w:r>
      <w:r w:rsidR="00690591">
        <w:t>e</w:t>
      </w:r>
      <w:r w:rsidR="000B372A">
        <w:t>s</w:t>
      </w:r>
      <w:r w:rsidR="008F2E99">
        <w:t xml:space="preserve"> Mood</w:t>
      </w:r>
      <w:r w:rsidR="00770B3A">
        <w:t>y’s</w:t>
      </w:r>
      <w:r w:rsidR="005212A5">
        <w:t xml:space="preserve"> ratings</w:t>
      </w:r>
      <w:r w:rsidR="001B43D3">
        <w:t>, thereby</w:t>
      </w:r>
      <w:r w:rsidR="00BB7571">
        <w:t xml:space="preserve"> </w:t>
      </w:r>
      <w:r w:rsidR="00062B60">
        <w:t xml:space="preserve">excluding several proxy companies with Moody’s ratings </w:t>
      </w:r>
      <w:r w:rsidR="0089795D">
        <w:t xml:space="preserve">closer to NYPA’s rating than </w:t>
      </w:r>
      <w:r w:rsidR="00BD06AB">
        <w:t xml:space="preserve">the </w:t>
      </w:r>
      <w:r w:rsidR="0089795D">
        <w:t>companies selected</w:t>
      </w:r>
      <w:r w:rsidR="00771814">
        <w:t>.</w:t>
      </w:r>
      <w:r>
        <w:rPr>
          <w:rStyle w:val="FootnoteReference"/>
        </w:rPr>
        <w:footnoteReference w:id="46"/>
      </w:r>
      <w:r w:rsidR="004A6EB8">
        <w:t xml:space="preserve">  </w:t>
      </w:r>
      <w:r w:rsidR="00262DEF">
        <w:t>NYPA adds that MEUA conflates credit ratings with equity risk assessment and ignores the reality that there are no publicly</w:t>
      </w:r>
      <w:r w:rsidR="00FB1EF4">
        <w:t xml:space="preserve"> </w:t>
      </w:r>
      <w:r w:rsidR="00262DEF">
        <w:t>traded investor-owned utilities with credit ratings within one notch of NYPA’s.</w:t>
      </w:r>
      <w:r>
        <w:rPr>
          <w:rStyle w:val="FootnoteReference"/>
        </w:rPr>
        <w:footnoteReference w:id="47"/>
      </w:r>
      <w:r w:rsidR="00BA1372">
        <w:t xml:space="preserve">  NYPA explains that its expert used </w:t>
      </w:r>
      <w:r w:rsidR="0055698C">
        <w:t xml:space="preserve">a different approach </w:t>
      </w:r>
      <w:r w:rsidR="00BA1372">
        <w:t xml:space="preserve">in the </w:t>
      </w:r>
      <w:r w:rsidRPr="00F91144" w:rsidR="00F91144">
        <w:t xml:space="preserve">SDG&amp;E </w:t>
      </w:r>
      <w:r w:rsidR="00BA1372">
        <w:t xml:space="preserve">proceeding </w:t>
      </w:r>
      <w:r w:rsidR="00F42A6F">
        <w:t xml:space="preserve">because </w:t>
      </w:r>
      <w:r w:rsidR="00F91144">
        <w:t xml:space="preserve">it was possible there to select a proxy group of companies within one </w:t>
      </w:r>
      <w:r w:rsidR="008F2210">
        <w:t>credit notch of SDG&amp;E</w:t>
      </w:r>
      <w:r w:rsidR="00EB0C88">
        <w:t xml:space="preserve"> but that</w:t>
      </w:r>
      <w:r w:rsidR="005604F0">
        <w:t xml:space="preserve"> </w:t>
      </w:r>
      <w:r w:rsidR="00836BB0">
        <w:t xml:space="preserve">Mr. Nowak </w:t>
      </w:r>
      <w:r w:rsidR="003D796C">
        <w:t>nevertheless</w:t>
      </w:r>
      <w:r w:rsidR="00AF2823">
        <w:t xml:space="preserve"> proposed</w:t>
      </w:r>
      <w:r w:rsidRPr="00EB0C88" w:rsidR="00EB0C88">
        <w:t xml:space="preserve"> a modification to </w:t>
      </w:r>
      <w:r w:rsidR="00AF2823">
        <w:t>Commission</w:t>
      </w:r>
      <w:r w:rsidRPr="00EB0C88" w:rsidR="00EB0C88">
        <w:t xml:space="preserve"> guidelines to achieve a more robust proxy group </w:t>
      </w:r>
      <w:r w:rsidR="00AF2823">
        <w:t>that</w:t>
      </w:r>
      <w:r w:rsidRPr="00EB0C88" w:rsidR="00EB0C88">
        <w:t xml:space="preserve"> would better predict </w:t>
      </w:r>
      <w:r w:rsidR="002227B8">
        <w:t xml:space="preserve">the </w:t>
      </w:r>
      <w:r w:rsidRPr="00EB0C88" w:rsidR="00EB0C88">
        <w:t>ROE in the SDG&amp;E case</w:t>
      </w:r>
      <w:r w:rsidR="00AF2823">
        <w:t>.</w:t>
      </w:r>
      <w:r>
        <w:rPr>
          <w:rStyle w:val="FootnoteReference"/>
        </w:rPr>
        <w:footnoteReference w:id="48"/>
      </w:r>
      <w:r w:rsidR="00B10225">
        <w:t xml:space="preserve">  NYPA notes, however, that the difference in</w:t>
      </w:r>
      <w:r w:rsidRPr="000B499B" w:rsidR="000B499B">
        <w:t xml:space="preserve"> screening approaches accounts for a difference in </w:t>
      </w:r>
      <w:r w:rsidR="00BF670B">
        <w:t xml:space="preserve">only </w:t>
      </w:r>
      <w:r w:rsidRPr="000B499B" w:rsidR="000B499B">
        <w:t xml:space="preserve">two companies out of the 28 selected </w:t>
      </w:r>
      <w:r w:rsidR="00394AFF">
        <w:t xml:space="preserve">and that </w:t>
      </w:r>
      <w:r w:rsidRPr="000B499B" w:rsidR="000B499B">
        <w:t>excluding these companies from NYPA’s proxy group would increase the estimated ROE by one basis point</w:t>
      </w:r>
      <w:r w:rsidR="00394AFF">
        <w:t xml:space="preserve"> </w:t>
      </w:r>
      <w:r w:rsidRPr="000B499B" w:rsidR="000B499B">
        <w:t>from 10.98% to 10.99%</w:t>
      </w:r>
      <w:r w:rsidR="00394AFF">
        <w:t>.</w:t>
      </w:r>
      <w:r w:rsidR="00172E68">
        <w:t xml:space="preserve">  In addition, NYPA </w:t>
      </w:r>
      <w:r w:rsidR="00E010EC">
        <w:t>clarifies</w:t>
      </w:r>
      <w:r w:rsidR="00172E68">
        <w:t xml:space="preserve"> that it exclude</w:t>
      </w:r>
      <w:r w:rsidR="00E010EC">
        <w:t>s</w:t>
      </w:r>
      <w:r w:rsidR="00172E68">
        <w:t xml:space="preserve"> </w:t>
      </w:r>
      <w:r w:rsidRPr="005473E8" w:rsidR="004E57E9">
        <w:t>CenterPoint Energy Resources Corp.</w:t>
      </w:r>
      <w:r w:rsidR="004E57E9">
        <w:t xml:space="preserve"> </w:t>
      </w:r>
      <w:r w:rsidR="00545C06">
        <w:t xml:space="preserve">(CenterPoint) </w:t>
      </w:r>
      <w:r w:rsidR="004E57E9">
        <w:t xml:space="preserve">and Eversource Energy </w:t>
      </w:r>
      <w:r w:rsidR="00172E68">
        <w:t>due to merger-related act</w:t>
      </w:r>
      <w:r w:rsidR="00157018">
        <w:t xml:space="preserve">ivities </w:t>
      </w:r>
      <w:r w:rsidR="00892F44">
        <w:t xml:space="preserve">given </w:t>
      </w:r>
      <w:r w:rsidRPr="003336F4" w:rsidR="003336F4">
        <w:t>Bernhard Capital Partners Management, LP</w:t>
      </w:r>
      <w:r w:rsidR="00180F04">
        <w:t>’s</w:t>
      </w:r>
      <w:r w:rsidRPr="003336F4" w:rsidR="003336F4">
        <w:t xml:space="preserve"> </w:t>
      </w:r>
      <w:r w:rsidR="00657119">
        <w:t xml:space="preserve">agreement to </w:t>
      </w:r>
      <w:r w:rsidRPr="003336F4" w:rsidR="003336F4">
        <w:t>acqui</w:t>
      </w:r>
      <w:r w:rsidR="00657119">
        <w:t>re</w:t>
      </w:r>
      <w:r w:rsidR="00180F04">
        <w:t xml:space="preserve"> </w:t>
      </w:r>
      <w:r w:rsidRPr="005473E8" w:rsidR="00545C06">
        <w:t>CenterPoint</w:t>
      </w:r>
      <w:r w:rsidR="00545C06">
        <w:t>’s</w:t>
      </w:r>
      <w:r w:rsidRPr="005473E8" w:rsidR="00545C06">
        <w:t xml:space="preserve"> </w:t>
      </w:r>
      <w:r w:rsidRPr="003336F4" w:rsidR="003336F4">
        <w:t xml:space="preserve">Louisiana and Mississippi Natural Gas LDC </w:t>
      </w:r>
      <w:r w:rsidR="001462A4">
        <w:t>B</w:t>
      </w:r>
      <w:r w:rsidRPr="003336F4" w:rsidR="003336F4">
        <w:t>usinesses</w:t>
      </w:r>
      <w:r w:rsidR="00180F04">
        <w:t xml:space="preserve"> </w:t>
      </w:r>
      <w:r w:rsidR="002A2A40">
        <w:t xml:space="preserve">and </w:t>
      </w:r>
      <w:r w:rsidRPr="002A2A40" w:rsidR="002A2A40">
        <w:t>Eversource Energy</w:t>
      </w:r>
      <w:r w:rsidR="00545C06">
        <w:t>’s</w:t>
      </w:r>
      <w:r w:rsidR="00D2225C">
        <w:t xml:space="preserve"> plans to </w:t>
      </w:r>
      <w:r w:rsidR="00882EB8">
        <w:t>sell</w:t>
      </w:r>
      <w:r w:rsidR="005B541C">
        <w:t xml:space="preserve"> its 50</w:t>
      </w:r>
      <w:r w:rsidR="0014005D">
        <w:t xml:space="preserve">% stake in the </w:t>
      </w:r>
      <w:r w:rsidR="00614F23">
        <w:t>South Fork Wind and Revolution Wind projects to Global Infrastructure Partners</w:t>
      </w:r>
      <w:r w:rsidR="00AB1B55">
        <w:t>.</w:t>
      </w:r>
    </w:p>
    <w:p w:rsidR="007C1316" w:rsidP="008636A2">
      <w:pPr>
        <w:pStyle w:val="FERCparanumber"/>
      </w:pPr>
      <w:r>
        <w:t xml:space="preserve">Second, </w:t>
      </w:r>
      <w:r w:rsidR="00C4716D">
        <w:t>NYPA affirms that its DCF analysis is consistent with Commission precedent.</w:t>
      </w:r>
      <w:r>
        <w:rPr>
          <w:rStyle w:val="FootnoteReference"/>
        </w:rPr>
        <w:footnoteReference w:id="49"/>
      </w:r>
      <w:r w:rsidR="0017050A">
        <w:t xml:space="preserve">  NYPA </w:t>
      </w:r>
      <w:r w:rsidR="00F17A1D">
        <w:t xml:space="preserve">states that </w:t>
      </w:r>
      <w:r w:rsidRPr="00FA3533" w:rsidR="00FA3533">
        <w:t xml:space="preserve">Blue Chip Financial Forecasts </w:t>
      </w:r>
      <w:r w:rsidR="009331EE">
        <w:t>are</w:t>
      </w:r>
      <w:r w:rsidRPr="00FA3533" w:rsidR="00FA3533">
        <w:t xml:space="preserve"> a trusted and reliable industry resource used to calculate the long-term GDP growth rate component.</w:t>
      </w:r>
      <w:r w:rsidR="0019474D">
        <w:t xml:space="preserve">  NYPA </w:t>
      </w:r>
      <w:r w:rsidR="000D5410">
        <w:t>adds</w:t>
      </w:r>
      <w:r w:rsidR="0019474D">
        <w:t xml:space="preserve"> that </w:t>
      </w:r>
      <w:r w:rsidR="00A90158">
        <w:t xml:space="preserve">use of the 2024 rather than 2023 </w:t>
      </w:r>
      <w:r w:rsidRPr="00420F7B" w:rsidR="00A90158">
        <w:t xml:space="preserve">Social Security Administration’s </w:t>
      </w:r>
      <w:r w:rsidR="00A90158">
        <w:t xml:space="preserve">OASDI </w:t>
      </w:r>
      <w:r w:rsidRPr="00420F7B" w:rsidR="00A90158">
        <w:t>Trustees Report</w:t>
      </w:r>
      <w:r w:rsidR="00A90158">
        <w:t xml:space="preserve"> data would </w:t>
      </w:r>
      <w:r w:rsidR="00AD5221">
        <w:t>provide more current information</w:t>
      </w:r>
      <w:r w:rsidR="003D2544">
        <w:t xml:space="preserve"> but </w:t>
      </w:r>
      <w:r w:rsidR="00AD5221">
        <w:t xml:space="preserve">would not affect </w:t>
      </w:r>
      <w:r w:rsidR="008E461D">
        <w:t>its</w:t>
      </w:r>
      <w:r w:rsidR="00AD5221">
        <w:t xml:space="preserve"> ROE recommendation.</w:t>
      </w:r>
      <w:r w:rsidR="00570044">
        <w:t xml:space="preserve">  NYPA also </w:t>
      </w:r>
      <w:r w:rsidR="008432D9">
        <w:t>argues</w:t>
      </w:r>
      <w:r w:rsidR="00F94820">
        <w:t xml:space="preserve"> that Consumer Advocates’ </w:t>
      </w:r>
      <w:r w:rsidR="001034B7">
        <w:t xml:space="preserve">entire </w:t>
      </w:r>
      <w:r w:rsidR="00F94820">
        <w:t>DCF analysis should be disregarded</w:t>
      </w:r>
      <w:r w:rsidR="001034B7">
        <w:t xml:space="preserve"> </w:t>
      </w:r>
      <w:r w:rsidR="00E43E29">
        <w:t>because</w:t>
      </w:r>
      <w:r w:rsidR="005C0AFB">
        <w:t xml:space="preserve"> they use</w:t>
      </w:r>
      <w:r w:rsidR="001034B7">
        <w:t xml:space="preserve"> an incorrect selection of proxy companies</w:t>
      </w:r>
      <w:r w:rsidR="001110B6">
        <w:t>, as described above</w:t>
      </w:r>
      <w:r w:rsidR="00F94820">
        <w:t>.</w:t>
      </w:r>
    </w:p>
    <w:p w:rsidR="00E43E29" w:rsidP="008636A2">
      <w:pPr>
        <w:pStyle w:val="FERCparanumber"/>
      </w:pPr>
      <w:r>
        <w:t xml:space="preserve">Third, NYPA </w:t>
      </w:r>
      <w:r w:rsidR="004C7933">
        <w:t>argues that its CAPM analysis is consistent with Commission precedent.</w:t>
      </w:r>
      <w:r>
        <w:rPr>
          <w:rStyle w:val="FootnoteReference"/>
        </w:rPr>
        <w:footnoteReference w:id="50"/>
      </w:r>
      <w:r w:rsidR="004C7933">
        <w:t xml:space="preserve">  </w:t>
      </w:r>
      <w:r w:rsidR="0043126F">
        <w:t xml:space="preserve">NYPA claims that </w:t>
      </w:r>
      <w:r w:rsidR="000C61F6">
        <w:t>Consumer Advocates</w:t>
      </w:r>
      <w:r w:rsidR="001110B6">
        <w:t>’</w:t>
      </w:r>
      <w:r w:rsidR="000C61F6">
        <w:t xml:space="preserve"> </w:t>
      </w:r>
      <w:r w:rsidR="007436EA">
        <w:t>proposed CAPM analysis propo</w:t>
      </w:r>
      <w:r w:rsidR="00804C11">
        <w:t>ses changes to the Commission’s accepted approach, including removal of the size adjustment and use of Hamada adjusted betas.</w:t>
      </w:r>
      <w:r w:rsidR="00C75CF6">
        <w:t xml:space="preserve">  NYPA adds that its use of </w:t>
      </w:r>
      <w:r w:rsidR="0003151E">
        <w:t xml:space="preserve">Value Line betas </w:t>
      </w:r>
      <w:r w:rsidR="00E041C1">
        <w:t>is</w:t>
      </w:r>
      <w:r w:rsidR="00FF1EB4">
        <w:t xml:space="preserve"> consistent with several recent Commission decisions</w:t>
      </w:r>
      <w:r w:rsidR="00A32701">
        <w:t xml:space="preserve">, including the October 2024 </w:t>
      </w:r>
      <w:r w:rsidRPr="00E365CD" w:rsidR="00A32701">
        <w:t>MISO Order</w:t>
      </w:r>
      <w:r w:rsidR="00A32701">
        <w:t>,</w:t>
      </w:r>
      <w:r>
        <w:rPr>
          <w:rStyle w:val="FootnoteReference"/>
        </w:rPr>
        <w:footnoteReference w:id="51"/>
      </w:r>
      <w:r w:rsidR="00A32701">
        <w:t xml:space="preserve"> and that </w:t>
      </w:r>
      <w:r w:rsidR="000E2D02">
        <w:t xml:space="preserve">Value Line </w:t>
      </w:r>
      <w:r w:rsidR="00B25B4C">
        <w:t xml:space="preserve">and Bloomberg </w:t>
      </w:r>
      <w:r w:rsidR="000E2D02">
        <w:t xml:space="preserve">betas </w:t>
      </w:r>
      <w:r w:rsidR="007A7D41">
        <w:t xml:space="preserve">rely </w:t>
      </w:r>
      <w:r w:rsidR="00324C4B">
        <w:t xml:space="preserve">on </w:t>
      </w:r>
      <w:r w:rsidR="00A759F2">
        <w:t xml:space="preserve">correlated </w:t>
      </w:r>
      <w:r w:rsidR="005A2FD9">
        <w:t>reference</w:t>
      </w:r>
      <w:r w:rsidR="007D4C81">
        <w:t xml:space="preserve"> </w:t>
      </w:r>
      <w:r w:rsidR="005A2FD9">
        <w:t>ind</w:t>
      </w:r>
      <w:r w:rsidR="003D499C">
        <w:t>ices</w:t>
      </w:r>
      <w:r w:rsidR="007D4C81">
        <w:t>.</w:t>
      </w:r>
      <w:r w:rsidR="00762F29">
        <w:t xml:space="preserve">  NYPA also </w:t>
      </w:r>
      <w:r w:rsidR="00DF5E8B">
        <w:t>notes</w:t>
      </w:r>
      <w:r w:rsidR="00762F29">
        <w:t xml:space="preserve"> that </w:t>
      </w:r>
      <w:r w:rsidR="00A77922">
        <w:t xml:space="preserve">the Commission in </w:t>
      </w:r>
      <w:r w:rsidR="00762F29">
        <w:t xml:space="preserve">Opinion No. 569-A </w:t>
      </w:r>
      <w:r w:rsidR="00AA52EC">
        <w:t xml:space="preserve">contemplated </w:t>
      </w:r>
      <w:r w:rsidR="0078627B">
        <w:t xml:space="preserve">use of </w:t>
      </w:r>
      <w:r w:rsidR="00AA52EC">
        <w:t xml:space="preserve">growth rate data sources besides only </w:t>
      </w:r>
      <w:r w:rsidR="0078627B">
        <w:t xml:space="preserve">IBES short-term growth rate </w:t>
      </w:r>
      <w:r w:rsidR="00F14CEB">
        <w:t>data</w:t>
      </w:r>
      <w:r w:rsidR="00E32F9F">
        <w:t>,</w:t>
      </w:r>
      <w:r>
        <w:rPr>
          <w:rStyle w:val="FootnoteReference"/>
        </w:rPr>
        <w:footnoteReference w:id="52"/>
      </w:r>
      <w:r w:rsidR="00E32F9F">
        <w:t xml:space="preserve"> and </w:t>
      </w:r>
      <w:r w:rsidR="00125756">
        <w:t>us</w:t>
      </w:r>
      <w:r w:rsidR="00091B56">
        <w:t xml:space="preserve">ing IBES-only data </w:t>
      </w:r>
      <w:r w:rsidR="00901583">
        <w:t xml:space="preserve">as NYAPP </w:t>
      </w:r>
      <w:r w:rsidR="008E33D7">
        <w:t xml:space="preserve">proposes would increase the median CAPM </w:t>
      </w:r>
      <w:r w:rsidR="00BE29ED">
        <w:t>result from 11.75% to 12.06</w:t>
      </w:r>
      <w:r w:rsidR="00EB24E4">
        <w:t>% and</w:t>
      </w:r>
      <w:r w:rsidR="00BE29ED">
        <w:t xml:space="preserve"> NYPA’s estimated ROE from 10.98% to 11.14%</w:t>
      </w:r>
      <w:r w:rsidR="00501718">
        <w:t>.</w:t>
      </w:r>
      <w:r>
        <w:rPr>
          <w:rStyle w:val="FootnoteReference"/>
        </w:rPr>
        <w:footnoteReference w:id="53"/>
      </w:r>
      <w:r w:rsidR="00EA391F">
        <w:t xml:space="preserve">  </w:t>
      </w:r>
      <w:r w:rsidR="003B28F8">
        <w:t xml:space="preserve">In addition, NYPA claims that </w:t>
      </w:r>
      <w:r w:rsidR="00603632">
        <w:t xml:space="preserve">estimating market return using the same adjustment to the dividend yield used in the DCF analysis </w:t>
      </w:r>
      <w:r w:rsidR="00E7528D">
        <w:t xml:space="preserve">has been consistently affirmed by the Commission.  </w:t>
      </w:r>
      <w:r w:rsidR="00662B22">
        <w:t xml:space="preserve">NYPA adds that it relied upon </w:t>
      </w:r>
      <w:r w:rsidRPr="005063AD" w:rsidR="005063AD">
        <w:t>six-month average market capitalization data for the proxy companies to determine the size premium decile adjustment as provided by the 2024 Duff &amp; Phelps Cost of Capital Navigator - Size Premium: Annual Data as of 12/31/2023</w:t>
      </w:r>
      <w:r w:rsidR="00076DBC">
        <w:t>,</w:t>
      </w:r>
      <w:r w:rsidR="00C70058">
        <w:t xml:space="preserve"> con</w:t>
      </w:r>
      <w:r w:rsidR="006729C3">
        <w:t>sistent with Commission precedent.</w:t>
      </w:r>
      <w:r>
        <w:rPr>
          <w:rStyle w:val="FootnoteReference"/>
        </w:rPr>
        <w:footnoteReference w:id="54"/>
      </w:r>
    </w:p>
    <w:p w:rsidR="0047626E" w:rsidRPr="008636A2" w:rsidP="008636A2">
      <w:pPr>
        <w:pStyle w:val="FERCparanumber"/>
      </w:pPr>
      <w:r>
        <w:t xml:space="preserve">Last, NYPA </w:t>
      </w:r>
      <w:r w:rsidR="005C3B1E">
        <w:t xml:space="preserve">argues that </w:t>
      </w:r>
      <w:r w:rsidR="00774197">
        <w:t>the median of the</w:t>
      </w:r>
      <w:r w:rsidR="007F153E">
        <w:t xml:space="preserve"> zone of reasonableness </w:t>
      </w:r>
      <w:r w:rsidR="004B7A3B">
        <w:t xml:space="preserve">is the appropriate place for NYPA’s ROE </w:t>
      </w:r>
      <w:r w:rsidR="0087692D">
        <w:t xml:space="preserve">given that no party has </w:t>
      </w:r>
      <w:r w:rsidR="00AB1AB7">
        <w:t>demonstrated that</w:t>
      </w:r>
      <w:r w:rsidR="00DA1AC0">
        <w:t xml:space="preserve"> NYPA’s transmission investment risk profile is lower than that of the proxy companies</w:t>
      </w:r>
      <w:r w:rsidR="007F153E">
        <w:t>.</w:t>
      </w:r>
      <w:r>
        <w:rPr>
          <w:rStyle w:val="FootnoteReference"/>
        </w:rPr>
        <w:footnoteReference w:id="55"/>
      </w:r>
      <w:r w:rsidR="00811C62">
        <w:t xml:space="preserve">  NYPA emphasizes that it</w:t>
      </w:r>
      <w:r w:rsidR="00D6189E">
        <w:t>s transmission infrastructure project</w:t>
      </w:r>
      <w:r w:rsidR="00186515">
        <w:t>s</w:t>
      </w:r>
      <w:r w:rsidR="00AE69FA">
        <w:t>,</w:t>
      </w:r>
      <w:r w:rsidR="00186515">
        <w:t xml:space="preserve"> expected to cost hundreds of millions of dollars</w:t>
      </w:r>
      <w:r w:rsidR="00AE69FA">
        <w:t>,</w:t>
      </w:r>
      <w:r w:rsidR="00186515">
        <w:t xml:space="preserve"> face</w:t>
      </w:r>
      <w:r w:rsidR="00856637">
        <w:t xml:space="preserve"> substantial siting and construction risk</w:t>
      </w:r>
      <w:r w:rsidR="002D5DFD">
        <w:t xml:space="preserve"> and cost cap provisions.</w:t>
      </w:r>
      <w:r w:rsidR="00756960">
        <w:t xml:space="preserve">  NYPA also explains that</w:t>
      </w:r>
      <w:r w:rsidR="00897EEA">
        <w:t xml:space="preserve">, while upward adjustment was warranted to reflect SDG&amp;E’s </w:t>
      </w:r>
      <w:r w:rsidR="00B33DE1">
        <w:t>above-average</w:t>
      </w:r>
      <w:r w:rsidR="00C874B3">
        <w:t xml:space="preserve"> wild</w:t>
      </w:r>
      <w:r w:rsidR="00B33DE1">
        <w:t>fire risk,</w:t>
      </w:r>
      <w:r w:rsidR="00756960">
        <w:t xml:space="preserve"> </w:t>
      </w:r>
      <w:r w:rsidR="00E51AB3">
        <w:t>no downward adjustment</w:t>
      </w:r>
      <w:r w:rsidR="00E5345F">
        <w:t xml:space="preserve"> is warranted to reflect NYPA’s minimal wildfire risk</w:t>
      </w:r>
      <w:r w:rsidR="00284192">
        <w:t xml:space="preserve"> because that minimal risk is consistent with the </w:t>
      </w:r>
      <w:r w:rsidR="00CD7BF7">
        <w:t>majority of the proxy companies</w:t>
      </w:r>
      <w:r w:rsidR="00E51AB3">
        <w:t>.</w:t>
      </w:r>
      <w:r w:rsidR="00DF76C9">
        <w:t xml:space="preserve">  NYPA also </w:t>
      </w:r>
      <w:r w:rsidR="002C4638">
        <w:t>contests</w:t>
      </w:r>
      <w:r w:rsidR="00DF76C9">
        <w:t xml:space="preserve"> </w:t>
      </w:r>
      <w:r w:rsidR="00C36FFD">
        <w:t xml:space="preserve">Consumer Advocates’ </w:t>
      </w:r>
      <w:r w:rsidR="002C4638">
        <w:t>claims</w:t>
      </w:r>
      <w:r w:rsidR="005E1901">
        <w:t xml:space="preserve"> </w:t>
      </w:r>
      <w:r w:rsidR="002C4638">
        <w:t xml:space="preserve">that </w:t>
      </w:r>
      <w:r w:rsidR="00F96F8A">
        <w:t>other</w:t>
      </w:r>
      <w:r w:rsidR="003017AF">
        <w:t xml:space="preserve"> factors reduce NYPA’s risk</w:t>
      </w:r>
      <w:r w:rsidR="005E1901">
        <w:t>,</w:t>
      </w:r>
      <w:r>
        <w:rPr>
          <w:rStyle w:val="FootnoteReference"/>
        </w:rPr>
        <w:footnoteReference w:id="56"/>
      </w:r>
      <w:r w:rsidR="005E1901">
        <w:t xml:space="preserve"> </w:t>
      </w:r>
      <w:r w:rsidR="002D7FB8">
        <w:t>arguing</w:t>
      </w:r>
      <w:r w:rsidR="003017AF">
        <w:t xml:space="preserve"> that</w:t>
      </w:r>
      <w:r w:rsidR="005E1901">
        <w:t xml:space="preserve">:  (1) NYPA only </w:t>
      </w:r>
      <w:r w:rsidR="00FF295E">
        <w:t xml:space="preserve">used the </w:t>
      </w:r>
      <w:r w:rsidRPr="00666396" w:rsidR="00666396">
        <w:t>construction work in progress (CWIP) incentive</w:t>
      </w:r>
      <w:r w:rsidR="00666396">
        <w:t xml:space="preserve"> for its portion of the now completed Segment A of the AC Projects</w:t>
      </w:r>
      <w:r w:rsidR="00756B91">
        <w:t>, which comprise</w:t>
      </w:r>
      <w:r w:rsidR="00472AA6">
        <w:t>s</w:t>
      </w:r>
      <w:r w:rsidR="00756B91">
        <w:t xml:space="preserve"> </w:t>
      </w:r>
      <w:r w:rsidR="0081536A">
        <w:t>less than 5% of th</w:t>
      </w:r>
      <w:r w:rsidR="007E3F03">
        <w:t xml:space="preserve">e NYPA </w:t>
      </w:r>
      <w:r w:rsidR="00FB3680">
        <w:t>ATRR</w:t>
      </w:r>
      <w:r w:rsidR="00B56DA9">
        <w:t xml:space="preserve">; </w:t>
      </w:r>
      <w:r w:rsidR="00451DD9">
        <w:t xml:space="preserve">(2) </w:t>
      </w:r>
      <w:r w:rsidR="000743F9">
        <w:t xml:space="preserve">Consumer Advocates fail to show that </w:t>
      </w:r>
      <w:r w:rsidR="00EA7B5E">
        <w:t>true-up mechanisms</w:t>
      </w:r>
      <w:r w:rsidR="00FD65C2">
        <w:t>, which NYPA asserts are present in all formula rates,</w:t>
      </w:r>
      <w:r w:rsidR="00EA7B5E">
        <w:t xml:space="preserve"> reduce risk </w:t>
      </w:r>
      <w:r w:rsidR="00684383">
        <w:t>or</w:t>
      </w:r>
      <w:r w:rsidR="00EA7B5E">
        <w:t xml:space="preserve"> that </w:t>
      </w:r>
      <w:r w:rsidR="000743F9">
        <w:t xml:space="preserve">the </w:t>
      </w:r>
      <w:r w:rsidR="00EA7B5E">
        <w:t xml:space="preserve">proxy companies do not have formula rates; and (3) </w:t>
      </w:r>
      <w:r w:rsidR="001B6EDC">
        <w:t>the Commission considers lack of retail transmission businesses and distribution facilities</w:t>
      </w:r>
      <w:r w:rsidR="00153227">
        <w:t xml:space="preserve"> to increase risk</w:t>
      </w:r>
      <w:r w:rsidRPr="00153227" w:rsidR="00153227">
        <w:t xml:space="preserve"> </w:t>
      </w:r>
      <w:r w:rsidR="00153227">
        <w:t>compared to the proxy companies</w:t>
      </w:r>
      <w:r w:rsidR="00876509">
        <w:t>.</w:t>
      </w:r>
      <w:r>
        <w:rPr>
          <w:rStyle w:val="FootnoteReference"/>
        </w:rPr>
        <w:footnoteReference w:id="57"/>
      </w:r>
      <w:r w:rsidR="00A1286D">
        <w:t xml:space="preserve"> </w:t>
      </w:r>
    </w:p>
    <w:p w:rsidR="0074543B" w:rsidP="0074543B">
      <w:pPr>
        <w:pStyle w:val="Heading1"/>
      </w:pPr>
      <w:r>
        <w:t>Discussion</w:t>
      </w:r>
    </w:p>
    <w:p w:rsidR="0074543B" w:rsidP="0074543B">
      <w:pPr>
        <w:pStyle w:val="Heading2"/>
      </w:pPr>
      <w:r>
        <w:t>Procedural Matters</w:t>
      </w:r>
    </w:p>
    <w:p w:rsidR="00A871DC" w:rsidP="00A871DC">
      <w:pPr>
        <w:pStyle w:val="FERCparanumber"/>
      </w:pPr>
      <w:r w:rsidRPr="004454A8">
        <w:t xml:space="preserve">Pursuant to Rule 214 of the Commission’s Rules of Practice and Procedure, </w:t>
      </w:r>
      <w:r>
        <w:br/>
      </w:r>
      <w:r w:rsidRPr="004454A8">
        <w:t>18 C.F.R. § 385.214 (</w:t>
      </w:r>
      <w:r w:rsidRPr="00FA6498">
        <w:t>202</w:t>
      </w:r>
      <w:r w:rsidRPr="001262D8" w:rsidR="00C60F38">
        <w:t>4</w:t>
      </w:r>
      <w:r w:rsidRPr="004454A8">
        <w:t xml:space="preserve">), </w:t>
      </w:r>
      <w:r w:rsidR="00466E33">
        <w:t xml:space="preserve">the New York Commission’s </w:t>
      </w:r>
      <w:r w:rsidR="004F4B68">
        <w:t xml:space="preserve">notice of intervention and </w:t>
      </w:r>
      <w:r w:rsidRPr="004454A8">
        <w:t xml:space="preserve">the timely, unopposed motions to intervene serve to make the entities that filed them parties to this proceeding.  </w:t>
      </w:r>
    </w:p>
    <w:p w:rsidR="00DF5389" w:rsidP="00DF5389">
      <w:pPr>
        <w:pStyle w:val="FERCparanumber"/>
      </w:pPr>
      <w:r w:rsidRPr="3CEEC841">
        <w:t xml:space="preserve">Rule </w:t>
      </w:r>
      <w:r>
        <w:t>213</w:t>
      </w:r>
      <w:r w:rsidRPr="3CEEC841">
        <w:t xml:space="preserve">(a)(2) of the Commission's Rules of Practice and Procedure, </w:t>
      </w:r>
      <w:r w:rsidR="00AC3FD7">
        <w:t xml:space="preserve">                           </w:t>
      </w:r>
      <w:r w:rsidRPr="3CEEC841">
        <w:t>18 C.F.R. §</w:t>
      </w:r>
      <w:r>
        <w:t> </w:t>
      </w:r>
      <w:r w:rsidRPr="3CEEC841">
        <w:t xml:space="preserve">385.213(a)(2) </w:t>
      </w:r>
      <w:r>
        <w:t>(2024)</w:t>
      </w:r>
      <w:r w:rsidRPr="3CEEC841">
        <w:t xml:space="preserve">, prohibits an answer to a protest unless otherwise ordered by the decisional authority.  We accept </w:t>
      </w:r>
      <w:r w:rsidR="00843059">
        <w:t>NYPA’s</w:t>
      </w:r>
      <w:r w:rsidRPr="3CEEC841">
        <w:t xml:space="preserve"> answer because it has provided information that assisted us in our decision-making process</w:t>
      </w:r>
      <w:r w:rsidR="008F5C18">
        <w:t>.</w:t>
      </w:r>
    </w:p>
    <w:p w:rsidR="0074543B" w:rsidP="0074543B">
      <w:pPr>
        <w:pStyle w:val="Heading2"/>
      </w:pPr>
      <w:r>
        <w:t>Substantive Matters</w:t>
      </w:r>
    </w:p>
    <w:p w:rsidR="00C67FE8" w:rsidP="00C67FE8">
      <w:pPr>
        <w:pStyle w:val="Heading3"/>
      </w:pPr>
      <w:r>
        <w:t>Standard of Review</w:t>
      </w:r>
    </w:p>
    <w:p w:rsidR="00992307" w:rsidP="00992307">
      <w:pPr>
        <w:pStyle w:val="FERCparanumber"/>
      </w:pPr>
      <w:r w:rsidRPr="000A3C87">
        <w:t>The Commission has addressed the standard of review to be applied to petitions involving non-jurisdictional transmission revenue requirements in an opinion reviewing the transmission revenue requirement filed by the City of Vernon, California (Vernon).</w:t>
      </w:r>
      <w:r>
        <w:rPr>
          <w:b/>
          <w:vertAlign w:val="superscript"/>
        </w:rPr>
        <w:footnoteReference w:id="58"/>
      </w:r>
      <w:r w:rsidRPr="000A3C87">
        <w:t xml:space="preserve">  In Opinion No. 479, the Commission recognized that, as a municipally</w:t>
      </w:r>
      <w:r w:rsidR="00F114AD">
        <w:t xml:space="preserve"> </w:t>
      </w:r>
      <w:r w:rsidRPr="000A3C87">
        <w:t>owned utility, Vernon was not subject to the Commission’s jurisdiction under FPA section 205.</w:t>
      </w:r>
      <w:r>
        <w:rPr>
          <w:b/>
          <w:vertAlign w:val="superscript"/>
        </w:rPr>
        <w:footnoteReference w:id="59"/>
      </w:r>
      <w:r w:rsidRPr="000A3C87">
        <w:t xml:space="preserve">  However, the Commission noted that, because Vernon voluntarily submitted its transmission revenue requirement as a component of the California Independent System Operator Corporation’s (CAISO) jurisdictional rate, Vernon’s transmission revenue requirement was “subject to a full and complete section 205 review as part of our </w:t>
      </w:r>
      <w:r w:rsidR="00AC3FD7">
        <w:t xml:space="preserve">         </w:t>
      </w:r>
      <w:r w:rsidRPr="000A3C87">
        <w:t>section 205 review of that jurisdictional rate.”</w:t>
      </w:r>
      <w:r>
        <w:rPr>
          <w:b/>
          <w:vertAlign w:val="superscript"/>
        </w:rPr>
        <w:footnoteReference w:id="60"/>
      </w:r>
      <w:r w:rsidRPr="000A3C87">
        <w:t xml:space="preserve">  The Commission explained that, in </w:t>
      </w:r>
      <w:r w:rsidRPr="000A3C87">
        <w:rPr>
          <w:i/>
          <w:iCs/>
        </w:rPr>
        <w:t>Pacific Gas &amp; Electric Co. v. FERC</w:t>
      </w:r>
      <w:r w:rsidRPr="000A3C87">
        <w:t>, the U.S. Court of Appeals for the District of Columbia Circuit held that the Commission had statutory authority to review Vernon’s transmission revenue requirement “to the extent necessary to ensure that the CAISO rates are just and reasonable.”</w:t>
      </w:r>
      <w:r>
        <w:rPr>
          <w:b/>
          <w:vertAlign w:val="superscript"/>
        </w:rPr>
        <w:footnoteReference w:id="61"/>
      </w:r>
    </w:p>
    <w:p w:rsidR="00013D2D" w:rsidP="00992307">
      <w:pPr>
        <w:pStyle w:val="FERCparanumber"/>
      </w:pPr>
      <w:r w:rsidRPr="004B7078">
        <w:t xml:space="preserve">Subsequently, in </w:t>
      </w:r>
      <w:r w:rsidRPr="004B7078">
        <w:rPr>
          <w:i/>
          <w:iCs/>
        </w:rPr>
        <w:t>TANC</w:t>
      </w:r>
      <w:r w:rsidRPr="004B7078">
        <w:t>,</w:t>
      </w:r>
      <w:r w:rsidRPr="004B7078">
        <w:rPr>
          <w:i/>
          <w:iCs/>
        </w:rPr>
        <w:t xml:space="preserve"> </w:t>
      </w:r>
      <w:r w:rsidRPr="004B7078">
        <w:t xml:space="preserve">the court upheld the Commission’s decision that subjecting the transmission revenue requirements of non-jurisdictional utilities (such as Vernon) to a full section 205 review is “the </w:t>
      </w:r>
      <w:r w:rsidRPr="004B7078">
        <w:rPr>
          <w:i/>
          <w:iCs/>
        </w:rPr>
        <w:t>only</w:t>
      </w:r>
      <w:r w:rsidRPr="004B7078">
        <w:t xml:space="preserve"> way to ensure that CAISO’s rate is just and reasonable.”</w:t>
      </w:r>
      <w:r>
        <w:rPr>
          <w:b/>
          <w:vertAlign w:val="superscript"/>
        </w:rPr>
        <w:footnoteReference w:id="62"/>
      </w:r>
      <w:r w:rsidRPr="004B7078">
        <w:t xml:space="preserve">  However, the court rejected the Commission’s authority to order Vernon to pay refunds under FPA section 205.</w:t>
      </w:r>
      <w:r>
        <w:rPr>
          <w:b/>
          <w:vertAlign w:val="superscript"/>
        </w:rPr>
        <w:footnoteReference w:id="63"/>
      </w:r>
      <w:r w:rsidRPr="004B7078">
        <w:t xml:space="preserve">  The court held that the structure of the FPA clearly reflected Congress’s intent to exempt governmental entities and non-public utilities from the Commission’s refund authority under FPA section 205 over wholesale electric energy sales.</w:t>
      </w:r>
      <w:r>
        <w:rPr>
          <w:b/>
          <w:vertAlign w:val="superscript"/>
        </w:rPr>
        <w:footnoteReference w:id="64"/>
      </w:r>
      <w:r w:rsidRPr="004B7078">
        <w:t xml:space="preserve">  The court reasoned that FPA section 201(f) exempts from Part II of the FPA “any political subdivision of a state.”</w:t>
      </w:r>
      <w:r>
        <w:rPr>
          <w:b/>
          <w:vertAlign w:val="superscript"/>
        </w:rPr>
        <w:footnoteReference w:id="65"/>
      </w:r>
    </w:p>
    <w:p w:rsidR="00D67E1D" w:rsidP="00992307">
      <w:pPr>
        <w:pStyle w:val="FERCparanumber"/>
      </w:pPr>
      <w:r w:rsidRPr="00634017">
        <w:t xml:space="preserve">Therefore, while </w:t>
      </w:r>
      <w:r>
        <w:t>NYPA</w:t>
      </w:r>
      <w:r w:rsidRPr="00634017">
        <w:t xml:space="preserve"> is not within the Commission’s jurisdiction under FPA section 205, we find that, based on the precedent cited above, it is appropriate to apply the just and reasonable standard of FPA section 205 to </w:t>
      </w:r>
      <w:r>
        <w:t>NYPA’s</w:t>
      </w:r>
      <w:r w:rsidRPr="00634017">
        <w:t xml:space="preserve"> proposed transmission rates, which are a component of </w:t>
      </w:r>
      <w:r>
        <w:t>NYISO’s</w:t>
      </w:r>
      <w:r w:rsidRPr="00634017">
        <w:t xml:space="preserve"> jurisdictional rates.</w:t>
      </w:r>
      <w:r w:rsidR="001B100F">
        <w:rPr>
          <w:rStyle w:val="CommentReference"/>
          <w:rFonts w:ascii="Arial" w:hAnsi="Arial" w:cs="Arial"/>
        </w:rPr>
        <w:t xml:space="preserve"> </w:t>
      </w:r>
      <w:r w:rsidRPr="00634017">
        <w:t xml:space="preserve"> To determine the justness and reasonableness of such rates, we find that, as discussed below, hearing and settlement judge procedures are appropriate.</w:t>
      </w:r>
    </w:p>
    <w:p w:rsidR="002D1678" w:rsidRPr="00992307" w:rsidP="00C21D33">
      <w:pPr>
        <w:pStyle w:val="FERCparanumber"/>
      </w:pPr>
      <w:r w:rsidRPr="00DD756F">
        <w:t xml:space="preserve">Furthermore, </w:t>
      </w:r>
      <w:r>
        <w:t>NYPA</w:t>
      </w:r>
      <w:r w:rsidRPr="00DD756F">
        <w:t xml:space="preserve"> is not subject to the Commission-imposed rate suspension and refund obligations under FPA section 205.</w:t>
      </w:r>
      <w:r>
        <w:rPr>
          <w:rStyle w:val="FootnoteReference"/>
        </w:rPr>
        <w:footnoteReference w:id="66"/>
      </w:r>
      <w:r w:rsidRPr="00DD756F">
        <w:t xml:space="preserve">  However, we note that </w:t>
      </w:r>
      <w:r>
        <w:t>NYPA</w:t>
      </w:r>
      <w:r w:rsidRPr="00DD756F">
        <w:t xml:space="preserve"> has voluntarily </w:t>
      </w:r>
      <w:r w:rsidR="00E15F6E">
        <w:t>committed to making appropriate refunds for any collection based on the ATRR that exceeds what the Commission accepts as just and reasonable.</w:t>
      </w:r>
      <w:r>
        <w:rPr>
          <w:rStyle w:val="FootnoteReference"/>
        </w:rPr>
        <w:footnoteReference w:id="67"/>
      </w:r>
      <w:r w:rsidR="00A173FB">
        <w:t xml:space="preserve">  </w:t>
      </w:r>
      <w:r w:rsidRPr="00D007CF" w:rsidR="00A173FB">
        <w:t>We accept NYPA</w:t>
      </w:r>
      <w:r w:rsidR="00A173FB">
        <w:t>’</w:t>
      </w:r>
      <w:r w:rsidRPr="00D007CF" w:rsidR="00A173FB">
        <w:t xml:space="preserve">s commitment to make </w:t>
      </w:r>
      <w:r w:rsidR="00A173FB">
        <w:t xml:space="preserve">appropriate </w:t>
      </w:r>
      <w:r w:rsidRPr="00D007CF" w:rsidR="00A173FB">
        <w:t>refunds to customers</w:t>
      </w:r>
      <w:r w:rsidR="00A173FB">
        <w:t>, consistent with NYPA’s past practice under its formula rate</w:t>
      </w:r>
      <w:r w:rsidRPr="00D007CF" w:rsidR="00A173FB">
        <w:t>.</w:t>
      </w:r>
    </w:p>
    <w:p w:rsidR="00C67FE8" w:rsidRPr="00C67FE8" w:rsidP="00C21D33">
      <w:pPr>
        <w:pStyle w:val="Heading3"/>
      </w:pPr>
      <w:r>
        <w:t>Proposed OATT Revisions</w:t>
      </w:r>
    </w:p>
    <w:p w:rsidR="00E03ECF" w:rsidP="0078617C">
      <w:pPr>
        <w:pStyle w:val="FERCparanumber"/>
        <w:spacing w:after="240"/>
      </w:pPr>
      <w:r w:rsidRPr="00D90BE0">
        <w:t xml:space="preserve">Our preliminary analysis indicates that </w:t>
      </w:r>
      <w:r>
        <w:t xml:space="preserve">NYPA’s </w:t>
      </w:r>
      <w:r w:rsidR="00C730F2">
        <w:t>OATT revision</w:t>
      </w:r>
      <w:r w:rsidR="00E46A71">
        <w:t>s</w:t>
      </w:r>
      <w:r w:rsidR="00263E9E">
        <w:rPr>
          <w:b/>
          <w:bCs/>
        </w:rPr>
        <w:t xml:space="preserve"> </w:t>
      </w:r>
      <w:r w:rsidR="00263E9E">
        <w:t>have</w:t>
      </w:r>
      <w:r w:rsidRPr="00D90BE0">
        <w:t xml:space="preserve"> not been shown to be just and reasonable and may be unjust, unreasonable, unduly discriminatory or preferential, or otherwise unlawful.  </w:t>
      </w:r>
      <w:r w:rsidR="004D512A">
        <w:t>NYPA’s</w:t>
      </w:r>
      <w:r w:rsidRPr="00D90BE0">
        <w:rPr>
          <w:b/>
          <w:bCs/>
        </w:rPr>
        <w:t xml:space="preserve"> </w:t>
      </w:r>
      <w:r w:rsidRPr="00D90BE0">
        <w:t xml:space="preserve">filing raises issues of material fact that cannot be resolved based on the record before us and that are more appropriately addressed in the hearing and settlement judge procedures ordered below. </w:t>
      </w:r>
      <w:r>
        <w:t xml:space="preserve"> </w:t>
      </w:r>
      <w:r w:rsidRPr="00AC7A6D" w:rsidR="00AC7A6D">
        <w:t xml:space="preserve">Accordingly, we accept </w:t>
      </w:r>
      <w:r w:rsidR="00AC7A6D">
        <w:t>NYPA’s</w:t>
      </w:r>
      <w:r w:rsidRPr="00AC7A6D" w:rsidR="00AC7A6D">
        <w:t xml:space="preserve"> filing, </w:t>
      </w:r>
      <w:r w:rsidRPr="004D4284" w:rsidR="00AC7A6D">
        <w:t xml:space="preserve">effective </w:t>
      </w:r>
      <w:r w:rsidRPr="004D4284" w:rsidR="00F43E72">
        <w:t>November</w:t>
      </w:r>
      <w:r w:rsidRPr="004D4284" w:rsidR="00AC7A6D">
        <w:t xml:space="preserve"> 1, 2024, as requested</w:t>
      </w:r>
      <w:r w:rsidRPr="00AC7A6D" w:rsidR="00AC7A6D">
        <w:t xml:space="preserve">, </w:t>
      </w:r>
      <w:r w:rsidR="000E3BDA">
        <w:t xml:space="preserve">subject to refund, </w:t>
      </w:r>
      <w:r w:rsidR="00362C19">
        <w:t>and</w:t>
      </w:r>
      <w:r w:rsidR="008210FC">
        <w:t xml:space="preserve"> </w:t>
      </w:r>
      <w:r w:rsidRPr="00AC7A6D" w:rsidR="00AC7A6D">
        <w:t xml:space="preserve">establish hearing and settlement judge procedures. </w:t>
      </w:r>
      <w:r w:rsidR="00D007CF">
        <w:t xml:space="preserve"> </w:t>
      </w:r>
    </w:p>
    <w:p w:rsidR="00AF5935" w:rsidRPr="00AF5935" w:rsidP="00FB5BEA">
      <w:pPr>
        <w:pStyle w:val="FERCparanumber"/>
      </w:pPr>
      <w:r w:rsidRPr="00424766">
        <w:t>While we are setting these matters for a trial-type evidentiary hearing,</w:t>
      </w:r>
      <w:r>
        <w:rPr>
          <w:rStyle w:val="FootnoteReference"/>
        </w:rPr>
        <w:footnoteReference w:id="68"/>
      </w:r>
      <w:r w:rsidRPr="00424766">
        <w:t xml:space="preserve"> we encourage efforts to reach settlement before hearing procedures commence.  </w:t>
      </w:r>
      <w:r w:rsidRPr="002A7221">
        <w:t>To aid settlement efforts, we will hold the hearing in abeyance and direct that a settlement</w:t>
      </w:r>
      <w:r w:rsidRPr="00CE7718">
        <w:t xml:space="preserve"> judge be appointed, pursuant to Rule 603</w:t>
      </w:r>
      <w:r w:rsidRPr="00773BD8">
        <w:t xml:space="preserve"> of the Commission’s Rules of Practice and Procedure.</w:t>
      </w:r>
      <w:r>
        <w:rPr>
          <w:b/>
          <w:vertAlign w:val="superscript"/>
        </w:rPr>
        <w:footnoteReference w:id="69"/>
      </w:r>
      <w:r w:rsidRPr="00773BD8">
        <w:t xml:space="preserve">  If parties desire, they may, by mutual agreement, request a specific judge as the settlement judge in the proceeding.  The Chief Judge, however, may not be able to designate the requested settlement judge based on workload requirements which determine judges’ availability.</w:t>
      </w:r>
      <w:r>
        <w:rPr>
          <w:b/>
          <w:vertAlign w:val="superscript"/>
        </w:rPr>
        <w:footnoteReference w:id="70"/>
      </w:r>
      <w:r w:rsidRPr="00773BD8">
        <w:t xml:space="preserve">  The settlement judge shall report to the Chief Judge and the Commission within </w:t>
      </w:r>
      <w:r>
        <w:t>30</w:t>
      </w:r>
      <w:r w:rsidRPr="00773BD8">
        <w:t xml:space="preserve"> days of the date of the appointment of the settlement judge</w:t>
      </w:r>
      <w:r>
        <w:t xml:space="preserve"> on</w:t>
      </w:r>
      <w:r w:rsidRPr="00773BD8">
        <w:t xml:space="preserve"> the status of settlement discussions. </w:t>
      </w:r>
      <w:r>
        <w:t xml:space="preserve"> </w:t>
      </w:r>
      <w:r w:rsidRPr="00773BD8">
        <w:t>Based on this report, the Chief Judge shall provide additional time to continue settlement discussions or provide for commencement of a hearing by assigning the case to a presiding judge.</w:t>
      </w:r>
    </w:p>
    <w:p w:rsidR="00CA57BF" w:rsidRPr="00AF5935" w:rsidP="004E4DA6">
      <w:pPr>
        <w:pStyle w:val="FERCparanumber"/>
      </w:pPr>
      <w:r>
        <w:t>In addition, we grant NYPA’s requested waiver of section 35.13 of the Commission</w:t>
      </w:r>
      <w:r w:rsidR="003D6267">
        <w:t>’</w:t>
      </w:r>
      <w:r>
        <w:t>s regulations</w:t>
      </w:r>
      <w:r w:rsidR="00564ABD">
        <w:t xml:space="preserve"> </w:t>
      </w:r>
      <w:r w:rsidR="00020FCC">
        <w:t>consistent with Commission</w:t>
      </w:r>
      <w:r w:rsidR="00F21D49">
        <w:t xml:space="preserve"> </w:t>
      </w:r>
      <w:r w:rsidR="00020FCC">
        <w:t xml:space="preserve">practice </w:t>
      </w:r>
      <w:r w:rsidR="00F21D49">
        <w:t>for</w:t>
      </w:r>
      <w:r w:rsidR="00020FCC">
        <w:t xml:space="preserve"> non-jurisdictional utilities</w:t>
      </w:r>
      <w:r>
        <w:t>.</w:t>
      </w:r>
      <w:r>
        <w:rPr>
          <w:rStyle w:val="FootnoteReference"/>
        </w:rPr>
        <w:footnoteReference w:id="71"/>
      </w:r>
      <w:r>
        <w:t> </w:t>
      </w:r>
      <w:r w:rsidR="007305FE">
        <w:t xml:space="preserve"> </w:t>
      </w:r>
      <w:r w:rsidRPr="00273BD6" w:rsidR="00273BD6">
        <w:t xml:space="preserve">Because </w:t>
      </w:r>
      <w:r w:rsidR="00273BD6">
        <w:t>NYPA</w:t>
      </w:r>
      <w:r w:rsidRPr="00273BD6" w:rsidR="00273BD6">
        <w:t xml:space="preserve"> is not subject to FPA section 205, it is not subject to the Commission</w:t>
      </w:r>
      <w:r w:rsidR="00273BD6">
        <w:t>’</w:t>
      </w:r>
      <w:r w:rsidRPr="00273BD6" w:rsidR="00273BD6">
        <w:t xml:space="preserve">s cost of service regulatory filing requirements. </w:t>
      </w:r>
      <w:r w:rsidR="00273BD6">
        <w:t xml:space="preserve"> </w:t>
      </w:r>
      <w:r w:rsidR="0014354E">
        <w:t>Nonetheless, i</w:t>
      </w:r>
      <w:r w:rsidRPr="004D42B4" w:rsidR="004D42B4">
        <w:t>n order to enable the Commission to conduct a section 205 evaluation of the justness and reasonableness of NYPA’s proposed tariff revisions to its Formula Rate as discussed above, there must be a sufficient record developed in order to permit the Commission to make such an evaluation</w:t>
      </w:r>
      <w:r w:rsidR="00AE34BF">
        <w:t>.</w:t>
      </w:r>
      <w:r>
        <w:rPr>
          <w:rStyle w:val="FootnoteReference"/>
        </w:rPr>
        <w:footnoteReference w:id="72"/>
      </w:r>
      <w:r w:rsidR="00AE34BF">
        <w:t xml:space="preserve"> </w:t>
      </w:r>
      <w:r w:rsidR="00273BD6">
        <w:t xml:space="preserve"> </w:t>
      </w:r>
      <w:r w:rsidR="009543AB">
        <w:t xml:space="preserve"> </w:t>
      </w:r>
    </w:p>
    <w:p w:rsidR="002F2FCC" w:rsidP="00AC3FD7">
      <w:pPr>
        <w:pageBreakBefore/>
      </w:pPr>
      <w:r w:rsidRPr="00CD0B38">
        <w:rPr>
          <w:u w:val="single"/>
        </w:rPr>
        <w:t>The Commission orders</w:t>
      </w:r>
      <w:r w:rsidRPr="00CD0B38">
        <w:t>:</w:t>
      </w:r>
    </w:p>
    <w:p w:rsidR="002F2FCC"/>
    <w:p w:rsidR="00CE51E4" w:rsidP="00CE51E4">
      <w:pPr>
        <w:pStyle w:val="ListParagraph"/>
        <w:numPr>
          <w:ilvl w:val="0"/>
          <w:numId w:val="23"/>
        </w:numPr>
      </w:pPr>
      <w:r>
        <w:t>NYPA</w:t>
      </w:r>
      <w:r w:rsidRPr="005C79CF" w:rsidR="005C79CF">
        <w:t xml:space="preserve">’s proposed </w:t>
      </w:r>
      <w:r w:rsidR="00AD5F6B">
        <w:t>OATT</w:t>
      </w:r>
      <w:r w:rsidRPr="005C79CF" w:rsidR="00AD5F6B">
        <w:t xml:space="preserve"> </w:t>
      </w:r>
      <w:r w:rsidRPr="005C79CF" w:rsidR="005C79CF">
        <w:t xml:space="preserve">revisions are hereby accepted for filing, to become </w:t>
      </w:r>
      <w:r w:rsidRPr="003A6077" w:rsidR="005C79CF">
        <w:t xml:space="preserve">effective </w:t>
      </w:r>
      <w:r w:rsidRPr="003A6077" w:rsidR="00CE7C13">
        <w:t>November 1, 2024</w:t>
      </w:r>
      <w:r w:rsidRPr="005C79CF" w:rsidR="005C79CF">
        <w:t>,</w:t>
      </w:r>
      <w:r w:rsidR="00544AB0">
        <w:t xml:space="preserve"> </w:t>
      </w:r>
      <w:r w:rsidR="00736094">
        <w:t>subject to refund</w:t>
      </w:r>
      <w:r w:rsidR="00544AB0">
        <w:t>,</w:t>
      </w:r>
      <w:r w:rsidRPr="005C79CF" w:rsidR="005C79CF">
        <w:t xml:space="preserve"> as discussed in the body of this order.</w:t>
      </w:r>
    </w:p>
    <w:p w:rsidR="002E540F" w:rsidP="00975B91"/>
    <w:p w:rsidR="00CE51E4" w:rsidP="00CE51E4">
      <w:pPr>
        <w:pStyle w:val="ListParagraph"/>
        <w:numPr>
          <w:ilvl w:val="0"/>
          <w:numId w:val="23"/>
        </w:numPr>
      </w:pPr>
      <w:r w:rsidRPr="005C79CF">
        <w:t xml:space="preserve">Pursuant to the authority contained in and subject to the jurisdiction conferred on the Federal Energy Regulatory Commission by section 402(a) of the Department of Energy Organization Act and the FPA, particularly sections 205 and 206 thereof, and pursuant to the Commission’s Rules of Practice and Procedure and the regulations under the FPA (18 C.F.R. Chapter I), a public hearing shall be held concerning the justness and reasonableness of </w:t>
      </w:r>
      <w:r>
        <w:t>NYPA</w:t>
      </w:r>
      <w:r w:rsidRPr="005C79CF">
        <w:t xml:space="preserve">’s </w:t>
      </w:r>
      <w:r w:rsidRPr="005C79CF">
        <w:t xml:space="preserve">proposed </w:t>
      </w:r>
      <w:r>
        <w:t xml:space="preserve">OATT </w:t>
      </w:r>
      <w:r w:rsidRPr="005C79CF">
        <w:t>revisions, as discussed in the body of this order.  However, the hearing will be held in abeyance to provide time for settlement judge procedures, as discussed in Ordering Paragraphs (</w:t>
      </w:r>
      <w:r w:rsidR="00177C21">
        <w:t>C</w:t>
      </w:r>
      <w:r w:rsidRPr="005C79CF">
        <w:t>) and (</w:t>
      </w:r>
      <w:r w:rsidR="00177C21">
        <w:t>D</w:t>
      </w:r>
      <w:r w:rsidRPr="005C79CF">
        <w:t>) below.</w:t>
      </w:r>
    </w:p>
    <w:p w:rsidR="00CE51E4" w:rsidP="00CE51E4">
      <w:pPr>
        <w:pStyle w:val="ListParagraph"/>
      </w:pPr>
    </w:p>
    <w:p w:rsidR="00B92BE2" w:rsidP="00B92BE2">
      <w:pPr>
        <w:pStyle w:val="ListParagraph"/>
        <w:numPr>
          <w:ilvl w:val="0"/>
          <w:numId w:val="23"/>
        </w:numPr>
      </w:pPr>
      <w:r w:rsidRPr="005C79CF">
        <w:t>Pursuant to Rule 603 of the Commission’s Rules of Practice and Procedure, 18 C.F.R. § 385.603, the Chief Judge is hereby directed to appoint a settlement judge in this proceeding within 45 days of the date of this order.  Such settlement judge shall have all powers and duties enumerated in Rule 603 and shall convene a settlement conference as soon as practicable after the Chief Judge designates the settlement judge.  If parties decide to request a specific judge, they must make their request to the Chief Judge within five days of the date of this order.</w:t>
      </w:r>
      <w:bookmarkStart w:id="1" w:name="_Hlk51754647"/>
    </w:p>
    <w:p w:rsidR="00B92BE2" w:rsidP="00B92BE2">
      <w:pPr>
        <w:pStyle w:val="ListParagraph"/>
      </w:pPr>
    </w:p>
    <w:p w:rsidR="00B92BE2" w:rsidP="00B92BE2">
      <w:pPr>
        <w:pStyle w:val="ListParagraph"/>
        <w:numPr>
          <w:ilvl w:val="0"/>
          <w:numId w:val="23"/>
        </w:numPr>
        <w:rPr>
          <w:rFonts w:eastAsia="Calibri"/>
          <w:szCs w:val="26"/>
        </w:rPr>
      </w:pPr>
      <w:r w:rsidRPr="005C79CF">
        <w:t>Within</w:t>
      </w:r>
      <w:r w:rsidRPr="00B92BE2">
        <w:rPr>
          <w:rFonts w:eastAsia="Calibri"/>
          <w:szCs w:val="26"/>
        </w:rPr>
        <w:t xml:space="preserve"> 30 days of the appointment of the settlement judge, the settlement judge shall file a report with the Commission and the Chief Judge on the status of the settlement discussions.  Based on this report, the Chief Judge shall provide participants with additional time to continue their settlement discussions, if appropriate, or assign this case to a presiding judge for a trial-type evidentiary hearing, if appropriate.  If settlement discussions continue, the settlement judge shall file a report at least every 60 days thereafter, informing the Commission and the Chief Judge of participants’ progress toward settlement.</w:t>
      </w:r>
    </w:p>
    <w:p w:rsidR="00B92BE2" w:rsidRPr="00B92BE2" w:rsidP="00B92BE2">
      <w:pPr>
        <w:pStyle w:val="ListParagraph"/>
        <w:rPr>
          <w:rFonts w:eastAsia="Calibri"/>
          <w:szCs w:val="26"/>
        </w:rPr>
      </w:pPr>
    </w:p>
    <w:p w:rsidR="00AC3FD7" w:rsidP="00B92BE2">
      <w:pPr>
        <w:pStyle w:val="ListParagraph"/>
        <w:numPr>
          <w:ilvl w:val="0"/>
          <w:numId w:val="23"/>
        </w:numPr>
        <w:rPr>
          <w:rFonts w:eastAsia="Calibri"/>
          <w:szCs w:val="26"/>
        </w:rPr>
      </w:pPr>
      <w:r w:rsidRPr="00B92BE2">
        <w:rPr>
          <w:rFonts w:eastAsia="Calibri"/>
          <w:szCs w:val="26"/>
        </w:rPr>
        <w:t xml:space="preserve">If </w:t>
      </w:r>
      <w:r w:rsidRPr="005C79CF">
        <w:t>settlement</w:t>
      </w:r>
      <w:r w:rsidRPr="00B92BE2">
        <w:rPr>
          <w:rFonts w:eastAsia="Calibri"/>
          <w:szCs w:val="26"/>
        </w:rPr>
        <w:t xml:space="preserve"> judge procedures fail and a trial-type evidentiary hearing is to be held, a presiding judge, to be designated by the Chief Judge, shall, within 45 days of the date of the presiding judge’s designation, convene a prehearing conference in these proceedings in a hearing room of the Commission, 888 First Street, NE, Washington, DC 20426, or remotely (by telephone or electronically), as appropriate.  Such a conference shall be held for the purpose of establishing a procedural schedule.  The presiding judge </w:t>
      </w:r>
    </w:p>
    <w:p w:rsidR="00AC3FD7" w:rsidRPr="00AC3FD7" w:rsidP="00AC3FD7">
      <w:pPr>
        <w:pStyle w:val="ListParagraph"/>
        <w:rPr>
          <w:rFonts w:eastAsia="Calibri"/>
          <w:szCs w:val="26"/>
        </w:rPr>
      </w:pPr>
    </w:p>
    <w:p w:rsidR="00AC3FD7" w:rsidP="00AC3FD7">
      <w:pPr>
        <w:rPr>
          <w:rFonts w:eastAsia="Calibri"/>
          <w:szCs w:val="26"/>
        </w:rPr>
      </w:pPr>
    </w:p>
    <w:p w:rsidR="00AC3FD7" w:rsidP="00AC3FD7">
      <w:pPr>
        <w:rPr>
          <w:rFonts w:eastAsia="Calibri"/>
          <w:szCs w:val="26"/>
        </w:rPr>
      </w:pPr>
    </w:p>
    <w:p w:rsidR="00AC3FD7" w:rsidP="00AC3FD7">
      <w:pPr>
        <w:rPr>
          <w:rFonts w:eastAsia="Calibri"/>
          <w:szCs w:val="26"/>
        </w:rPr>
      </w:pPr>
    </w:p>
    <w:p w:rsidR="005C79CF" w:rsidRPr="00AC3FD7" w:rsidP="00AC3FD7">
      <w:pPr>
        <w:rPr>
          <w:rFonts w:eastAsia="Calibri"/>
          <w:szCs w:val="26"/>
        </w:rPr>
      </w:pPr>
      <w:r w:rsidRPr="00AC3FD7">
        <w:rPr>
          <w:rFonts w:eastAsia="Calibri"/>
          <w:szCs w:val="26"/>
        </w:rPr>
        <w:t>is authorized to establish procedural dates, and to rule on all motions (except motions to dismiss) as provided in the Commission’s Rules of Practice and Procedure.</w:t>
      </w:r>
      <w:bookmarkEnd w:id="1"/>
    </w:p>
    <w:p w:rsidR="002F2FCC" w:rsidRPr="00CD0B38"/>
    <w:p w:rsidR="002F2FCC">
      <w:r w:rsidRPr="00CD0B38">
        <w:t>By the Commission.</w:t>
      </w:r>
    </w:p>
    <w:p w:rsidR="00975B91"/>
    <w:p w:rsidR="00975B91" w:rsidP="00975B91">
      <w:pPr>
        <w:widowControl/>
      </w:pPr>
      <w:r w:rsidRPr="00975B91">
        <w:t>( S E A L )</w:t>
      </w:r>
    </w:p>
    <w:p w:rsidR="00975B91" w:rsidP="00975B91">
      <w:pPr>
        <w:widowControl/>
      </w:pPr>
    </w:p>
    <w:p w:rsidR="00975B91" w:rsidP="00975B91">
      <w:pPr>
        <w:widowControl/>
      </w:pPr>
    </w:p>
    <w:p w:rsidR="00975B91" w:rsidP="00975B91">
      <w:pPr>
        <w:widowControl/>
      </w:pPr>
    </w:p>
    <w:p w:rsidR="00975B91" w:rsidRPr="00975B91" w:rsidP="00975B91">
      <w:pPr>
        <w:widowControl/>
        <w:ind w:firstLine="2606"/>
        <w:jc w:val="center"/>
      </w:pPr>
      <w:r w:rsidRPr="00975B91">
        <w:t>Debbie-Anne A. Reese,</w:t>
      </w:r>
    </w:p>
    <w:p w:rsidR="00975B91" w:rsidRPr="00975B91" w:rsidP="00975B91">
      <w:pPr>
        <w:widowControl/>
        <w:ind w:firstLine="2606"/>
        <w:jc w:val="center"/>
      </w:pPr>
      <w:r w:rsidRPr="00975B91">
        <w:t>Secretary.</w:t>
      </w:r>
    </w:p>
    <w:p w:rsidR="00975B91" w:rsidRPr="00CD0B38" w:rsidP="00975B91">
      <w:pPr>
        <w:widowControl/>
      </w:pPr>
    </w:p>
    <w:p w:rsidR="00FF32A1" w:rsidRPr="0003382F" w:rsidP="000D7E4E">
      <w:pPr>
        <w:pStyle w:val="FootnoteText"/>
        <w:ind w:firstLine="0"/>
      </w:pPr>
    </w:p>
    <w:sectPr w:rsidSect="002F2FCC">
      <w:headerReference w:type="even" r:id="rId11"/>
      <w:headerReference w:type="default" r:id="rId12"/>
      <w:headerReference w:type="first" r:id="rId13"/>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B5" w:rsidP="0048020B">
      <w:r>
        <w:separator/>
      </w:r>
    </w:p>
  </w:endnote>
  <w:endnote w:type="continuationSeparator" w:id="1">
    <w:p w:rsidR="00BC10B5" w:rsidP="0048020B">
      <w:r>
        <w:continuationSeparator/>
      </w:r>
    </w:p>
  </w:endnote>
  <w:endnote w:type="continuationNotice" w:id="2">
    <w:p w:rsidR="00BC10B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B5" w:rsidP="0048020B">
      <w:r>
        <w:separator/>
      </w:r>
    </w:p>
  </w:footnote>
  <w:footnote w:type="continuationSeparator" w:id="1">
    <w:p w:rsidR="00BC10B5" w:rsidP="0048020B">
      <w:r>
        <w:continuationSeparator/>
      </w:r>
    </w:p>
  </w:footnote>
  <w:footnote w:type="continuationNotice" w:id="2">
    <w:p w:rsidR="00BC10B5" w:rsidRPr="009A62CA" w:rsidP="009A62CA">
      <w:pPr>
        <w:spacing w:line="14" w:lineRule="exact"/>
        <w:rPr>
          <w:sz w:val="2"/>
        </w:rPr>
      </w:pPr>
    </w:p>
  </w:footnote>
  <w:footnote w:id="3">
    <w:p w:rsidR="000432A6" w:rsidRPr="000C658E" w:rsidP="000432A6">
      <w:pPr>
        <w:pStyle w:val="FootnoteText"/>
        <w:rPr>
          <w:szCs w:val="26"/>
        </w:rPr>
      </w:pPr>
      <w:r w:rsidRPr="000C658E">
        <w:rPr>
          <w:rStyle w:val="FootnoteReference"/>
          <w:szCs w:val="26"/>
        </w:rPr>
        <w:footnoteRef/>
      </w:r>
      <w:r w:rsidRPr="000C658E">
        <w:rPr>
          <w:szCs w:val="26"/>
        </w:rPr>
        <w:t xml:space="preserve"> 16 U.S.C. </w:t>
      </w:r>
      <w:r w:rsidRPr="0032079E">
        <w:rPr>
          <w:szCs w:val="26"/>
        </w:rPr>
        <w:t>§</w:t>
      </w:r>
      <w:r w:rsidRPr="000C658E">
        <w:rPr>
          <w:szCs w:val="26"/>
        </w:rPr>
        <w:t> 824d.</w:t>
      </w:r>
    </w:p>
  </w:footnote>
  <w:footnote w:id="4">
    <w:p w:rsidR="000432A6" w:rsidRPr="000C658E" w:rsidP="000432A6">
      <w:pPr>
        <w:pStyle w:val="FootnoteText"/>
        <w:rPr>
          <w:szCs w:val="26"/>
        </w:rPr>
      </w:pPr>
      <w:r w:rsidRPr="000C658E">
        <w:rPr>
          <w:rStyle w:val="FootnoteReference"/>
          <w:szCs w:val="26"/>
        </w:rPr>
        <w:footnoteRef/>
      </w:r>
      <w:r w:rsidRPr="000C658E">
        <w:rPr>
          <w:szCs w:val="26"/>
        </w:rPr>
        <w:t xml:space="preserve"> 18 C.F.R. pt. 35 (202</w:t>
      </w:r>
      <w:r w:rsidRPr="00FA6498" w:rsidR="00785D77">
        <w:rPr>
          <w:szCs w:val="26"/>
        </w:rPr>
        <w:t>4</w:t>
      </w:r>
      <w:r w:rsidRPr="000C658E">
        <w:rPr>
          <w:szCs w:val="26"/>
        </w:rPr>
        <w:t>).</w:t>
      </w:r>
    </w:p>
  </w:footnote>
  <w:footnote w:id="5">
    <w:p w:rsidR="004E7D49" w:rsidRPr="00611E13">
      <w:pPr>
        <w:pStyle w:val="FootnoteText"/>
      </w:pPr>
      <w:r>
        <w:rPr>
          <w:rStyle w:val="FootnoteReference"/>
        </w:rPr>
        <w:footnoteRef/>
      </w:r>
      <w:r>
        <w:t xml:space="preserve"> </w:t>
      </w:r>
      <w:r w:rsidR="00611E13">
        <w:rPr>
          <w:i/>
          <w:iCs/>
        </w:rPr>
        <w:t>See</w:t>
      </w:r>
      <w:r w:rsidR="002E3D1D">
        <w:rPr>
          <w:i/>
          <w:iCs/>
        </w:rPr>
        <w:t xml:space="preserve"> </w:t>
      </w:r>
      <w:r w:rsidR="00611E13">
        <w:t xml:space="preserve">NYISO, </w:t>
      </w:r>
      <w:r w:rsidR="00975B91">
        <w:t xml:space="preserve">NYISO Tariffs, </w:t>
      </w:r>
      <w:r w:rsidRPr="00975B91" w:rsidR="002E3D1D">
        <w:t xml:space="preserve">NYISO OATT, </w:t>
      </w:r>
      <w:r w:rsidR="00975B91">
        <w:t>a</w:t>
      </w:r>
      <w:r w:rsidRPr="00975B91" w:rsidR="00975B91">
        <w:t>tt</w:t>
      </w:r>
      <w:r w:rsidR="00975B91">
        <w:t>ach.</w:t>
      </w:r>
      <w:r w:rsidRPr="00975B91" w:rsidR="00975B91">
        <w:t xml:space="preserve"> H </w:t>
      </w:r>
      <w:r w:rsidR="00975B91">
        <w:t xml:space="preserve">(Annual Transmission Revenue Requirement for Point-To-Point Transmission Service and Network Integration Transmission Service), </w:t>
      </w:r>
      <w:r w:rsidRPr="00975B91" w:rsidR="00975B91">
        <w:t>§§</w:t>
      </w:r>
      <w:r w:rsidR="00975B91">
        <w:t xml:space="preserve"> </w:t>
      </w:r>
      <w:r w:rsidRPr="00975B91" w:rsidR="002E3D1D">
        <w:t xml:space="preserve">14.2.3-14.2.3.1 </w:t>
      </w:r>
      <w:r w:rsidR="00975B91">
        <w:t>(</w:t>
      </w:r>
      <w:r w:rsidRPr="00975B91" w:rsidR="002E3D1D">
        <w:t>NYPA Formula Rate</w:t>
      </w:r>
      <w:r w:rsidR="00975B91">
        <w:t>)</w:t>
      </w:r>
      <w:r w:rsidRPr="00975B91" w:rsidR="002E3D1D">
        <w:t xml:space="preserve"> (14.0.0)</w:t>
      </w:r>
      <w:r w:rsidR="00287083">
        <w:t>.</w:t>
      </w:r>
    </w:p>
  </w:footnote>
  <w:footnote w:id="6">
    <w:p w:rsidR="00A5657E">
      <w:pPr>
        <w:pStyle w:val="FootnoteText"/>
      </w:pPr>
      <w:r>
        <w:rPr>
          <w:rStyle w:val="FootnoteReference"/>
        </w:rPr>
        <w:footnoteRef/>
      </w:r>
      <w:r>
        <w:t xml:space="preserve"> Transmittal at 9.</w:t>
      </w:r>
    </w:p>
  </w:footnote>
  <w:footnote w:id="7">
    <w:p w:rsidR="001C0117">
      <w:pPr>
        <w:pStyle w:val="FootnoteText"/>
      </w:pPr>
      <w:r>
        <w:rPr>
          <w:rStyle w:val="FootnoteReference"/>
        </w:rPr>
        <w:footnoteRef/>
      </w:r>
      <w:r>
        <w:t xml:space="preserve"> </w:t>
      </w:r>
      <w:r w:rsidR="009309CF">
        <w:rPr>
          <w:i/>
          <w:iCs/>
        </w:rPr>
        <w:t>Id.</w:t>
      </w:r>
      <w:r w:rsidR="009309CF">
        <w:t xml:space="preserve"> </w:t>
      </w:r>
      <w:r>
        <w:t xml:space="preserve">at </w:t>
      </w:r>
      <w:r w:rsidR="002F693E">
        <w:t>2.</w:t>
      </w:r>
    </w:p>
  </w:footnote>
  <w:footnote w:id="8">
    <w:p w:rsidR="00734FE8" w:rsidRPr="00AE0D75" w:rsidP="00734FE8">
      <w:pPr>
        <w:pStyle w:val="FootnoteText"/>
        <w:rPr>
          <w:szCs w:val="26"/>
        </w:rPr>
      </w:pPr>
      <w:r w:rsidRPr="00AE0D75">
        <w:rPr>
          <w:rStyle w:val="FootnoteReference"/>
          <w:szCs w:val="26"/>
        </w:rPr>
        <w:footnoteRef/>
      </w:r>
      <w:r w:rsidRPr="00AE0D75">
        <w:rPr>
          <w:szCs w:val="26"/>
        </w:rPr>
        <w:t xml:space="preserve"> </w:t>
      </w:r>
      <w:r>
        <w:rPr>
          <w:i/>
          <w:iCs/>
          <w:szCs w:val="26"/>
        </w:rPr>
        <w:t xml:space="preserve">Id. </w:t>
      </w:r>
      <w:r>
        <w:rPr>
          <w:szCs w:val="26"/>
        </w:rPr>
        <w:t xml:space="preserve">(citing </w:t>
      </w:r>
      <w:r w:rsidRPr="001F662E">
        <w:rPr>
          <w:szCs w:val="26"/>
        </w:rPr>
        <w:t>16</w:t>
      </w:r>
      <w:r w:rsidRPr="00AE0D75">
        <w:rPr>
          <w:szCs w:val="26"/>
        </w:rPr>
        <w:t xml:space="preserve"> U.S.C. §§ 796(7)</w:t>
      </w:r>
      <w:r>
        <w:rPr>
          <w:szCs w:val="26"/>
        </w:rPr>
        <w:t>,</w:t>
      </w:r>
      <w:r w:rsidRPr="00AE0D75">
        <w:rPr>
          <w:szCs w:val="26"/>
        </w:rPr>
        <w:t xml:space="preserve"> 824(f)</w:t>
      </w:r>
      <w:r>
        <w:rPr>
          <w:szCs w:val="26"/>
        </w:rPr>
        <w:t>)</w:t>
      </w:r>
      <w:r w:rsidRPr="00AE0D75">
        <w:rPr>
          <w:szCs w:val="26"/>
        </w:rPr>
        <w:t>.</w:t>
      </w:r>
    </w:p>
  </w:footnote>
  <w:footnote w:id="9">
    <w:p w:rsidR="0050758D">
      <w:pPr>
        <w:pStyle w:val="FootnoteText"/>
      </w:pPr>
      <w:r>
        <w:rPr>
          <w:rStyle w:val="FootnoteReference"/>
        </w:rPr>
        <w:footnoteRef/>
      </w:r>
      <w:r>
        <w:t xml:space="preserve"> </w:t>
      </w:r>
      <w:r w:rsidR="00EF5C3C">
        <w:rPr>
          <w:i/>
          <w:iCs/>
        </w:rPr>
        <w:t>Id.</w:t>
      </w:r>
      <w:r w:rsidR="00EF5C3C">
        <w:t xml:space="preserve"> </w:t>
      </w:r>
      <w:r>
        <w:t>at 2</w:t>
      </w:r>
      <w:r w:rsidR="00623C42">
        <w:t xml:space="preserve"> (</w:t>
      </w:r>
      <w:r w:rsidR="00DA59F2">
        <w:t>referencing</w:t>
      </w:r>
      <w:r w:rsidR="00623C42">
        <w:t xml:space="preserve"> </w:t>
      </w:r>
      <w:r w:rsidRPr="00623C42" w:rsidR="00623C42">
        <w:t xml:space="preserve">NYISO, </w:t>
      </w:r>
      <w:r w:rsidR="00975B91">
        <w:t xml:space="preserve">NYISO Tariffs, </w:t>
      </w:r>
      <w:r w:rsidRPr="00975B91" w:rsidR="00D64110">
        <w:t xml:space="preserve">NYISO OATT, </w:t>
      </w:r>
      <w:r w:rsidR="00975B91">
        <w:t>a</w:t>
      </w:r>
      <w:r w:rsidRPr="00975B91" w:rsidR="00975B91">
        <w:t>tt</w:t>
      </w:r>
      <w:r w:rsidR="00975B91">
        <w:t>ach.</w:t>
      </w:r>
      <w:r w:rsidRPr="00975B91" w:rsidR="00975B91">
        <w:t xml:space="preserve"> H </w:t>
      </w:r>
      <w:r w:rsidR="00975B91">
        <w:t xml:space="preserve">(Annual Transmission Revenue Requirement), § </w:t>
      </w:r>
      <w:r w:rsidRPr="00975B91" w:rsidR="00D64110">
        <w:t xml:space="preserve">14.2.2 </w:t>
      </w:r>
      <w:r w:rsidR="00975B91">
        <w:t>(</w:t>
      </w:r>
      <w:r w:rsidRPr="00975B91" w:rsidR="00D64110">
        <w:t>NYPA Transmission Adjustment Charge</w:t>
      </w:r>
      <w:r w:rsidR="00975B91">
        <w:t>)</w:t>
      </w:r>
      <w:r w:rsidRPr="00975B91" w:rsidR="00D64110">
        <w:t xml:space="preserve"> (1.0.0)</w:t>
      </w:r>
      <w:r w:rsidR="005A1EBC">
        <w:t xml:space="preserve">, </w:t>
      </w:r>
      <w:r w:rsidRPr="00AE0D75" w:rsidR="005A1EBC">
        <w:rPr>
          <w:szCs w:val="26"/>
        </w:rPr>
        <w:t>§</w:t>
      </w:r>
      <w:r w:rsidR="005A1EBC">
        <w:rPr>
          <w:szCs w:val="26"/>
        </w:rPr>
        <w:t xml:space="preserve"> 14.2.2.2</w:t>
      </w:r>
      <w:r w:rsidRPr="00623C42" w:rsidR="00623C42">
        <w:t>)</w:t>
      </w:r>
      <w:r>
        <w:t>.</w:t>
      </w:r>
    </w:p>
  </w:footnote>
  <w:footnote w:id="10">
    <w:p w:rsidR="0041772D">
      <w:pPr>
        <w:pStyle w:val="FootnoteText"/>
      </w:pPr>
      <w:r>
        <w:rPr>
          <w:rStyle w:val="FootnoteReference"/>
        </w:rPr>
        <w:footnoteRef/>
      </w:r>
      <w:r>
        <w:t xml:space="preserve"> </w:t>
      </w:r>
      <w:r w:rsidR="00EF5C3C">
        <w:rPr>
          <w:i/>
          <w:iCs/>
        </w:rPr>
        <w:t xml:space="preserve">Id. </w:t>
      </w:r>
      <w:r>
        <w:t>at 2-3.</w:t>
      </w:r>
    </w:p>
  </w:footnote>
  <w:footnote w:id="11">
    <w:p w:rsidR="002553BE">
      <w:pPr>
        <w:pStyle w:val="FootnoteText"/>
      </w:pPr>
      <w:r>
        <w:rPr>
          <w:rStyle w:val="FootnoteReference"/>
        </w:rPr>
        <w:footnoteRef/>
      </w:r>
      <w:r>
        <w:t xml:space="preserve"> </w:t>
      </w:r>
      <w:r w:rsidR="00A21852">
        <w:rPr>
          <w:i/>
          <w:iCs/>
        </w:rPr>
        <w:t xml:space="preserve">Id. </w:t>
      </w:r>
      <w:r>
        <w:t xml:space="preserve">at 4-5 </w:t>
      </w:r>
      <w:r w:rsidR="00A21852">
        <w:t xml:space="preserve">(citing </w:t>
      </w:r>
      <w:r w:rsidRPr="001051C0" w:rsidR="001051C0">
        <w:rPr>
          <w:i/>
          <w:iCs/>
        </w:rPr>
        <w:t>N.Y. Indep. Sys. Operator, Inc.,</w:t>
      </w:r>
      <w:r w:rsidR="00D667A6">
        <w:t xml:space="preserve"> </w:t>
      </w:r>
      <w:r w:rsidRPr="00D667A6" w:rsidR="00D667A6">
        <w:t>158 FERC ¶</w:t>
      </w:r>
      <w:r w:rsidR="00A21852">
        <w:t> </w:t>
      </w:r>
      <w:r w:rsidRPr="00D667A6" w:rsidR="00D667A6">
        <w:t>61,043</w:t>
      </w:r>
      <w:r w:rsidR="001051C0">
        <w:t xml:space="preserve"> (2017)</w:t>
      </w:r>
      <w:r w:rsidR="00A21852">
        <w:t>)</w:t>
      </w:r>
      <w:r w:rsidR="00D667A6">
        <w:t xml:space="preserve">. </w:t>
      </w:r>
      <w:r w:rsidR="00777A25">
        <w:t xml:space="preserve"> </w:t>
      </w:r>
    </w:p>
  </w:footnote>
  <w:footnote w:id="12">
    <w:p w:rsidR="002E3BD0">
      <w:pPr>
        <w:pStyle w:val="FootnoteText"/>
      </w:pPr>
      <w:r>
        <w:rPr>
          <w:rStyle w:val="FootnoteReference"/>
        </w:rPr>
        <w:footnoteRef/>
      </w:r>
      <w:r>
        <w:t xml:space="preserve"> </w:t>
      </w:r>
      <w:r w:rsidR="00A21852">
        <w:rPr>
          <w:i/>
          <w:iCs/>
        </w:rPr>
        <w:t xml:space="preserve">Id. </w:t>
      </w:r>
      <w:r w:rsidR="00997F8E">
        <w:t xml:space="preserve">at 5 </w:t>
      </w:r>
      <w:r w:rsidR="00123032">
        <w:t>&amp;</w:t>
      </w:r>
      <w:r w:rsidRPr="00997F8E" w:rsidR="00997F8E">
        <w:t xml:space="preserve"> </w:t>
      </w:r>
      <w:r w:rsidR="00414873">
        <w:t>a</w:t>
      </w:r>
      <w:r w:rsidR="004F1D9B">
        <w:t>pp</w:t>
      </w:r>
      <w:r w:rsidR="00414873">
        <w:t>.</w:t>
      </w:r>
      <w:r w:rsidR="004F1D9B">
        <w:t xml:space="preserve"> </w:t>
      </w:r>
      <w:r w:rsidR="00363A6F">
        <w:t>C</w:t>
      </w:r>
      <w:r w:rsidR="004F1D9B">
        <w:t xml:space="preserve"> </w:t>
      </w:r>
      <w:r w:rsidR="00375845">
        <w:t>(</w:t>
      </w:r>
      <w:r w:rsidRPr="00FA6498" w:rsidR="00010104">
        <w:t xml:space="preserve">Direct Testimony </w:t>
      </w:r>
      <w:r w:rsidRPr="00FA6498" w:rsidR="00997F8E">
        <w:t>of Joshua C. Nowak</w:t>
      </w:r>
      <w:r w:rsidRPr="00FA6498" w:rsidR="004F78A6">
        <w:t>)</w:t>
      </w:r>
      <w:r w:rsidRPr="00FA6498" w:rsidR="00997F8E">
        <w:t>, at 8-18</w:t>
      </w:r>
      <w:r w:rsidR="000E1243">
        <w:t xml:space="preserve"> </w:t>
      </w:r>
      <w:r w:rsidRPr="00F96279" w:rsidR="000E1243">
        <w:t>(Nowak Test.)</w:t>
      </w:r>
      <w:r w:rsidRPr="00996CE9" w:rsidR="00997F8E">
        <w:t>.</w:t>
      </w:r>
    </w:p>
  </w:footnote>
  <w:footnote w:id="13">
    <w:p w:rsidR="00603822">
      <w:pPr>
        <w:pStyle w:val="FootnoteText"/>
      </w:pPr>
      <w:r>
        <w:rPr>
          <w:rStyle w:val="FootnoteReference"/>
        </w:rPr>
        <w:footnoteRef/>
      </w:r>
      <w:r>
        <w:t xml:space="preserve"> Transmittal at 5 </w:t>
      </w:r>
      <w:r w:rsidR="00123032">
        <w:t>&amp;</w:t>
      </w:r>
      <w:r>
        <w:t xml:space="preserve"> </w:t>
      </w:r>
      <w:r w:rsidR="00C97D43">
        <w:t>a</w:t>
      </w:r>
      <w:r w:rsidR="00363A6F">
        <w:t>pp</w:t>
      </w:r>
      <w:r w:rsidR="00C97D43">
        <w:t>.</w:t>
      </w:r>
      <w:r w:rsidR="00363A6F">
        <w:t xml:space="preserve"> D (</w:t>
      </w:r>
      <w:r w:rsidR="00AB37BC">
        <w:t xml:space="preserve">Prepared </w:t>
      </w:r>
      <w:r w:rsidR="00363A6F">
        <w:t xml:space="preserve">Direct </w:t>
      </w:r>
      <w:r w:rsidRPr="00AE0E33" w:rsidR="00AE0E33">
        <w:t>Testimony of Scott Tetenman</w:t>
      </w:r>
      <w:r w:rsidR="00AB37BC">
        <w:t xml:space="preserve"> on Behalf of New York Power Authority</w:t>
      </w:r>
      <w:r w:rsidR="004F78A6">
        <w:t>)</w:t>
      </w:r>
      <w:r w:rsidRPr="00AE0E33" w:rsidR="00AE0E33">
        <w:t>, at 7</w:t>
      </w:r>
      <w:r w:rsidR="00AE0E33">
        <w:t xml:space="preserve"> </w:t>
      </w:r>
      <w:r w:rsidR="00FC2BB9">
        <w:t>(Tetenman Test.)</w:t>
      </w:r>
      <w:r w:rsidR="00AE0E33">
        <w:t>.</w:t>
      </w:r>
    </w:p>
  </w:footnote>
  <w:footnote w:id="14">
    <w:p w:rsidR="008A4EEB">
      <w:pPr>
        <w:pStyle w:val="FootnoteText"/>
      </w:pPr>
      <w:r>
        <w:rPr>
          <w:rStyle w:val="FootnoteReference"/>
        </w:rPr>
        <w:footnoteRef/>
      </w:r>
      <w:r>
        <w:t xml:space="preserve"> </w:t>
      </w:r>
      <w:r w:rsidR="00B55137">
        <w:t xml:space="preserve">Transmittal at </w:t>
      </w:r>
      <w:r w:rsidR="008F0055">
        <w:t>4-</w:t>
      </w:r>
      <w:r w:rsidR="00043179">
        <w:t>8</w:t>
      </w:r>
      <w:r w:rsidR="00B55137">
        <w:t>.</w:t>
      </w:r>
    </w:p>
  </w:footnote>
  <w:footnote w:id="15">
    <w:p w:rsidR="0082078F">
      <w:pPr>
        <w:pStyle w:val="FootnoteText"/>
      </w:pPr>
      <w:r>
        <w:rPr>
          <w:rStyle w:val="FootnoteReference"/>
        </w:rPr>
        <w:footnoteRef/>
      </w:r>
      <w:r>
        <w:t xml:space="preserve"> </w:t>
      </w:r>
      <w:r w:rsidR="00996CE9">
        <w:rPr>
          <w:i/>
          <w:iCs/>
        </w:rPr>
        <w:t xml:space="preserve">Id. </w:t>
      </w:r>
      <w:r w:rsidR="00B7576F">
        <w:t xml:space="preserve">at </w:t>
      </w:r>
      <w:r w:rsidR="00B24014">
        <w:t>4</w:t>
      </w:r>
      <w:r w:rsidR="0078621A">
        <w:t xml:space="preserve">; </w:t>
      </w:r>
      <w:r w:rsidR="00DC346A">
        <w:t>Nowak Test</w:t>
      </w:r>
      <w:r w:rsidR="00996CE9">
        <w:t>.</w:t>
      </w:r>
      <w:r w:rsidR="00436767">
        <w:t xml:space="preserve"> </w:t>
      </w:r>
      <w:r w:rsidR="00DC346A">
        <w:t xml:space="preserve">at 36-39. </w:t>
      </w:r>
    </w:p>
  </w:footnote>
  <w:footnote w:id="16">
    <w:p w:rsidR="0082078F">
      <w:pPr>
        <w:pStyle w:val="FootnoteText"/>
      </w:pPr>
      <w:r>
        <w:rPr>
          <w:rStyle w:val="FootnoteReference"/>
        </w:rPr>
        <w:footnoteRef/>
      </w:r>
      <w:r>
        <w:t xml:space="preserve"> </w:t>
      </w:r>
      <w:r w:rsidRPr="0082078F">
        <w:t xml:space="preserve">Transmittal at </w:t>
      </w:r>
      <w:r w:rsidR="00B24014">
        <w:t>4</w:t>
      </w:r>
      <w:r>
        <w:t xml:space="preserve"> </w:t>
      </w:r>
      <w:r w:rsidR="00B7576F">
        <w:t>(</w:t>
      </w:r>
      <w:r>
        <w:t xml:space="preserve">citing </w:t>
      </w:r>
      <w:r w:rsidRPr="0082078F">
        <w:rPr>
          <w:i/>
          <w:iCs/>
        </w:rPr>
        <w:t>Ass’n of Bus. Advocating Tariff Equity v. Midcontinent Indep. Sys. Operator, Inc</w:t>
      </w:r>
      <w:r w:rsidRPr="0082078F">
        <w:t>., 189 FERC ¶</w:t>
      </w:r>
      <w:r w:rsidR="00767FF7">
        <w:t> </w:t>
      </w:r>
      <w:r w:rsidRPr="0082078F">
        <w:t>61,036</w:t>
      </w:r>
      <w:r w:rsidR="00EB08F6">
        <w:t>, at</w:t>
      </w:r>
      <w:r w:rsidRPr="0082078F">
        <w:t xml:space="preserve"> PP 1, 19-24</w:t>
      </w:r>
      <w:r w:rsidR="000A7F76">
        <w:t xml:space="preserve"> (2024)</w:t>
      </w:r>
      <w:r w:rsidRPr="0082078F">
        <w:t xml:space="preserve"> (</w:t>
      </w:r>
      <w:r w:rsidR="00CE342A">
        <w:t>October 2024 MISO Order</w:t>
      </w:r>
      <w:r w:rsidR="00B7576F">
        <w:t>)</w:t>
      </w:r>
      <w:r w:rsidR="00551917">
        <w:t>)</w:t>
      </w:r>
      <w:r w:rsidR="00B7576F">
        <w:t xml:space="preserve">. </w:t>
      </w:r>
    </w:p>
  </w:footnote>
  <w:footnote w:id="17">
    <w:p w:rsidR="0082078F">
      <w:pPr>
        <w:pStyle w:val="FootnoteText"/>
      </w:pPr>
      <w:r>
        <w:rPr>
          <w:rStyle w:val="FootnoteReference"/>
        </w:rPr>
        <w:footnoteRef/>
      </w:r>
      <w:r w:rsidRPr="0082078F">
        <w:t xml:space="preserve"> </w:t>
      </w:r>
      <w:r w:rsidR="00153CA3">
        <w:rPr>
          <w:i/>
          <w:iCs/>
        </w:rPr>
        <w:t xml:space="preserve">Id. </w:t>
      </w:r>
      <w:r w:rsidR="00070429">
        <w:t>(</w:t>
      </w:r>
      <w:r w:rsidR="00153CA3">
        <w:t xml:space="preserve">citing </w:t>
      </w:r>
      <w:r w:rsidR="001206FF">
        <w:rPr>
          <w:i/>
          <w:iCs/>
        </w:rPr>
        <w:t>Pac.</w:t>
      </w:r>
      <w:r w:rsidRPr="0082078F" w:rsidR="001206FF">
        <w:rPr>
          <w:i/>
          <w:iCs/>
        </w:rPr>
        <w:t xml:space="preserve"> Gas </w:t>
      </w:r>
      <w:r w:rsidR="001206FF">
        <w:rPr>
          <w:i/>
          <w:iCs/>
        </w:rPr>
        <w:t>&amp;</w:t>
      </w:r>
      <w:r w:rsidRPr="0082078F" w:rsidR="001206FF">
        <w:rPr>
          <w:i/>
          <w:iCs/>
        </w:rPr>
        <w:t xml:space="preserve"> Elec. Co.</w:t>
      </w:r>
      <w:r w:rsidRPr="00A11EA1" w:rsidR="001206FF">
        <w:t>,</w:t>
      </w:r>
      <w:r w:rsidRPr="0082078F" w:rsidR="001206FF">
        <w:rPr>
          <w:i/>
          <w:iCs/>
        </w:rPr>
        <w:t xml:space="preserve"> </w:t>
      </w:r>
      <w:r w:rsidRPr="0082078F" w:rsidR="001206FF">
        <w:t xml:space="preserve">178 FERC ¶ 61,175, </w:t>
      </w:r>
      <w:r w:rsidR="001206FF">
        <w:t xml:space="preserve">at </w:t>
      </w:r>
      <w:r w:rsidRPr="0082078F" w:rsidR="001206FF">
        <w:t>PP 1, 20, 266 (2022)</w:t>
      </w:r>
      <w:r w:rsidR="001206FF">
        <w:t xml:space="preserve">; </w:t>
      </w:r>
      <w:r w:rsidRPr="0082078F" w:rsidR="001206FF">
        <w:rPr>
          <w:i/>
          <w:iCs/>
        </w:rPr>
        <w:t>DATC Path 15, LLC</w:t>
      </w:r>
      <w:r w:rsidRPr="00A11EA1" w:rsidR="001206FF">
        <w:t>,</w:t>
      </w:r>
      <w:r w:rsidRPr="0082078F" w:rsidR="001206FF">
        <w:rPr>
          <w:i/>
          <w:iCs/>
        </w:rPr>
        <w:t xml:space="preserve"> </w:t>
      </w:r>
      <w:r w:rsidRPr="0082078F" w:rsidR="001206FF">
        <w:t xml:space="preserve">Opinion No. 879, 177 FERC ¶ 61,115, </w:t>
      </w:r>
      <w:r w:rsidR="001206FF">
        <w:t xml:space="preserve">at </w:t>
      </w:r>
      <w:r w:rsidRPr="0082078F" w:rsidR="001206FF">
        <w:t>PP 24, 212-</w:t>
      </w:r>
      <w:r w:rsidR="001206FF">
        <w:t>2</w:t>
      </w:r>
      <w:r w:rsidRPr="0082078F" w:rsidR="001206FF">
        <w:t>13 (2021)</w:t>
      </w:r>
      <w:r w:rsidRPr="00FA6498" w:rsidR="001206FF">
        <w:t>;</w:t>
      </w:r>
      <w:r w:rsidR="001206FF">
        <w:t xml:space="preserve"> </w:t>
      </w:r>
      <w:r w:rsidRPr="0082078F">
        <w:rPr>
          <w:i/>
          <w:iCs/>
        </w:rPr>
        <w:t>Constellation Mystic Power, LLC</w:t>
      </w:r>
      <w:r w:rsidRPr="00A11EA1">
        <w:t>,</w:t>
      </w:r>
      <w:r w:rsidRPr="0082078F">
        <w:rPr>
          <w:i/>
          <w:iCs/>
        </w:rPr>
        <w:t xml:space="preserve"> </w:t>
      </w:r>
      <w:r w:rsidRPr="0082078F">
        <w:t xml:space="preserve">176 FERC ¶ 61,019, </w:t>
      </w:r>
      <w:r w:rsidR="00790CA0">
        <w:t xml:space="preserve">at </w:t>
      </w:r>
      <w:r w:rsidRPr="0082078F">
        <w:t>PP 15, 176</w:t>
      </w:r>
      <w:r w:rsidR="00C94AFD">
        <w:t xml:space="preserve"> (</w:t>
      </w:r>
      <w:r w:rsidR="00C94AFD">
        <w:rPr>
          <w:i/>
          <w:iCs/>
        </w:rPr>
        <w:t>Mystic</w:t>
      </w:r>
      <w:r w:rsidR="00C94AFD">
        <w:t>)</w:t>
      </w:r>
      <w:r w:rsidRPr="0082078F">
        <w:t>,</w:t>
      </w:r>
      <w:r w:rsidRPr="0082078F">
        <w:rPr>
          <w:i/>
          <w:iCs/>
        </w:rPr>
        <w:t xml:space="preserve"> order on reh’g</w:t>
      </w:r>
      <w:r w:rsidRPr="00A11EA1">
        <w:t xml:space="preserve">, </w:t>
      </w:r>
      <w:r w:rsidRPr="0082078F">
        <w:t>177 FERC ¶ 61,106 (2021)</w:t>
      </w:r>
      <w:r w:rsidRPr="00A11EA1">
        <w:t>,</w:t>
      </w:r>
      <w:r w:rsidRPr="0082078F">
        <w:rPr>
          <w:i/>
          <w:iCs/>
        </w:rPr>
        <w:t xml:space="preserve"> order on reh’g</w:t>
      </w:r>
      <w:r w:rsidRPr="00A11EA1">
        <w:t xml:space="preserve">, </w:t>
      </w:r>
      <w:r w:rsidRPr="0082078F">
        <w:t>178 FERC ¶ 61,116 (2022)</w:t>
      </w:r>
      <w:r w:rsidR="001206FF">
        <w:t xml:space="preserve">; </w:t>
      </w:r>
      <w:r w:rsidRPr="0082078F" w:rsidR="001206FF">
        <w:rPr>
          <w:i/>
          <w:iCs/>
        </w:rPr>
        <w:t xml:space="preserve">Entergy </w:t>
      </w:r>
      <w:r w:rsidR="001206FF">
        <w:rPr>
          <w:i/>
          <w:iCs/>
        </w:rPr>
        <w:t>Ark.</w:t>
      </w:r>
      <w:r w:rsidRPr="0082078F" w:rsidR="001206FF">
        <w:rPr>
          <w:i/>
          <w:iCs/>
        </w:rPr>
        <w:t>, Inc.</w:t>
      </w:r>
      <w:r w:rsidRPr="00A11EA1" w:rsidR="001206FF">
        <w:t>,</w:t>
      </w:r>
      <w:r w:rsidRPr="0082078F" w:rsidR="001206FF">
        <w:rPr>
          <w:i/>
          <w:iCs/>
        </w:rPr>
        <w:t xml:space="preserve"> </w:t>
      </w:r>
      <w:r w:rsidRPr="0082078F" w:rsidR="001206FF">
        <w:t xml:space="preserve">Opinion No. 575, 175 FERC ¶ 61,136, </w:t>
      </w:r>
      <w:r w:rsidR="001206FF">
        <w:t xml:space="preserve">at </w:t>
      </w:r>
      <w:r w:rsidRPr="0082078F" w:rsidR="001206FF">
        <w:t>PP 244-</w:t>
      </w:r>
      <w:r w:rsidR="001206FF">
        <w:t>2</w:t>
      </w:r>
      <w:r w:rsidRPr="0082078F" w:rsidR="001206FF">
        <w:t>45</w:t>
      </w:r>
      <w:r w:rsidRPr="00A11EA1" w:rsidR="001206FF">
        <w:t xml:space="preserve">, </w:t>
      </w:r>
      <w:r w:rsidRPr="0082078F" w:rsidR="001206FF">
        <w:rPr>
          <w:i/>
          <w:iCs/>
        </w:rPr>
        <w:t>order on reh’g</w:t>
      </w:r>
      <w:r w:rsidRPr="00A11EA1" w:rsidR="001206FF">
        <w:t xml:space="preserve">, </w:t>
      </w:r>
      <w:r w:rsidR="00AC3FD7">
        <w:t xml:space="preserve">                   </w:t>
      </w:r>
      <w:r w:rsidRPr="0082078F" w:rsidR="001206FF">
        <w:t>176 FERC ¶ 61,155 (2021</w:t>
      </w:r>
      <w:r w:rsidRPr="00F96279" w:rsidR="001206FF">
        <w:t>)</w:t>
      </w:r>
      <w:r w:rsidR="00070429">
        <w:t xml:space="preserve">). </w:t>
      </w:r>
    </w:p>
  </w:footnote>
  <w:footnote w:id="18">
    <w:p w:rsidR="00736185">
      <w:pPr>
        <w:pStyle w:val="FootnoteText"/>
      </w:pPr>
      <w:r>
        <w:rPr>
          <w:rStyle w:val="FootnoteReference"/>
        </w:rPr>
        <w:footnoteRef/>
      </w:r>
      <w:r>
        <w:t xml:space="preserve"> </w:t>
      </w:r>
      <w:r w:rsidR="000B374D">
        <w:rPr>
          <w:i/>
          <w:iCs/>
        </w:rPr>
        <w:t xml:space="preserve">Id. </w:t>
      </w:r>
      <w:r>
        <w:t>at 6.</w:t>
      </w:r>
    </w:p>
  </w:footnote>
  <w:footnote w:id="19">
    <w:p w:rsidR="00CE30BD" w:rsidRPr="003F1859">
      <w:pPr>
        <w:pStyle w:val="FootnoteText"/>
      </w:pPr>
      <w:r>
        <w:rPr>
          <w:rStyle w:val="FootnoteReference"/>
        </w:rPr>
        <w:footnoteRef/>
      </w:r>
      <w:r>
        <w:t xml:space="preserve"> </w:t>
      </w:r>
      <w:r w:rsidR="000B374D">
        <w:rPr>
          <w:i/>
          <w:iCs/>
        </w:rPr>
        <w:t>Id.</w:t>
      </w:r>
      <w:r w:rsidR="003140A5">
        <w:t xml:space="preserve"> (</w:t>
      </w:r>
      <w:r w:rsidR="00291C20">
        <w:t>citing</w:t>
      </w:r>
      <w:r w:rsidR="003140A5">
        <w:rPr>
          <w:i/>
          <w:iCs/>
        </w:rPr>
        <w:t xml:space="preserve"> </w:t>
      </w:r>
      <w:r w:rsidRPr="003F1859" w:rsidR="003F1859">
        <w:rPr>
          <w:i/>
          <w:iCs/>
        </w:rPr>
        <w:t>Midwest Indep. Transm</w:t>
      </w:r>
      <w:r w:rsidR="00092C40">
        <w:rPr>
          <w:i/>
          <w:iCs/>
        </w:rPr>
        <w:t>ission</w:t>
      </w:r>
      <w:r w:rsidRPr="003F1859" w:rsidR="003F1859">
        <w:rPr>
          <w:i/>
          <w:iCs/>
        </w:rPr>
        <w:t xml:space="preserve"> Sys. Operator, Inc.</w:t>
      </w:r>
      <w:r w:rsidRPr="00C21D33" w:rsidR="003F1859">
        <w:t>,</w:t>
      </w:r>
      <w:r w:rsidRPr="003F1859" w:rsidR="003F1859">
        <w:rPr>
          <w:i/>
          <w:iCs/>
        </w:rPr>
        <w:t xml:space="preserve"> </w:t>
      </w:r>
      <w:r w:rsidRPr="003F1859" w:rsidR="003F1859">
        <w:t>106 FERC ¶</w:t>
      </w:r>
      <w:r w:rsidR="00F7417F">
        <w:t> </w:t>
      </w:r>
      <w:r w:rsidRPr="003F1859" w:rsidR="003F1859">
        <w:t>61,219</w:t>
      </w:r>
      <w:r w:rsidR="00092C40">
        <w:t>,</w:t>
      </w:r>
      <w:r w:rsidRPr="003F1859" w:rsidR="003F1859">
        <w:t xml:space="preserve"> at P 31 (2004)</w:t>
      </w:r>
      <w:r w:rsidR="00385426">
        <w:t>,</w:t>
      </w:r>
      <w:r w:rsidR="00F7417F">
        <w:t xml:space="preserve"> </w:t>
      </w:r>
      <w:r w:rsidR="00385426">
        <w:rPr>
          <w:i/>
          <w:iCs/>
        </w:rPr>
        <w:t>order on reh’g</w:t>
      </w:r>
      <w:r w:rsidR="00385426">
        <w:t xml:space="preserve">, </w:t>
      </w:r>
      <w:r w:rsidR="00F7417F">
        <w:t xml:space="preserve">112 FERC </w:t>
      </w:r>
      <w:r w:rsidRPr="003F1859" w:rsidR="00F7417F">
        <w:t>¶</w:t>
      </w:r>
      <w:r w:rsidR="00F7417F">
        <w:t xml:space="preserve"> 61,351 (2005)</w:t>
      </w:r>
      <w:r w:rsidR="00A618B3">
        <w:t xml:space="preserve">; </w:t>
      </w:r>
      <w:r w:rsidRPr="003F1859" w:rsidR="00A618B3">
        <w:rPr>
          <w:i/>
          <w:iCs/>
        </w:rPr>
        <w:t>AES Power Inc.</w:t>
      </w:r>
      <w:r w:rsidRPr="00C21D33" w:rsidR="00A618B3">
        <w:t>,</w:t>
      </w:r>
      <w:r w:rsidRPr="003F1859" w:rsidR="00A618B3">
        <w:rPr>
          <w:i/>
          <w:iCs/>
        </w:rPr>
        <w:t xml:space="preserve"> </w:t>
      </w:r>
      <w:r w:rsidR="00AC3FD7">
        <w:rPr>
          <w:i/>
          <w:iCs/>
        </w:rPr>
        <w:t xml:space="preserve">   </w:t>
      </w:r>
      <w:r w:rsidRPr="003F1859" w:rsidR="00A618B3">
        <w:t>74 FERC ¶ 61,220</w:t>
      </w:r>
      <w:r w:rsidR="00A618B3">
        <w:t>,</w:t>
      </w:r>
      <w:r w:rsidRPr="003F1859" w:rsidR="00A618B3">
        <w:t xml:space="preserve"> at 61,745</w:t>
      </w:r>
      <w:r w:rsidR="00A618B3">
        <w:t>,</w:t>
      </w:r>
      <w:r w:rsidR="00A618B3">
        <w:rPr>
          <w:i/>
          <w:iCs/>
        </w:rPr>
        <w:t xml:space="preserve"> order on reh’g</w:t>
      </w:r>
      <w:r w:rsidR="00A618B3">
        <w:t xml:space="preserve">, 76 FERC </w:t>
      </w:r>
      <w:r w:rsidRPr="003F1859" w:rsidR="00A618B3">
        <w:t xml:space="preserve">¶ </w:t>
      </w:r>
      <w:r w:rsidR="00A618B3">
        <w:t>61,165</w:t>
      </w:r>
      <w:r w:rsidRPr="003F1859" w:rsidR="00A618B3">
        <w:rPr>
          <w:i/>
          <w:iCs/>
        </w:rPr>
        <w:t xml:space="preserve"> </w:t>
      </w:r>
      <w:r w:rsidRPr="003F1859" w:rsidR="00A618B3">
        <w:t>(1996)</w:t>
      </w:r>
      <w:r w:rsidRPr="003F1859" w:rsidR="003F1859">
        <w:t>)</w:t>
      </w:r>
      <w:r w:rsidR="00F7417F">
        <w:t>.</w:t>
      </w:r>
    </w:p>
  </w:footnote>
  <w:footnote w:id="20">
    <w:p w:rsidR="00A11CC0" w:rsidRPr="006D0E3D">
      <w:pPr>
        <w:pStyle w:val="FootnoteText"/>
        <w:rPr>
          <w:i/>
          <w:iCs/>
        </w:rPr>
      </w:pPr>
      <w:r>
        <w:rPr>
          <w:rStyle w:val="FootnoteReference"/>
        </w:rPr>
        <w:footnoteRef/>
      </w:r>
      <w:r>
        <w:t xml:space="preserve"> </w:t>
      </w:r>
      <w:r w:rsidR="00680476">
        <w:rPr>
          <w:i/>
          <w:iCs/>
        </w:rPr>
        <w:t xml:space="preserve">Id. </w:t>
      </w:r>
      <w:r>
        <w:t xml:space="preserve">at </w:t>
      </w:r>
      <w:r w:rsidR="00A611E5">
        <w:t>6-</w:t>
      </w:r>
      <w:r>
        <w:t>7</w:t>
      </w:r>
      <w:r w:rsidR="0078621A">
        <w:t>;</w:t>
      </w:r>
      <w:r>
        <w:rPr>
          <w:i/>
        </w:rPr>
        <w:t xml:space="preserve"> </w:t>
      </w:r>
      <w:r w:rsidRPr="006D0E3D" w:rsidR="006D0E3D">
        <w:t>Nowak Test</w:t>
      </w:r>
      <w:r w:rsidR="00D94B6D">
        <w:t>.</w:t>
      </w:r>
      <w:r w:rsidR="006D0E3D">
        <w:t xml:space="preserve"> at </w:t>
      </w:r>
      <w:r w:rsidR="003F43FC">
        <w:t>18-19, 21-24</w:t>
      </w:r>
      <w:r w:rsidR="00846839">
        <w:t xml:space="preserve">. </w:t>
      </w:r>
    </w:p>
  </w:footnote>
  <w:footnote w:id="21">
    <w:p w:rsidR="00053DD1" w:rsidP="00C93103">
      <w:pPr>
        <w:pStyle w:val="FootnoteText"/>
      </w:pPr>
      <w:r>
        <w:rPr>
          <w:rStyle w:val="FootnoteReference"/>
        </w:rPr>
        <w:footnoteRef/>
      </w:r>
      <w:r>
        <w:t xml:space="preserve"> </w:t>
      </w:r>
      <w:r w:rsidR="00687732">
        <w:t>Transmittal at 6</w:t>
      </w:r>
      <w:r w:rsidR="00985E59">
        <w:t xml:space="preserve">; </w:t>
      </w:r>
      <w:r>
        <w:t>Nowak Test</w:t>
      </w:r>
      <w:r w:rsidR="00D94B6D">
        <w:t>.</w:t>
      </w:r>
      <w:r>
        <w:t xml:space="preserve"> at 21-22 (referencing </w:t>
      </w:r>
      <w:r w:rsidRPr="00443112">
        <w:rPr>
          <w:i/>
          <w:iCs/>
        </w:rPr>
        <w:t>City of Vernon</w:t>
      </w:r>
      <w:r w:rsidRPr="00A10320">
        <w:t xml:space="preserve">, Opinion </w:t>
      </w:r>
      <w:r w:rsidR="00AC3FD7">
        <w:t xml:space="preserve">  </w:t>
      </w:r>
      <w:r w:rsidRPr="00A10320">
        <w:t>No. 479, 111 FERC ¶ 61,092</w:t>
      </w:r>
      <w:r w:rsidR="00526C1E">
        <w:t xml:space="preserve">, </w:t>
      </w:r>
      <w:r w:rsidR="00526C1E">
        <w:rPr>
          <w:i/>
          <w:iCs/>
        </w:rPr>
        <w:t xml:space="preserve">order on </w:t>
      </w:r>
      <w:r w:rsidR="002168EB">
        <w:rPr>
          <w:i/>
          <w:iCs/>
        </w:rPr>
        <w:t>reh’g</w:t>
      </w:r>
      <w:r w:rsidR="002168EB">
        <w:t xml:space="preserve">, 112 FERC </w:t>
      </w:r>
      <w:r w:rsidRPr="00A10320" w:rsidR="002168EB">
        <w:t>¶</w:t>
      </w:r>
      <w:r w:rsidR="002168EB">
        <w:t xml:space="preserve"> 61,207</w:t>
      </w:r>
      <w:r w:rsidRPr="00A10320">
        <w:t xml:space="preserve"> (2005)</w:t>
      </w:r>
      <w:r w:rsidR="00192B63">
        <w:t xml:space="preserve">, </w:t>
      </w:r>
      <w:r w:rsidR="00C93103">
        <w:rPr>
          <w:i/>
          <w:iCs/>
        </w:rPr>
        <w:t>vacated in part</w:t>
      </w:r>
      <w:r w:rsidR="00C93103">
        <w:t xml:space="preserve">, </w:t>
      </w:r>
      <w:r w:rsidRPr="00FA6498" w:rsidR="00C93103">
        <w:rPr>
          <w:i/>
          <w:iCs/>
        </w:rPr>
        <w:t>Transmission Agency of N. Cal</w:t>
      </w:r>
      <w:r w:rsidR="008A6F07">
        <w:rPr>
          <w:i/>
          <w:iCs/>
        </w:rPr>
        <w:t>.</w:t>
      </w:r>
      <w:r w:rsidRPr="00FA6498" w:rsidR="00C93103">
        <w:rPr>
          <w:i/>
          <w:iCs/>
        </w:rPr>
        <w:t xml:space="preserve"> v. FERC</w:t>
      </w:r>
      <w:r w:rsidRPr="00C93103" w:rsidR="00C93103">
        <w:t>, 495 F.3d 663 (D.C. Cir. 2007)</w:t>
      </w:r>
      <w:r w:rsidR="00CB0387">
        <w:t xml:space="preserve"> (</w:t>
      </w:r>
      <w:r w:rsidR="00CB0387">
        <w:rPr>
          <w:i/>
          <w:iCs/>
        </w:rPr>
        <w:t>TANC</w:t>
      </w:r>
      <w:r w:rsidR="00CB0387">
        <w:t>)</w:t>
      </w:r>
      <w:r w:rsidRPr="00A10320">
        <w:t>)</w:t>
      </w:r>
      <w:r w:rsidR="00436767">
        <w:t>.</w:t>
      </w:r>
    </w:p>
  </w:footnote>
  <w:footnote w:id="22">
    <w:p w:rsidR="003A380E">
      <w:pPr>
        <w:pStyle w:val="FootnoteText"/>
      </w:pPr>
      <w:r>
        <w:rPr>
          <w:rStyle w:val="FootnoteReference"/>
        </w:rPr>
        <w:footnoteRef/>
      </w:r>
      <w:r>
        <w:t xml:space="preserve"> Transmittal at 7</w:t>
      </w:r>
      <w:r w:rsidR="007648C7">
        <w:t>;</w:t>
      </w:r>
      <w:r>
        <w:t xml:space="preserve"> Nowak Test</w:t>
      </w:r>
      <w:r w:rsidR="00D94B6D">
        <w:t>.</w:t>
      </w:r>
      <w:r>
        <w:t xml:space="preserve"> at 18-19, 21-24.</w:t>
      </w:r>
    </w:p>
  </w:footnote>
  <w:footnote w:id="23">
    <w:p w:rsidR="006024D1">
      <w:pPr>
        <w:pStyle w:val="FootnoteText"/>
      </w:pPr>
      <w:r>
        <w:rPr>
          <w:rStyle w:val="FootnoteReference"/>
        </w:rPr>
        <w:footnoteRef/>
      </w:r>
      <w:r>
        <w:t xml:space="preserve"> Transmittal at 8. </w:t>
      </w:r>
    </w:p>
  </w:footnote>
  <w:footnote w:id="24">
    <w:p w:rsidR="001C48B9" w:rsidRPr="001C48B9" w:rsidP="00975B91">
      <w:pPr>
        <w:pStyle w:val="FootnoteText"/>
        <w:widowControl/>
      </w:pPr>
      <w:r>
        <w:rPr>
          <w:rStyle w:val="FootnoteReference"/>
        </w:rPr>
        <w:footnoteRef/>
      </w:r>
      <w:r>
        <w:t xml:space="preserve"> </w:t>
      </w:r>
      <w:r>
        <w:rPr>
          <w:i/>
          <w:iCs/>
        </w:rPr>
        <w:t>Id</w:t>
      </w:r>
      <w:r w:rsidRPr="00FA6498">
        <w:rPr>
          <w:i/>
          <w:iCs/>
        </w:rPr>
        <w:t>.</w:t>
      </w:r>
      <w:r w:rsidR="002953A0">
        <w:t xml:space="preserve"> at 1, 8</w:t>
      </w:r>
      <w:r w:rsidR="003D54E2">
        <w:t>-9</w:t>
      </w:r>
      <w:r w:rsidR="00F12F49">
        <w:t xml:space="preserve"> (citing </w:t>
      </w:r>
      <w:r w:rsidR="00F12F49">
        <w:rPr>
          <w:i/>
          <w:iCs/>
        </w:rPr>
        <w:t xml:space="preserve">N.Y. Indep. Sys. </w:t>
      </w:r>
      <w:r w:rsidR="00814A84">
        <w:rPr>
          <w:i/>
          <w:iCs/>
        </w:rPr>
        <w:t>Operator, Inc.</w:t>
      </w:r>
      <w:r w:rsidR="00814A84">
        <w:t xml:space="preserve">, </w:t>
      </w:r>
      <w:r w:rsidR="00E04FC3">
        <w:t xml:space="preserve">140 FERC ¶ 61,240, </w:t>
      </w:r>
      <w:r w:rsidR="002D4C42">
        <w:t>at PP 2, 31, 33 (2012))</w:t>
      </w:r>
      <w:r w:rsidR="002953A0">
        <w:t>.</w:t>
      </w:r>
      <w:r>
        <w:t xml:space="preserve"> </w:t>
      </w:r>
    </w:p>
  </w:footnote>
  <w:footnote w:id="25">
    <w:p w:rsidR="00F9426C" w:rsidRPr="00F9426C">
      <w:pPr>
        <w:pStyle w:val="FootnoteText"/>
      </w:pPr>
      <w:r>
        <w:rPr>
          <w:rStyle w:val="FootnoteReference"/>
        </w:rPr>
        <w:footnoteRef/>
      </w:r>
      <w:r>
        <w:t xml:space="preserve"> </w:t>
      </w:r>
      <w:r>
        <w:rPr>
          <w:i/>
          <w:iCs/>
        </w:rPr>
        <w:t>Id.</w:t>
      </w:r>
      <w:r>
        <w:t xml:space="preserve"> at 9-10</w:t>
      </w:r>
      <w:r w:rsidR="00A718F4">
        <w:t xml:space="preserve"> (citing </w:t>
      </w:r>
      <w:r w:rsidRPr="00A11EA1" w:rsidR="00A718F4">
        <w:rPr>
          <w:i/>
        </w:rPr>
        <w:t>N.Y. Indep. Sys. Operator, Inc.</w:t>
      </w:r>
      <w:r w:rsidRPr="00A718F4" w:rsidR="00A718F4">
        <w:t>, 180 FERC ¶ 61,004</w:t>
      </w:r>
      <w:r w:rsidR="00A718F4">
        <w:t>,</w:t>
      </w:r>
      <w:r w:rsidRPr="00A718F4" w:rsidR="00A718F4">
        <w:t xml:space="preserve"> at P 55 (2022)</w:t>
      </w:r>
      <w:r w:rsidR="00A718F4">
        <w:t xml:space="preserve">; </w:t>
      </w:r>
      <w:r w:rsidRPr="00A11EA1" w:rsidR="00430D0C">
        <w:rPr>
          <w:i/>
        </w:rPr>
        <w:t>N.Y. Indep. Sys. Operator, Inc.</w:t>
      </w:r>
      <w:r w:rsidRPr="00430D0C" w:rsidR="00430D0C">
        <w:t>, 154 FERC ¶ 61,268</w:t>
      </w:r>
      <w:r w:rsidR="00430D0C">
        <w:t>,</w:t>
      </w:r>
      <w:r w:rsidRPr="00430D0C" w:rsidR="00430D0C">
        <w:t xml:space="preserve"> at PP 69-70 (</w:t>
      </w:r>
      <w:r w:rsidRPr="00DB161C" w:rsidR="001655C1">
        <w:t>2016</w:t>
      </w:r>
      <w:r w:rsidRPr="00430D0C" w:rsidR="00430D0C">
        <w:t xml:space="preserve">); </w:t>
      </w:r>
      <w:r w:rsidRPr="00A11EA1" w:rsidR="00430D0C">
        <w:rPr>
          <w:i/>
        </w:rPr>
        <w:t>N.Y. Indep. Sys. Operator, Inc.</w:t>
      </w:r>
      <w:r w:rsidRPr="00430D0C" w:rsidR="00430D0C">
        <w:t>, 140 FERC ¶ 61,240 at PP 36-37</w:t>
      </w:r>
      <w:r w:rsidR="001655C1">
        <w:t>).</w:t>
      </w:r>
    </w:p>
  </w:footnote>
  <w:footnote w:id="26">
    <w:p w:rsidR="00126DE9" w:rsidP="00126DE9">
      <w:pPr>
        <w:pStyle w:val="FootnoteText"/>
      </w:pPr>
      <w:r>
        <w:rPr>
          <w:rStyle w:val="FootnoteReference"/>
        </w:rPr>
        <w:footnoteRef/>
      </w:r>
      <w:r>
        <w:t xml:space="preserve"> Multiple Intervenors </w:t>
      </w:r>
      <w:r w:rsidRPr="005E3B5B">
        <w:t>is an unincorporated association of approximately 55 large industrial, commercial, and institutional energy consumers with manufacturing and other facilities located throughout New York State</w:t>
      </w:r>
      <w:r>
        <w:t>.  Consumer Advocates Protest at n.3.</w:t>
      </w:r>
    </w:p>
  </w:footnote>
  <w:footnote w:id="27">
    <w:p w:rsidR="0037665C" w:rsidP="0037665C">
      <w:pPr>
        <w:pStyle w:val="FootnoteText"/>
      </w:pPr>
      <w:r>
        <w:rPr>
          <w:rStyle w:val="FootnoteReference"/>
        </w:rPr>
        <w:footnoteRef/>
      </w:r>
      <w:r>
        <w:t xml:space="preserve"> NYAPP Protest at </w:t>
      </w:r>
      <w:r w:rsidR="00050196">
        <w:t xml:space="preserve">2-3, </w:t>
      </w:r>
      <w:r>
        <w:t xml:space="preserve">6. </w:t>
      </w:r>
    </w:p>
  </w:footnote>
  <w:footnote w:id="28">
    <w:p w:rsidR="007F1AC8">
      <w:pPr>
        <w:pStyle w:val="FootnoteText"/>
      </w:pPr>
      <w:r>
        <w:rPr>
          <w:rStyle w:val="FootnoteReference"/>
        </w:rPr>
        <w:footnoteRef/>
      </w:r>
      <w:r>
        <w:t xml:space="preserve"> </w:t>
      </w:r>
      <w:r w:rsidR="00050196">
        <w:rPr>
          <w:i/>
          <w:iCs/>
        </w:rPr>
        <w:t>Id.</w:t>
      </w:r>
      <w:r>
        <w:t xml:space="preserve"> at </w:t>
      </w:r>
      <w:r w:rsidRPr="003215B2">
        <w:t>3 (</w:t>
      </w:r>
      <w:r w:rsidRPr="003215B2" w:rsidR="00F355B3">
        <w:t>citing</w:t>
      </w:r>
      <w:r w:rsidRPr="003215B2" w:rsidR="00F355B3">
        <w:rPr>
          <w:i/>
          <w:iCs/>
        </w:rPr>
        <w:t xml:space="preserve"> </w:t>
      </w:r>
      <w:r w:rsidRPr="00FA6498" w:rsidR="00256671">
        <w:t>San Diego Gas &amp; Elec. Co.</w:t>
      </w:r>
      <w:r w:rsidR="00F91144">
        <w:t xml:space="preserve"> (SDG&amp;E)</w:t>
      </w:r>
      <w:r w:rsidRPr="00FA6498" w:rsidR="00256671">
        <w:t xml:space="preserve"> </w:t>
      </w:r>
      <w:r w:rsidR="00975B91">
        <w:t>(</w:t>
      </w:r>
      <w:r w:rsidRPr="00FA6498">
        <w:t>Prepared Direct Testimony of Joshua C. Nowak</w:t>
      </w:r>
      <w:r w:rsidR="00975B91">
        <w:t>),</w:t>
      </w:r>
      <w:r w:rsidRPr="00FA6498">
        <w:t xml:space="preserve"> </w:t>
      </w:r>
      <w:r w:rsidRPr="00C83EC3" w:rsidR="00FF30A6">
        <w:t>Ex. SDG&amp;E-005</w:t>
      </w:r>
      <w:r w:rsidRPr="00C83EC3" w:rsidR="00A0562B">
        <w:t>,</w:t>
      </w:r>
      <w:r w:rsidRPr="003215B2">
        <w:t xml:space="preserve"> Docket No. ER25-270</w:t>
      </w:r>
      <w:r w:rsidRPr="003215B2" w:rsidR="002D421C">
        <w:t>-000</w:t>
      </w:r>
      <w:r w:rsidRPr="007F1AC8">
        <w:t>, at</w:t>
      </w:r>
      <w:r>
        <w:t xml:space="preserve"> 17</w:t>
      </w:r>
      <w:r w:rsidR="00A951E5">
        <w:t xml:space="preserve"> (filed </w:t>
      </w:r>
      <w:r w:rsidRPr="007F1AC8" w:rsidR="00A951E5">
        <w:t>Oct</w:t>
      </w:r>
      <w:r w:rsidR="00A951E5">
        <w:t>.</w:t>
      </w:r>
      <w:r w:rsidRPr="007F1AC8" w:rsidR="00A951E5">
        <w:t xml:space="preserve"> 30, 2024</w:t>
      </w:r>
      <w:r w:rsidR="00A951E5">
        <w:t>)</w:t>
      </w:r>
      <w:r w:rsidR="004C1E30">
        <w:t xml:space="preserve"> </w:t>
      </w:r>
      <w:r w:rsidR="00AE7695">
        <w:t>(Nowak SDG&amp;E Test.)</w:t>
      </w:r>
      <w:r w:rsidR="00E62D0C">
        <w:t>)</w:t>
      </w:r>
      <w:r>
        <w:t>.</w:t>
      </w:r>
      <w:r w:rsidR="00E62D0C">
        <w:t xml:space="preserve">  </w:t>
      </w:r>
    </w:p>
  </w:footnote>
  <w:footnote w:id="29">
    <w:p w:rsidR="002D2F1D" w:rsidRPr="001941A9">
      <w:pPr>
        <w:pStyle w:val="FootnoteText"/>
        <w:rPr>
          <w:i/>
          <w:iCs/>
        </w:rPr>
      </w:pPr>
      <w:r>
        <w:rPr>
          <w:rStyle w:val="FootnoteReference"/>
        </w:rPr>
        <w:footnoteRef/>
      </w:r>
      <w:r>
        <w:t xml:space="preserve"> </w:t>
      </w:r>
      <w:r w:rsidR="00050196">
        <w:rPr>
          <w:i/>
          <w:iCs/>
        </w:rPr>
        <w:t>Id.</w:t>
      </w:r>
      <w:r>
        <w:t xml:space="preserve"> at 3 </w:t>
      </w:r>
      <w:r w:rsidRPr="003215B2">
        <w:t>(</w:t>
      </w:r>
      <w:r w:rsidRPr="003215B2" w:rsidR="00754DB1">
        <w:t xml:space="preserve">citing </w:t>
      </w:r>
      <w:r w:rsidRPr="003215B2" w:rsidR="00D815EA">
        <w:t>Nowak Test</w:t>
      </w:r>
      <w:r w:rsidRPr="003215B2" w:rsidR="004A4026">
        <w:t>.</w:t>
      </w:r>
      <w:r w:rsidRPr="003215B2" w:rsidR="00754DB1">
        <w:t xml:space="preserve">, </w:t>
      </w:r>
      <w:r w:rsidRPr="00FA6498" w:rsidR="001941A9">
        <w:t>Schedule 1</w:t>
      </w:r>
      <w:r w:rsidRPr="003215B2" w:rsidR="001941A9">
        <w:t>).</w:t>
      </w:r>
    </w:p>
  </w:footnote>
  <w:footnote w:id="30">
    <w:p w:rsidR="00D672BA">
      <w:pPr>
        <w:pStyle w:val="FootnoteText"/>
      </w:pPr>
      <w:r>
        <w:rPr>
          <w:rStyle w:val="FootnoteReference"/>
        </w:rPr>
        <w:footnoteRef/>
      </w:r>
      <w:r>
        <w:t xml:space="preserve"> </w:t>
      </w:r>
      <w:r w:rsidR="00050196">
        <w:rPr>
          <w:i/>
          <w:iCs/>
        </w:rPr>
        <w:t>Id.</w:t>
      </w:r>
      <w:r w:rsidR="00050196">
        <w:t xml:space="preserve"> </w:t>
      </w:r>
      <w:r>
        <w:t xml:space="preserve">at 4. </w:t>
      </w:r>
    </w:p>
  </w:footnote>
  <w:footnote w:id="31">
    <w:p w:rsidR="00DF0F1B" w:rsidRPr="00F863F5">
      <w:pPr>
        <w:pStyle w:val="FootnoteText"/>
      </w:pPr>
      <w:r>
        <w:rPr>
          <w:rStyle w:val="FootnoteReference"/>
        </w:rPr>
        <w:footnoteRef/>
      </w:r>
      <w:r>
        <w:t xml:space="preserve"> </w:t>
      </w:r>
      <w:r w:rsidR="00F863F5">
        <w:rPr>
          <w:i/>
          <w:iCs/>
        </w:rPr>
        <w:t>Id.</w:t>
      </w:r>
      <w:r w:rsidR="00F863F5">
        <w:t xml:space="preserve"> at 5-6</w:t>
      </w:r>
    </w:p>
  </w:footnote>
  <w:footnote w:id="32">
    <w:p w:rsidR="00BF531B" w:rsidRPr="000D3EF3">
      <w:pPr>
        <w:pStyle w:val="FootnoteText"/>
      </w:pPr>
      <w:r>
        <w:rPr>
          <w:rStyle w:val="FootnoteReference"/>
        </w:rPr>
        <w:footnoteRef/>
      </w:r>
      <w:r>
        <w:t xml:space="preserve"> </w:t>
      </w:r>
      <w:r>
        <w:rPr>
          <w:i/>
          <w:iCs/>
        </w:rPr>
        <w:t>Id.</w:t>
      </w:r>
      <w:r w:rsidR="000D3EF3">
        <w:t xml:space="preserve"> at 5 (citing </w:t>
      </w:r>
      <w:r w:rsidR="000D3EF3">
        <w:rPr>
          <w:i/>
          <w:iCs/>
        </w:rPr>
        <w:t>Mystic</w:t>
      </w:r>
      <w:r w:rsidR="000D3EF3">
        <w:t xml:space="preserve">, 176 FERC </w:t>
      </w:r>
      <w:r w:rsidRPr="00430D0C" w:rsidR="000D3EF3">
        <w:t>¶</w:t>
      </w:r>
      <w:r w:rsidR="002B5943">
        <w:t xml:space="preserve"> 61,019 at P 85).</w:t>
      </w:r>
    </w:p>
  </w:footnote>
  <w:footnote w:id="33">
    <w:p w:rsidR="00582071">
      <w:pPr>
        <w:pStyle w:val="FootnoteText"/>
      </w:pPr>
      <w:r>
        <w:rPr>
          <w:rStyle w:val="FootnoteReference"/>
        </w:rPr>
        <w:footnoteRef/>
      </w:r>
      <w:r>
        <w:t xml:space="preserve"> </w:t>
      </w:r>
      <w:r>
        <w:rPr>
          <w:i/>
          <w:iCs/>
        </w:rPr>
        <w:t>Id.</w:t>
      </w:r>
      <w:r>
        <w:t xml:space="preserve"> (citing </w:t>
      </w:r>
      <w:r>
        <w:rPr>
          <w:i/>
          <w:iCs/>
        </w:rPr>
        <w:t>Mystic</w:t>
      </w:r>
      <w:r>
        <w:t xml:space="preserve">, 176 FERC </w:t>
      </w:r>
      <w:r w:rsidRPr="00430D0C">
        <w:t>¶</w:t>
      </w:r>
      <w:r>
        <w:t xml:space="preserve"> 61,019 at P 70).</w:t>
      </w:r>
    </w:p>
  </w:footnote>
  <w:footnote w:id="34">
    <w:p w:rsidR="001E4DAB">
      <w:pPr>
        <w:pStyle w:val="FootnoteText"/>
      </w:pPr>
      <w:r>
        <w:rPr>
          <w:rStyle w:val="FootnoteReference"/>
        </w:rPr>
        <w:footnoteRef/>
      </w:r>
      <w:r>
        <w:t xml:space="preserve"> </w:t>
      </w:r>
      <w:r w:rsidRPr="00FD30E3" w:rsidR="00FD30E3">
        <w:t xml:space="preserve">New York Commission </w:t>
      </w:r>
      <w:r>
        <w:t>Protest at 2</w:t>
      </w:r>
      <w:r w:rsidR="00723249">
        <w:t>-4</w:t>
      </w:r>
      <w:r>
        <w:t>.</w:t>
      </w:r>
    </w:p>
  </w:footnote>
  <w:footnote w:id="35">
    <w:p w:rsidR="00244712" w:rsidRPr="00244712">
      <w:pPr>
        <w:pStyle w:val="FootnoteText"/>
      </w:pPr>
      <w:r>
        <w:rPr>
          <w:rStyle w:val="FootnoteReference"/>
        </w:rPr>
        <w:footnoteRef/>
      </w:r>
      <w:r>
        <w:t xml:space="preserve"> </w:t>
      </w:r>
      <w:r w:rsidR="00F863F5">
        <w:rPr>
          <w:i/>
          <w:iCs/>
        </w:rPr>
        <w:t>Id.</w:t>
      </w:r>
      <w:r w:rsidRPr="00FD30E3" w:rsidR="00FD30E3">
        <w:t xml:space="preserve"> </w:t>
      </w:r>
      <w:r w:rsidR="00723249">
        <w:t xml:space="preserve">at 2-3 </w:t>
      </w:r>
      <w:r w:rsidR="00FD30E3">
        <w:t xml:space="preserve">(citing </w:t>
      </w:r>
      <w:r w:rsidRPr="00FB300A" w:rsidR="00FB300A">
        <w:rPr>
          <w:i/>
          <w:iCs/>
        </w:rPr>
        <w:t>Bangor Hydro-</w:t>
      </w:r>
      <w:r w:rsidR="00F6468E">
        <w:rPr>
          <w:i/>
          <w:iCs/>
        </w:rPr>
        <w:t>Elec.</w:t>
      </w:r>
      <w:r w:rsidRPr="00FB300A" w:rsidR="00FB300A">
        <w:rPr>
          <w:i/>
          <w:iCs/>
        </w:rPr>
        <w:t xml:space="preserve"> Co.</w:t>
      </w:r>
      <w:r w:rsidRPr="00C21D33" w:rsidR="00FB300A">
        <w:t>,</w:t>
      </w:r>
      <w:r w:rsidRPr="00E73444" w:rsidR="00FB300A">
        <w:t xml:space="preserve"> </w:t>
      </w:r>
      <w:r w:rsidRPr="00FB300A" w:rsidR="00FB300A">
        <w:t>122 FERC ¶ 61,038</w:t>
      </w:r>
      <w:r w:rsidR="00FD30E3">
        <w:t>, at PP 12, 14</w:t>
      </w:r>
      <w:r w:rsidRPr="00FB300A" w:rsidR="00FB300A">
        <w:t xml:space="preserve"> (2008)</w:t>
      </w:r>
      <w:r w:rsidR="004310CD">
        <w:t xml:space="preserve"> (</w:t>
      </w:r>
      <w:r w:rsidR="004310CD">
        <w:rPr>
          <w:i/>
          <w:iCs/>
        </w:rPr>
        <w:t>Bangor</w:t>
      </w:r>
      <w:r w:rsidR="004310CD">
        <w:t>)</w:t>
      </w:r>
      <w:r w:rsidR="00FD30E3">
        <w:t>)</w:t>
      </w:r>
      <w:r w:rsidR="00630E80">
        <w:t xml:space="preserve">. </w:t>
      </w:r>
    </w:p>
  </w:footnote>
  <w:footnote w:id="36">
    <w:p w:rsidR="000F5871">
      <w:pPr>
        <w:pStyle w:val="FootnoteText"/>
      </w:pPr>
      <w:r>
        <w:rPr>
          <w:rStyle w:val="FootnoteReference"/>
        </w:rPr>
        <w:footnoteRef/>
      </w:r>
      <w:r>
        <w:t xml:space="preserve"> </w:t>
      </w:r>
      <w:r w:rsidRPr="000F5871">
        <w:t>MEUA Protest at 4</w:t>
      </w:r>
      <w:r w:rsidR="00F85223">
        <w:t>-6</w:t>
      </w:r>
      <w:r w:rsidRPr="000F5871">
        <w:t>.</w:t>
      </w:r>
    </w:p>
  </w:footnote>
  <w:footnote w:id="37">
    <w:p w:rsidR="007C3103">
      <w:pPr>
        <w:pStyle w:val="FootnoteText"/>
      </w:pPr>
      <w:r>
        <w:rPr>
          <w:rStyle w:val="FootnoteReference"/>
        </w:rPr>
        <w:footnoteRef/>
      </w:r>
      <w:r>
        <w:t xml:space="preserve"> Consumer Advocates Protest at 3</w:t>
      </w:r>
      <w:r w:rsidR="002A3BB1">
        <w:t>-5</w:t>
      </w:r>
      <w:r>
        <w:t>.</w:t>
      </w:r>
    </w:p>
  </w:footnote>
  <w:footnote w:id="38">
    <w:p w:rsidR="00805332" w:rsidRPr="00805332">
      <w:pPr>
        <w:pStyle w:val="FootnoteText"/>
      </w:pPr>
      <w:r>
        <w:rPr>
          <w:rStyle w:val="FootnoteReference"/>
        </w:rPr>
        <w:footnoteRef/>
      </w:r>
      <w:r>
        <w:t xml:space="preserve"> </w:t>
      </w:r>
      <w:r w:rsidR="00716D51">
        <w:rPr>
          <w:i/>
          <w:iCs/>
        </w:rPr>
        <w:t>Id.</w:t>
      </w:r>
      <w:r>
        <w:t xml:space="preserve"> (citing </w:t>
      </w:r>
      <w:r w:rsidRPr="00FA6498" w:rsidR="00051E92">
        <w:rPr>
          <w:i/>
          <w:iCs/>
        </w:rPr>
        <w:t>Bangor</w:t>
      </w:r>
      <w:r w:rsidRPr="004310CD" w:rsidR="00051E92">
        <w:t>, 1</w:t>
      </w:r>
      <w:r w:rsidRPr="00051E92" w:rsidR="00051E92">
        <w:t xml:space="preserve">22 FERC ¶ 61,038 at </w:t>
      </w:r>
      <w:r w:rsidR="004310CD">
        <w:t>P</w:t>
      </w:r>
      <w:r w:rsidRPr="00051E92" w:rsidR="00051E92">
        <w:t>P 12</w:t>
      </w:r>
      <w:r w:rsidR="004310CD">
        <w:t>,</w:t>
      </w:r>
      <w:r w:rsidR="00051E92">
        <w:t xml:space="preserve"> 14</w:t>
      </w:r>
      <w:r w:rsidR="004310CD">
        <w:t>)</w:t>
      </w:r>
      <w:r w:rsidRPr="00051E92" w:rsidR="00051E92">
        <w:t>.</w:t>
      </w:r>
    </w:p>
  </w:footnote>
  <w:footnote w:id="39">
    <w:p w:rsidR="00403ABD">
      <w:pPr>
        <w:pStyle w:val="FootnoteText"/>
      </w:pPr>
      <w:r>
        <w:rPr>
          <w:rStyle w:val="FootnoteReference"/>
        </w:rPr>
        <w:footnoteRef/>
      </w:r>
      <w:r>
        <w:t xml:space="preserve"> </w:t>
      </w:r>
      <w:r w:rsidR="00716D51">
        <w:rPr>
          <w:i/>
          <w:iCs/>
        </w:rPr>
        <w:t>Id.</w:t>
      </w:r>
      <w:r>
        <w:t xml:space="preserve"> at 5-6</w:t>
      </w:r>
      <w:r w:rsidR="008704F4">
        <w:t xml:space="preserve"> &amp; </w:t>
      </w:r>
      <w:r w:rsidR="009854DE">
        <w:t xml:space="preserve">app. </w:t>
      </w:r>
      <w:r w:rsidRPr="001262D8" w:rsidR="009854DE">
        <w:t>A (Testimony of Michele Chait on Behalf of the City of New York and Multiple Intervenors)</w:t>
      </w:r>
      <w:r w:rsidR="004E41F9">
        <w:t>,</w:t>
      </w:r>
      <w:r w:rsidR="009854DE">
        <w:t xml:space="preserve"> </w:t>
      </w:r>
      <w:r w:rsidR="0083617B">
        <w:t>at 5-8 (Chait Test.)</w:t>
      </w:r>
      <w:r>
        <w:t>.</w:t>
      </w:r>
    </w:p>
  </w:footnote>
  <w:footnote w:id="40">
    <w:p w:rsidR="000E7326">
      <w:pPr>
        <w:pStyle w:val="FootnoteText"/>
      </w:pPr>
      <w:r>
        <w:rPr>
          <w:rStyle w:val="FootnoteReference"/>
        </w:rPr>
        <w:footnoteRef/>
      </w:r>
      <w:r>
        <w:t xml:space="preserve"> </w:t>
      </w:r>
      <w:r w:rsidRPr="00450ED6" w:rsidR="00450ED6">
        <w:t xml:space="preserve">Consumer Advocates </w:t>
      </w:r>
      <w:r>
        <w:t xml:space="preserve">Protest at </w:t>
      </w:r>
      <w:r w:rsidR="005C1969">
        <w:t>6-10</w:t>
      </w:r>
      <w:r w:rsidR="0033630B">
        <w:t>;</w:t>
      </w:r>
      <w:r w:rsidR="003A7386">
        <w:t xml:space="preserve"> Chait Test. </w:t>
      </w:r>
      <w:r w:rsidR="00631267">
        <w:t>at</w:t>
      </w:r>
      <w:r w:rsidR="003A7386">
        <w:t xml:space="preserve"> 11-12</w:t>
      </w:r>
      <w:r w:rsidR="005C1969">
        <w:t xml:space="preserve">. </w:t>
      </w:r>
    </w:p>
  </w:footnote>
  <w:footnote w:id="41">
    <w:p w:rsidR="009302DE">
      <w:pPr>
        <w:pStyle w:val="FootnoteText"/>
      </w:pPr>
      <w:r>
        <w:rPr>
          <w:rStyle w:val="FootnoteReference"/>
        </w:rPr>
        <w:footnoteRef/>
      </w:r>
      <w:r>
        <w:t xml:space="preserve"> </w:t>
      </w:r>
      <w:r w:rsidRPr="00450ED6">
        <w:t>Consumer Advocates</w:t>
      </w:r>
      <w:r>
        <w:t xml:space="preserve"> Protest at 9</w:t>
      </w:r>
      <w:r w:rsidR="0033630B">
        <w:t>;</w:t>
      </w:r>
      <w:r w:rsidR="00631267">
        <w:t xml:space="preserve"> Chait Test. at 17-18</w:t>
      </w:r>
      <w:r>
        <w:t>.</w:t>
      </w:r>
    </w:p>
  </w:footnote>
  <w:footnote w:id="42">
    <w:p w:rsidR="00450ED6">
      <w:pPr>
        <w:pStyle w:val="FootnoteText"/>
      </w:pPr>
      <w:r>
        <w:rPr>
          <w:rStyle w:val="FootnoteReference"/>
        </w:rPr>
        <w:footnoteRef/>
      </w:r>
      <w:r>
        <w:t xml:space="preserve"> </w:t>
      </w:r>
      <w:r w:rsidRPr="00450ED6">
        <w:t xml:space="preserve">Consumer Advocates </w:t>
      </w:r>
      <w:r>
        <w:t xml:space="preserve">Protest at 10. </w:t>
      </w:r>
    </w:p>
  </w:footnote>
  <w:footnote w:id="43">
    <w:p w:rsidR="0058456E" w:rsidP="0058456E">
      <w:pPr>
        <w:pStyle w:val="FootnoteText"/>
      </w:pPr>
      <w:r>
        <w:rPr>
          <w:rStyle w:val="FootnoteReference"/>
        </w:rPr>
        <w:footnoteRef/>
      </w:r>
      <w:r>
        <w:t xml:space="preserve"> </w:t>
      </w:r>
      <w:r w:rsidR="00C67F7E">
        <w:rPr>
          <w:i/>
          <w:iCs/>
        </w:rPr>
        <w:t>Id.</w:t>
      </w:r>
      <w:r w:rsidR="00C67F7E">
        <w:t xml:space="preserve"> </w:t>
      </w:r>
      <w:r>
        <w:t xml:space="preserve">at 8-9; Chait Test. at 12 (referencing </w:t>
      </w:r>
      <w:r w:rsidR="00062BD8">
        <w:t xml:space="preserve">Nowak </w:t>
      </w:r>
      <w:r w:rsidR="00F91144">
        <w:t>SDG&amp;E</w:t>
      </w:r>
      <w:r w:rsidR="00062BD8">
        <w:t xml:space="preserve"> Test</w:t>
      </w:r>
      <w:r w:rsidR="00545D45">
        <w:t>.</w:t>
      </w:r>
      <w:r w:rsidRPr="007F1AC8">
        <w:t xml:space="preserve"> at</w:t>
      </w:r>
      <w:r>
        <w:t xml:space="preserve"> 17).</w:t>
      </w:r>
    </w:p>
  </w:footnote>
  <w:footnote w:id="44">
    <w:p w:rsidR="00DC434C">
      <w:pPr>
        <w:pStyle w:val="FootnoteText"/>
      </w:pPr>
      <w:r>
        <w:rPr>
          <w:rStyle w:val="FootnoteReference"/>
        </w:rPr>
        <w:footnoteRef/>
      </w:r>
      <w:r>
        <w:t xml:space="preserve"> NYPA Answer at 2</w:t>
      </w:r>
      <w:r w:rsidR="00383B85">
        <w:t>, 4-8</w:t>
      </w:r>
      <w:r>
        <w:t>.</w:t>
      </w:r>
    </w:p>
  </w:footnote>
  <w:footnote w:id="45">
    <w:p w:rsidR="009225EA" w:rsidRPr="001827E8">
      <w:pPr>
        <w:pStyle w:val="FootnoteText"/>
      </w:pPr>
      <w:r>
        <w:rPr>
          <w:rStyle w:val="FootnoteReference"/>
        </w:rPr>
        <w:footnoteRef/>
      </w:r>
      <w:r>
        <w:t xml:space="preserve"> </w:t>
      </w:r>
      <w:r w:rsidR="001827E8">
        <w:rPr>
          <w:i/>
          <w:iCs/>
        </w:rPr>
        <w:t>Id.</w:t>
      </w:r>
      <w:r w:rsidR="001827E8">
        <w:t xml:space="preserve"> at 5 (citing New York Commission Protest at 4).</w:t>
      </w:r>
    </w:p>
  </w:footnote>
  <w:footnote w:id="46">
    <w:p w:rsidR="00574E01">
      <w:pPr>
        <w:pStyle w:val="FootnoteText"/>
      </w:pPr>
      <w:r>
        <w:rPr>
          <w:rStyle w:val="FootnoteReference"/>
        </w:rPr>
        <w:footnoteRef/>
      </w:r>
      <w:r>
        <w:t xml:space="preserve"> </w:t>
      </w:r>
      <w:r w:rsidR="006875A4">
        <w:rPr>
          <w:i/>
          <w:iCs/>
        </w:rPr>
        <w:t>Id.</w:t>
      </w:r>
      <w:r w:rsidR="006875A4">
        <w:t xml:space="preserve"> at 5-6 (citing Consumer Advocates Protest at </w:t>
      </w:r>
      <w:r w:rsidR="00D668EB">
        <w:t>8</w:t>
      </w:r>
      <w:r w:rsidR="006875A4">
        <w:t>).</w:t>
      </w:r>
    </w:p>
  </w:footnote>
  <w:footnote w:id="47">
    <w:p w:rsidR="00262DEF" w:rsidRPr="00F60D13">
      <w:pPr>
        <w:pStyle w:val="FootnoteText"/>
      </w:pPr>
      <w:r>
        <w:rPr>
          <w:rStyle w:val="FootnoteReference"/>
        </w:rPr>
        <w:footnoteRef/>
      </w:r>
      <w:r>
        <w:t xml:space="preserve"> </w:t>
      </w:r>
      <w:r w:rsidR="00F60D13">
        <w:rPr>
          <w:i/>
          <w:iCs/>
        </w:rPr>
        <w:t>Id.</w:t>
      </w:r>
      <w:r w:rsidR="00F60D13">
        <w:t xml:space="preserve"> at 6 (citing MEUA Protest at 4).</w:t>
      </w:r>
    </w:p>
  </w:footnote>
  <w:footnote w:id="48">
    <w:p w:rsidR="000C5775" w:rsidRPr="00B83230">
      <w:pPr>
        <w:pStyle w:val="FootnoteText"/>
      </w:pPr>
      <w:r>
        <w:rPr>
          <w:rStyle w:val="FootnoteReference"/>
        </w:rPr>
        <w:footnoteRef/>
      </w:r>
      <w:r>
        <w:t xml:space="preserve"> </w:t>
      </w:r>
      <w:r w:rsidR="00B83230">
        <w:rPr>
          <w:i/>
          <w:iCs/>
        </w:rPr>
        <w:t>Id.</w:t>
      </w:r>
      <w:r w:rsidR="00B83230">
        <w:t xml:space="preserve"> at 6-7 (citing </w:t>
      </w:r>
      <w:r w:rsidR="00995827">
        <w:t>Nowak SDG&amp;E Test. at 17).</w:t>
      </w:r>
    </w:p>
  </w:footnote>
  <w:footnote w:id="49">
    <w:p w:rsidR="0017050A" w:rsidRPr="0017050A">
      <w:pPr>
        <w:pStyle w:val="FootnoteText"/>
      </w:pPr>
      <w:r>
        <w:rPr>
          <w:rStyle w:val="FootnoteReference"/>
        </w:rPr>
        <w:footnoteRef/>
      </w:r>
      <w:r>
        <w:t xml:space="preserve"> </w:t>
      </w:r>
      <w:r>
        <w:rPr>
          <w:i/>
          <w:iCs/>
        </w:rPr>
        <w:t>Id.</w:t>
      </w:r>
      <w:r>
        <w:t xml:space="preserve"> at 8-9.</w:t>
      </w:r>
    </w:p>
  </w:footnote>
  <w:footnote w:id="50">
    <w:p w:rsidR="004C7933" w:rsidRPr="004C7933">
      <w:pPr>
        <w:pStyle w:val="FootnoteText"/>
      </w:pPr>
      <w:r>
        <w:rPr>
          <w:rStyle w:val="FootnoteReference"/>
        </w:rPr>
        <w:footnoteRef/>
      </w:r>
      <w:r>
        <w:t xml:space="preserve"> </w:t>
      </w:r>
      <w:r>
        <w:rPr>
          <w:i/>
          <w:iCs/>
        </w:rPr>
        <w:t>Id.</w:t>
      </w:r>
      <w:r>
        <w:t xml:space="preserve"> at 9-10</w:t>
      </w:r>
    </w:p>
  </w:footnote>
  <w:footnote w:id="51">
    <w:p w:rsidR="008302A6" w:rsidRPr="008302A6" w:rsidP="005727D7">
      <w:pPr>
        <w:pStyle w:val="FootnoteText"/>
      </w:pPr>
      <w:r>
        <w:rPr>
          <w:rStyle w:val="FootnoteReference"/>
        </w:rPr>
        <w:footnoteRef/>
      </w:r>
      <w:r>
        <w:t xml:space="preserve"> </w:t>
      </w:r>
      <w:r>
        <w:rPr>
          <w:i/>
          <w:iCs/>
        </w:rPr>
        <w:t>Id.</w:t>
      </w:r>
      <w:r>
        <w:t xml:space="preserve"> at 9 (citing </w:t>
      </w:r>
      <w:r w:rsidR="005727D7">
        <w:t xml:space="preserve">October 2024 MISO Order, </w:t>
      </w:r>
      <w:r w:rsidRPr="0082078F" w:rsidR="005727D7">
        <w:t>189 FERC ¶</w:t>
      </w:r>
      <w:r w:rsidR="005727D7">
        <w:t> </w:t>
      </w:r>
      <w:r w:rsidRPr="0082078F" w:rsidR="005727D7">
        <w:t>61,036</w:t>
      </w:r>
      <w:r w:rsidR="005727D7">
        <w:t xml:space="preserve">). </w:t>
      </w:r>
    </w:p>
  </w:footnote>
  <w:footnote w:id="52">
    <w:p w:rsidR="00A2363D" w:rsidRPr="000241D5">
      <w:pPr>
        <w:pStyle w:val="FootnoteText"/>
      </w:pPr>
      <w:r>
        <w:rPr>
          <w:rStyle w:val="FootnoteReference"/>
        </w:rPr>
        <w:footnoteRef/>
      </w:r>
      <w:r>
        <w:t xml:space="preserve"> </w:t>
      </w:r>
      <w:r>
        <w:rPr>
          <w:i/>
          <w:iCs/>
        </w:rPr>
        <w:t xml:space="preserve">Id. </w:t>
      </w:r>
      <w:r w:rsidR="000241D5">
        <w:t xml:space="preserve">at 9-10 (citing </w:t>
      </w:r>
      <w:r w:rsidRPr="00C21D33" w:rsidR="002754A7">
        <w:rPr>
          <w:i/>
        </w:rPr>
        <w:t>Ass’n of Bus. Advocating Tariff Equity v. Midcontinent Indep. Sys. Operator, Inc.</w:t>
      </w:r>
      <w:r w:rsidRPr="002754A7" w:rsidR="002754A7">
        <w:t xml:space="preserve">, </w:t>
      </w:r>
      <w:r w:rsidR="00F4551C">
        <w:t xml:space="preserve">Opinion No. 569, </w:t>
      </w:r>
      <w:r w:rsidRPr="0044504B" w:rsidR="00F4551C">
        <w:t>169 FERC ¶ 61,129 (2019)</w:t>
      </w:r>
      <w:r w:rsidR="00F4551C">
        <w:t xml:space="preserve">, </w:t>
      </w:r>
      <w:r w:rsidR="00F4551C">
        <w:rPr>
          <w:i/>
          <w:iCs/>
        </w:rPr>
        <w:t>order on reh’g</w:t>
      </w:r>
      <w:r w:rsidR="00F4551C">
        <w:t xml:space="preserve">, </w:t>
      </w:r>
      <w:r w:rsidRPr="002754A7" w:rsidR="002754A7">
        <w:t>Opinion No. 569-A</w:t>
      </w:r>
      <w:r w:rsidR="0088495C">
        <w:t>, 171</w:t>
      </w:r>
      <w:r w:rsidRPr="00BA2932" w:rsidR="0088495C">
        <w:t xml:space="preserve"> FERC ¶ 61,</w:t>
      </w:r>
      <w:r w:rsidR="0088495C">
        <w:t>154</w:t>
      </w:r>
      <w:r w:rsidR="00F4551C">
        <w:t>,</w:t>
      </w:r>
      <w:r w:rsidRPr="002754A7" w:rsidR="002754A7">
        <w:t xml:space="preserve"> at P 79, </w:t>
      </w:r>
      <w:r w:rsidRPr="00C21D33" w:rsidR="002754A7">
        <w:rPr>
          <w:i/>
        </w:rPr>
        <w:t xml:space="preserve">order </w:t>
      </w:r>
      <w:r w:rsidRPr="00C21D33" w:rsidR="002B4821">
        <w:rPr>
          <w:i/>
        </w:rPr>
        <w:t>on</w:t>
      </w:r>
      <w:r w:rsidRPr="00C21D33" w:rsidR="002754A7">
        <w:rPr>
          <w:i/>
        </w:rPr>
        <w:t xml:space="preserve"> reh’g</w:t>
      </w:r>
      <w:r w:rsidR="002B4821">
        <w:t xml:space="preserve">, </w:t>
      </w:r>
      <w:r w:rsidRPr="002754A7" w:rsidR="009707DE">
        <w:t>Opinion No. 569-B</w:t>
      </w:r>
      <w:r w:rsidR="009707DE">
        <w:t xml:space="preserve">, </w:t>
      </w:r>
      <w:r w:rsidR="00376B22">
        <w:t>1</w:t>
      </w:r>
      <w:r w:rsidRPr="00376B22" w:rsidR="00376B22">
        <w:t xml:space="preserve">73 FERC </w:t>
      </w:r>
      <w:r w:rsidRPr="00BA2932" w:rsidR="00376B22">
        <w:t xml:space="preserve">¶ </w:t>
      </w:r>
      <w:r w:rsidRPr="00376B22" w:rsidR="00376B22">
        <w:t>61</w:t>
      </w:r>
      <w:r w:rsidR="00376B22">
        <w:t>,</w:t>
      </w:r>
      <w:r w:rsidRPr="00376B22" w:rsidR="00376B22">
        <w:t>159</w:t>
      </w:r>
      <w:r w:rsidR="009707DE">
        <w:t xml:space="preserve"> </w:t>
      </w:r>
      <w:r w:rsidRPr="002754A7" w:rsidR="002754A7">
        <w:t xml:space="preserve">(2020), </w:t>
      </w:r>
      <w:r w:rsidRPr="00C21D33" w:rsidR="002754A7">
        <w:rPr>
          <w:i/>
        </w:rPr>
        <w:t>vacated sub nom.</w:t>
      </w:r>
      <w:r w:rsidR="00376B22">
        <w:t>,</w:t>
      </w:r>
      <w:r w:rsidRPr="002754A7" w:rsidR="002754A7">
        <w:t xml:space="preserve"> </w:t>
      </w:r>
      <w:r w:rsidRPr="00C21D33" w:rsidR="002754A7">
        <w:rPr>
          <w:i/>
        </w:rPr>
        <w:t>MISO Transmission Owners v. FERC</w:t>
      </w:r>
      <w:r w:rsidRPr="002754A7" w:rsidR="002754A7">
        <w:t xml:space="preserve">, </w:t>
      </w:r>
      <w:r w:rsidR="00AC3FD7">
        <w:t xml:space="preserve">   </w:t>
      </w:r>
      <w:r w:rsidRPr="002754A7" w:rsidR="002754A7">
        <w:t xml:space="preserve">45 F.4th 248 (D.C. Cir. 2022), </w:t>
      </w:r>
      <w:r w:rsidR="005F2FD2">
        <w:rPr>
          <w:i/>
          <w:iCs/>
        </w:rPr>
        <w:t xml:space="preserve">order </w:t>
      </w:r>
      <w:r w:rsidRPr="00C21D33" w:rsidR="002754A7">
        <w:rPr>
          <w:i/>
        </w:rPr>
        <w:t>on remand</w:t>
      </w:r>
      <w:r w:rsidRPr="002754A7" w:rsidR="002754A7">
        <w:t xml:space="preserve">, </w:t>
      </w:r>
      <w:r w:rsidR="0021152C">
        <w:t xml:space="preserve">October 2024 MISO Order, </w:t>
      </w:r>
      <w:r w:rsidRPr="002754A7" w:rsidR="002754A7">
        <w:t>189 FERC ¶</w:t>
      </w:r>
      <w:r w:rsidR="0021152C">
        <w:t> </w:t>
      </w:r>
      <w:r w:rsidRPr="002754A7" w:rsidR="002754A7">
        <w:t>61,036</w:t>
      </w:r>
      <w:r w:rsidR="005F2FD2">
        <w:t>)</w:t>
      </w:r>
      <w:r w:rsidRPr="002754A7" w:rsidR="002754A7">
        <w:t>.</w:t>
      </w:r>
    </w:p>
  </w:footnote>
  <w:footnote w:id="53">
    <w:p w:rsidR="006E77CA" w:rsidRPr="00751811">
      <w:pPr>
        <w:pStyle w:val="FootnoteText"/>
      </w:pPr>
      <w:r>
        <w:rPr>
          <w:rStyle w:val="FootnoteReference"/>
        </w:rPr>
        <w:footnoteRef/>
      </w:r>
      <w:r>
        <w:t xml:space="preserve"> </w:t>
      </w:r>
      <w:r w:rsidR="00751811">
        <w:rPr>
          <w:i/>
          <w:iCs/>
        </w:rPr>
        <w:t>Id.</w:t>
      </w:r>
      <w:r w:rsidR="00751811">
        <w:t xml:space="preserve"> at 10 (citing NYAPP </w:t>
      </w:r>
      <w:r w:rsidR="0045796A">
        <w:t>Protest at 5).</w:t>
      </w:r>
    </w:p>
  </w:footnote>
  <w:footnote w:id="54">
    <w:p w:rsidR="006729C3" w:rsidRPr="006729C3" w:rsidP="00BE0A5B">
      <w:pPr>
        <w:pStyle w:val="FootnoteText"/>
      </w:pPr>
      <w:r>
        <w:rPr>
          <w:rStyle w:val="FootnoteReference"/>
        </w:rPr>
        <w:footnoteRef/>
      </w:r>
      <w:r>
        <w:t xml:space="preserve"> </w:t>
      </w:r>
      <w:r>
        <w:rPr>
          <w:i/>
          <w:iCs/>
        </w:rPr>
        <w:t>Id.</w:t>
      </w:r>
      <w:r>
        <w:t xml:space="preserve"> (citing </w:t>
      </w:r>
      <w:r w:rsidR="00780FA4">
        <w:t xml:space="preserve">Opinion No. 569, </w:t>
      </w:r>
      <w:r w:rsidRPr="0044504B" w:rsidR="0044504B">
        <w:t>169 FERC ¶ 61,129</w:t>
      </w:r>
      <w:r w:rsidR="00CA6FEF">
        <w:t xml:space="preserve">; </w:t>
      </w:r>
      <w:r w:rsidRPr="002754A7" w:rsidR="00BE0A5B">
        <w:t>Opinion No. 569-A</w:t>
      </w:r>
      <w:r w:rsidR="00BE0A5B">
        <w:t xml:space="preserve">, </w:t>
      </w:r>
      <w:r w:rsidR="00AC3FD7">
        <w:t xml:space="preserve">           </w:t>
      </w:r>
      <w:r w:rsidR="00BE0A5B">
        <w:t>171</w:t>
      </w:r>
      <w:r w:rsidRPr="00BA2932" w:rsidR="00BE0A5B">
        <w:t xml:space="preserve"> FERC ¶ 61,</w:t>
      </w:r>
      <w:r w:rsidR="00BE0A5B">
        <w:t>154</w:t>
      </w:r>
      <w:r w:rsidR="00CA6FEF">
        <w:t xml:space="preserve">; </w:t>
      </w:r>
      <w:r w:rsidRPr="002754A7" w:rsidR="009707DE">
        <w:t>Opinion No. 569-B</w:t>
      </w:r>
      <w:r w:rsidR="009707DE">
        <w:t xml:space="preserve">, </w:t>
      </w:r>
      <w:r w:rsidR="00BE0A5B">
        <w:t>1</w:t>
      </w:r>
      <w:r w:rsidRPr="00376B22" w:rsidR="00BE0A5B">
        <w:t xml:space="preserve">73 FERC </w:t>
      </w:r>
      <w:r w:rsidRPr="00BA2932" w:rsidR="00BE0A5B">
        <w:t xml:space="preserve">¶ </w:t>
      </w:r>
      <w:r w:rsidRPr="00376B22" w:rsidR="00BE0A5B">
        <w:t>61</w:t>
      </w:r>
      <w:r w:rsidR="00BE0A5B">
        <w:t>,</w:t>
      </w:r>
      <w:r w:rsidRPr="00376B22" w:rsidR="00BE0A5B">
        <w:t>159</w:t>
      </w:r>
      <w:r w:rsidR="00787B11">
        <w:t xml:space="preserve">; </w:t>
      </w:r>
      <w:r w:rsidRPr="00C21D33" w:rsidR="009C7596">
        <w:rPr>
          <w:i/>
        </w:rPr>
        <w:t>Entergy Ark., Inc.</w:t>
      </w:r>
      <w:r w:rsidRPr="009C7596" w:rsidR="009C7596">
        <w:t xml:space="preserve">, Opinion No. 575, 175 FERC ¶ 61,136, </w:t>
      </w:r>
      <w:r w:rsidR="00162307">
        <w:rPr>
          <w:i/>
          <w:iCs/>
        </w:rPr>
        <w:t xml:space="preserve">order on </w:t>
      </w:r>
      <w:r w:rsidR="008C2866">
        <w:rPr>
          <w:i/>
          <w:iCs/>
        </w:rPr>
        <w:t>reh’g</w:t>
      </w:r>
      <w:r w:rsidRPr="009C7596" w:rsidR="009C7596">
        <w:t xml:space="preserve">, 176 FERC ¶ 61,155; </w:t>
      </w:r>
      <w:r w:rsidRPr="00C21D33" w:rsidR="009C7596">
        <w:rPr>
          <w:i/>
        </w:rPr>
        <w:t xml:space="preserve">DATC </w:t>
      </w:r>
      <w:r w:rsidR="00AC3FD7">
        <w:rPr>
          <w:i/>
        </w:rPr>
        <w:t xml:space="preserve">    </w:t>
      </w:r>
      <w:r w:rsidRPr="00C21D33" w:rsidR="009C7596">
        <w:rPr>
          <w:i/>
        </w:rPr>
        <w:t>Path 15, LLC</w:t>
      </w:r>
      <w:r w:rsidRPr="009C7596" w:rsidR="009C7596">
        <w:t xml:space="preserve">, Opinion No. 879, 177 FERC ¶ 61,115; </w:t>
      </w:r>
      <w:r w:rsidRPr="00C21D33" w:rsidR="009C7596">
        <w:rPr>
          <w:i/>
        </w:rPr>
        <w:t>Pac. Gas &amp; Elec. Co.</w:t>
      </w:r>
      <w:r w:rsidRPr="009C7596" w:rsidR="009C7596">
        <w:t xml:space="preserve">, 178 FERC </w:t>
      </w:r>
      <w:r w:rsidR="00AC3FD7">
        <w:t xml:space="preserve">                  </w:t>
      </w:r>
      <w:r w:rsidRPr="009C7596" w:rsidR="009C7596">
        <w:t>¶ 61,175</w:t>
      </w:r>
      <w:r w:rsidR="00BE0A5B">
        <w:t>)</w:t>
      </w:r>
      <w:r w:rsidR="008825BD">
        <w:t>.</w:t>
      </w:r>
    </w:p>
  </w:footnote>
  <w:footnote w:id="55">
    <w:p w:rsidR="007F153E" w:rsidRPr="007F153E">
      <w:pPr>
        <w:pStyle w:val="FootnoteText"/>
      </w:pPr>
      <w:r>
        <w:rPr>
          <w:rStyle w:val="FootnoteReference"/>
        </w:rPr>
        <w:footnoteRef/>
      </w:r>
      <w:r>
        <w:t xml:space="preserve"> </w:t>
      </w:r>
      <w:r>
        <w:rPr>
          <w:i/>
          <w:iCs/>
        </w:rPr>
        <w:t>Id.</w:t>
      </w:r>
      <w:r>
        <w:t xml:space="preserve"> at 11-12.</w:t>
      </w:r>
    </w:p>
  </w:footnote>
  <w:footnote w:id="56">
    <w:p w:rsidR="00A1286D" w:rsidRPr="00B46361" w:rsidP="00A1286D">
      <w:pPr>
        <w:pStyle w:val="FootnoteText"/>
      </w:pPr>
      <w:r>
        <w:rPr>
          <w:rStyle w:val="FootnoteReference"/>
        </w:rPr>
        <w:footnoteRef/>
      </w:r>
      <w:r>
        <w:t xml:space="preserve"> </w:t>
      </w:r>
      <w:r>
        <w:rPr>
          <w:i/>
          <w:iCs/>
        </w:rPr>
        <w:t>Id.</w:t>
      </w:r>
      <w:r>
        <w:t xml:space="preserve"> at 12 (citing Consumer Advocates Protest at 7; Chait Test. at 10-11</w:t>
      </w:r>
      <w:r w:rsidR="002F2774">
        <w:t>).</w:t>
      </w:r>
      <w:r>
        <w:t xml:space="preserve">  </w:t>
      </w:r>
    </w:p>
  </w:footnote>
  <w:footnote w:id="57">
    <w:p w:rsidR="005A41D3" w:rsidRPr="00960581" w:rsidP="005A41D3">
      <w:pPr>
        <w:pStyle w:val="FootnoteText"/>
      </w:pPr>
      <w:r>
        <w:rPr>
          <w:rStyle w:val="FootnoteReference"/>
        </w:rPr>
        <w:footnoteRef/>
      </w:r>
      <w:r>
        <w:t xml:space="preserve"> </w:t>
      </w:r>
      <w:r>
        <w:rPr>
          <w:i/>
          <w:iCs/>
        </w:rPr>
        <w:t>Id.</w:t>
      </w:r>
      <w:r>
        <w:t xml:space="preserve"> (citing </w:t>
      </w:r>
      <w:r w:rsidRPr="00C21D33" w:rsidR="009E062E">
        <w:rPr>
          <w:i/>
        </w:rPr>
        <w:t>Martha Coakley, Mass. Att</w:t>
      </w:r>
      <w:r w:rsidR="00DC5EBD">
        <w:rPr>
          <w:i/>
          <w:iCs/>
        </w:rPr>
        <w:t>’</w:t>
      </w:r>
      <w:r w:rsidRPr="00C21D33" w:rsidR="009E062E">
        <w:rPr>
          <w:i/>
        </w:rPr>
        <w:t xml:space="preserve">y. </w:t>
      </w:r>
      <w:r w:rsidR="00284CE0">
        <w:rPr>
          <w:i/>
          <w:iCs/>
        </w:rPr>
        <w:t>Gen.</w:t>
      </w:r>
      <w:r w:rsidRPr="00C21D33" w:rsidR="009E062E">
        <w:rPr>
          <w:i/>
        </w:rPr>
        <w:t xml:space="preserve"> v. Bangor Hydro-</w:t>
      </w:r>
      <w:r w:rsidR="00284CE0">
        <w:rPr>
          <w:i/>
          <w:iCs/>
        </w:rPr>
        <w:t>Elec.</w:t>
      </w:r>
      <w:r w:rsidRPr="00C21D33" w:rsidR="009E062E">
        <w:rPr>
          <w:i/>
        </w:rPr>
        <w:t xml:space="preserve"> Co.</w:t>
      </w:r>
      <w:r w:rsidRPr="009E062E" w:rsidR="009E062E">
        <w:t>, Opinion No. 531, 147 FERC ¶ 61,234</w:t>
      </w:r>
      <w:r w:rsidR="00AC3FD7">
        <w:t>,</w:t>
      </w:r>
      <w:r w:rsidRPr="009E062E" w:rsidR="009E062E">
        <w:t xml:space="preserve"> at P 149</w:t>
      </w:r>
      <w:r w:rsidR="00455D87">
        <w:t xml:space="preserve">, </w:t>
      </w:r>
      <w:r w:rsidR="00B834AB">
        <w:rPr>
          <w:i/>
          <w:iCs/>
        </w:rPr>
        <w:t>order on paper hearing</w:t>
      </w:r>
      <w:r w:rsidR="00B834AB">
        <w:t xml:space="preserve">, </w:t>
      </w:r>
      <w:r w:rsidR="008D6723">
        <w:t xml:space="preserve">Opinion </w:t>
      </w:r>
      <w:r w:rsidR="00AC3FD7">
        <w:t xml:space="preserve">          </w:t>
      </w:r>
      <w:r w:rsidR="008D6723">
        <w:t>No. 531-A, 1</w:t>
      </w:r>
      <w:r w:rsidRPr="001F3127" w:rsidR="001F3127">
        <w:t xml:space="preserve">49 FERC </w:t>
      </w:r>
      <w:r w:rsidRPr="009E062E" w:rsidR="001F3127">
        <w:t xml:space="preserve">¶ </w:t>
      </w:r>
      <w:r w:rsidRPr="001F3127" w:rsidR="001F3127">
        <w:t>61</w:t>
      </w:r>
      <w:r w:rsidR="001F3127">
        <w:t>,</w:t>
      </w:r>
      <w:r w:rsidRPr="001F3127" w:rsidR="001F3127">
        <w:t>032</w:t>
      </w:r>
      <w:r w:rsidRPr="009E062E" w:rsidR="0082103A">
        <w:t xml:space="preserve"> (2014)</w:t>
      </w:r>
      <w:r w:rsidR="00D87362">
        <w:t xml:space="preserve">, </w:t>
      </w:r>
      <w:r w:rsidR="0082103A">
        <w:rPr>
          <w:i/>
          <w:iCs/>
        </w:rPr>
        <w:t xml:space="preserve">order on </w:t>
      </w:r>
      <w:r w:rsidRPr="0082103A" w:rsidR="0082103A">
        <w:rPr>
          <w:i/>
          <w:iCs/>
        </w:rPr>
        <w:t>reh’g</w:t>
      </w:r>
      <w:r w:rsidR="0082103A">
        <w:t xml:space="preserve">, </w:t>
      </w:r>
      <w:r w:rsidRPr="0082103A" w:rsidR="00FD1683">
        <w:t>Opinion</w:t>
      </w:r>
      <w:r w:rsidR="00FD1683">
        <w:t xml:space="preserve"> No. 531-B, 1</w:t>
      </w:r>
      <w:r w:rsidRPr="001F3127" w:rsidR="00FD1683">
        <w:t xml:space="preserve">49 FERC </w:t>
      </w:r>
      <w:r w:rsidRPr="009E062E" w:rsidR="00FD1683">
        <w:t>¶</w:t>
      </w:r>
      <w:r w:rsidR="0082103A">
        <w:t> </w:t>
      </w:r>
      <w:r w:rsidRPr="001F3127" w:rsidR="00FD1683">
        <w:t>61</w:t>
      </w:r>
      <w:r w:rsidR="00FD1683">
        <w:t>,</w:t>
      </w:r>
      <w:r w:rsidRPr="001F3127" w:rsidR="00FD1683">
        <w:t>032</w:t>
      </w:r>
      <w:r w:rsidR="001E719F">
        <w:t xml:space="preserve"> (2015), </w:t>
      </w:r>
      <w:r w:rsidR="00E85CF0">
        <w:rPr>
          <w:i/>
          <w:iCs/>
        </w:rPr>
        <w:t>vacated</w:t>
      </w:r>
      <w:r w:rsidR="00E85CF0">
        <w:t xml:space="preserve">, </w:t>
      </w:r>
      <w:r w:rsidRPr="00A569FF">
        <w:rPr>
          <w:i/>
          <w:iCs/>
        </w:rPr>
        <w:t xml:space="preserve">Emera </w:t>
      </w:r>
      <w:r w:rsidR="00284CE0">
        <w:rPr>
          <w:i/>
          <w:iCs/>
        </w:rPr>
        <w:t>Me.</w:t>
      </w:r>
      <w:r w:rsidRPr="00A569FF">
        <w:rPr>
          <w:i/>
          <w:iCs/>
        </w:rPr>
        <w:t xml:space="preserve"> v. FERC</w:t>
      </w:r>
      <w:r w:rsidRPr="005A41D3">
        <w:t>, 854 F.3d 9 (D.C. Cir. 2017)</w:t>
      </w:r>
      <w:r w:rsidR="00021CE4">
        <w:t xml:space="preserve">, </w:t>
      </w:r>
      <w:r w:rsidR="00960581">
        <w:rPr>
          <w:i/>
          <w:iCs/>
        </w:rPr>
        <w:t>order directing briefs</w:t>
      </w:r>
      <w:r w:rsidR="00960581">
        <w:t xml:space="preserve">, </w:t>
      </w:r>
      <w:r w:rsidRPr="00C40B80" w:rsidR="00C40B80">
        <w:t xml:space="preserve">165 FERC </w:t>
      </w:r>
      <w:r w:rsidRPr="009E062E" w:rsidR="00C40B80">
        <w:t>¶</w:t>
      </w:r>
      <w:r w:rsidRPr="00C40B80" w:rsidR="00C40B80">
        <w:t xml:space="preserve"> 61</w:t>
      </w:r>
      <w:r w:rsidR="00C40B80">
        <w:t>,</w:t>
      </w:r>
      <w:r w:rsidRPr="00C40B80" w:rsidR="00C40B80">
        <w:t>030</w:t>
      </w:r>
      <w:r w:rsidR="00C40B80">
        <w:t xml:space="preserve"> (2018)).</w:t>
      </w:r>
      <w:r w:rsidR="00960581">
        <w:rPr>
          <w:i/>
          <w:iCs/>
        </w:rPr>
        <w:t xml:space="preserve"> </w:t>
      </w:r>
    </w:p>
  </w:footnote>
  <w:footnote w:id="58">
    <w:p w:rsidR="000A3C87" w:rsidP="000A3C87">
      <w:pPr>
        <w:pStyle w:val="FootnoteText"/>
      </w:pPr>
      <w:r>
        <w:rPr>
          <w:rStyle w:val="FootnoteReference"/>
        </w:rPr>
        <w:footnoteRef/>
      </w:r>
      <w:r>
        <w:t xml:space="preserve"> </w:t>
      </w:r>
      <w:r w:rsidRPr="00BA2932">
        <w:rPr>
          <w:i/>
          <w:iCs/>
        </w:rPr>
        <w:t>See</w:t>
      </w:r>
      <w:r w:rsidRPr="00BA2932">
        <w:t xml:space="preserve"> Opinion No. 479, 111 FERC ¶ 61,092.</w:t>
      </w:r>
    </w:p>
  </w:footnote>
  <w:footnote w:id="59">
    <w:p w:rsidR="000A3C87" w:rsidRPr="00C61BD5" w:rsidP="000A3C87">
      <w:pPr>
        <w:pStyle w:val="FootnoteText"/>
      </w:pPr>
      <w:r>
        <w:rPr>
          <w:rStyle w:val="FootnoteReference"/>
        </w:rPr>
        <w:footnoteRef/>
      </w:r>
      <w:r>
        <w:t xml:space="preserve"> </w:t>
      </w:r>
      <w:r>
        <w:rPr>
          <w:i/>
          <w:iCs/>
        </w:rPr>
        <w:t xml:space="preserve">Id. </w:t>
      </w:r>
      <w:r>
        <w:t>P 44.</w:t>
      </w:r>
    </w:p>
  </w:footnote>
  <w:footnote w:id="60">
    <w:p w:rsidR="000A3C87" w:rsidP="000A3C87">
      <w:pPr>
        <w:pStyle w:val="FootnoteText"/>
      </w:pPr>
      <w:r>
        <w:rPr>
          <w:rStyle w:val="FootnoteReference"/>
        </w:rPr>
        <w:footnoteRef/>
      </w:r>
      <w:r>
        <w:t xml:space="preserve"> </w:t>
      </w:r>
      <w:r w:rsidRPr="00BA2932">
        <w:rPr>
          <w:i/>
          <w:iCs/>
        </w:rPr>
        <w:t>Id</w:t>
      </w:r>
      <w:r w:rsidRPr="00BA2932">
        <w:t>.</w:t>
      </w:r>
    </w:p>
  </w:footnote>
  <w:footnote w:id="61">
    <w:p w:rsidR="000A3C87" w:rsidP="000A3C87">
      <w:pPr>
        <w:pStyle w:val="FootnoteText"/>
      </w:pPr>
      <w:r>
        <w:rPr>
          <w:rStyle w:val="FootnoteReference"/>
        </w:rPr>
        <w:footnoteRef/>
      </w:r>
      <w:r>
        <w:t xml:space="preserve"> </w:t>
      </w:r>
      <w:r w:rsidRPr="00BA2932">
        <w:rPr>
          <w:i/>
          <w:iCs/>
        </w:rPr>
        <w:t>Id</w:t>
      </w:r>
      <w:r w:rsidRPr="00BA2932">
        <w:t xml:space="preserve">. P 43 (quoting </w:t>
      </w:r>
      <w:r w:rsidRPr="00BA2932">
        <w:rPr>
          <w:i/>
          <w:iCs/>
        </w:rPr>
        <w:t>Pac. Gas &amp; Elec. Co. v. FERC</w:t>
      </w:r>
      <w:r w:rsidRPr="00BA2932">
        <w:t xml:space="preserve">, 306 F.3d </w:t>
      </w:r>
      <w:r>
        <w:t>1112,</w:t>
      </w:r>
      <w:r w:rsidRPr="00BA2932">
        <w:t xml:space="preserve"> 1117</w:t>
      </w:r>
      <w:r>
        <w:t xml:space="preserve"> </w:t>
      </w:r>
      <w:r w:rsidR="00AC3FD7">
        <w:t xml:space="preserve">                 </w:t>
      </w:r>
      <w:r w:rsidRPr="00D67084">
        <w:t>(D.C. Cir. 2002)</w:t>
      </w:r>
      <w:r w:rsidRPr="00BA2932">
        <w:t>).</w:t>
      </w:r>
    </w:p>
  </w:footnote>
  <w:footnote w:id="62">
    <w:p w:rsidR="004B7078" w:rsidP="004B7078">
      <w:pPr>
        <w:pStyle w:val="FootnoteText"/>
      </w:pPr>
      <w:r>
        <w:rPr>
          <w:rStyle w:val="FootnoteReference"/>
        </w:rPr>
        <w:footnoteRef/>
      </w:r>
      <w:r>
        <w:rPr>
          <w:i/>
          <w:iCs/>
        </w:rPr>
        <w:t xml:space="preserve"> TANC</w:t>
      </w:r>
      <w:r w:rsidRPr="00BA2932">
        <w:t xml:space="preserve">, 495 F.3d </w:t>
      </w:r>
      <w:r>
        <w:t>at</w:t>
      </w:r>
      <w:r w:rsidRPr="00BA2932">
        <w:t xml:space="preserve"> 672.</w:t>
      </w:r>
    </w:p>
  </w:footnote>
  <w:footnote w:id="63">
    <w:p w:rsidR="004B7078" w:rsidRPr="00C61BD5" w:rsidP="004B7078">
      <w:pPr>
        <w:pStyle w:val="FootnoteText"/>
      </w:pPr>
      <w:r>
        <w:rPr>
          <w:rStyle w:val="FootnoteReference"/>
        </w:rPr>
        <w:footnoteRef/>
      </w:r>
      <w:r>
        <w:t xml:space="preserve"> </w:t>
      </w:r>
      <w:r>
        <w:rPr>
          <w:i/>
          <w:iCs/>
        </w:rPr>
        <w:t xml:space="preserve">Id. </w:t>
      </w:r>
      <w:r>
        <w:t>at 673.</w:t>
      </w:r>
    </w:p>
  </w:footnote>
  <w:footnote w:id="64">
    <w:p w:rsidR="004B7078" w:rsidP="004B7078">
      <w:pPr>
        <w:pStyle w:val="FootnoteText"/>
      </w:pPr>
      <w:r>
        <w:rPr>
          <w:rStyle w:val="FootnoteReference"/>
        </w:rPr>
        <w:footnoteRef/>
      </w:r>
      <w:r>
        <w:t xml:space="preserve"> </w:t>
      </w:r>
      <w:r w:rsidRPr="00BA2932">
        <w:rPr>
          <w:i/>
          <w:iCs/>
        </w:rPr>
        <w:t>Id</w:t>
      </w:r>
      <w:r w:rsidRPr="00BA2932">
        <w:t>. at 673-74.</w:t>
      </w:r>
    </w:p>
  </w:footnote>
  <w:footnote w:id="65">
    <w:p w:rsidR="004B7078" w:rsidP="004B7078">
      <w:pPr>
        <w:pStyle w:val="FootnoteText"/>
      </w:pPr>
      <w:r>
        <w:rPr>
          <w:rStyle w:val="FootnoteReference"/>
        </w:rPr>
        <w:footnoteRef/>
      </w:r>
      <w:r>
        <w:t xml:space="preserve"> </w:t>
      </w:r>
      <w:r w:rsidRPr="00BA2932">
        <w:rPr>
          <w:i/>
          <w:iCs/>
        </w:rPr>
        <w:t>Id</w:t>
      </w:r>
      <w:r w:rsidRPr="00BA2932">
        <w:t>. at 674</w:t>
      </w:r>
      <w:r>
        <w:t xml:space="preserve"> </w:t>
      </w:r>
      <w:r w:rsidRPr="00D67084">
        <w:t>(quoting 16 U.S.C. § 824(f))</w:t>
      </w:r>
      <w:r w:rsidRPr="00BA2932">
        <w:t>.</w:t>
      </w:r>
    </w:p>
  </w:footnote>
  <w:footnote w:id="66">
    <w:p w:rsidR="002D6679" w:rsidP="002D6679">
      <w:pPr>
        <w:pStyle w:val="FootnoteText"/>
      </w:pPr>
      <w:r>
        <w:rPr>
          <w:rStyle w:val="FootnoteReference"/>
        </w:rPr>
        <w:footnoteRef/>
      </w:r>
      <w:r>
        <w:t xml:space="preserve"> </w:t>
      </w:r>
      <w:r>
        <w:rPr>
          <w:i/>
          <w:iCs/>
        </w:rPr>
        <w:t xml:space="preserve">See </w:t>
      </w:r>
      <w:r w:rsidR="00284CE0">
        <w:rPr>
          <w:i/>
        </w:rPr>
        <w:t>N.Y.</w:t>
      </w:r>
      <w:r w:rsidRPr="00A11EA1">
        <w:rPr>
          <w:i/>
        </w:rPr>
        <w:t xml:space="preserve"> Indep. Sys. Operator, Inc.</w:t>
      </w:r>
      <w:r w:rsidRPr="00DB161C">
        <w:t>, 154 FERC ¶ 61,268</w:t>
      </w:r>
      <w:r>
        <w:t xml:space="preserve"> at P 66; </w:t>
      </w:r>
      <w:r w:rsidR="00284CE0">
        <w:rPr>
          <w:i/>
          <w:iCs/>
        </w:rPr>
        <w:t>N.Y.</w:t>
      </w:r>
      <w:r w:rsidRPr="001E31DA">
        <w:rPr>
          <w:i/>
          <w:iCs/>
        </w:rPr>
        <w:t xml:space="preserve"> Indep. Sys. Operator, Inc.</w:t>
      </w:r>
      <w:r w:rsidRPr="00DB161C">
        <w:t>,</w:t>
      </w:r>
      <w:r>
        <w:t xml:space="preserve"> 140 FERC ¶ 61,240 at PP 28-30.</w:t>
      </w:r>
    </w:p>
  </w:footnote>
  <w:footnote w:id="67">
    <w:p w:rsidR="00E15F6E" w:rsidP="00E15F6E">
      <w:pPr>
        <w:pStyle w:val="FootnoteText"/>
      </w:pPr>
      <w:r>
        <w:rPr>
          <w:rStyle w:val="FootnoteReference"/>
        </w:rPr>
        <w:footnoteRef/>
      </w:r>
      <w:r>
        <w:t xml:space="preserve"> Transmittal at 9.</w:t>
      </w:r>
    </w:p>
  </w:footnote>
  <w:footnote w:id="68">
    <w:p w:rsidR="0078617C" w:rsidRPr="00773BD8">
      <w:pPr>
        <w:pStyle w:val="FootnoteText"/>
      </w:pPr>
      <w:r w:rsidRPr="00424766">
        <w:rPr>
          <w:rStyle w:val="FootnoteReference"/>
        </w:rPr>
        <w:footnoteRef/>
      </w:r>
      <w:r w:rsidRPr="00284808">
        <w:t xml:space="preserve"> </w:t>
      </w:r>
      <w:r w:rsidRPr="00424766">
        <w:t xml:space="preserve">Trial Staff is a participant in the hearing and settlement judge procedures.  </w:t>
      </w:r>
      <w:r w:rsidRPr="00424766">
        <w:rPr>
          <w:i/>
        </w:rPr>
        <w:t>See</w:t>
      </w:r>
      <w:r w:rsidRPr="00424766">
        <w:t xml:space="preserve"> 18 C.F.R. §</w:t>
      </w:r>
      <w:r>
        <w:t> </w:t>
      </w:r>
      <w:r w:rsidRPr="00424766">
        <w:t>385.102(b</w:t>
      </w:r>
      <w:r w:rsidRPr="000C1E4C">
        <w:t>), (c)</w:t>
      </w:r>
      <w:r w:rsidR="00AC3FD7">
        <w:t xml:space="preserve"> (2024)</w:t>
      </w:r>
      <w:r w:rsidRPr="008B7CA2">
        <w:t>.</w:t>
      </w:r>
    </w:p>
  </w:footnote>
  <w:footnote w:id="69">
    <w:p w:rsidR="0078617C" w:rsidRPr="00773BD8" w:rsidP="0078617C">
      <w:pPr>
        <w:pStyle w:val="FootnoteText"/>
      </w:pPr>
      <w:r w:rsidRPr="00773BD8">
        <w:rPr>
          <w:rStyle w:val="FootnoteReference"/>
        </w:rPr>
        <w:footnoteRef/>
      </w:r>
      <w:r w:rsidRPr="00773BD8">
        <w:t xml:space="preserve"> 18 C.F.R. §</w:t>
      </w:r>
      <w:r>
        <w:t> </w:t>
      </w:r>
      <w:r w:rsidRPr="00773BD8">
        <w:t>385.603</w:t>
      </w:r>
      <w:r w:rsidR="00AC3FD7">
        <w:t xml:space="preserve"> (2024)</w:t>
      </w:r>
      <w:r w:rsidRPr="00773BD8">
        <w:t>.</w:t>
      </w:r>
    </w:p>
  </w:footnote>
  <w:footnote w:id="70">
    <w:p w:rsidR="0078617C" w:rsidP="0078617C">
      <w:pPr>
        <w:pStyle w:val="FootnoteText"/>
      </w:pPr>
      <w:r w:rsidRPr="00773BD8">
        <w:rPr>
          <w:rStyle w:val="FootnoteReference"/>
        </w:rPr>
        <w:footnoteRef/>
      </w:r>
      <w:r w:rsidRPr="00773BD8">
        <w:t xml:space="preserve"> If parties decide to request a specific judge, they must make their joint request to the Chief Judge by telephone at (202) 502-8500 within five days of this order.  The Commission’s website contains a list of Commission judges available for settlement proceedings and a summary of their background and experience</w:t>
      </w:r>
      <w:r>
        <w:t xml:space="preserve"> </w:t>
      </w:r>
      <w:r w:rsidRPr="00773BD8">
        <w:t>(</w:t>
      </w:r>
      <w:r w:rsidRPr="00AC3FD7">
        <w:t>https://www.ferc.gov/available-settlement-judges</w:t>
      </w:r>
      <w:r w:rsidRPr="00773BD8">
        <w:t>).</w:t>
      </w:r>
    </w:p>
  </w:footnote>
  <w:footnote w:id="71">
    <w:p w:rsidR="007305FE">
      <w:pPr>
        <w:pStyle w:val="FootnoteText"/>
      </w:pPr>
      <w:r>
        <w:rPr>
          <w:rStyle w:val="FootnoteReference"/>
        </w:rPr>
        <w:footnoteRef/>
      </w:r>
      <w:r>
        <w:t xml:space="preserve"> </w:t>
      </w:r>
      <w:r w:rsidR="008979CA">
        <w:rPr>
          <w:i/>
          <w:iCs/>
        </w:rPr>
        <w:t>See</w:t>
      </w:r>
      <w:r w:rsidRPr="00AF04C2" w:rsidR="00AF04C2">
        <w:t xml:space="preserve"> </w:t>
      </w:r>
      <w:r w:rsidRPr="00A10320" w:rsidR="00AF04C2">
        <w:t>Opinion No. 479</w:t>
      </w:r>
      <w:r w:rsidRPr="00A11EA1" w:rsidR="00A563FE">
        <w:t>, 111 FERC ¶ 61,092 at P 44 &amp; n.55</w:t>
      </w:r>
      <w:r w:rsidRPr="00CA20AF" w:rsidR="00CA20AF">
        <w:t>; </w:t>
      </w:r>
      <w:r w:rsidRPr="00CA20AF" w:rsidR="00CA20AF">
        <w:rPr>
          <w:i/>
          <w:iCs/>
        </w:rPr>
        <w:t>see also </w:t>
      </w:r>
      <w:r w:rsidRPr="005F7342" w:rsidR="00EE27B5">
        <w:rPr>
          <w:i/>
          <w:iCs/>
        </w:rPr>
        <w:t>N.Y. Indep. Sys. Operator, Inc.</w:t>
      </w:r>
      <w:r w:rsidRPr="00A718F4" w:rsidR="00EE27B5">
        <w:t>, 180 FERC ¶ 61,004 at P 55</w:t>
      </w:r>
      <w:r w:rsidR="00EE27B5">
        <w:t xml:space="preserve">; </w:t>
      </w:r>
      <w:r w:rsidRPr="005F7342" w:rsidR="00EE27B5">
        <w:rPr>
          <w:i/>
          <w:iCs/>
        </w:rPr>
        <w:t>N.Y. Indep. Sys. Operator, Inc.</w:t>
      </w:r>
      <w:r w:rsidRPr="00430D0C" w:rsidR="00EE27B5">
        <w:t xml:space="preserve">, </w:t>
      </w:r>
      <w:r w:rsidR="00AC3FD7">
        <w:t xml:space="preserve">                 </w:t>
      </w:r>
      <w:r w:rsidRPr="00430D0C" w:rsidR="00EE27B5">
        <w:t xml:space="preserve">154 FERC ¶ 61,268 at P 69; </w:t>
      </w:r>
      <w:r w:rsidRPr="005F7342" w:rsidR="00EE27B5">
        <w:rPr>
          <w:i/>
          <w:iCs/>
        </w:rPr>
        <w:t>N.Y. Indep. Sys. Operator, Inc.</w:t>
      </w:r>
      <w:r w:rsidRPr="00430D0C" w:rsidR="00EE27B5">
        <w:t>, 140 FERC ¶ 61,240 at P 36</w:t>
      </w:r>
      <w:r w:rsidRPr="00CA20AF" w:rsidR="00CA20AF">
        <w:t>.</w:t>
      </w:r>
    </w:p>
  </w:footnote>
  <w:footnote w:id="72">
    <w:p w:rsidR="00932D86" w:rsidRPr="00932D86">
      <w:pPr>
        <w:pStyle w:val="FootnoteText"/>
      </w:pPr>
      <w:r>
        <w:rPr>
          <w:rStyle w:val="FootnoteReference"/>
        </w:rPr>
        <w:footnoteRef/>
      </w:r>
      <w:r>
        <w:t xml:space="preserve"> </w:t>
      </w:r>
      <w:r>
        <w:rPr>
          <w:i/>
          <w:iCs/>
        </w:rPr>
        <w:t>See</w:t>
      </w:r>
      <w:r w:rsidR="0014354E">
        <w:rPr>
          <w:i/>
          <w:iCs/>
        </w:rPr>
        <w:t>, e.g.</w:t>
      </w:r>
      <w:r w:rsidR="0014354E">
        <w:t>,</w:t>
      </w:r>
      <w:r>
        <w:t xml:space="preserve"> </w:t>
      </w:r>
      <w:r w:rsidRPr="008D0E30" w:rsidR="008D0E30">
        <w:rPr>
          <w:i/>
          <w:iCs/>
        </w:rPr>
        <w:t>N.Y. Indep. Sys. Operator, Inc.</w:t>
      </w:r>
      <w:r w:rsidRPr="008D0E30" w:rsidR="008D0E30">
        <w:t>, 180 FERC ¶ 61,004 at P 55</w:t>
      </w:r>
      <w:r w:rsidR="009543AB">
        <w:t xml:space="preserve">; </w:t>
      </w:r>
      <w:r w:rsidRPr="006F5290" w:rsidR="009543AB">
        <w:t xml:space="preserve">Opinion No. 479, 111 FERC ¶ 61,092 at n.55; </w:t>
      </w:r>
      <w:r w:rsidRPr="006F5290" w:rsidR="009543AB">
        <w:rPr>
          <w:i/>
          <w:iCs/>
        </w:rPr>
        <w:t>N.Y. Indep. Sys. Operator, Inc.</w:t>
      </w:r>
      <w:r w:rsidRPr="006F5290" w:rsidR="009543AB">
        <w:t>, 154 FERC ¶ 61,268 at P 69</w:t>
      </w:r>
      <w:r w:rsidR="009543A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2F2FCC" w:rsidRPr="002F2FCC" w:rsidP="002F2FCC">
                <w:pPr>
                  <w:rPr>
                    <w:rFonts w:eastAsia="Times New Roman"/>
                    <w:noProof/>
                    <w:color w:val="FF0000"/>
                    <w:szCs w:val="26"/>
                  </w:rPr>
                </w:pPr>
                <w:r w:rsidRPr="002F2FCC">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2F2FCC">
    <w:pPr>
      <w:pStyle w:val="Header"/>
      <w:tabs>
        <w:tab w:val="clear" w:pos="4680"/>
      </w:tabs>
      <w:spacing w:after="240"/>
    </w:pPr>
    <w:r>
      <w:rPr>
        <w:noProof/>
      </w:rPr>
      <w:pict>
        <v:shapetype id="_x0000_t202" coordsize="21600,21600" o:spt="202" path="m,l,21600r21600,l21600,xe">
          <v:stroke joinstyle="miter"/>
          <v:path gradientshapeok="t" o:connecttype="rect"/>
        </v:shapetype>
        <v:shape id="Text Box 3"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60288" filled="f" fillcolor="this" stroked="f">
          <v:textbox style="mso-fit-shape-to-text:t" inset="0,15pt,0,0">
            <w:txbxContent>
              <w:p w:rsidR="002F2FCC" w:rsidRPr="002F2FCC" w:rsidP="002F2FCC">
                <w:pPr>
                  <w:rPr>
                    <w:rFonts w:eastAsia="Times New Roman"/>
                    <w:noProof/>
                    <w:color w:val="FF0000"/>
                    <w:szCs w:val="26"/>
                  </w:rPr>
                </w:pPr>
              </w:p>
            </w:txbxContent>
          </v:textbox>
        </v:shape>
      </w:pict>
    </w:r>
    <w:r>
      <w:t>Docket No. ER25-198-000</w:t>
      <w:tab/>
    </w:r>
    <w:r>
      <w:fldChar w:fldCharType="begin"/>
    </w:r>
    <w:r>
      <w:instrText xml:space="preserve"> PAGE  \* MERGEFORMAT </w:instrText>
    </w:r>
    <w:r>
      <w:fldChar w:fldCharType="separate"/>
    </w:r>
    <w:r>
      <w:rPr>
        <w:noProof/>
      </w:rPr>
      <w:t>- 16 -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1"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2F2FCC" w:rsidRPr="002F2FCC" w:rsidP="002F2FCC">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E42DCB"/>
    <w:multiLevelType w:val="hybridMultilevel"/>
    <w:tmpl w:val="27009940"/>
    <w:lvl w:ilvl="0">
      <w:start w:val="1"/>
      <w:numFmt w:val="decimal"/>
      <w:lvlText w:val="%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6502FF"/>
    <w:multiLevelType w:val="multilevel"/>
    <w:tmpl w:val="E5CA098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8363345"/>
    <w:multiLevelType w:val="hybridMultilevel"/>
    <w:tmpl w:val="1BF85F4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1">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3"/>
  </w:num>
  <w:num w:numId="14">
    <w:abstractNumId w:val="21"/>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3"/>
  </w:num>
  <w:num w:numId="22">
    <w:abstractNumId w:val="15"/>
  </w:num>
  <w:num w:numId="23">
    <w:abstractNumId w:val="16"/>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numRestart w:val="eachSect"/>
    <w:footnote w:id="0"/>
    <w:footnote w:id="1"/>
    <w:footnote w:id="2"/>
  </w:footnotePr>
  <w:endnotePr>
    <w:endnote w:id="0"/>
    <w:endnote w:id="1"/>
    <w:endnote w:id="2"/>
  </w:endnotePr>
  <w:compat/>
  <w:rsids>
    <w:rsidRoot w:val="002F2FCC"/>
    <w:rsid w:val="00000EA5"/>
    <w:rsid w:val="00001E5A"/>
    <w:rsid w:val="00002D5E"/>
    <w:rsid w:val="00003340"/>
    <w:rsid w:val="00003776"/>
    <w:rsid w:val="000039AC"/>
    <w:rsid w:val="00004622"/>
    <w:rsid w:val="0000731D"/>
    <w:rsid w:val="0000790C"/>
    <w:rsid w:val="00010104"/>
    <w:rsid w:val="00010A2E"/>
    <w:rsid w:val="00010FA6"/>
    <w:rsid w:val="000118C8"/>
    <w:rsid w:val="00011D14"/>
    <w:rsid w:val="00012109"/>
    <w:rsid w:val="000136CF"/>
    <w:rsid w:val="00013795"/>
    <w:rsid w:val="00013850"/>
    <w:rsid w:val="00013ADC"/>
    <w:rsid w:val="00013D2D"/>
    <w:rsid w:val="00013F56"/>
    <w:rsid w:val="000143AA"/>
    <w:rsid w:val="00020404"/>
    <w:rsid w:val="0002042F"/>
    <w:rsid w:val="00020F19"/>
    <w:rsid w:val="00020FCC"/>
    <w:rsid w:val="00021CE4"/>
    <w:rsid w:val="00022A33"/>
    <w:rsid w:val="0002355F"/>
    <w:rsid w:val="000241D5"/>
    <w:rsid w:val="00026815"/>
    <w:rsid w:val="0002695C"/>
    <w:rsid w:val="00027600"/>
    <w:rsid w:val="0003151E"/>
    <w:rsid w:val="0003258F"/>
    <w:rsid w:val="0003382F"/>
    <w:rsid w:val="0003439F"/>
    <w:rsid w:val="00036BCC"/>
    <w:rsid w:val="00036EBA"/>
    <w:rsid w:val="00040A26"/>
    <w:rsid w:val="00042006"/>
    <w:rsid w:val="000428C4"/>
    <w:rsid w:val="00042DBF"/>
    <w:rsid w:val="00043092"/>
    <w:rsid w:val="00043179"/>
    <w:rsid w:val="000432A6"/>
    <w:rsid w:val="00043451"/>
    <w:rsid w:val="0004353D"/>
    <w:rsid w:val="0004439F"/>
    <w:rsid w:val="000448DA"/>
    <w:rsid w:val="0004624A"/>
    <w:rsid w:val="00047DA1"/>
    <w:rsid w:val="00050196"/>
    <w:rsid w:val="000503AF"/>
    <w:rsid w:val="00050D55"/>
    <w:rsid w:val="0005135D"/>
    <w:rsid w:val="00051E92"/>
    <w:rsid w:val="000538A0"/>
    <w:rsid w:val="00053AFA"/>
    <w:rsid w:val="00053DD1"/>
    <w:rsid w:val="00054913"/>
    <w:rsid w:val="00054B1C"/>
    <w:rsid w:val="00054DF7"/>
    <w:rsid w:val="000550DC"/>
    <w:rsid w:val="00055F5F"/>
    <w:rsid w:val="0006095F"/>
    <w:rsid w:val="00060ADF"/>
    <w:rsid w:val="0006117F"/>
    <w:rsid w:val="00062732"/>
    <w:rsid w:val="00062ADE"/>
    <w:rsid w:val="00062B60"/>
    <w:rsid w:val="00062BD8"/>
    <w:rsid w:val="00062C9D"/>
    <w:rsid w:val="00065736"/>
    <w:rsid w:val="000660EB"/>
    <w:rsid w:val="000702CD"/>
    <w:rsid w:val="00070429"/>
    <w:rsid w:val="00070857"/>
    <w:rsid w:val="00070C70"/>
    <w:rsid w:val="000712B6"/>
    <w:rsid w:val="00071AC8"/>
    <w:rsid w:val="00071F74"/>
    <w:rsid w:val="0007377C"/>
    <w:rsid w:val="000743F9"/>
    <w:rsid w:val="000746DD"/>
    <w:rsid w:val="00074B83"/>
    <w:rsid w:val="0007636C"/>
    <w:rsid w:val="000766D1"/>
    <w:rsid w:val="00076DBC"/>
    <w:rsid w:val="00077815"/>
    <w:rsid w:val="00077DF9"/>
    <w:rsid w:val="000813A8"/>
    <w:rsid w:val="000823DA"/>
    <w:rsid w:val="0008478C"/>
    <w:rsid w:val="00084A31"/>
    <w:rsid w:val="0008665E"/>
    <w:rsid w:val="00086922"/>
    <w:rsid w:val="00086AF8"/>
    <w:rsid w:val="00086B91"/>
    <w:rsid w:val="00086D98"/>
    <w:rsid w:val="0008778D"/>
    <w:rsid w:val="00091165"/>
    <w:rsid w:val="0009194B"/>
    <w:rsid w:val="00091A03"/>
    <w:rsid w:val="00091B56"/>
    <w:rsid w:val="00092634"/>
    <w:rsid w:val="00092B8F"/>
    <w:rsid w:val="00092C40"/>
    <w:rsid w:val="00093FC8"/>
    <w:rsid w:val="00096FAF"/>
    <w:rsid w:val="00097731"/>
    <w:rsid w:val="00097C05"/>
    <w:rsid w:val="000A1363"/>
    <w:rsid w:val="000A187D"/>
    <w:rsid w:val="000A3C87"/>
    <w:rsid w:val="000A3D2F"/>
    <w:rsid w:val="000A476F"/>
    <w:rsid w:val="000A6835"/>
    <w:rsid w:val="000A6C08"/>
    <w:rsid w:val="000A75FD"/>
    <w:rsid w:val="000A7F76"/>
    <w:rsid w:val="000B1061"/>
    <w:rsid w:val="000B372A"/>
    <w:rsid w:val="000B374D"/>
    <w:rsid w:val="000B4124"/>
    <w:rsid w:val="000B499B"/>
    <w:rsid w:val="000B5613"/>
    <w:rsid w:val="000B7E62"/>
    <w:rsid w:val="000C0253"/>
    <w:rsid w:val="000C149B"/>
    <w:rsid w:val="000C1E4C"/>
    <w:rsid w:val="000C1FCA"/>
    <w:rsid w:val="000C228D"/>
    <w:rsid w:val="000C455B"/>
    <w:rsid w:val="000C4A0B"/>
    <w:rsid w:val="000C4E5A"/>
    <w:rsid w:val="000C5775"/>
    <w:rsid w:val="000C61F6"/>
    <w:rsid w:val="000C658E"/>
    <w:rsid w:val="000C6869"/>
    <w:rsid w:val="000D0EE6"/>
    <w:rsid w:val="000D0FFF"/>
    <w:rsid w:val="000D1D4B"/>
    <w:rsid w:val="000D1FB6"/>
    <w:rsid w:val="000D3415"/>
    <w:rsid w:val="000D3EF3"/>
    <w:rsid w:val="000D5410"/>
    <w:rsid w:val="000D5607"/>
    <w:rsid w:val="000D5923"/>
    <w:rsid w:val="000D5FCE"/>
    <w:rsid w:val="000D739B"/>
    <w:rsid w:val="000D7DD4"/>
    <w:rsid w:val="000D7E4E"/>
    <w:rsid w:val="000D7E96"/>
    <w:rsid w:val="000E0644"/>
    <w:rsid w:val="000E065C"/>
    <w:rsid w:val="000E0773"/>
    <w:rsid w:val="000E0857"/>
    <w:rsid w:val="000E0FB3"/>
    <w:rsid w:val="000E120A"/>
    <w:rsid w:val="000E1243"/>
    <w:rsid w:val="000E28AE"/>
    <w:rsid w:val="000E2BFA"/>
    <w:rsid w:val="000E2D02"/>
    <w:rsid w:val="000E3A4B"/>
    <w:rsid w:val="000E3BDA"/>
    <w:rsid w:val="000E486A"/>
    <w:rsid w:val="000E644E"/>
    <w:rsid w:val="000E7326"/>
    <w:rsid w:val="000F031A"/>
    <w:rsid w:val="000F2B97"/>
    <w:rsid w:val="000F2DC1"/>
    <w:rsid w:val="000F2E85"/>
    <w:rsid w:val="000F372C"/>
    <w:rsid w:val="000F3F47"/>
    <w:rsid w:val="000F55AB"/>
    <w:rsid w:val="000F5871"/>
    <w:rsid w:val="000F5E0E"/>
    <w:rsid w:val="000F603B"/>
    <w:rsid w:val="000F631D"/>
    <w:rsid w:val="000F6403"/>
    <w:rsid w:val="000F6C7F"/>
    <w:rsid w:val="0010012A"/>
    <w:rsid w:val="00100E1B"/>
    <w:rsid w:val="00101088"/>
    <w:rsid w:val="00101107"/>
    <w:rsid w:val="00102736"/>
    <w:rsid w:val="0010290F"/>
    <w:rsid w:val="00103322"/>
    <w:rsid w:val="001034B7"/>
    <w:rsid w:val="001040FE"/>
    <w:rsid w:val="00104F76"/>
    <w:rsid w:val="001051C0"/>
    <w:rsid w:val="001052F6"/>
    <w:rsid w:val="001055A0"/>
    <w:rsid w:val="00105684"/>
    <w:rsid w:val="001110B6"/>
    <w:rsid w:val="00111BC0"/>
    <w:rsid w:val="001135F7"/>
    <w:rsid w:val="00117D0D"/>
    <w:rsid w:val="00120554"/>
    <w:rsid w:val="00120603"/>
    <w:rsid w:val="001206FF"/>
    <w:rsid w:val="001208A2"/>
    <w:rsid w:val="001208A6"/>
    <w:rsid w:val="001209EF"/>
    <w:rsid w:val="001217C4"/>
    <w:rsid w:val="0012196A"/>
    <w:rsid w:val="001221F8"/>
    <w:rsid w:val="00122EAB"/>
    <w:rsid w:val="00123032"/>
    <w:rsid w:val="001236E4"/>
    <w:rsid w:val="00123AD4"/>
    <w:rsid w:val="00124C66"/>
    <w:rsid w:val="0012534B"/>
    <w:rsid w:val="00125756"/>
    <w:rsid w:val="001262D8"/>
    <w:rsid w:val="00126DE9"/>
    <w:rsid w:val="0012713F"/>
    <w:rsid w:val="00127478"/>
    <w:rsid w:val="001279B9"/>
    <w:rsid w:val="00127AED"/>
    <w:rsid w:val="0013062F"/>
    <w:rsid w:val="00130CCE"/>
    <w:rsid w:val="00130DFB"/>
    <w:rsid w:val="00132D57"/>
    <w:rsid w:val="00132F65"/>
    <w:rsid w:val="00133D3D"/>
    <w:rsid w:val="00133D86"/>
    <w:rsid w:val="00135426"/>
    <w:rsid w:val="001359B6"/>
    <w:rsid w:val="001365D1"/>
    <w:rsid w:val="0013743F"/>
    <w:rsid w:val="00137EBA"/>
    <w:rsid w:val="0014005D"/>
    <w:rsid w:val="00140459"/>
    <w:rsid w:val="001407FE"/>
    <w:rsid w:val="00141C6E"/>
    <w:rsid w:val="00141E80"/>
    <w:rsid w:val="001421AA"/>
    <w:rsid w:val="001425C9"/>
    <w:rsid w:val="0014354E"/>
    <w:rsid w:val="00144871"/>
    <w:rsid w:val="001456CD"/>
    <w:rsid w:val="00146074"/>
    <w:rsid w:val="001462A4"/>
    <w:rsid w:val="00146A50"/>
    <w:rsid w:val="00146D9F"/>
    <w:rsid w:val="001473D0"/>
    <w:rsid w:val="00150820"/>
    <w:rsid w:val="001510C0"/>
    <w:rsid w:val="001512A7"/>
    <w:rsid w:val="0015138A"/>
    <w:rsid w:val="001520D4"/>
    <w:rsid w:val="00152609"/>
    <w:rsid w:val="001527A4"/>
    <w:rsid w:val="00153227"/>
    <w:rsid w:val="0015366C"/>
    <w:rsid w:val="00153CA3"/>
    <w:rsid w:val="001549DE"/>
    <w:rsid w:val="00154C7A"/>
    <w:rsid w:val="001557E5"/>
    <w:rsid w:val="00157018"/>
    <w:rsid w:val="00157D0B"/>
    <w:rsid w:val="0016127F"/>
    <w:rsid w:val="00162307"/>
    <w:rsid w:val="00162798"/>
    <w:rsid w:val="0016282E"/>
    <w:rsid w:val="00163275"/>
    <w:rsid w:val="0016531B"/>
    <w:rsid w:val="001655C1"/>
    <w:rsid w:val="00167F0F"/>
    <w:rsid w:val="0017050A"/>
    <w:rsid w:val="0017127D"/>
    <w:rsid w:val="00172E68"/>
    <w:rsid w:val="00174056"/>
    <w:rsid w:val="00174A7A"/>
    <w:rsid w:val="0017523E"/>
    <w:rsid w:val="0017696A"/>
    <w:rsid w:val="00176AF1"/>
    <w:rsid w:val="0017701D"/>
    <w:rsid w:val="00177C21"/>
    <w:rsid w:val="00180F04"/>
    <w:rsid w:val="0018184B"/>
    <w:rsid w:val="00181948"/>
    <w:rsid w:val="001827E8"/>
    <w:rsid w:val="00183F72"/>
    <w:rsid w:val="00184C38"/>
    <w:rsid w:val="001855C5"/>
    <w:rsid w:val="00186314"/>
    <w:rsid w:val="00186515"/>
    <w:rsid w:val="00186D75"/>
    <w:rsid w:val="00187042"/>
    <w:rsid w:val="0018758C"/>
    <w:rsid w:val="00191617"/>
    <w:rsid w:val="0019292E"/>
    <w:rsid w:val="00192B63"/>
    <w:rsid w:val="00192C2E"/>
    <w:rsid w:val="00192E81"/>
    <w:rsid w:val="001931FB"/>
    <w:rsid w:val="00193C61"/>
    <w:rsid w:val="001941A9"/>
    <w:rsid w:val="0019474D"/>
    <w:rsid w:val="00195544"/>
    <w:rsid w:val="001960DD"/>
    <w:rsid w:val="0019638B"/>
    <w:rsid w:val="00196A46"/>
    <w:rsid w:val="001A1301"/>
    <w:rsid w:val="001A141E"/>
    <w:rsid w:val="001A28B0"/>
    <w:rsid w:val="001A2AF1"/>
    <w:rsid w:val="001A2CED"/>
    <w:rsid w:val="001A33D6"/>
    <w:rsid w:val="001A3EDA"/>
    <w:rsid w:val="001A48F3"/>
    <w:rsid w:val="001A563A"/>
    <w:rsid w:val="001A56DC"/>
    <w:rsid w:val="001B042B"/>
    <w:rsid w:val="001B0EEA"/>
    <w:rsid w:val="001B100F"/>
    <w:rsid w:val="001B157B"/>
    <w:rsid w:val="001B18AC"/>
    <w:rsid w:val="001B1FE9"/>
    <w:rsid w:val="001B2C6D"/>
    <w:rsid w:val="001B2DF9"/>
    <w:rsid w:val="001B316D"/>
    <w:rsid w:val="001B362D"/>
    <w:rsid w:val="001B43D3"/>
    <w:rsid w:val="001B4FB2"/>
    <w:rsid w:val="001B5E7B"/>
    <w:rsid w:val="001B6EDC"/>
    <w:rsid w:val="001B7E55"/>
    <w:rsid w:val="001C0117"/>
    <w:rsid w:val="001C2081"/>
    <w:rsid w:val="001C2F0D"/>
    <w:rsid w:val="001C2FBB"/>
    <w:rsid w:val="001C48B9"/>
    <w:rsid w:val="001C5330"/>
    <w:rsid w:val="001C5F35"/>
    <w:rsid w:val="001D0A1A"/>
    <w:rsid w:val="001D0EDF"/>
    <w:rsid w:val="001D113B"/>
    <w:rsid w:val="001D20BC"/>
    <w:rsid w:val="001D264B"/>
    <w:rsid w:val="001D33A7"/>
    <w:rsid w:val="001D3B0D"/>
    <w:rsid w:val="001D7927"/>
    <w:rsid w:val="001E084D"/>
    <w:rsid w:val="001E0BD4"/>
    <w:rsid w:val="001E0CF2"/>
    <w:rsid w:val="001E0E92"/>
    <w:rsid w:val="001E17BF"/>
    <w:rsid w:val="001E31DA"/>
    <w:rsid w:val="001E322F"/>
    <w:rsid w:val="001E32A4"/>
    <w:rsid w:val="001E3E3C"/>
    <w:rsid w:val="001E4DAB"/>
    <w:rsid w:val="001E500E"/>
    <w:rsid w:val="001E50D0"/>
    <w:rsid w:val="001E59F9"/>
    <w:rsid w:val="001E6444"/>
    <w:rsid w:val="001E719F"/>
    <w:rsid w:val="001E7A8F"/>
    <w:rsid w:val="001E7EA5"/>
    <w:rsid w:val="001F19DA"/>
    <w:rsid w:val="001F1C69"/>
    <w:rsid w:val="001F2891"/>
    <w:rsid w:val="001F3127"/>
    <w:rsid w:val="001F349A"/>
    <w:rsid w:val="001F51A0"/>
    <w:rsid w:val="001F54BC"/>
    <w:rsid w:val="001F5CC6"/>
    <w:rsid w:val="001F662E"/>
    <w:rsid w:val="001F7B79"/>
    <w:rsid w:val="001F7FC9"/>
    <w:rsid w:val="00201D10"/>
    <w:rsid w:val="002021C8"/>
    <w:rsid w:val="00202BC3"/>
    <w:rsid w:val="00203911"/>
    <w:rsid w:val="00204A08"/>
    <w:rsid w:val="0020506C"/>
    <w:rsid w:val="00206739"/>
    <w:rsid w:val="002068C8"/>
    <w:rsid w:val="00206E7C"/>
    <w:rsid w:val="00207026"/>
    <w:rsid w:val="002072CF"/>
    <w:rsid w:val="0021071F"/>
    <w:rsid w:val="002108CA"/>
    <w:rsid w:val="00210960"/>
    <w:rsid w:val="0021152C"/>
    <w:rsid w:val="00211765"/>
    <w:rsid w:val="00211F45"/>
    <w:rsid w:val="00212036"/>
    <w:rsid w:val="00213666"/>
    <w:rsid w:val="002136E7"/>
    <w:rsid w:val="00213DF2"/>
    <w:rsid w:val="00213E73"/>
    <w:rsid w:val="00214BFE"/>
    <w:rsid w:val="002159D1"/>
    <w:rsid w:val="002168EB"/>
    <w:rsid w:val="002174E3"/>
    <w:rsid w:val="002201B6"/>
    <w:rsid w:val="002206DB"/>
    <w:rsid w:val="00221130"/>
    <w:rsid w:val="0022182D"/>
    <w:rsid w:val="002227B8"/>
    <w:rsid w:val="00223B3B"/>
    <w:rsid w:val="002243D5"/>
    <w:rsid w:val="00224859"/>
    <w:rsid w:val="00224C4D"/>
    <w:rsid w:val="00225109"/>
    <w:rsid w:val="00225A12"/>
    <w:rsid w:val="002261B3"/>
    <w:rsid w:val="00226F47"/>
    <w:rsid w:val="00230DCB"/>
    <w:rsid w:val="002318B6"/>
    <w:rsid w:val="00231A5F"/>
    <w:rsid w:val="00232521"/>
    <w:rsid w:val="00232891"/>
    <w:rsid w:val="00232BA4"/>
    <w:rsid w:val="00232DF4"/>
    <w:rsid w:val="00232F9C"/>
    <w:rsid w:val="00233CEF"/>
    <w:rsid w:val="00233FD0"/>
    <w:rsid w:val="002352B0"/>
    <w:rsid w:val="002354E4"/>
    <w:rsid w:val="00236064"/>
    <w:rsid w:val="00236352"/>
    <w:rsid w:val="00236874"/>
    <w:rsid w:val="00237492"/>
    <w:rsid w:val="00240493"/>
    <w:rsid w:val="002418B6"/>
    <w:rsid w:val="0024218A"/>
    <w:rsid w:val="002432A8"/>
    <w:rsid w:val="00243942"/>
    <w:rsid w:val="00243EEB"/>
    <w:rsid w:val="00244712"/>
    <w:rsid w:val="002448FF"/>
    <w:rsid w:val="00244CDB"/>
    <w:rsid w:val="002464E8"/>
    <w:rsid w:val="0024710C"/>
    <w:rsid w:val="002472FD"/>
    <w:rsid w:val="00250192"/>
    <w:rsid w:val="00250FF3"/>
    <w:rsid w:val="0025264D"/>
    <w:rsid w:val="00252E4E"/>
    <w:rsid w:val="002533C7"/>
    <w:rsid w:val="00253776"/>
    <w:rsid w:val="0025482A"/>
    <w:rsid w:val="002553BE"/>
    <w:rsid w:val="00255417"/>
    <w:rsid w:val="00255764"/>
    <w:rsid w:val="00255C39"/>
    <w:rsid w:val="0025620F"/>
    <w:rsid w:val="00256671"/>
    <w:rsid w:val="00256CB9"/>
    <w:rsid w:val="00257744"/>
    <w:rsid w:val="00257989"/>
    <w:rsid w:val="00260517"/>
    <w:rsid w:val="0026084C"/>
    <w:rsid w:val="00260C72"/>
    <w:rsid w:val="0026134F"/>
    <w:rsid w:val="0026246B"/>
    <w:rsid w:val="00262A86"/>
    <w:rsid w:val="00262DEF"/>
    <w:rsid w:val="00262FED"/>
    <w:rsid w:val="00263E9E"/>
    <w:rsid w:val="002658C5"/>
    <w:rsid w:val="00266D4F"/>
    <w:rsid w:val="00267328"/>
    <w:rsid w:val="00267562"/>
    <w:rsid w:val="00267D8B"/>
    <w:rsid w:val="00270CFA"/>
    <w:rsid w:val="00270F9F"/>
    <w:rsid w:val="00271197"/>
    <w:rsid w:val="002711C3"/>
    <w:rsid w:val="0027166B"/>
    <w:rsid w:val="00273BD6"/>
    <w:rsid w:val="00274963"/>
    <w:rsid w:val="00274A0A"/>
    <w:rsid w:val="002751B7"/>
    <w:rsid w:val="002754A7"/>
    <w:rsid w:val="00275B0D"/>
    <w:rsid w:val="002779F3"/>
    <w:rsid w:val="0028006F"/>
    <w:rsid w:val="00280F34"/>
    <w:rsid w:val="002817CE"/>
    <w:rsid w:val="00281CE6"/>
    <w:rsid w:val="002827EC"/>
    <w:rsid w:val="002831CA"/>
    <w:rsid w:val="00283AA6"/>
    <w:rsid w:val="00284192"/>
    <w:rsid w:val="0028432C"/>
    <w:rsid w:val="00284808"/>
    <w:rsid w:val="00284CE0"/>
    <w:rsid w:val="00284E46"/>
    <w:rsid w:val="002857E2"/>
    <w:rsid w:val="00287083"/>
    <w:rsid w:val="002870A9"/>
    <w:rsid w:val="00287952"/>
    <w:rsid w:val="00290ABD"/>
    <w:rsid w:val="00291C20"/>
    <w:rsid w:val="00292229"/>
    <w:rsid w:val="00292DAB"/>
    <w:rsid w:val="00293634"/>
    <w:rsid w:val="00293E05"/>
    <w:rsid w:val="00293F9A"/>
    <w:rsid w:val="0029402C"/>
    <w:rsid w:val="00294A41"/>
    <w:rsid w:val="00294A4C"/>
    <w:rsid w:val="00295255"/>
    <w:rsid w:val="002953A0"/>
    <w:rsid w:val="002956E6"/>
    <w:rsid w:val="00295946"/>
    <w:rsid w:val="00295ECB"/>
    <w:rsid w:val="00296C1B"/>
    <w:rsid w:val="00296C45"/>
    <w:rsid w:val="00296F33"/>
    <w:rsid w:val="002A0B4A"/>
    <w:rsid w:val="002A1AF7"/>
    <w:rsid w:val="002A20C6"/>
    <w:rsid w:val="002A2A40"/>
    <w:rsid w:val="002A2B1B"/>
    <w:rsid w:val="002A2D33"/>
    <w:rsid w:val="002A2DCB"/>
    <w:rsid w:val="002A3378"/>
    <w:rsid w:val="002A34C1"/>
    <w:rsid w:val="002A3BB1"/>
    <w:rsid w:val="002A5C43"/>
    <w:rsid w:val="002A662F"/>
    <w:rsid w:val="002A69FB"/>
    <w:rsid w:val="002A7221"/>
    <w:rsid w:val="002A729E"/>
    <w:rsid w:val="002A7792"/>
    <w:rsid w:val="002A79AE"/>
    <w:rsid w:val="002A7FB5"/>
    <w:rsid w:val="002B262D"/>
    <w:rsid w:val="002B35F2"/>
    <w:rsid w:val="002B3880"/>
    <w:rsid w:val="002B4821"/>
    <w:rsid w:val="002B5943"/>
    <w:rsid w:val="002B5BBD"/>
    <w:rsid w:val="002B5C3D"/>
    <w:rsid w:val="002B6125"/>
    <w:rsid w:val="002B613D"/>
    <w:rsid w:val="002B7AFE"/>
    <w:rsid w:val="002B7DC2"/>
    <w:rsid w:val="002C050A"/>
    <w:rsid w:val="002C1305"/>
    <w:rsid w:val="002C1518"/>
    <w:rsid w:val="002C3B68"/>
    <w:rsid w:val="002C45E5"/>
    <w:rsid w:val="002C4638"/>
    <w:rsid w:val="002C57E5"/>
    <w:rsid w:val="002C6885"/>
    <w:rsid w:val="002C7239"/>
    <w:rsid w:val="002C7704"/>
    <w:rsid w:val="002C7F13"/>
    <w:rsid w:val="002D03FC"/>
    <w:rsid w:val="002D07EA"/>
    <w:rsid w:val="002D0BC6"/>
    <w:rsid w:val="002D1528"/>
    <w:rsid w:val="002D15B0"/>
    <w:rsid w:val="002D1678"/>
    <w:rsid w:val="002D1724"/>
    <w:rsid w:val="002D206A"/>
    <w:rsid w:val="002D2F1D"/>
    <w:rsid w:val="002D358E"/>
    <w:rsid w:val="002D421C"/>
    <w:rsid w:val="002D4C42"/>
    <w:rsid w:val="002D5DFD"/>
    <w:rsid w:val="002D65B3"/>
    <w:rsid w:val="002D6679"/>
    <w:rsid w:val="002D67A1"/>
    <w:rsid w:val="002D74C3"/>
    <w:rsid w:val="002D7D6B"/>
    <w:rsid w:val="002D7FB8"/>
    <w:rsid w:val="002E0623"/>
    <w:rsid w:val="002E1077"/>
    <w:rsid w:val="002E2247"/>
    <w:rsid w:val="002E2540"/>
    <w:rsid w:val="002E2581"/>
    <w:rsid w:val="002E26D1"/>
    <w:rsid w:val="002E2B33"/>
    <w:rsid w:val="002E326A"/>
    <w:rsid w:val="002E3BD0"/>
    <w:rsid w:val="002E3D1D"/>
    <w:rsid w:val="002E4E8A"/>
    <w:rsid w:val="002E540F"/>
    <w:rsid w:val="002E568E"/>
    <w:rsid w:val="002E70E6"/>
    <w:rsid w:val="002F08DF"/>
    <w:rsid w:val="002F0A78"/>
    <w:rsid w:val="002F0B3A"/>
    <w:rsid w:val="002F13AA"/>
    <w:rsid w:val="002F23DB"/>
    <w:rsid w:val="002F2774"/>
    <w:rsid w:val="002F2FCC"/>
    <w:rsid w:val="002F4E21"/>
    <w:rsid w:val="002F52A9"/>
    <w:rsid w:val="002F693E"/>
    <w:rsid w:val="002F6CEF"/>
    <w:rsid w:val="002F7C13"/>
    <w:rsid w:val="003017AF"/>
    <w:rsid w:val="00301CEC"/>
    <w:rsid w:val="00301D68"/>
    <w:rsid w:val="003031DA"/>
    <w:rsid w:val="00303391"/>
    <w:rsid w:val="00305939"/>
    <w:rsid w:val="0030729B"/>
    <w:rsid w:val="00307632"/>
    <w:rsid w:val="00307A0F"/>
    <w:rsid w:val="00310474"/>
    <w:rsid w:val="003111E8"/>
    <w:rsid w:val="0031158B"/>
    <w:rsid w:val="00311B4D"/>
    <w:rsid w:val="00312651"/>
    <w:rsid w:val="00313634"/>
    <w:rsid w:val="003140A5"/>
    <w:rsid w:val="00315954"/>
    <w:rsid w:val="00316E67"/>
    <w:rsid w:val="003171C0"/>
    <w:rsid w:val="00320661"/>
    <w:rsid w:val="0032079E"/>
    <w:rsid w:val="00320BE9"/>
    <w:rsid w:val="00320BEC"/>
    <w:rsid w:val="003215B2"/>
    <w:rsid w:val="00322002"/>
    <w:rsid w:val="00322104"/>
    <w:rsid w:val="00322E3B"/>
    <w:rsid w:val="00322F05"/>
    <w:rsid w:val="00323FC1"/>
    <w:rsid w:val="00324C4B"/>
    <w:rsid w:val="00324F79"/>
    <w:rsid w:val="00327401"/>
    <w:rsid w:val="00327F12"/>
    <w:rsid w:val="00331DCB"/>
    <w:rsid w:val="0033207C"/>
    <w:rsid w:val="00332135"/>
    <w:rsid w:val="003332E9"/>
    <w:rsid w:val="003336F4"/>
    <w:rsid w:val="00333B81"/>
    <w:rsid w:val="00334557"/>
    <w:rsid w:val="003346EB"/>
    <w:rsid w:val="00335933"/>
    <w:rsid w:val="0033630B"/>
    <w:rsid w:val="003370E4"/>
    <w:rsid w:val="00340BF1"/>
    <w:rsid w:val="003437BD"/>
    <w:rsid w:val="00343CE7"/>
    <w:rsid w:val="00343D67"/>
    <w:rsid w:val="00344182"/>
    <w:rsid w:val="00344CCA"/>
    <w:rsid w:val="00345451"/>
    <w:rsid w:val="00346990"/>
    <w:rsid w:val="003478CF"/>
    <w:rsid w:val="00350CF8"/>
    <w:rsid w:val="00350E98"/>
    <w:rsid w:val="00350FC8"/>
    <w:rsid w:val="003520AD"/>
    <w:rsid w:val="003528AB"/>
    <w:rsid w:val="00354406"/>
    <w:rsid w:val="003545FF"/>
    <w:rsid w:val="00356733"/>
    <w:rsid w:val="003608E7"/>
    <w:rsid w:val="00360AA1"/>
    <w:rsid w:val="00362C19"/>
    <w:rsid w:val="00363A6F"/>
    <w:rsid w:val="003642AF"/>
    <w:rsid w:val="00364635"/>
    <w:rsid w:val="00364E6F"/>
    <w:rsid w:val="0036500A"/>
    <w:rsid w:val="003653D1"/>
    <w:rsid w:val="00366FC2"/>
    <w:rsid w:val="00371CB5"/>
    <w:rsid w:val="0037204D"/>
    <w:rsid w:val="00374532"/>
    <w:rsid w:val="00374868"/>
    <w:rsid w:val="00374AE1"/>
    <w:rsid w:val="00374D22"/>
    <w:rsid w:val="00375845"/>
    <w:rsid w:val="00375A3D"/>
    <w:rsid w:val="00375DF4"/>
    <w:rsid w:val="00376313"/>
    <w:rsid w:val="0037665C"/>
    <w:rsid w:val="00376B22"/>
    <w:rsid w:val="00380151"/>
    <w:rsid w:val="00380A10"/>
    <w:rsid w:val="00380E26"/>
    <w:rsid w:val="00381488"/>
    <w:rsid w:val="00382302"/>
    <w:rsid w:val="00383004"/>
    <w:rsid w:val="003830CE"/>
    <w:rsid w:val="00383B85"/>
    <w:rsid w:val="0038425F"/>
    <w:rsid w:val="003852C3"/>
    <w:rsid w:val="00385426"/>
    <w:rsid w:val="00385E2D"/>
    <w:rsid w:val="00387DEE"/>
    <w:rsid w:val="00390216"/>
    <w:rsid w:val="003908B5"/>
    <w:rsid w:val="003913A9"/>
    <w:rsid w:val="0039262E"/>
    <w:rsid w:val="0039263B"/>
    <w:rsid w:val="003928EC"/>
    <w:rsid w:val="00392B28"/>
    <w:rsid w:val="003937F3"/>
    <w:rsid w:val="00394056"/>
    <w:rsid w:val="00394AFF"/>
    <w:rsid w:val="00394F23"/>
    <w:rsid w:val="00396212"/>
    <w:rsid w:val="0039642C"/>
    <w:rsid w:val="00396DFD"/>
    <w:rsid w:val="0039742F"/>
    <w:rsid w:val="003A0D9B"/>
    <w:rsid w:val="003A15D6"/>
    <w:rsid w:val="003A28A1"/>
    <w:rsid w:val="003A380E"/>
    <w:rsid w:val="003A5145"/>
    <w:rsid w:val="003A5A36"/>
    <w:rsid w:val="003A6077"/>
    <w:rsid w:val="003A7358"/>
    <w:rsid w:val="003A7386"/>
    <w:rsid w:val="003A75CB"/>
    <w:rsid w:val="003B00B0"/>
    <w:rsid w:val="003B03DC"/>
    <w:rsid w:val="003B2445"/>
    <w:rsid w:val="003B28F8"/>
    <w:rsid w:val="003B38CA"/>
    <w:rsid w:val="003B5E9D"/>
    <w:rsid w:val="003B6616"/>
    <w:rsid w:val="003B6A5F"/>
    <w:rsid w:val="003B75DA"/>
    <w:rsid w:val="003B7E9A"/>
    <w:rsid w:val="003B7F05"/>
    <w:rsid w:val="003C01EF"/>
    <w:rsid w:val="003C0DA9"/>
    <w:rsid w:val="003C10BE"/>
    <w:rsid w:val="003C331C"/>
    <w:rsid w:val="003C3A1E"/>
    <w:rsid w:val="003C4341"/>
    <w:rsid w:val="003C46D4"/>
    <w:rsid w:val="003C47E8"/>
    <w:rsid w:val="003C505B"/>
    <w:rsid w:val="003C54DE"/>
    <w:rsid w:val="003C55CE"/>
    <w:rsid w:val="003C6F0F"/>
    <w:rsid w:val="003C71CF"/>
    <w:rsid w:val="003C789D"/>
    <w:rsid w:val="003C7A4D"/>
    <w:rsid w:val="003C7A60"/>
    <w:rsid w:val="003D0369"/>
    <w:rsid w:val="003D038F"/>
    <w:rsid w:val="003D166E"/>
    <w:rsid w:val="003D215A"/>
    <w:rsid w:val="003D2544"/>
    <w:rsid w:val="003D25E8"/>
    <w:rsid w:val="003D38EF"/>
    <w:rsid w:val="003D499C"/>
    <w:rsid w:val="003D4A56"/>
    <w:rsid w:val="003D54E2"/>
    <w:rsid w:val="003D5827"/>
    <w:rsid w:val="003D6267"/>
    <w:rsid w:val="003D6552"/>
    <w:rsid w:val="003D70BD"/>
    <w:rsid w:val="003D796C"/>
    <w:rsid w:val="003D7B2C"/>
    <w:rsid w:val="003E0C46"/>
    <w:rsid w:val="003E1917"/>
    <w:rsid w:val="003E259A"/>
    <w:rsid w:val="003E4467"/>
    <w:rsid w:val="003E5211"/>
    <w:rsid w:val="003E5B7C"/>
    <w:rsid w:val="003E5EED"/>
    <w:rsid w:val="003F0A53"/>
    <w:rsid w:val="003F13E8"/>
    <w:rsid w:val="003F1859"/>
    <w:rsid w:val="003F2161"/>
    <w:rsid w:val="003F31D2"/>
    <w:rsid w:val="003F3716"/>
    <w:rsid w:val="003F3DC0"/>
    <w:rsid w:val="003F43FC"/>
    <w:rsid w:val="003F4845"/>
    <w:rsid w:val="003F4DBE"/>
    <w:rsid w:val="003F557E"/>
    <w:rsid w:val="003F5D23"/>
    <w:rsid w:val="003F6A52"/>
    <w:rsid w:val="003F7CC5"/>
    <w:rsid w:val="00400714"/>
    <w:rsid w:val="00400C74"/>
    <w:rsid w:val="00400D68"/>
    <w:rsid w:val="004012A6"/>
    <w:rsid w:val="00401A63"/>
    <w:rsid w:val="0040284B"/>
    <w:rsid w:val="00402C3A"/>
    <w:rsid w:val="00403ABD"/>
    <w:rsid w:val="00405FDE"/>
    <w:rsid w:val="004067AD"/>
    <w:rsid w:val="00407EE0"/>
    <w:rsid w:val="00410C3A"/>
    <w:rsid w:val="004112A5"/>
    <w:rsid w:val="00412B22"/>
    <w:rsid w:val="00413299"/>
    <w:rsid w:val="00414806"/>
    <w:rsid w:val="00414873"/>
    <w:rsid w:val="00416547"/>
    <w:rsid w:val="0041772D"/>
    <w:rsid w:val="00417A8F"/>
    <w:rsid w:val="00420F7B"/>
    <w:rsid w:val="00420FAC"/>
    <w:rsid w:val="00421820"/>
    <w:rsid w:val="0042297E"/>
    <w:rsid w:val="00424766"/>
    <w:rsid w:val="00424B78"/>
    <w:rsid w:val="00426517"/>
    <w:rsid w:val="0042685D"/>
    <w:rsid w:val="00427828"/>
    <w:rsid w:val="00427B62"/>
    <w:rsid w:val="00430D0C"/>
    <w:rsid w:val="00430E59"/>
    <w:rsid w:val="004310CD"/>
    <w:rsid w:val="0043118E"/>
    <w:rsid w:val="0043126F"/>
    <w:rsid w:val="00431E1E"/>
    <w:rsid w:val="00433576"/>
    <w:rsid w:val="004335E8"/>
    <w:rsid w:val="004342C9"/>
    <w:rsid w:val="004353CC"/>
    <w:rsid w:val="00436767"/>
    <w:rsid w:val="00436A3E"/>
    <w:rsid w:val="00437F18"/>
    <w:rsid w:val="00440D78"/>
    <w:rsid w:val="00441A2A"/>
    <w:rsid w:val="004420C0"/>
    <w:rsid w:val="004420F6"/>
    <w:rsid w:val="004428B4"/>
    <w:rsid w:val="0044290A"/>
    <w:rsid w:val="00442A2F"/>
    <w:rsid w:val="00443112"/>
    <w:rsid w:val="0044359A"/>
    <w:rsid w:val="00443F0B"/>
    <w:rsid w:val="00444A51"/>
    <w:rsid w:val="00444F65"/>
    <w:rsid w:val="0044504B"/>
    <w:rsid w:val="004454A8"/>
    <w:rsid w:val="00446495"/>
    <w:rsid w:val="00446720"/>
    <w:rsid w:val="004476C6"/>
    <w:rsid w:val="00450ED6"/>
    <w:rsid w:val="00450EEA"/>
    <w:rsid w:val="0045130C"/>
    <w:rsid w:val="00451DD9"/>
    <w:rsid w:val="0045293E"/>
    <w:rsid w:val="00453578"/>
    <w:rsid w:val="00453C31"/>
    <w:rsid w:val="00453FAF"/>
    <w:rsid w:val="00454A58"/>
    <w:rsid w:val="00455214"/>
    <w:rsid w:val="00455D87"/>
    <w:rsid w:val="00456136"/>
    <w:rsid w:val="00456D5A"/>
    <w:rsid w:val="0045796A"/>
    <w:rsid w:val="0046133D"/>
    <w:rsid w:val="004642EA"/>
    <w:rsid w:val="00464328"/>
    <w:rsid w:val="0046519D"/>
    <w:rsid w:val="00465507"/>
    <w:rsid w:val="00465D39"/>
    <w:rsid w:val="00466E33"/>
    <w:rsid w:val="0047067F"/>
    <w:rsid w:val="004709C0"/>
    <w:rsid w:val="00470C65"/>
    <w:rsid w:val="004718F3"/>
    <w:rsid w:val="0047216F"/>
    <w:rsid w:val="00472AA6"/>
    <w:rsid w:val="00472C9B"/>
    <w:rsid w:val="00473A5E"/>
    <w:rsid w:val="00474930"/>
    <w:rsid w:val="004758A9"/>
    <w:rsid w:val="0047626E"/>
    <w:rsid w:val="00476273"/>
    <w:rsid w:val="004769B0"/>
    <w:rsid w:val="00477399"/>
    <w:rsid w:val="0048020B"/>
    <w:rsid w:val="004812FC"/>
    <w:rsid w:val="00481571"/>
    <w:rsid w:val="00482636"/>
    <w:rsid w:val="00485F58"/>
    <w:rsid w:val="004864DA"/>
    <w:rsid w:val="004867B6"/>
    <w:rsid w:val="004872BC"/>
    <w:rsid w:val="004874A4"/>
    <w:rsid w:val="00487602"/>
    <w:rsid w:val="00487FBD"/>
    <w:rsid w:val="00493AAA"/>
    <w:rsid w:val="00493FCE"/>
    <w:rsid w:val="00494355"/>
    <w:rsid w:val="00494945"/>
    <w:rsid w:val="00495E07"/>
    <w:rsid w:val="00497611"/>
    <w:rsid w:val="00497F70"/>
    <w:rsid w:val="004A03E5"/>
    <w:rsid w:val="004A1618"/>
    <w:rsid w:val="004A1795"/>
    <w:rsid w:val="004A1F12"/>
    <w:rsid w:val="004A2196"/>
    <w:rsid w:val="004A3D44"/>
    <w:rsid w:val="004A4026"/>
    <w:rsid w:val="004A503D"/>
    <w:rsid w:val="004A594D"/>
    <w:rsid w:val="004A5B5A"/>
    <w:rsid w:val="004A6EB8"/>
    <w:rsid w:val="004B141F"/>
    <w:rsid w:val="004B3613"/>
    <w:rsid w:val="004B3F53"/>
    <w:rsid w:val="004B419D"/>
    <w:rsid w:val="004B4549"/>
    <w:rsid w:val="004B4761"/>
    <w:rsid w:val="004B4A8D"/>
    <w:rsid w:val="004B5230"/>
    <w:rsid w:val="004B7078"/>
    <w:rsid w:val="004B7372"/>
    <w:rsid w:val="004B7579"/>
    <w:rsid w:val="004B7A3B"/>
    <w:rsid w:val="004C0D31"/>
    <w:rsid w:val="004C0E28"/>
    <w:rsid w:val="004C190E"/>
    <w:rsid w:val="004C198C"/>
    <w:rsid w:val="004C1E30"/>
    <w:rsid w:val="004C4273"/>
    <w:rsid w:val="004C456B"/>
    <w:rsid w:val="004C4D5F"/>
    <w:rsid w:val="004C5668"/>
    <w:rsid w:val="004C7307"/>
    <w:rsid w:val="004C7933"/>
    <w:rsid w:val="004D0B56"/>
    <w:rsid w:val="004D1728"/>
    <w:rsid w:val="004D29FC"/>
    <w:rsid w:val="004D35E8"/>
    <w:rsid w:val="004D38F6"/>
    <w:rsid w:val="004D4284"/>
    <w:rsid w:val="004D42B4"/>
    <w:rsid w:val="004D512A"/>
    <w:rsid w:val="004D5592"/>
    <w:rsid w:val="004D614C"/>
    <w:rsid w:val="004E0A9A"/>
    <w:rsid w:val="004E103D"/>
    <w:rsid w:val="004E1DAE"/>
    <w:rsid w:val="004E25A6"/>
    <w:rsid w:val="004E37FA"/>
    <w:rsid w:val="004E3A43"/>
    <w:rsid w:val="004E41F9"/>
    <w:rsid w:val="004E4486"/>
    <w:rsid w:val="004E4868"/>
    <w:rsid w:val="004E49BB"/>
    <w:rsid w:val="004E4DA6"/>
    <w:rsid w:val="004E57E9"/>
    <w:rsid w:val="004E6ADF"/>
    <w:rsid w:val="004E6CF3"/>
    <w:rsid w:val="004E742A"/>
    <w:rsid w:val="004E748E"/>
    <w:rsid w:val="004E7D49"/>
    <w:rsid w:val="004F04BF"/>
    <w:rsid w:val="004F1533"/>
    <w:rsid w:val="004F1D9B"/>
    <w:rsid w:val="004F4B68"/>
    <w:rsid w:val="004F5759"/>
    <w:rsid w:val="004F6475"/>
    <w:rsid w:val="004F7405"/>
    <w:rsid w:val="004F78A6"/>
    <w:rsid w:val="0050001C"/>
    <w:rsid w:val="00500BB3"/>
    <w:rsid w:val="00501718"/>
    <w:rsid w:val="005039E5"/>
    <w:rsid w:val="005047DF"/>
    <w:rsid w:val="005063AD"/>
    <w:rsid w:val="00507138"/>
    <w:rsid w:val="0050758D"/>
    <w:rsid w:val="00513E14"/>
    <w:rsid w:val="005154C1"/>
    <w:rsid w:val="005162AB"/>
    <w:rsid w:val="00521122"/>
    <w:rsid w:val="005212A5"/>
    <w:rsid w:val="00522B07"/>
    <w:rsid w:val="00522BE9"/>
    <w:rsid w:val="005231D4"/>
    <w:rsid w:val="0052351B"/>
    <w:rsid w:val="00523755"/>
    <w:rsid w:val="00524825"/>
    <w:rsid w:val="005252A0"/>
    <w:rsid w:val="00526C1E"/>
    <w:rsid w:val="005279E1"/>
    <w:rsid w:val="00530BF1"/>
    <w:rsid w:val="005348EC"/>
    <w:rsid w:val="00535950"/>
    <w:rsid w:val="00537232"/>
    <w:rsid w:val="00537631"/>
    <w:rsid w:val="005405D5"/>
    <w:rsid w:val="00540E6C"/>
    <w:rsid w:val="00540ED1"/>
    <w:rsid w:val="00541146"/>
    <w:rsid w:val="00541D6E"/>
    <w:rsid w:val="00542814"/>
    <w:rsid w:val="00543044"/>
    <w:rsid w:val="00544AB0"/>
    <w:rsid w:val="00545907"/>
    <w:rsid w:val="00545C06"/>
    <w:rsid w:val="00545CC2"/>
    <w:rsid w:val="00545D45"/>
    <w:rsid w:val="00546238"/>
    <w:rsid w:val="0054680D"/>
    <w:rsid w:val="005473E8"/>
    <w:rsid w:val="00547D3F"/>
    <w:rsid w:val="0055009C"/>
    <w:rsid w:val="00550E35"/>
    <w:rsid w:val="0055102A"/>
    <w:rsid w:val="00551917"/>
    <w:rsid w:val="00551BD8"/>
    <w:rsid w:val="00552271"/>
    <w:rsid w:val="00552A11"/>
    <w:rsid w:val="005555B7"/>
    <w:rsid w:val="00555A79"/>
    <w:rsid w:val="0055635F"/>
    <w:rsid w:val="005568DB"/>
    <w:rsid w:val="0055698C"/>
    <w:rsid w:val="00557138"/>
    <w:rsid w:val="005577D9"/>
    <w:rsid w:val="005604F0"/>
    <w:rsid w:val="005606FD"/>
    <w:rsid w:val="00561DA8"/>
    <w:rsid w:val="005621F6"/>
    <w:rsid w:val="00562CB2"/>
    <w:rsid w:val="00563C69"/>
    <w:rsid w:val="00563C9D"/>
    <w:rsid w:val="00564036"/>
    <w:rsid w:val="00564ABD"/>
    <w:rsid w:val="00564B0A"/>
    <w:rsid w:val="0056579B"/>
    <w:rsid w:val="00565F20"/>
    <w:rsid w:val="00567735"/>
    <w:rsid w:val="00570044"/>
    <w:rsid w:val="00570AD8"/>
    <w:rsid w:val="00571D6D"/>
    <w:rsid w:val="005727D7"/>
    <w:rsid w:val="00572F46"/>
    <w:rsid w:val="00573386"/>
    <w:rsid w:val="00573501"/>
    <w:rsid w:val="00574A02"/>
    <w:rsid w:val="00574D0E"/>
    <w:rsid w:val="00574E01"/>
    <w:rsid w:val="0057696C"/>
    <w:rsid w:val="00576A54"/>
    <w:rsid w:val="0057780B"/>
    <w:rsid w:val="00577DC6"/>
    <w:rsid w:val="0058089C"/>
    <w:rsid w:val="00580F1B"/>
    <w:rsid w:val="0058100F"/>
    <w:rsid w:val="005816F4"/>
    <w:rsid w:val="00581BDF"/>
    <w:rsid w:val="00581E99"/>
    <w:rsid w:val="00581F6A"/>
    <w:rsid w:val="00582071"/>
    <w:rsid w:val="00582E25"/>
    <w:rsid w:val="00583257"/>
    <w:rsid w:val="0058456E"/>
    <w:rsid w:val="00584E4F"/>
    <w:rsid w:val="00585174"/>
    <w:rsid w:val="0058537E"/>
    <w:rsid w:val="00586955"/>
    <w:rsid w:val="00586E6C"/>
    <w:rsid w:val="00587853"/>
    <w:rsid w:val="00587B48"/>
    <w:rsid w:val="00587EF4"/>
    <w:rsid w:val="0059038C"/>
    <w:rsid w:val="005921E2"/>
    <w:rsid w:val="00592E0C"/>
    <w:rsid w:val="0059367C"/>
    <w:rsid w:val="005943EB"/>
    <w:rsid w:val="0059499F"/>
    <w:rsid w:val="00594E87"/>
    <w:rsid w:val="005950E5"/>
    <w:rsid w:val="005959C5"/>
    <w:rsid w:val="00597309"/>
    <w:rsid w:val="005A1772"/>
    <w:rsid w:val="005A1B79"/>
    <w:rsid w:val="005A1B95"/>
    <w:rsid w:val="005A1EBC"/>
    <w:rsid w:val="005A20E9"/>
    <w:rsid w:val="005A2FD9"/>
    <w:rsid w:val="005A2FDF"/>
    <w:rsid w:val="005A3B8B"/>
    <w:rsid w:val="005A41D3"/>
    <w:rsid w:val="005A4536"/>
    <w:rsid w:val="005A45C1"/>
    <w:rsid w:val="005A4CD3"/>
    <w:rsid w:val="005A53D0"/>
    <w:rsid w:val="005A608E"/>
    <w:rsid w:val="005A6EFC"/>
    <w:rsid w:val="005A6F7C"/>
    <w:rsid w:val="005A7E3E"/>
    <w:rsid w:val="005B0DF7"/>
    <w:rsid w:val="005B132F"/>
    <w:rsid w:val="005B15EB"/>
    <w:rsid w:val="005B18B2"/>
    <w:rsid w:val="005B1DFF"/>
    <w:rsid w:val="005B37B4"/>
    <w:rsid w:val="005B38E7"/>
    <w:rsid w:val="005B40A6"/>
    <w:rsid w:val="005B46C0"/>
    <w:rsid w:val="005B541C"/>
    <w:rsid w:val="005B5DDD"/>
    <w:rsid w:val="005B68B1"/>
    <w:rsid w:val="005B690D"/>
    <w:rsid w:val="005B7BD3"/>
    <w:rsid w:val="005B7D73"/>
    <w:rsid w:val="005C0180"/>
    <w:rsid w:val="005C01B7"/>
    <w:rsid w:val="005C080C"/>
    <w:rsid w:val="005C0AFB"/>
    <w:rsid w:val="005C1969"/>
    <w:rsid w:val="005C1A71"/>
    <w:rsid w:val="005C3B1E"/>
    <w:rsid w:val="005C5B42"/>
    <w:rsid w:val="005C5CE6"/>
    <w:rsid w:val="005C79CF"/>
    <w:rsid w:val="005C7ED0"/>
    <w:rsid w:val="005D08F3"/>
    <w:rsid w:val="005D1081"/>
    <w:rsid w:val="005D16E7"/>
    <w:rsid w:val="005D172D"/>
    <w:rsid w:val="005D1799"/>
    <w:rsid w:val="005D2A79"/>
    <w:rsid w:val="005D3004"/>
    <w:rsid w:val="005D30C8"/>
    <w:rsid w:val="005D3403"/>
    <w:rsid w:val="005D37EC"/>
    <w:rsid w:val="005D3D39"/>
    <w:rsid w:val="005D6BFE"/>
    <w:rsid w:val="005D787E"/>
    <w:rsid w:val="005D7C39"/>
    <w:rsid w:val="005E088C"/>
    <w:rsid w:val="005E0980"/>
    <w:rsid w:val="005E13DF"/>
    <w:rsid w:val="005E1499"/>
    <w:rsid w:val="005E1901"/>
    <w:rsid w:val="005E28AA"/>
    <w:rsid w:val="005E2A4A"/>
    <w:rsid w:val="005E3078"/>
    <w:rsid w:val="005E387D"/>
    <w:rsid w:val="005E3B5B"/>
    <w:rsid w:val="005E3B75"/>
    <w:rsid w:val="005E3D15"/>
    <w:rsid w:val="005E3FDD"/>
    <w:rsid w:val="005E4299"/>
    <w:rsid w:val="005E4C65"/>
    <w:rsid w:val="005E637C"/>
    <w:rsid w:val="005E763B"/>
    <w:rsid w:val="005F08DC"/>
    <w:rsid w:val="005F2946"/>
    <w:rsid w:val="005F2E80"/>
    <w:rsid w:val="005F2FD2"/>
    <w:rsid w:val="005F34C6"/>
    <w:rsid w:val="005F37FF"/>
    <w:rsid w:val="005F3ACD"/>
    <w:rsid w:val="005F4318"/>
    <w:rsid w:val="005F4EBC"/>
    <w:rsid w:val="005F4F8E"/>
    <w:rsid w:val="005F50F7"/>
    <w:rsid w:val="005F54A4"/>
    <w:rsid w:val="005F5E43"/>
    <w:rsid w:val="005F71D1"/>
    <w:rsid w:val="005F7342"/>
    <w:rsid w:val="0060035F"/>
    <w:rsid w:val="00601514"/>
    <w:rsid w:val="00601903"/>
    <w:rsid w:val="006024D1"/>
    <w:rsid w:val="00602E98"/>
    <w:rsid w:val="00603596"/>
    <w:rsid w:val="00603632"/>
    <w:rsid w:val="00603822"/>
    <w:rsid w:val="00604274"/>
    <w:rsid w:val="00604AA7"/>
    <w:rsid w:val="00605C5F"/>
    <w:rsid w:val="00606FE8"/>
    <w:rsid w:val="0060713B"/>
    <w:rsid w:val="00607205"/>
    <w:rsid w:val="006074E4"/>
    <w:rsid w:val="00610688"/>
    <w:rsid w:val="00610FF4"/>
    <w:rsid w:val="006112D1"/>
    <w:rsid w:val="006112FA"/>
    <w:rsid w:val="006114E3"/>
    <w:rsid w:val="006117A0"/>
    <w:rsid w:val="00611E13"/>
    <w:rsid w:val="006132AF"/>
    <w:rsid w:val="00613F20"/>
    <w:rsid w:val="006148B0"/>
    <w:rsid w:val="00614F23"/>
    <w:rsid w:val="00615B2F"/>
    <w:rsid w:val="00615E47"/>
    <w:rsid w:val="006177F8"/>
    <w:rsid w:val="00617864"/>
    <w:rsid w:val="00620205"/>
    <w:rsid w:val="006206FC"/>
    <w:rsid w:val="0062207E"/>
    <w:rsid w:val="006220EF"/>
    <w:rsid w:val="00622D42"/>
    <w:rsid w:val="00622F63"/>
    <w:rsid w:val="00622FFF"/>
    <w:rsid w:val="00623402"/>
    <w:rsid w:val="0062356D"/>
    <w:rsid w:val="00623C42"/>
    <w:rsid w:val="00624B34"/>
    <w:rsid w:val="00624D8E"/>
    <w:rsid w:val="006259E4"/>
    <w:rsid w:val="00625B93"/>
    <w:rsid w:val="00626967"/>
    <w:rsid w:val="00626AD6"/>
    <w:rsid w:val="0062753B"/>
    <w:rsid w:val="006278F0"/>
    <w:rsid w:val="006307A9"/>
    <w:rsid w:val="006308E9"/>
    <w:rsid w:val="00630E80"/>
    <w:rsid w:val="00631267"/>
    <w:rsid w:val="00632144"/>
    <w:rsid w:val="006323CF"/>
    <w:rsid w:val="00633563"/>
    <w:rsid w:val="00633AAD"/>
    <w:rsid w:val="00634017"/>
    <w:rsid w:val="00636271"/>
    <w:rsid w:val="00636BC6"/>
    <w:rsid w:val="0064043B"/>
    <w:rsid w:val="00640A49"/>
    <w:rsid w:val="00641816"/>
    <w:rsid w:val="00642A47"/>
    <w:rsid w:val="00643C5A"/>
    <w:rsid w:val="00643DC7"/>
    <w:rsid w:val="00644852"/>
    <w:rsid w:val="00646006"/>
    <w:rsid w:val="006463D1"/>
    <w:rsid w:val="006476D5"/>
    <w:rsid w:val="00647BC1"/>
    <w:rsid w:val="006502FA"/>
    <w:rsid w:val="00650F07"/>
    <w:rsid w:val="00653D8D"/>
    <w:rsid w:val="00655A79"/>
    <w:rsid w:val="00656E35"/>
    <w:rsid w:val="00657119"/>
    <w:rsid w:val="00657D5D"/>
    <w:rsid w:val="0066077B"/>
    <w:rsid w:val="006613E3"/>
    <w:rsid w:val="00661DF2"/>
    <w:rsid w:val="0066251A"/>
    <w:rsid w:val="00662B22"/>
    <w:rsid w:val="00662BC9"/>
    <w:rsid w:val="006634CE"/>
    <w:rsid w:val="006634F9"/>
    <w:rsid w:val="00664DAE"/>
    <w:rsid w:val="0066572D"/>
    <w:rsid w:val="00666396"/>
    <w:rsid w:val="00666560"/>
    <w:rsid w:val="006665C7"/>
    <w:rsid w:val="00667B22"/>
    <w:rsid w:val="006710C1"/>
    <w:rsid w:val="00671427"/>
    <w:rsid w:val="00672508"/>
    <w:rsid w:val="006729C3"/>
    <w:rsid w:val="006729C7"/>
    <w:rsid w:val="0067304E"/>
    <w:rsid w:val="0067329A"/>
    <w:rsid w:val="006745E5"/>
    <w:rsid w:val="00675475"/>
    <w:rsid w:val="0067745F"/>
    <w:rsid w:val="00677A0E"/>
    <w:rsid w:val="00680476"/>
    <w:rsid w:val="00681044"/>
    <w:rsid w:val="00681181"/>
    <w:rsid w:val="00682099"/>
    <w:rsid w:val="00684383"/>
    <w:rsid w:val="006849ED"/>
    <w:rsid w:val="00685A22"/>
    <w:rsid w:val="00685B97"/>
    <w:rsid w:val="00686648"/>
    <w:rsid w:val="006874BD"/>
    <w:rsid w:val="006875A4"/>
    <w:rsid w:val="00687732"/>
    <w:rsid w:val="00690591"/>
    <w:rsid w:val="006905A3"/>
    <w:rsid w:val="0069376A"/>
    <w:rsid w:val="00694F3D"/>
    <w:rsid w:val="00694F6D"/>
    <w:rsid w:val="0069640B"/>
    <w:rsid w:val="00697B89"/>
    <w:rsid w:val="006A18B6"/>
    <w:rsid w:val="006A1EDC"/>
    <w:rsid w:val="006A2EB2"/>
    <w:rsid w:val="006A4342"/>
    <w:rsid w:val="006A4BE9"/>
    <w:rsid w:val="006A56CE"/>
    <w:rsid w:val="006A5B0F"/>
    <w:rsid w:val="006A5ED6"/>
    <w:rsid w:val="006A5FF3"/>
    <w:rsid w:val="006A6346"/>
    <w:rsid w:val="006B1E48"/>
    <w:rsid w:val="006B20EE"/>
    <w:rsid w:val="006B2215"/>
    <w:rsid w:val="006B4341"/>
    <w:rsid w:val="006B4579"/>
    <w:rsid w:val="006B4826"/>
    <w:rsid w:val="006B502A"/>
    <w:rsid w:val="006B5B8D"/>
    <w:rsid w:val="006B68D0"/>
    <w:rsid w:val="006B77DB"/>
    <w:rsid w:val="006C13E4"/>
    <w:rsid w:val="006C1614"/>
    <w:rsid w:val="006C1D8C"/>
    <w:rsid w:val="006C2102"/>
    <w:rsid w:val="006C2EDB"/>
    <w:rsid w:val="006C3FAB"/>
    <w:rsid w:val="006C4476"/>
    <w:rsid w:val="006C49B9"/>
    <w:rsid w:val="006C4CFC"/>
    <w:rsid w:val="006C51D5"/>
    <w:rsid w:val="006C5BA8"/>
    <w:rsid w:val="006C5F27"/>
    <w:rsid w:val="006C68DF"/>
    <w:rsid w:val="006C7AD5"/>
    <w:rsid w:val="006D08F2"/>
    <w:rsid w:val="006D0E3D"/>
    <w:rsid w:val="006D14CF"/>
    <w:rsid w:val="006D1DBD"/>
    <w:rsid w:val="006D1E49"/>
    <w:rsid w:val="006D223F"/>
    <w:rsid w:val="006D2553"/>
    <w:rsid w:val="006D27BB"/>
    <w:rsid w:val="006D432E"/>
    <w:rsid w:val="006D5831"/>
    <w:rsid w:val="006D5B0E"/>
    <w:rsid w:val="006D5F69"/>
    <w:rsid w:val="006D64CA"/>
    <w:rsid w:val="006D6F0C"/>
    <w:rsid w:val="006D7EBF"/>
    <w:rsid w:val="006E10F8"/>
    <w:rsid w:val="006E1A98"/>
    <w:rsid w:val="006E1CF4"/>
    <w:rsid w:val="006E3AA6"/>
    <w:rsid w:val="006E4894"/>
    <w:rsid w:val="006E526B"/>
    <w:rsid w:val="006E5F7E"/>
    <w:rsid w:val="006E6044"/>
    <w:rsid w:val="006E6104"/>
    <w:rsid w:val="006E62DF"/>
    <w:rsid w:val="006E76F2"/>
    <w:rsid w:val="006E77CA"/>
    <w:rsid w:val="006F0AFA"/>
    <w:rsid w:val="006F0FCC"/>
    <w:rsid w:val="006F1B52"/>
    <w:rsid w:val="006F27A6"/>
    <w:rsid w:val="006F2BDA"/>
    <w:rsid w:val="006F39A4"/>
    <w:rsid w:val="006F42DE"/>
    <w:rsid w:val="006F48C7"/>
    <w:rsid w:val="006F4CDF"/>
    <w:rsid w:val="006F5290"/>
    <w:rsid w:val="006F5772"/>
    <w:rsid w:val="006F59B0"/>
    <w:rsid w:val="006F78C1"/>
    <w:rsid w:val="00700BF9"/>
    <w:rsid w:val="007018B1"/>
    <w:rsid w:val="00702E3A"/>
    <w:rsid w:val="00703D3B"/>
    <w:rsid w:val="00703E3A"/>
    <w:rsid w:val="00704E37"/>
    <w:rsid w:val="00705B33"/>
    <w:rsid w:val="0070615E"/>
    <w:rsid w:val="0070697D"/>
    <w:rsid w:val="00706C4B"/>
    <w:rsid w:val="00710027"/>
    <w:rsid w:val="00710A58"/>
    <w:rsid w:val="00710F49"/>
    <w:rsid w:val="007116AC"/>
    <w:rsid w:val="00711E89"/>
    <w:rsid w:val="007124A2"/>
    <w:rsid w:val="007125AE"/>
    <w:rsid w:val="00712B67"/>
    <w:rsid w:val="0071335E"/>
    <w:rsid w:val="007133ED"/>
    <w:rsid w:val="00713A61"/>
    <w:rsid w:val="00713B22"/>
    <w:rsid w:val="0071620F"/>
    <w:rsid w:val="00716D51"/>
    <w:rsid w:val="00716F88"/>
    <w:rsid w:val="007176C7"/>
    <w:rsid w:val="0071790C"/>
    <w:rsid w:val="00717F2D"/>
    <w:rsid w:val="0072085A"/>
    <w:rsid w:val="0072236A"/>
    <w:rsid w:val="007230D6"/>
    <w:rsid w:val="00723249"/>
    <w:rsid w:val="00723588"/>
    <w:rsid w:val="00723E4B"/>
    <w:rsid w:val="007241A0"/>
    <w:rsid w:val="00724553"/>
    <w:rsid w:val="0072563F"/>
    <w:rsid w:val="00727528"/>
    <w:rsid w:val="00730448"/>
    <w:rsid w:val="007305FE"/>
    <w:rsid w:val="00731EC8"/>
    <w:rsid w:val="007326A0"/>
    <w:rsid w:val="00732CFA"/>
    <w:rsid w:val="00732E2C"/>
    <w:rsid w:val="007331AB"/>
    <w:rsid w:val="00733398"/>
    <w:rsid w:val="00734468"/>
    <w:rsid w:val="007345C4"/>
    <w:rsid w:val="0073465B"/>
    <w:rsid w:val="00734FE8"/>
    <w:rsid w:val="00735668"/>
    <w:rsid w:val="00735ECF"/>
    <w:rsid w:val="00736094"/>
    <w:rsid w:val="00736185"/>
    <w:rsid w:val="007368A2"/>
    <w:rsid w:val="00736DE9"/>
    <w:rsid w:val="00737FF3"/>
    <w:rsid w:val="0074197A"/>
    <w:rsid w:val="00741D13"/>
    <w:rsid w:val="00742439"/>
    <w:rsid w:val="00742F18"/>
    <w:rsid w:val="007436EA"/>
    <w:rsid w:val="00743A10"/>
    <w:rsid w:val="00744DC4"/>
    <w:rsid w:val="00745022"/>
    <w:rsid w:val="0074543B"/>
    <w:rsid w:val="007465A9"/>
    <w:rsid w:val="00746C7C"/>
    <w:rsid w:val="00747104"/>
    <w:rsid w:val="00747DE6"/>
    <w:rsid w:val="00750F51"/>
    <w:rsid w:val="00751811"/>
    <w:rsid w:val="007521AB"/>
    <w:rsid w:val="00754A0D"/>
    <w:rsid w:val="00754DB1"/>
    <w:rsid w:val="007552C1"/>
    <w:rsid w:val="007562E2"/>
    <w:rsid w:val="00756960"/>
    <w:rsid w:val="00756A73"/>
    <w:rsid w:val="00756B0F"/>
    <w:rsid w:val="00756B91"/>
    <w:rsid w:val="00757717"/>
    <w:rsid w:val="007577C2"/>
    <w:rsid w:val="00760374"/>
    <w:rsid w:val="00762F29"/>
    <w:rsid w:val="00762F2B"/>
    <w:rsid w:val="0076328E"/>
    <w:rsid w:val="007648C7"/>
    <w:rsid w:val="00764A97"/>
    <w:rsid w:val="0076561E"/>
    <w:rsid w:val="007661B0"/>
    <w:rsid w:val="00767FF7"/>
    <w:rsid w:val="00770434"/>
    <w:rsid w:val="0077074E"/>
    <w:rsid w:val="00770B3A"/>
    <w:rsid w:val="00770F3F"/>
    <w:rsid w:val="00771814"/>
    <w:rsid w:val="00771862"/>
    <w:rsid w:val="007718F6"/>
    <w:rsid w:val="00771E40"/>
    <w:rsid w:val="00773353"/>
    <w:rsid w:val="00773BD8"/>
    <w:rsid w:val="00773F92"/>
    <w:rsid w:val="00774197"/>
    <w:rsid w:val="007742CB"/>
    <w:rsid w:val="00774313"/>
    <w:rsid w:val="00775AB7"/>
    <w:rsid w:val="00776DB2"/>
    <w:rsid w:val="007776AA"/>
    <w:rsid w:val="00777862"/>
    <w:rsid w:val="00777A25"/>
    <w:rsid w:val="00777FEA"/>
    <w:rsid w:val="007801F1"/>
    <w:rsid w:val="00780A45"/>
    <w:rsid w:val="00780FA4"/>
    <w:rsid w:val="00783842"/>
    <w:rsid w:val="00783C07"/>
    <w:rsid w:val="00784A26"/>
    <w:rsid w:val="00785D77"/>
    <w:rsid w:val="0078617C"/>
    <w:rsid w:val="0078621A"/>
    <w:rsid w:val="0078627B"/>
    <w:rsid w:val="00787042"/>
    <w:rsid w:val="0078736C"/>
    <w:rsid w:val="007876E3"/>
    <w:rsid w:val="00787B11"/>
    <w:rsid w:val="00790CA0"/>
    <w:rsid w:val="007928AD"/>
    <w:rsid w:val="00793287"/>
    <w:rsid w:val="007938B0"/>
    <w:rsid w:val="00794724"/>
    <w:rsid w:val="007966EE"/>
    <w:rsid w:val="00796FA1"/>
    <w:rsid w:val="00797B74"/>
    <w:rsid w:val="007A0174"/>
    <w:rsid w:val="007A0BB2"/>
    <w:rsid w:val="007A1308"/>
    <w:rsid w:val="007A1BCE"/>
    <w:rsid w:val="007A3BEE"/>
    <w:rsid w:val="007A4A5C"/>
    <w:rsid w:val="007A5131"/>
    <w:rsid w:val="007A7117"/>
    <w:rsid w:val="007A7D41"/>
    <w:rsid w:val="007B0F68"/>
    <w:rsid w:val="007B2238"/>
    <w:rsid w:val="007B3F5E"/>
    <w:rsid w:val="007B4019"/>
    <w:rsid w:val="007B5B0F"/>
    <w:rsid w:val="007B66A0"/>
    <w:rsid w:val="007B6E4E"/>
    <w:rsid w:val="007B71E9"/>
    <w:rsid w:val="007B7365"/>
    <w:rsid w:val="007B751D"/>
    <w:rsid w:val="007C047F"/>
    <w:rsid w:val="007C0D74"/>
    <w:rsid w:val="007C1214"/>
    <w:rsid w:val="007C1316"/>
    <w:rsid w:val="007C1702"/>
    <w:rsid w:val="007C3103"/>
    <w:rsid w:val="007C41D1"/>
    <w:rsid w:val="007C48C7"/>
    <w:rsid w:val="007C69D6"/>
    <w:rsid w:val="007C7A13"/>
    <w:rsid w:val="007C7E0B"/>
    <w:rsid w:val="007D1730"/>
    <w:rsid w:val="007D2726"/>
    <w:rsid w:val="007D2CEB"/>
    <w:rsid w:val="007D30A1"/>
    <w:rsid w:val="007D3591"/>
    <w:rsid w:val="007D4C3F"/>
    <w:rsid w:val="007D4C81"/>
    <w:rsid w:val="007D5061"/>
    <w:rsid w:val="007D5BC4"/>
    <w:rsid w:val="007D6683"/>
    <w:rsid w:val="007D703F"/>
    <w:rsid w:val="007D7377"/>
    <w:rsid w:val="007E1646"/>
    <w:rsid w:val="007E3312"/>
    <w:rsid w:val="007E3F03"/>
    <w:rsid w:val="007E60C4"/>
    <w:rsid w:val="007E6167"/>
    <w:rsid w:val="007E6DA0"/>
    <w:rsid w:val="007E74C5"/>
    <w:rsid w:val="007F0E34"/>
    <w:rsid w:val="007F153E"/>
    <w:rsid w:val="007F1745"/>
    <w:rsid w:val="007F1AC8"/>
    <w:rsid w:val="007F20BD"/>
    <w:rsid w:val="007F2E78"/>
    <w:rsid w:val="007F30E6"/>
    <w:rsid w:val="007F32C6"/>
    <w:rsid w:val="007F37D9"/>
    <w:rsid w:val="007F3C3A"/>
    <w:rsid w:val="007F5E1F"/>
    <w:rsid w:val="007F6368"/>
    <w:rsid w:val="007F7B7F"/>
    <w:rsid w:val="00800643"/>
    <w:rsid w:val="00801416"/>
    <w:rsid w:val="00802217"/>
    <w:rsid w:val="008036AB"/>
    <w:rsid w:val="00803916"/>
    <w:rsid w:val="008043DE"/>
    <w:rsid w:val="0080498D"/>
    <w:rsid w:val="008049F7"/>
    <w:rsid w:val="00804C11"/>
    <w:rsid w:val="00805332"/>
    <w:rsid w:val="0080606A"/>
    <w:rsid w:val="008065F0"/>
    <w:rsid w:val="00806945"/>
    <w:rsid w:val="00807C2F"/>
    <w:rsid w:val="00807D06"/>
    <w:rsid w:val="00807D53"/>
    <w:rsid w:val="00810B67"/>
    <w:rsid w:val="00811C62"/>
    <w:rsid w:val="008129C6"/>
    <w:rsid w:val="00812BD7"/>
    <w:rsid w:val="00812BF9"/>
    <w:rsid w:val="00812E0A"/>
    <w:rsid w:val="0081352B"/>
    <w:rsid w:val="0081389D"/>
    <w:rsid w:val="008140C1"/>
    <w:rsid w:val="0081412E"/>
    <w:rsid w:val="00814514"/>
    <w:rsid w:val="00814A84"/>
    <w:rsid w:val="0081516B"/>
    <w:rsid w:val="0081536A"/>
    <w:rsid w:val="00815878"/>
    <w:rsid w:val="008179EB"/>
    <w:rsid w:val="00820082"/>
    <w:rsid w:val="0082078F"/>
    <w:rsid w:val="00820C12"/>
    <w:rsid w:val="00820D38"/>
    <w:rsid w:val="0082103A"/>
    <w:rsid w:val="008210FC"/>
    <w:rsid w:val="00821428"/>
    <w:rsid w:val="00822854"/>
    <w:rsid w:val="00823796"/>
    <w:rsid w:val="008237E2"/>
    <w:rsid w:val="00823CF5"/>
    <w:rsid w:val="00823E75"/>
    <w:rsid w:val="00824186"/>
    <w:rsid w:val="0082447D"/>
    <w:rsid w:val="008246C7"/>
    <w:rsid w:val="00824A2B"/>
    <w:rsid w:val="008255E4"/>
    <w:rsid w:val="008259B7"/>
    <w:rsid w:val="00827BAD"/>
    <w:rsid w:val="008302A6"/>
    <w:rsid w:val="00830639"/>
    <w:rsid w:val="008309C9"/>
    <w:rsid w:val="00830BC7"/>
    <w:rsid w:val="00831B59"/>
    <w:rsid w:val="00832CEB"/>
    <w:rsid w:val="0083350E"/>
    <w:rsid w:val="008335E3"/>
    <w:rsid w:val="008337F8"/>
    <w:rsid w:val="00833FD1"/>
    <w:rsid w:val="00834467"/>
    <w:rsid w:val="00834DCB"/>
    <w:rsid w:val="00834F43"/>
    <w:rsid w:val="00835860"/>
    <w:rsid w:val="0083617B"/>
    <w:rsid w:val="00836271"/>
    <w:rsid w:val="00836673"/>
    <w:rsid w:val="00836BB0"/>
    <w:rsid w:val="00836BE3"/>
    <w:rsid w:val="008370DA"/>
    <w:rsid w:val="00840C01"/>
    <w:rsid w:val="00840C42"/>
    <w:rsid w:val="0084167C"/>
    <w:rsid w:val="008417E8"/>
    <w:rsid w:val="008420CF"/>
    <w:rsid w:val="00843059"/>
    <w:rsid w:val="008432D9"/>
    <w:rsid w:val="008436A3"/>
    <w:rsid w:val="00843EA2"/>
    <w:rsid w:val="00843FAE"/>
    <w:rsid w:val="00843FBA"/>
    <w:rsid w:val="00844F10"/>
    <w:rsid w:val="00845186"/>
    <w:rsid w:val="00845BBC"/>
    <w:rsid w:val="00846839"/>
    <w:rsid w:val="008469DF"/>
    <w:rsid w:val="00846BDD"/>
    <w:rsid w:val="008476F9"/>
    <w:rsid w:val="00847F2B"/>
    <w:rsid w:val="00850048"/>
    <w:rsid w:val="008513D8"/>
    <w:rsid w:val="008518F1"/>
    <w:rsid w:val="00851FE1"/>
    <w:rsid w:val="00852BAC"/>
    <w:rsid w:val="00852C25"/>
    <w:rsid w:val="0085384B"/>
    <w:rsid w:val="00853BFE"/>
    <w:rsid w:val="00854BAB"/>
    <w:rsid w:val="008556EF"/>
    <w:rsid w:val="00855D43"/>
    <w:rsid w:val="008561D7"/>
    <w:rsid w:val="00856637"/>
    <w:rsid w:val="00856DA9"/>
    <w:rsid w:val="008571AF"/>
    <w:rsid w:val="008601EE"/>
    <w:rsid w:val="008607B4"/>
    <w:rsid w:val="00860B22"/>
    <w:rsid w:val="00861074"/>
    <w:rsid w:val="00861476"/>
    <w:rsid w:val="00861AF2"/>
    <w:rsid w:val="00861D09"/>
    <w:rsid w:val="00862B3A"/>
    <w:rsid w:val="008636A2"/>
    <w:rsid w:val="008636FC"/>
    <w:rsid w:val="0086396B"/>
    <w:rsid w:val="00863DB6"/>
    <w:rsid w:val="00865B86"/>
    <w:rsid w:val="00866137"/>
    <w:rsid w:val="008668A7"/>
    <w:rsid w:val="00870368"/>
    <w:rsid w:val="008704F4"/>
    <w:rsid w:val="00871164"/>
    <w:rsid w:val="00871E4D"/>
    <w:rsid w:val="00871FB3"/>
    <w:rsid w:val="0087317D"/>
    <w:rsid w:val="008737AB"/>
    <w:rsid w:val="00873BC6"/>
    <w:rsid w:val="00874FB1"/>
    <w:rsid w:val="00875473"/>
    <w:rsid w:val="00876509"/>
    <w:rsid w:val="0087692D"/>
    <w:rsid w:val="008771F4"/>
    <w:rsid w:val="0087797C"/>
    <w:rsid w:val="00880902"/>
    <w:rsid w:val="00881018"/>
    <w:rsid w:val="00881E3C"/>
    <w:rsid w:val="008825BD"/>
    <w:rsid w:val="00882EB8"/>
    <w:rsid w:val="008831FD"/>
    <w:rsid w:val="0088495C"/>
    <w:rsid w:val="00884C22"/>
    <w:rsid w:val="00885416"/>
    <w:rsid w:val="0088740A"/>
    <w:rsid w:val="0088740E"/>
    <w:rsid w:val="00887F03"/>
    <w:rsid w:val="00890A31"/>
    <w:rsid w:val="00890DDD"/>
    <w:rsid w:val="00890F3A"/>
    <w:rsid w:val="00891867"/>
    <w:rsid w:val="0089271B"/>
    <w:rsid w:val="00892A4E"/>
    <w:rsid w:val="00892F44"/>
    <w:rsid w:val="00892FBA"/>
    <w:rsid w:val="00894A27"/>
    <w:rsid w:val="00896A4C"/>
    <w:rsid w:val="00896EBA"/>
    <w:rsid w:val="0089795D"/>
    <w:rsid w:val="0089797F"/>
    <w:rsid w:val="008979CA"/>
    <w:rsid w:val="00897BCF"/>
    <w:rsid w:val="00897EEA"/>
    <w:rsid w:val="008A13D2"/>
    <w:rsid w:val="008A23C9"/>
    <w:rsid w:val="008A29B8"/>
    <w:rsid w:val="008A3911"/>
    <w:rsid w:val="008A39F8"/>
    <w:rsid w:val="008A4D01"/>
    <w:rsid w:val="008A4EEB"/>
    <w:rsid w:val="008A6826"/>
    <w:rsid w:val="008A683A"/>
    <w:rsid w:val="008A6936"/>
    <w:rsid w:val="008A6F07"/>
    <w:rsid w:val="008B0B3A"/>
    <w:rsid w:val="008B2CD8"/>
    <w:rsid w:val="008B2D0F"/>
    <w:rsid w:val="008B2D4B"/>
    <w:rsid w:val="008B32A9"/>
    <w:rsid w:val="008B5E7A"/>
    <w:rsid w:val="008B7CA2"/>
    <w:rsid w:val="008C0083"/>
    <w:rsid w:val="008C0225"/>
    <w:rsid w:val="008C20A3"/>
    <w:rsid w:val="008C23AD"/>
    <w:rsid w:val="008C2866"/>
    <w:rsid w:val="008C2EDB"/>
    <w:rsid w:val="008C448B"/>
    <w:rsid w:val="008C5335"/>
    <w:rsid w:val="008C5AC6"/>
    <w:rsid w:val="008C5CAD"/>
    <w:rsid w:val="008C6ACD"/>
    <w:rsid w:val="008C6C9A"/>
    <w:rsid w:val="008C701E"/>
    <w:rsid w:val="008C73DE"/>
    <w:rsid w:val="008C7950"/>
    <w:rsid w:val="008D0B85"/>
    <w:rsid w:val="008D0E30"/>
    <w:rsid w:val="008D1B64"/>
    <w:rsid w:val="008D1FA0"/>
    <w:rsid w:val="008D2F07"/>
    <w:rsid w:val="008D4162"/>
    <w:rsid w:val="008D4E54"/>
    <w:rsid w:val="008D4F30"/>
    <w:rsid w:val="008D59D9"/>
    <w:rsid w:val="008D5F47"/>
    <w:rsid w:val="008D6723"/>
    <w:rsid w:val="008D6AFF"/>
    <w:rsid w:val="008D7504"/>
    <w:rsid w:val="008E1DE7"/>
    <w:rsid w:val="008E210F"/>
    <w:rsid w:val="008E2FA7"/>
    <w:rsid w:val="008E33D7"/>
    <w:rsid w:val="008E3A42"/>
    <w:rsid w:val="008E3AEF"/>
    <w:rsid w:val="008E4055"/>
    <w:rsid w:val="008E461D"/>
    <w:rsid w:val="008E4C89"/>
    <w:rsid w:val="008E51AF"/>
    <w:rsid w:val="008E548A"/>
    <w:rsid w:val="008E5A56"/>
    <w:rsid w:val="008E5D8B"/>
    <w:rsid w:val="008E74A2"/>
    <w:rsid w:val="008E75AD"/>
    <w:rsid w:val="008F0055"/>
    <w:rsid w:val="008F086E"/>
    <w:rsid w:val="008F2210"/>
    <w:rsid w:val="008F2E99"/>
    <w:rsid w:val="008F3928"/>
    <w:rsid w:val="008F3A98"/>
    <w:rsid w:val="008F4B82"/>
    <w:rsid w:val="008F58BA"/>
    <w:rsid w:val="008F5C18"/>
    <w:rsid w:val="008F5E03"/>
    <w:rsid w:val="008F5E0F"/>
    <w:rsid w:val="008F6993"/>
    <w:rsid w:val="008F6A91"/>
    <w:rsid w:val="008F6FE3"/>
    <w:rsid w:val="009006A6"/>
    <w:rsid w:val="009010F9"/>
    <w:rsid w:val="00901583"/>
    <w:rsid w:val="009016D7"/>
    <w:rsid w:val="00903AC3"/>
    <w:rsid w:val="0090412E"/>
    <w:rsid w:val="00904536"/>
    <w:rsid w:val="0090478A"/>
    <w:rsid w:val="00905C9A"/>
    <w:rsid w:val="009064B4"/>
    <w:rsid w:val="00906780"/>
    <w:rsid w:val="00906ED2"/>
    <w:rsid w:val="00907441"/>
    <w:rsid w:val="009102A7"/>
    <w:rsid w:val="00911D86"/>
    <w:rsid w:val="009123F6"/>
    <w:rsid w:val="009125A8"/>
    <w:rsid w:val="00912A26"/>
    <w:rsid w:val="009144B5"/>
    <w:rsid w:val="009146F6"/>
    <w:rsid w:val="00915863"/>
    <w:rsid w:val="0091647A"/>
    <w:rsid w:val="00916ED7"/>
    <w:rsid w:val="00916F53"/>
    <w:rsid w:val="009209FD"/>
    <w:rsid w:val="00920E2F"/>
    <w:rsid w:val="00921C73"/>
    <w:rsid w:val="00921EAF"/>
    <w:rsid w:val="009225EA"/>
    <w:rsid w:val="00922E70"/>
    <w:rsid w:val="009233FA"/>
    <w:rsid w:val="0092496F"/>
    <w:rsid w:val="00925BB1"/>
    <w:rsid w:val="00926E69"/>
    <w:rsid w:val="009302DE"/>
    <w:rsid w:val="009309CF"/>
    <w:rsid w:val="00930EF7"/>
    <w:rsid w:val="009310A9"/>
    <w:rsid w:val="0093125C"/>
    <w:rsid w:val="009317B8"/>
    <w:rsid w:val="00932BCE"/>
    <w:rsid w:val="00932D86"/>
    <w:rsid w:val="009331EE"/>
    <w:rsid w:val="009335CB"/>
    <w:rsid w:val="009340DB"/>
    <w:rsid w:val="00934868"/>
    <w:rsid w:val="009350CB"/>
    <w:rsid w:val="009354C2"/>
    <w:rsid w:val="00935F55"/>
    <w:rsid w:val="009360D6"/>
    <w:rsid w:val="00936282"/>
    <w:rsid w:val="00936510"/>
    <w:rsid w:val="00936746"/>
    <w:rsid w:val="009371F0"/>
    <w:rsid w:val="009373BB"/>
    <w:rsid w:val="00940467"/>
    <w:rsid w:val="00940933"/>
    <w:rsid w:val="00941336"/>
    <w:rsid w:val="00941AA5"/>
    <w:rsid w:val="00942878"/>
    <w:rsid w:val="009428B5"/>
    <w:rsid w:val="0094508A"/>
    <w:rsid w:val="00945476"/>
    <w:rsid w:val="00945E92"/>
    <w:rsid w:val="009466EE"/>
    <w:rsid w:val="0094698E"/>
    <w:rsid w:val="0094783F"/>
    <w:rsid w:val="009501C2"/>
    <w:rsid w:val="00950618"/>
    <w:rsid w:val="0095122A"/>
    <w:rsid w:val="00952903"/>
    <w:rsid w:val="00952E4C"/>
    <w:rsid w:val="00953A2F"/>
    <w:rsid w:val="009542F5"/>
    <w:rsid w:val="009543AB"/>
    <w:rsid w:val="00954BDB"/>
    <w:rsid w:val="0095564F"/>
    <w:rsid w:val="0095590B"/>
    <w:rsid w:val="00955E25"/>
    <w:rsid w:val="009575E1"/>
    <w:rsid w:val="00960581"/>
    <w:rsid w:val="00960BC7"/>
    <w:rsid w:val="00960C6B"/>
    <w:rsid w:val="009612BE"/>
    <w:rsid w:val="00962129"/>
    <w:rsid w:val="009632C9"/>
    <w:rsid w:val="009635A4"/>
    <w:rsid w:val="0096452F"/>
    <w:rsid w:val="00964625"/>
    <w:rsid w:val="009662B1"/>
    <w:rsid w:val="009667EE"/>
    <w:rsid w:val="00966A71"/>
    <w:rsid w:val="00967637"/>
    <w:rsid w:val="009700D2"/>
    <w:rsid w:val="009707DE"/>
    <w:rsid w:val="009716F8"/>
    <w:rsid w:val="009720B6"/>
    <w:rsid w:val="0097210C"/>
    <w:rsid w:val="009723EF"/>
    <w:rsid w:val="00972D5E"/>
    <w:rsid w:val="0097316B"/>
    <w:rsid w:val="0097354A"/>
    <w:rsid w:val="009739FC"/>
    <w:rsid w:val="00974E26"/>
    <w:rsid w:val="00974FAA"/>
    <w:rsid w:val="00975B91"/>
    <w:rsid w:val="00976CF9"/>
    <w:rsid w:val="00977184"/>
    <w:rsid w:val="0097718F"/>
    <w:rsid w:val="009802C9"/>
    <w:rsid w:val="00980F5C"/>
    <w:rsid w:val="00980FA6"/>
    <w:rsid w:val="00984E5D"/>
    <w:rsid w:val="009854DE"/>
    <w:rsid w:val="00985ABF"/>
    <w:rsid w:val="00985E59"/>
    <w:rsid w:val="00986983"/>
    <w:rsid w:val="00991685"/>
    <w:rsid w:val="00992307"/>
    <w:rsid w:val="009927FA"/>
    <w:rsid w:val="00993980"/>
    <w:rsid w:val="009950E9"/>
    <w:rsid w:val="00995827"/>
    <w:rsid w:val="009960BA"/>
    <w:rsid w:val="009967F2"/>
    <w:rsid w:val="00996CE9"/>
    <w:rsid w:val="00997790"/>
    <w:rsid w:val="00997F8E"/>
    <w:rsid w:val="009A17EB"/>
    <w:rsid w:val="009A2169"/>
    <w:rsid w:val="009A360D"/>
    <w:rsid w:val="009A37AC"/>
    <w:rsid w:val="009A3C9A"/>
    <w:rsid w:val="009A4AE8"/>
    <w:rsid w:val="009A4EBC"/>
    <w:rsid w:val="009A58E5"/>
    <w:rsid w:val="009A5A9E"/>
    <w:rsid w:val="009A5DC5"/>
    <w:rsid w:val="009A62CA"/>
    <w:rsid w:val="009A66D0"/>
    <w:rsid w:val="009A727D"/>
    <w:rsid w:val="009A738A"/>
    <w:rsid w:val="009A7F6A"/>
    <w:rsid w:val="009A7FF8"/>
    <w:rsid w:val="009B01FC"/>
    <w:rsid w:val="009B0BF5"/>
    <w:rsid w:val="009B1031"/>
    <w:rsid w:val="009B1A79"/>
    <w:rsid w:val="009B1BFE"/>
    <w:rsid w:val="009B45BC"/>
    <w:rsid w:val="009B5B53"/>
    <w:rsid w:val="009B68A3"/>
    <w:rsid w:val="009B6D02"/>
    <w:rsid w:val="009B7367"/>
    <w:rsid w:val="009C025A"/>
    <w:rsid w:val="009C1741"/>
    <w:rsid w:val="009C239A"/>
    <w:rsid w:val="009C324F"/>
    <w:rsid w:val="009C38F3"/>
    <w:rsid w:val="009C4A76"/>
    <w:rsid w:val="009C64F9"/>
    <w:rsid w:val="009C6787"/>
    <w:rsid w:val="009C7596"/>
    <w:rsid w:val="009D0FA4"/>
    <w:rsid w:val="009D3F76"/>
    <w:rsid w:val="009D4BCA"/>
    <w:rsid w:val="009D6762"/>
    <w:rsid w:val="009D7046"/>
    <w:rsid w:val="009D77B4"/>
    <w:rsid w:val="009E062E"/>
    <w:rsid w:val="009E0EA2"/>
    <w:rsid w:val="009E0F34"/>
    <w:rsid w:val="009E214D"/>
    <w:rsid w:val="009E2793"/>
    <w:rsid w:val="009E28EC"/>
    <w:rsid w:val="009E315A"/>
    <w:rsid w:val="009E4841"/>
    <w:rsid w:val="009E4D40"/>
    <w:rsid w:val="009E503A"/>
    <w:rsid w:val="009E698A"/>
    <w:rsid w:val="009E6CA9"/>
    <w:rsid w:val="009E712A"/>
    <w:rsid w:val="009E7457"/>
    <w:rsid w:val="009E78E7"/>
    <w:rsid w:val="009E7983"/>
    <w:rsid w:val="009E7C32"/>
    <w:rsid w:val="009F102E"/>
    <w:rsid w:val="009F2E31"/>
    <w:rsid w:val="009F3D05"/>
    <w:rsid w:val="009F3F1F"/>
    <w:rsid w:val="009F4029"/>
    <w:rsid w:val="009F43FF"/>
    <w:rsid w:val="009F4FB3"/>
    <w:rsid w:val="009F71D1"/>
    <w:rsid w:val="00A00DD6"/>
    <w:rsid w:val="00A00E00"/>
    <w:rsid w:val="00A017BA"/>
    <w:rsid w:val="00A01EFD"/>
    <w:rsid w:val="00A026DF"/>
    <w:rsid w:val="00A026FA"/>
    <w:rsid w:val="00A03502"/>
    <w:rsid w:val="00A03A5F"/>
    <w:rsid w:val="00A04100"/>
    <w:rsid w:val="00A0562B"/>
    <w:rsid w:val="00A06125"/>
    <w:rsid w:val="00A063C4"/>
    <w:rsid w:val="00A066DE"/>
    <w:rsid w:val="00A075C8"/>
    <w:rsid w:val="00A100BB"/>
    <w:rsid w:val="00A10320"/>
    <w:rsid w:val="00A10B65"/>
    <w:rsid w:val="00A11CC0"/>
    <w:rsid w:val="00A11EA1"/>
    <w:rsid w:val="00A12059"/>
    <w:rsid w:val="00A1286D"/>
    <w:rsid w:val="00A141E5"/>
    <w:rsid w:val="00A144C3"/>
    <w:rsid w:val="00A14EDE"/>
    <w:rsid w:val="00A15185"/>
    <w:rsid w:val="00A15581"/>
    <w:rsid w:val="00A1593F"/>
    <w:rsid w:val="00A15B57"/>
    <w:rsid w:val="00A15FE2"/>
    <w:rsid w:val="00A16396"/>
    <w:rsid w:val="00A169D4"/>
    <w:rsid w:val="00A173FB"/>
    <w:rsid w:val="00A17B52"/>
    <w:rsid w:val="00A21852"/>
    <w:rsid w:val="00A21F92"/>
    <w:rsid w:val="00A2363D"/>
    <w:rsid w:val="00A23FD0"/>
    <w:rsid w:val="00A24532"/>
    <w:rsid w:val="00A2536F"/>
    <w:rsid w:val="00A263F4"/>
    <w:rsid w:val="00A265D9"/>
    <w:rsid w:val="00A26AF6"/>
    <w:rsid w:val="00A30AF9"/>
    <w:rsid w:val="00A30DB3"/>
    <w:rsid w:val="00A30FF1"/>
    <w:rsid w:val="00A31331"/>
    <w:rsid w:val="00A31780"/>
    <w:rsid w:val="00A32701"/>
    <w:rsid w:val="00A3335D"/>
    <w:rsid w:val="00A33AC6"/>
    <w:rsid w:val="00A344A6"/>
    <w:rsid w:val="00A35903"/>
    <w:rsid w:val="00A35DA2"/>
    <w:rsid w:val="00A403E9"/>
    <w:rsid w:val="00A406DC"/>
    <w:rsid w:val="00A41119"/>
    <w:rsid w:val="00A424E4"/>
    <w:rsid w:val="00A431E0"/>
    <w:rsid w:val="00A4347E"/>
    <w:rsid w:val="00A4381E"/>
    <w:rsid w:val="00A43F60"/>
    <w:rsid w:val="00A45E0A"/>
    <w:rsid w:val="00A4619D"/>
    <w:rsid w:val="00A4630E"/>
    <w:rsid w:val="00A4795A"/>
    <w:rsid w:val="00A47DE3"/>
    <w:rsid w:val="00A5227A"/>
    <w:rsid w:val="00A533B5"/>
    <w:rsid w:val="00A55A52"/>
    <w:rsid w:val="00A55DE0"/>
    <w:rsid w:val="00A563FE"/>
    <w:rsid w:val="00A5657E"/>
    <w:rsid w:val="00A56966"/>
    <w:rsid w:val="00A569FF"/>
    <w:rsid w:val="00A56F1C"/>
    <w:rsid w:val="00A57347"/>
    <w:rsid w:val="00A57BE3"/>
    <w:rsid w:val="00A57D42"/>
    <w:rsid w:val="00A57E90"/>
    <w:rsid w:val="00A605A8"/>
    <w:rsid w:val="00A60BBB"/>
    <w:rsid w:val="00A60C83"/>
    <w:rsid w:val="00A611E5"/>
    <w:rsid w:val="00A618B3"/>
    <w:rsid w:val="00A6280F"/>
    <w:rsid w:val="00A63A99"/>
    <w:rsid w:val="00A654A5"/>
    <w:rsid w:val="00A65DF4"/>
    <w:rsid w:val="00A65F1E"/>
    <w:rsid w:val="00A6662A"/>
    <w:rsid w:val="00A679DD"/>
    <w:rsid w:val="00A718F4"/>
    <w:rsid w:val="00A725E2"/>
    <w:rsid w:val="00A72B85"/>
    <w:rsid w:val="00A739AD"/>
    <w:rsid w:val="00A73E09"/>
    <w:rsid w:val="00A74D90"/>
    <w:rsid w:val="00A75418"/>
    <w:rsid w:val="00A759F2"/>
    <w:rsid w:val="00A75C12"/>
    <w:rsid w:val="00A764F7"/>
    <w:rsid w:val="00A76BA9"/>
    <w:rsid w:val="00A77922"/>
    <w:rsid w:val="00A80964"/>
    <w:rsid w:val="00A8255E"/>
    <w:rsid w:val="00A83004"/>
    <w:rsid w:val="00A83111"/>
    <w:rsid w:val="00A838FA"/>
    <w:rsid w:val="00A84047"/>
    <w:rsid w:val="00A8433E"/>
    <w:rsid w:val="00A855AA"/>
    <w:rsid w:val="00A85982"/>
    <w:rsid w:val="00A871DC"/>
    <w:rsid w:val="00A87955"/>
    <w:rsid w:val="00A90123"/>
    <w:rsid w:val="00A90158"/>
    <w:rsid w:val="00A923B0"/>
    <w:rsid w:val="00A93447"/>
    <w:rsid w:val="00A934C1"/>
    <w:rsid w:val="00A93D35"/>
    <w:rsid w:val="00A951E5"/>
    <w:rsid w:val="00A96738"/>
    <w:rsid w:val="00A972FF"/>
    <w:rsid w:val="00AA048E"/>
    <w:rsid w:val="00AA1669"/>
    <w:rsid w:val="00AA1AEB"/>
    <w:rsid w:val="00AA22FC"/>
    <w:rsid w:val="00AA2498"/>
    <w:rsid w:val="00AA4B68"/>
    <w:rsid w:val="00AA5030"/>
    <w:rsid w:val="00AA52EC"/>
    <w:rsid w:val="00AA5317"/>
    <w:rsid w:val="00AA6336"/>
    <w:rsid w:val="00AA76D9"/>
    <w:rsid w:val="00AB0683"/>
    <w:rsid w:val="00AB1469"/>
    <w:rsid w:val="00AB179B"/>
    <w:rsid w:val="00AB197C"/>
    <w:rsid w:val="00AB199E"/>
    <w:rsid w:val="00AB1AB7"/>
    <w:rsid w:val="00AB1B55"/>
    <w:rsid w:val="00AB1F02"/>
    <w:rsid w:val="00AB2DA9"/>
    <w:rsid w:val="00AB32F7"/>
    <w:rsid w:val="00AB37BC"/>
    <w:rsid w:val="00AB4B1A"/>
    <w:rsid w:val="00AB5052"/>
    <w:rsid w:val="00AB5560"/>
    <w:rsid w:val="00AB5C35"/>
    <w:rsid w:val="00AB6442"/>
    <w:rsid w:val="00AB665F"/>
    <w:rsid w:val="00AB73F2"/>
    <w:rsid w:val="00AC06B7"/>
    <w:rsid w:val="00AC2F1A"/>
    <w:rsid w:val="00AC3FD7"/>
    <w:rsid w:val="00AC487F"/>
    <w:rsid w:val="00AC4B23"/>
    <w:rsid w:val="00AC58FC"/>
    <w:rsid w:val="00AC5FDB"/>
    <w:rsid w:val="00AC651F"/>
    <w:rsid w:val="00AC6D73"/>
    <w:rsid w:val="00AC7A6D"/>
    <w:rsid w:val="00AC7D76"/>
    <w:rsid w:val="00AD1559"/>
    <w:rsid w:val="00AD37F1"/>
    <w:rsid w:val="00AD48BE"/>
    <w:rsid w:val="00AD5221"/>
    <w:rsid w:val="00AD5E69"/>
    <w:rsid w:val="00AD5F6B"/>
    <w:rsid w:val="00AD64C2"/>
    <w:rsid w:val="00AD6EF1"/>
    <w:rsid w:val="00AD7274"/>
    <w:rsid w:val="00AD7AA1"/>
    <w:rsid w:val="00AD7EC5"/>
    <w:rsid w:val="00AE0B73"/>
    <w:rsid w:val="00AE0D75"/>
    <w:rsid w:val="00AE0E33"/>
    <w:rsid w:val="00AE16EC"/>
    <w:rsid w:val="00AE34BF"/>
    <w:rsid w:val="00AE56AF"/>
    <w:rsid w:val="00AE69FA"/>
    <w:rsid w:val="00AE71B0"/>
    <w:rsid w:val="00AE7494"/>
    <w:rsid w:val="00AE7695"/>
    <w:rsid w:val="00AE7B86"/>
    <w:rsid w:val="00AF03E5"/>
    <w:rsid w:val="00AF04C2"/>
    <w:rsid w:val="00AF219E"/>
    <w:rsid w:val="00AF2305"/>
    <w:rsid w:val="00AF23DC"/>
    <w:rsid w:val="00AF2823"/>
    <w:rsid w:val="00AF2A93"/>
    <w:rsid w:val="00AF3156"/>
    <w:rsid w:val="00AF46AA"/>
    <w:rsid w:val="00AF5935"/>
    <w:rsid w:val="00AF5D98"/>
    <w:rsid w:val="00AF5EF5"/>
    <w:rsid w:val="00AF6ADE"/>
    <w:rsid w:val="00AF7307"/>
    <w:rsid w:val="00AF75BC"/>
    <w:rsid w:val="00AF7827"/>
    <w:rsid w:val="00AF7D19"/>
    <w:rsid w:val="00B00492"/>
    <w:rsid w:val="00B00CA8"/>
    <w:rsid w:val="00B0185D"/>
    <w:rsid w:val="00B0197A"/>
    <w:rsid w:val="00B03A57"/>
    <w:rsid w:val="00B044C6"/>
    <w:rsid w:val="00B05898"/>
    <w:rsid w:val="00B06599"/>
    <w:rsid w:val="00B10225"/>
    <w:rsid w:val="00B10AE2"/>
    <w:rsid w:val="00B11FF2"/>
    <w:rsid w:val="00B120B8"/>
    <w:rsid w:val="00B12A2D"/>
    <w:rsid w:val="00B1372C"/>
    <w:rsid w:val="00B13FF7"/>
    <w:rsid w:val="00B144BE"/>
    <w:rsid w:val="00B15D15"/>
    <w:rsid w:val="00B16011"/>
    <w:rsid w:val="00B160F3"/>
    <w:rsid w:val="00B17AC6"/>
    <w:rsid w:val="00B17F7A"/>
    <w:rsid w:val="00B20714"/>
    <w:rsid w:val="00B21029"/>
    <w:rsid w:val="00B2222C"/>
    <w:rsid w:val="00B22FF1"/>
    <w:rsid w:val="00B23CDD"/>
    <w:rsid w:val="00B24014"/>
    <w:rsid w:val="00B25B4C"/>
    <w:rsid w:val="00B25E3B"/>
    <w:rsid w:val="00B25F37"/>
    <w:rsid w:val="00B26221"/>
    <w:rsid w:val="00B26AE2"/>
    <w:rsid w:val="00B26B0A"/>
    <w:rsid w:val="00B27A34"/>
    <w:rsid w:val="00B3006C"/>
    <w:rsid w:val="00B30A8D"/>
    <w:rsid w:val="00B317F2"/>
    <w:rsid w:val="00B31979"/>
    <w:rsid w:val="00B31B32"/>
    <w:rsid w:val="00B33DE1"/>
    <w:rsid w:val="00B344F8"/>
    <w:rsid w:val="00B34A03"/>
    <w:rsid w:val="00B34F63"/>
    <w:rsid w:val="00B3517B"/>
    <w:rsid w:val="00B35670"/>
    <w:rsid w:val="00B368A2"/>
    <w:rsid w:val="00B369FB"/>
    <w:rsid w:val="00B36E06"/>
    <w:rsid w:val="00B37178"/>
    <w:rsid w:val="00B4012B"/>
    <w:rsid w:val="00B40EDB"/>
    <w:rsid w:val="00B42969"/>
    <w:rsid w:val="00B42C26"/>
    <w:rsid w:val="00B43126"/>
    <w:rsid w:val="00B4328A"/>
    <w:rsid w:val="00B43844"/>
    <w:rsid w:val="00B447CB"/>
    <w:rsid w:val="00B44AE4"/>
    <w:rsid w:val="00B46361"/>
    <w:rsid w:val="00B469C2"/>
    <w:rsid w:val="00B5004E"/>
    <w:rsid w:val="00B5085C"/>
    <w:rsid w:val="00B5165C"/>
    <w:rsid w:val="00B5275C"/>
    <w:rsid w:val="00B53293"/>
    <w:rsid w:val="00B53A21"/>
    <w:rsid w:val="00B53B49"/>
    <w:rsid w:val="00B53C44"/>
    <w:rsid w:val="00B543C0"/>
    <w:rsid w:val="00B548FA"/>
    <w:rsid w:val="00B54A0A"/>
    <w:rsid w:val="00B54DA9"/>
    <w:rsid w:val="00B55137"/>
    <w:rsid w:val="00B55AD3"/>
    <w:rsid w:val="00B56DA9"/>
    <w:rsid w:val="00B56FF3"/>
    <w:rsid w:val="00B57AFD"/>
    <w:rsid w:val="00B57EA9"/>
    <w:rsid w:val="00B601BA"/>
    <w:rsid w:val="00B60802"/>
    <w:rsid w:val="00B62690"/>
    <w:rsid w:val="00B63619"/>
    <w:rsid w:val="00B637EB"/>
    <w:rsid w:val="00B641F8"/>
    <w:rsid w:val="00B64399"/>
    <w:rsid w:val="00B6606C"/>
    <w:rsid w:val="00B70E45"/>
    <w:rsid w:val="00B71A64"/>
    <w:rsid w:val="00B7228A"/>
    <w:rsid w:val="00B722F1"/>
    <w:rsid w:val="00B72303"/>
    <w:rsid w:val="00B723A3"/>
    <w:rsid w:val="00B72BA8"/>
    <w:rsid w:val="00B7345D"/>
    <w:rsid w:val="00B73676"/>
    <w:rsid w:val="00B7464C"/>
    <w:rsid w:val="00B7576F"/>
    <w:rsid w:val="00B75C82"/>
    <w:rsid w:val="00B75CDF"/>
    <w:rsid w:val="00B7662E"/>
    <w:rsid w:val="00B769D0"/>
    <w:rsid w:val="00B76BA3"/>
    <w:rsid w:val="00B81CBE"/>
    <w:rsid w:val="00B82086"/>
    <w:rsid w:val="00B8309D"/>
    <w:rsid w:val="00B831C9"/>
    <w:rsid w:val="00B83230"/>
    <w:rsid w:val="00B834AB"/>
    <w:rsid w:val="00B84420"/>
    <w:rsid w:val="00B84773"/>
    <w:rsid w:val="00B8658E"/>
    <w:rsid w:val="00B87840"/>
    <w:rsid w:val="00B90FA2"/>
    <w:rsid w:val="00B91263"/>
    <w:rsid w:val="00B91B67"/>
    <w:rsid w:val="00B927E5"/>
    <w:rsid w:val="00B92BE2"/>
    <w:rsid w:val="00B955E1"/>
    <w:rsid w:val="00B9633D"/>
    <w:rsid w:val="00B96417"/>
    <w:rsid w:val="00B975F3"/>
    <w:rsid w:val="00B97BD2"/>
    <w:rsid w:val="00BA1372"/>
    <w:rsid w:val="00BA1E11"/>
    <w:rsid w:val="00BA2932"/>
    <w:rsid w:val="00BA43F5"/>
    <w:rsid w:val="00BA588B"/>
    <w:rsid w:val="00BA5E4C"/>
    <w:rsid w:val="00BA6567"/>
    <w:rsid w:val="00BA69F1"/>
    <w:rsid w:val="00BA7C6B"/>
    <w:rsid w:val="00BB19DE"/>
    <w:rsid w:val="00BB38C5"/>
    <w:rsid w:val="00BB3B42"/>
    <w:rsid w:val="00BB5FBF"/>
    <w:rsid w:val="00BB69A5"/>
    <w:rsid w:val="00BB71BA"/>
    <w:rsid w:val="00BB7571"/>
    <w:rsid w:val="00BC0320"/>
    <w:rsid w:val="00BC085E"/>
    <w:rsid w:val="00BC0EFB"/>
    <w:rsid w:val="00BC10B5"/>
    <w:rsid w:val="00BC1255"/>
    <w:rsid w:val="00BC1A9C"/>
    <w:rsid w:val="00BC21EE"/>
    <w:rsid w:val="00BC2211"/>
    <w:rsid w:val="00BC3AD1"/>
    <w:rsid w:val="00BC63D9"/>
    <w:rsid w:val="00BC65D8"/>
    <w:rsid w:val="00BD0541"/>
    <w:rsid w:val="00BD06AB"/>
    <w:rsid w:val="00BD1415"/>
    <w:rsid w:val="00BD316B"/>
    <w:rsid w:val="00BD3D5A"/>
    <w:rsid w:val="00BD403A"/>
    <w:rsid w:val="00BD42C9"/>
    <w:rsid w:val="00BD4653"/>
    <w:rsid w:val="00BD4771"/>
    <w:rsid w:val="00BD4A1E"/>
    <w:rsid w:val="00BD560B"/>
    <w:rsid w:val="00BD5A59"/>
    <w:rsid w:val="00BD6475"/>
    <w:rsid w:val="00BE0A5B"/>
    <w:rsid w:val="00BE0AE9"/>
    <w:rsid w:val="00BE143C"/>
    <w:rsid w:val="00BE1D3B"/>
    <w:rsid w:val="00BE2499"/>
    <w:rsid w:val="00BE29ED"/>
    <w:rsid w:val="00BE4613"/>
    <w:rsid w:val="00BE5C95"/>
    <w:rsid w:val="00BE6721"/>
    <w:rsid w:val="00BE74C8"/>
    <w:rsid w:val="00BE78DB"/>
    <w:rsid w:val="00BF024D"/>
    <w:rsid w:val="00BF0271"/>
    <w:rsid w:val="00BF06DD"/>
    <w:rsid w:val="00BF116F"/>
    <w:rsid w:val="00BF12C4"/>
    <w:rsid w:val="00BF2C0E"/>
    <w:rsid w:val="00BF3A63"/>
    <w:rsid w:val="00BF4D25"/>
    <w:rsid w:val="00BF531B"/>
    <w:rsid w:val="00BF5E81"/>
    <w:rsid w:val="00BF65CA"/>
    <w:rsid w:val="00BF670B"/>
    <w:rsid w:val="00C00416"/>
    <w:rsid w:val="00C01123"/>
    <w:rsid w:val="00C019EB"/>
    <w:rsid w:val="00C02312"/>
    <w:rsid w:val="00C03A44"/>
    <w:rsid w:val="00C07E6C"/>
    <w:rsid w:val="00C10473"/>
    <w:rsid w:val="00C104A6"/>
    <w:rsid w:val="00C1110D"/>
    <w:rsid w:val="00C11A50"/>
    <w:rsid w:val="00C127B1"/>
    <w:rsid w:val="00C134B7"/>
    <w:rsid w:val="00C139D6"/>
    <w:rsid w:val="00C13C84"/>
    <w:rsid w:val="00C14DF1"/>
    <w:rsid w:val="00C15B5B"/>
    <w:rsid w:val="00C15E87"/>
    <w:rsid w:val="00C16236"/>
    <w:rsid w:val="00C16802"/>
    <w:rsid w:val="00C175D0"/>
    <w:rsid w:val="00C1777B"/>
    <w:rsid w:val="00C2096B"/>
    <w:rsid w:val="00C21A8D"/>
    <w:rsid w:val="00C21D33"/>
    <w:rsid w:val="00C21E2C"/>
    <w:rsid w:val="00C22D8B"/>
    <w:rsid w:val="00C23634"/>
    <w:rsid w:val="00C24DB0"/>
    <w:rsid w:val="00C24F2C"/>
    <w:rsid w:val="00C2565A"/>
    <w:rsid w:val="00C261BF"/>
    <w:rsid w:val="00C264E4"/>
    <w:rsid w:val="00C26B1C"/>
    <w:rsid w:val="00C274AA"/>
    <w:rsid w:val="00C279D6"/>
    <w:rsid w:val="00C27DEC"/>
    <w:rsid w:val="00C30B9D"/>
    <w:rsid w:val="00C31F2D"/>
    <w:rsid w:val="00C31FAE"/>
    <w:rsid w:val="00C32127"/>
    <w:rsid w:val="00C321EE"/>
    <w:rsid w:val="00C32593"/>
    <w:rsid w:val="00C325D7"/>
    <w:rsid w:val="00C32965"/>
    <w:rsid w:val="00C33522"/>
    <w:rsid w:val="00C3426D"/>
    <w:rsid w:val="00C35270"/>
    <w:rsid w:val="00C36FFD"/>
    <w:rsid w:val="00C3731B"/>
    <w:rsid w:val="00C378C5"/>
    <w:rsid w:val="00C37F94"/>
    <w:rsid w:val="00C40B80"/>
    <w:rsid w:val="00C41714"/>
    <w:rsid w:val="00C4374D"/>
    <w:rsid w:val="00C439F8"/>
    <w:rsid w:val="00C43EFE"/>
    <w:rsid w:val="00C44034"/>
    <w:rsid w:val="00C44ADA"/>
    <w:rsid w:val="00C45DE7"/>
    <w:rsid w:val="00C46060"/>
    <w:rsid w:val="00C4716D"/>
    <w:rsid w:val="00C50711"/>
    <w:rsid w:val="00C523C6"/>
    <w:rsid w:val="00C525BA"/>
    <w:rsid w:val="00C53065"/>
    <w:rsid w:val="00C53965"/>
    <w:rsid w:val="00C540F4"/>
    <w:rsid w:val="00C54204"/>
    <w:rsid w:val="00C555F7"/>
    <w:rsid w:val="00C55EF8"/>
    <w:rsid w:val="00C56446"/>
    <w:rsid w:val="00C60863"/>
    <w:rsid w:val="00C60F38"/>
    <w:rsid w:val="00C61BD5"/>
    <w:rsid w:val="00C6285D"/>
    <w:rsid w:val="00C6302B"/>
    <w:rsid w:val="00C639E3"/>
    <w:rsid w:val="00C63C00"/>
    <w:rsid w:val="00C640E3"/>
    <w:rsid w:val="00C64EA4"/>
    <w:rsid w:val="00C65DEB"/>
    <w:rsid w:val="00C67F7E"/>
    <w:rsid w:val="00C67FE8"/>
    <w:rsid w:val="00C70058"/>
    <w:rsid w:val="00C70563"/>
    <w:rsid w:val="00C71272"/>
    <w:rsid w:val="00C71292"/>
    <w:rsid w:val="00C71484"/>
    <w:rsid w:val="00C716CA"/>
    <w:rsid w:val="00C72305"/>
    <w:rsid w:val="00C72EAD"/>
    <w:rsid w:val="00C730F2"/>
    <w:rsid w:val="00C735A7"/>
    <w:rsid w:val="00C74C91"/>
    <w:rsid w:val="00C74D17"/>
    <w:rsid w:val="00C75CF6"/>
    <w:rsid w:val="00C75F3E"/>
    <w:rsid w:val="00C7638E"/>
    <w:rsid w:val="00C76FAC"/>
    <w:rsid w:val="00C77B82"/>
    <w:rsid w:val="00C80B72"/>
    <w:rsid w:val="00C8185A"/>
    <w:rsid w:val="00C81F8D"/>
    <w:rsid w:val="00C831CC"/>
    <w:rsid w:val="00C83EC3"/>
    <w:rsid w:val="00C84219"/>
    <w:rsid w:val="00C843DB"/>
    <w:rsid w:val="00C84D96"/>
    <w:rsid w:val="00C8566F"/>
    <w:rsid w:val="00C859AE"/>
    <w:rsid w:val="00C85B07"/>
    <w:rsid w:val="00C874B3"/>
    <w:rsid w:val="00C87C43"/>
    <w:rsid w:val="00C87EC6"/>
    <w:rsid w:val="00C9014D"/>
    <w:rsid w:val="00C92BC8"/>
    <w:rsid w:val="00C93103"/>
    <w:rsid w:val="00C93B0E"/>
    <w:rsid w:val="00C93C00"/>
    <w:rsid w:val="00C94AFD"/>
    <w:rsid w:val="00C952DC"/>
    <w:rsid w:val="00C9694B"/>
    <w:rsid w:val="00C979D0"/>
    <w:rsid w:val="00C97D43"/>
    <w:rsid w:val="00CA20AF"/>
    <w:rsid w:val="00CA240D"/>
    <w:rsid w:val="00CA410E"/>
    <w:rsid w:val="00CA447E"/>
    <w:rsid w:val="00CA4B82"/>
    <w:rsid w:val="00CA53F8"/>
    <w:rsid w:val="00CA57BF"/>
    <w:rsid w:val="00CA655F"/>
    <w:rsid w:val="00CA6FEF"/>
    <w:rsid w:val="00CA7381"/>
    <w:rsid w:val="00CA7BB5"/>
    <w:rsid w:val="00CB0387"/>
    <w:rsid w:val="00CB0CDF"/>
    <w:rsid w:val="00CB0FE7"/>
    <w:rsid w:val="00CB1DDE"/>
    <w:rsid w:val="00CB27FD"/>
    <w:rsid w:val="00CB51D5"/>
    <w:rsid w:val="00CB528D"/>
    <w:rsid w:val="00CB635C"/>
    <w:rsid w:val="00CB675B"/>
    <w:rsid w:val="00CB69F3"/>
    <w:rsid w:val="00CB6EBA"/>
    <w:rsid w:val="00CB71FB"/>
    <w:rsid w:val="00CB7321"/>
    <w:rsid w:val="00CB75A6"/>
    <w:rsid w:val="00CB7AE2"/>
    <w:rsid w:val="00CB7E0A"/>
    <w:rsid w:val="00CC0A7E"/>
    <w:rsid w:val="00CC0EB5"/>
    <w:rsid w:val="00CC24CB"/>
    <w:rsid w:val="00CC2F6C"/>
    <w:rsid w:val="00CC3027"/>
    <w:rsid w:val="00CC421B"/>
    <w:rsid w:val="00CC6030"/>
    <w:rsid w:val="00CC690B"/>
    <w:rsid w:val="00CC6FB6"/>
    <w:rsid w:val="00CD0380"/>
    <w:rsid w:val="00CD0AA8"/>
    <w:rsid w:val="00CD0B38"/>
    <w:rsid w:val="00CD1695"/>
    <w:rsid w:val="00CD1BC6"/>
    <w:rsid w:val="00CD2760"/>
    <w:rsid w:val="00CD27EE"/>
    <w:rsid w:val="00CD3286"/>
    <w:rsid w:val="00CD3DD5"/>
    <w:rsid w:val="00CD5CF5"/>
    <w:rsid w:val="00CD7BF7"/>
    <w:rsid w:val="00CE0EC3"/>
    <w:rsid w:val="00CE10BD"/>
    <w:rsid w:val="00CE1F17"/>
    <w:rsid w:val="00CE22E9"/>
    <w:rsid w:val="00CE30BD"/>
    <w:rsid w:val="00CE32C7"/>
    <w:rsid w:val="00CE342A"/>
    <w:rsid w:val="00CE394D"/>
    <w:rsid w:val="00CE51E4"/>
    <w:rsid w:val="00CE5A92"/>
    <w:rsid w:val="00CE7718"/>
    <w:rsid w:val="00CE7C13"/>
    <w:rsid w:val="00CE7D03"/>
    <w:rsid w:val="00CE7F13"/>
    <w:rsid w:val="00CE7FEF"/>
    <w:rsid w:val="00CF2084"/>
    <w:rsid w:val="00CF2447"/>
    <w:rsid w:val="00CF26BF"/>
    <w:rsid w:val="00CF2F4F"/>
    <w:rsid w:val="00CF36F4"/>
    <w:rsid w:val="00CF3F18"/>
    <w:rsid w:val="00CF3FB2"/>
    <w:rsid w:val="00CF56BB"/>
    <w:rsid w:val="00CF66A7"/>
    <w:rsid w:val="00CF7B6C"/>
    <w:rsid w:val="00D004BE"/>
    <w:rsid w:val="00D0076D"/>
    <w:rsid w:val="00D007CF"/>
    <w:rsid w:val="00D009B9"/>
    <w:rsid w:val="00D00DBC"/>
    <w:rsid w:val="00D018D3"/>
    <w:rsid w:val="00D01AC9"/>
    <w:rsid w:val="00D01D78"/>
    <w:rsid w:val="00D0302B"/>
    <w:rsid w:val="00D031EA"/>
    <w:rsid w:val="00D033C7"/>
    <w:rsid w:val="00D03586"/>
    <w:rsid w:val="00D03612"/>
    <w:rsid w:val="00D03B28"/>
    <w:rsid w:val="00D048F0"/>
    <w:rsid w:val="00D05726"/>
    <w:rsid w:val="00D06C65"/>
    <w:rsid w:val="00D07228"/>
    <w:rsid w:val="00D075C6"/>
    <w:rsid w:val="00D102F6"/>
    <w:rsid w:val="00D11698"/>
    <w:rsid w:val="00D11C7C"/>
    <w:rsid w:val="00D12CA6"/>
    <w:rsid w:val="00D1366B"/>
    <w:rsid w:val="00D14FB9"/>
    <w:rsid w:val="00D1646E"/>
    <w:rsid w:val="00D17783"/>
    <w:rsid w:val="00D2006A"/>
    <w:rsid w:val="00D213E9"/>
    <w:rsid w:val="00D2225C"/>
    <w:rsid w:val="00D23208"/>
    <w:rsid w:val="00D23C66"/>
    <w:rsid w:val="00D25286"/>
    <w:rsid w:val="00D2531F"/>
    <w:rsid w:val="00D25F60"/>
    <w:rsid w:val="00D26C51"/>
    <w:rsid w:val="00D2706B"/>
    <w:rsid w:val="00D27C7F"/>
    <w:rsid w:val="00D30393"/>
    <w:rsid w:val="00D30E72"/>
    <w:rsid w:val="00D313FD"/>
    <w:rsid w:val="00D31D64"/>
    <w:rsid w:val="00D3262E"/>
    <w:rsid w:val="00D327F6"/>
    <w:rsid w:val="00D32FFE"/>
    <w:rsid w:val="00D33126"/>
    <w:rsid w:val="00D33B6C"/>
    <w:rsid w:val="00D3454C"/>
    <w:rsid w:val="00D352BF"/>
    <w:rsid w:val="00D360D3"/>
    <w:rsid w:val="00D36FF8"/>
    <w:rsid w:val="00D37C3D"/>
    <w:rsid w:val="00D37E7E"/>
    <w:rsid w:val="00D37F45"/>
    <w:rsid w:val="00D4105E"/>
    <w:rsid w:val="00D42E24"/>
    <w:rsid w:val="00D434CC"/>
    <w:rsid w:val="00D46040"/>
    <w:rsid w:val="00D46107"/>
    <w:rsid w:val="00D465EA"/>
    <w:rsid w:val="00D46CDA"/>
    <w:rsid w:val="00D50854"/>
    <w:rsid w:val="00D50899"/>
    <w:rsid w:val="00D51814"/>
    <w:rsid w:val="00D52734"/>
    <w:rsid w:val="00D52F86"/>
    <w:rsid w:val="00D54158"/>
    <w:rsid w:val="00D54A7E"/>
    <w:rsid w:val="00D562E9"/>
    <w:rsid w:val="00D5688B"/>
    <w:rsid w:val="00D60176"/>
    <w:rsid w:val="00D60DAA"/>
    <w:rsid w:val="00D6189E"/>
    <w:rsid w:val="00D620DD"/>
    <w:rsid w:val="00D62499"/>
    <w:rsid w:val="00D63D53"/>
    <w:rsid w:val="00D64110"/>
    <w:rsid w:val="00D643CE"/>
    <w:rsid w:val="00D64730"/>
    <w:rsid w:val="00D64A97"/>
    <w:rsid w:val="00D6572B"/>
    <w:rsid w:val="00D658C5"/>
    <w:rsid w:val="00D667A6"/>
    <w:rsid w:val="00D667DA"/>
    <w:rsid w:val="00D668A2"/>
    <w:rsid w:val="00D668EB"/>
    <w:rsid w:val="00D67084"/>
    <w:rsid w:val="00D67277"/>
    <w:rsid w:val="00D672BA"/>
    <w:rsid w:val="00D6774A"/>
    <w:rsid w:val="00D67E1D"/>
    <w:rsid w:val="00D71655"/>
    <w:rsid w:val="00D72181"/>
    <w:rsid w:val="00D7373F"/>
    <w:rsid w:val="00D7396F"/>
    <w:rsid w:val="00D73E3E"/>
    <w:rsid w:val="00D7508B"/>
    <w:rsid w:val="00D7523E"/>
    <w:rsid w:val="00D760B7"/>
    <w:rsid w:val="00D76A33"/>
    <w:rsid w:val="00D815EA"/>
    <w:rsid w:val="00D81AF1"/>
    <w:rsid w:val="00D8399C"/>
    <w:rsid w:val="00D843D7"/>
    <w:rsid w:val="00D84E4B"/>
    <w:rsid w:val="00D864DE"/>
    <w:rsid w:val="00D869A1"/>
    <w:rsid w:val="00D87362"/>
    <w:rsid w:val="00D90295"/>
    <w:rsid w:val="00D90345"/>
    <w:rsid w:val="00D906AD"/>
    <w:rsid w:val="00D90BE0"/>
    <w:rsid w:val="00D92A4E"/>
    <w:rsid w:val="00D92C42"/>
    <w:rsid w:val="00D92D15"/>
    <w:rsid w:val="00D941AD"/>
    <w:rsid w:val="00D94B6D"/>
    <w:rsid w:val="00D9533B"/>
    <w:rsid w:val="00D95858"/>
    <w:rsid w:val="00D95BB2"/>
    <w:rsid w:val="00D963CD"/>
    <w:rsid w:val="00D97D5E"/>
    <w:rsid w:val="00DA1A14"/>
    <w:rsid w:val="00DA1AC0"/>
    <w:rsid w:val="00DA4017"/>
    <w:rsid w:val="00DA5892"/>
    <w:rsid w:val="00DA59F2"/>
    <w:rsid w:val="00DA5B94"/>
    <w:rsid w:val="00DA5C28"/>
    <w:rsid w:val="00DA7122"/>
    <w:rsid w:val="00DA72DC"/>
    <w:rsid w:val="00DA743B"/>
    <w:rsid w:val="00DB0B70"/>
    <w:rsid w:val="00DB0F61"/>
    <w:rsid w:val="00DB1303"/>
    <w:rsid w:val="00DB148D"/>
    <w:rsid w:val="00DB161C"/>
    <w:rsid w:val="00DB16ED"/>
    <w:rsid w:val="00DB25C2"/>
    <w:rsid w:val="00DB3DD0"/>
    <w:rsid w:val="00DB406D"/>
    <w:rsid w:val="00DB40A9"/>
    <w:rsid w:val="00DB40EA"/>
    <w:rsid w:val="00DB485B"/>
    <w:rsid w:val="00DB4C04"/>
    <w:rsid w:val="00DB5AF4"/>
    <w:rsid w:val="00DB5C76"/>
    <w:rsid w:val="00DB5FF4"/>
    <w:rsid w:val="00DB634B"/>
    <w:rsid w:val="00DC0159"/>
    <w:rsid w:val="00DC0500"/>
    <w:rsid w:val="00DC0BE2"/>
    <w:rsid w:val="00DC12CD"/>
    <w:rsid w:val="00DC1A4F"/>
    <w:rsid w:val="00DC32F1"/>
    <w:rsid w:val="00DC346A"/>
    <w:rsid w:val="00DC434C"/>
    <w:rsid w:val="00DC5090"/>
    <w:rsid w:val="00DC59F5"/>
    <w:rsid w:val="00DC5BF4"/>
    <w:rsid w:val="00DC5EBD"/>
    <w:rsid w:val="00DC637E"/>
    <w:rsid w:val="00DC664B"/>
    <w:rsid w:val="00DD1675"/>
    <w:rsid w:val="00DD1854"/>
    <w:rsid w:val="00DD21C7"/>
    <w:rsid w:val="00DD2B27"/>
    <w:rsid w:val="00DD2F32"/>
    <w:rsid w:val="00DD320D"/>
    <w:rsid w:val="00DD46EB"/>
    <w:rsid w:val="00DD5037"/>
    <w:rsid w:val="00DD69DD"/>
    <w:rsid w:val="00DD6D90"/>
    <w:rsid w:val="00DD756F"/>
    <w:rsid w:val="00DD776A"/>
    <w:rsid w:val="00DE17C7"/>
    <w:rsid w:val="00DE19E8"/>
    <w:rsid w:val="00DE261E"/>
    <w:rsid w:val="00DE29A0"/>
    <w:rsid w:val="00DE35DB"/>
    <w:rsid w:val="00DE4552"/>
    <w:rsid w:val="00DE48F9"/>
    <w:rsid w:val="00DE65E2"/>
    <w:rsid w:val="00DE6A49"/>
    <w:rsid w:val="00DE6CEF"/>
    <w:rsid w:val="00DE6D8F"/>
    <w:rsid w:val="00DE7144"/>
    <w:rsid w:val="00DE7613"/>
    <w:rsid w:val="00DF0E96"/>
    <w:rsid w:val="00DF0F1B"/>
    <w:rsid w:val="00DF1491"/>
    <w:rsid w:val="00DF18A4"/>
    <w:rsid w:val="00DF1D46"/>
    <w:rsid w:val="00DF3569"/>
    <w:rsid w:val="00DF5389"/>
    <w:rsid w:val="00DF5E8B"/>
    <w:rsid w:val="00DF5F90"/>
    <w:rsid w:val="00DF76C9"/>
    <w:rsid w:val="00DF76DC"/>
    <w:rsid w:val="00E00919"/>
    <w:rsid w:val="00E010EC"/>
    <w:rsid w:val="00E02298"/>
    <w:rsid w:val="00E03ECF"/>
    <w:rsid w:val="00E041C1"/>
    <w:rsid w:val="00E04BE5"/>
    <w:rsid w:val="00E04FC3"/>
    <w:rsid w:val="00E05574"/>
    <w:rsid w:val="00E05AB5"/>
    <w:rsid w:val="00E0638A"/>
    <w:rsid w:val="00E06CF5"/>
    <w:rsid w:val="00E070EA"/>
    <w:rsid w:val="00E0781E"/>
    <w:rsid w:val="00E1020A"/>
    <w:rsid w:val="00E11592"/>
    <w:rsid w:val="00E14F26"/>
    <w:rsid w:val="00E151AE"/>
    <w:rsid w:val="00E15259"/>
    <w:rsid w:val="00E15304"/>
    <w:rsid w:val="00E15C71"/>
    <w:rsid w:val="00E15CF5"/>
    <w:rsid w:val="00E15EAA"/>
    <w:rsid w:val="00E15F6E"/>
    <w:rsid w:val="00E1655A"/>
    <w:rsid w:val="00E16A47"/>
    <w:rsid w:val="00E177C0"/>
    <w:rsid w:val="00E21218"/>
    <w:rsid w:val="00E216A6"/>
    <w:rsid w:val="00E2236E"/>
    <w:rsid w:val="00E22C4F"/>
    <w:rsid w:val="00E2749E"/>
    <w:rsid w:val="00E300D6"/>
    <w:rsid w:val="00E30314"/>
    <w:rsid w:val="00E3040C"/>
    <w:rsid w:val="00E30BAC"/>
    <w:rsid w:val="00E310EE"/>
    <w:rsid w:val="00E31A28"/>
    <w:rsid w:val="00E31E88"/>
    <w:rsid w:val="00E3201E"/>
    <w:rsid w:val="00E323A0"/>
    <w:rsid w:val="00E32572"/>
    <w:rsid w:val="00E32F9F"/>
    <w:rsid w:val="00E332F7"/>
    <w:rsid w:val="00E3443E"/>
    <w:rsid w:val="00E34523"/>
    <w:rsid w:val="00E34A2E"/>
    <w:rsid w:val="00E34C65"/>
    <w:rsid w:val="00E35755"/>
    <w:rsid w:val="00E35B18"/>
    <w:rsid w:val="00E365CD"/>
    <w:rsid w:val="00E36F79"/>
    <w:rsid w:val="00E374E0"/>
    <w:rsid w:val="00E37699"/>
    <w:rsid w:val="00E4275C"/>
    <w:rsid w:val="00E43E29"/>
    <w:rsid w:val="00E45379"/>
    <w:rsid w:val="00E46A71"/>
    <w:rsid w:val="00E46B82"/>
    <w:rsid w:val="00E47430"/>
    <w:rsid w:val="00E476B0"/>
    <w:rsid w:val="00E4775F"/>
    <w:rsid w:val="00E50484"/>
    <w:rsid w:val="00E511EA"/>
    <w:rsid w:val="00E51849"/>
    <w:rsid w:val="00E51AB3"/>
    <w:rsid w:val="00E523F8"/>
    <w:rsid w:val="00E52AD4"/>
    <w:rsid w:val="00E5345F"/>
    <w:rsid w:val="00E557B2"/>
    <w:rsid w:val="00E61847"/>
    <w:rsid w:val="00E61F6E"/>
    <w:rsid w:val="00E6233B"/>
    <w:rsid w:val="00E62D0C"/>
    <w:rsid w:val="00E6430F"/>
    <w:rsid w:val="00E64B75"/>
    <w:rsid w:val="00E672D3"/>
    <w:rsid w:val="00E67BD7"/>
    <w:rsid w:val="00E70623"/>
    <w:rsid w:val="00E725AA"/>
    <w:rsid w:val="00E726BB"/>
    <w:rsid w:val="00E73444"/>
    <w:rsid w:val="00E7407A"/>
    <w:rsid w:val="00E7410D"/>
    <w:rsid w:val="00E74F51"/>
    <w:rsid w:val="00E75008"/>
    <w:rsid w:val="00E7528D"/>
    <w:rsid w:val="00E75E31"/>
    <w:rsid w:val="00E81451"/>
    <w:rsid w:val="00E814AC"/>
    <w:rsid w:val="00E81C52"/>
    <w:rsid w:val="00E82A7A"/>
    <w:rsid w:val="00E82BA2"/>
    <w:rsid w:val="00E83BB2"/>
    <w:rsid w:val="00E83FF8"/>
    <w:rsid w:val="00E84957"/>
    <w:rsid w:val="00E8572B"/>
    <w:rsid w:val="00E8573D"/>
    <w:rsid w:val="00E85CF0"/>
    <w:rsid w:val="00E8633C"/>
    <w:rsid w:val="00E867B4"/>
    <w:rsid w:val="00E87863"/>
    <w:rsid w:val="00E87F29"/>
    <w:rsid w:val="00E904B6"/>
    <w:rsid w:val="00E906AA"/>
    <w:rsid w:val="00E9173C"/>
    <w:rsid w:val="00E917E1"/>
    <w:rsid w:val="00E91DE8"/>
    <w:rsid w:val="00E9253B"/>
    <w:rsid w:val="00E92C22"/>
    <w:rsid w:val="00E92F00"/>
    <w:rsid w:val="00E94A57"/>
    <w:rsid w:val="00E950E7"/>
    <w:rsid w:val="00E955A2"/>
    <w:rsid w:val="00E9758C"/>
    <w:rsid w:val="00E97592"/>
    <w:rsid w:val="00E97F4A"/>
    <w:rsid w:val="00EA010D"/>
    <w:rsid w:val="00EA1BEB"/>
    <w:rsid w:val="00EA2A81"/>
    <w:rsid w:val="00EA35D6"/>
    <w:rsid w:val="00EA391F"/>
    <w:rsid w:val="00EA4251"/>
    <w:rsid w:val="00EA44E7"/>
    <w:rsid w:val="00EA66B2"/>
    <w:rsid w:val="00EA7477"/>
    <w:rsid w:val="00EA77F3"/>
    <w:rsid w:val="00EA7B5E"/>
    <w:rsid w:val="00EB08F6"/>
    <w:rsid w:val="00EB0C88"/>
    <w:rsid w:val="00EB24E4"/>
    <w:rsid w:val="00EB2AE6"/>
    <w:rsid w:val="00EB4EB5"/>
    <w:rsid w:val="00EB5718"/>
    <w:rsid w:val="00EB5D6A"/>
    <w:rsid w:val="00EB5D76"/>
    <w:rsid w:val="00EB6A84"/>
    <w:rsid w:val="00EB6BD7"/>
    <w:rsid w:val="00EB7453"/>
    <w:rsid w:val="00EB7C73"/>
    <w:rsid w:val="00EC0A25"/>
    <w:rsid w:val="00EC1832"/>
    <w:rsid w:val="00EC3F55"/>
    <w:rsid w:val="00EC43A8"/>
    <w:rsid w:val="00EC4D0A"/>
    <w:rsid w:val="00EC53C5"/>
    <w:rsid w:val="00EC5D8C"/>
    <w:rsid w:val="00EC6CD3"/>
    <w:rsid w:val="00EC7E3C"/>
    <w:rsid w:val="00ED0125"/>
    <w:rsid w:val="00ED184F"/>
    <w:rsid w:val="00ED245C"/>
    <w:rsid w:val="00ED2A8D"/>
    <w:rsid w:val="00ED4495"/>
    <w:rsid w:val="00ED4560"/>
    <w:rsid w:val="00ED488F"/>
    <w:rsid w:val="00ED6FD9"/>
    <w:rsid w:val="00EE00AB"/>
    <w:rsid w:val="00EE12FE"/>
    <w:rsid w:val="00EE13DA"/>
    <w:rsid w:val="00EE1E49"/>
    <w:rsid w:val="00EE27B5"/>
    <w:rsid w:val="00EE28CE"/>
    <w:rsid w:val="00EE2A74"/>
    <w:rsid w:val="00EE319C"/>
    <w:rsid w:val="00EE390C"/>
    <w:rsid w:val="00EE4FA9"/>
    <w:rsid w:val="00EE4FEE"/>
    <w:rsid w:val="00EE523E"/>
    <w:rsid w:val="00EE5E4D"/>
    <w:rsid w:val="00EE665A"/>
    <w:rsid w:val="00EE79BB"/>
    <w:rsid w:val="00EE79C9"/>
    <w:rsid w:val="00EF1E39"/>
    <w:rsid w:val="00EF4C9C"/>
    <w:rsid w:val="00EF5C3C"/>
    <w:rsid w:val="00EF5CEA"/>
    <w:rsid w:val="00EF654E"/>
    <w:rsid w:val="00EF6E86"/>
    <w:rsid w:val="00EF6EE5"/>
    <w:rsid w:val="00F0000F"/>
    <w:rsid w:val="00F005DA"/>
    <w:rsid w:val="00F00AF7"/>
    <w:rsid w:val="00F01066"/>
    <w:rsid w:val="00F033E6"/>
    <w:rsid w:val="00F037FD"/>
    <w:rsid w:val="00F04074"/>
    <w:rsid w:val="00F05229"/>
    <w:rsid w:val="00F0569E"/>
    <w:rsid w:val="00F05F09"/>
    <w:rsid w:val="00F05F9A"/>
    <w:rsid w:val="00F064C4"/>
    <w:rsid w:val="00F07495"/>
    <w:rsid w:val="00F07694"/>
    <w:rsid w:val="00F07BDD"/>
    <w:rsid w:val="00F07F39"/>
    <w:rsid w:val="00F10979"/>
    <w:rsid w:val="00F114AD"/>
    <w:rsid w:val="00F116A6"/>
    <w:rsid w:val="00F12D19"/>
    <w:rsid w:val="00F12F49"/>
    <w:rsid w:val="00F13050"/>
    <w:rsid w:val="00F131C9"/>
    <w:rsid w:val="00F13C3F"/>
    <w:rsid w:val="00F1412A"/>
    <w:rsid w:val="00F14CEB"/>
    <w:rsid w:val="00F1569F"/>
    <w:rsid w:val="00F1588F"/>
    <w:rsid w:val="00F171EE"/>
    <w:rsid w:val="00F17A1D"/>
    <w:rsid w:val="00F21D49"/>
    <w:rsid w:val="00F23C11"/>
    <w:rsid w:val="00F273EB"/>
    <w:rsid w:val="00F32252"/>
    <w:rsid w:val="00F327B5"/>
    <w:rsid w:val="00F3385A"/>
    <w:rsid w:val="00F33FD9"/>
    <w:rsid w:val="00F355B3"/>
    <w:rsid w:val="00F36E4A"/>
    <w:rsid w:val="00F4036B"/>
    <w:rsid w:val="00F4079A"/>
    <w:rsid w:val="00F40B91"/>
    <w:rsid w:val="00F4210B"/>
    <w:rsid w:val="00F42328"/>
    <w:rsid w:val="00F42671"/>
    <w:rsid w:val="00F42A6F"/>
    <w:rsid w:val="00F42AFB"/>
    <w:rsid w:val="00F43D97"/>
    <w:rsid w:val="00F43E72"/>
    <w:rsid w:val="00F445D0"/>
    <w:rsid w:val="00F447D5"/>
    <w:rsid w:val="00F4551C"/>
    <w:rsid w:val="00F4606A"/>
    <w:rsid w:val="00F4638E"/>
    <w:rsid w:val="00F503C3"/>
    <w:rsid w:val="00F50CB0"/>
    <w:rsid w:val="00F516E5"/>
    <w:rsid w:val="00F5204C"/>
    <w:rsid w:val="00F523D3"/>
    <w:rsid w:val="00F53A10"/>
    <w:rsid w:val="00F53A43"/>
    <w:rsid w:val="00F54173"/>
    <w:rsid w:val="00F54657"/>
    <w:rsid w:val="00F549DC"/>
    <w:rsid w:val="00F562CF"/>
    <w:rsid w:val="00F56DC0"/>
    <w:rsid w:val="00F57244"/>
    <w:rsid w:val="00F57E87"/>
    <w:rsid w:val="00F601CF"/>
    <w:rsid w:val="00F60452"/>
    <w:rsid w:val="00F60D13"/>
    <w:rsid w:val="00F612C8"/>
    <w:rsid w:val="00F61DE6"/>
    <w:rsid w:val="00F61F71"/>
    <w:rsid w:val="00F6212C"/>
    <w:rsid w:val="00F623B2"/>
    <w:rsid w:val="00F62B67"/>
    <w:rsid w:val="00F63897"/>
    <w:rsid w:val="00F6468E"/>
    <w:rsid w:val="00F64D1B"/>
    <w:rsid w:val="00F65A03"/>
    <w:rsid w:val="00F65FE9"/>
    <w:rsid w:val="00F666E0"/>
    <w:rsid w:val="00F66FE7"/>
    <w:rsid w:val="00F7000C"/>
    <w:rsid w:val="00F70F40"/>
    <w:rsid w:val="00F71008"/>
    <w:rsid w:val="00F719E7"/>
    <w:rsid w:val="00F728B9"/>
    <w:rsid w:val="00F7417F"/>
    <w:rsid w:val="00F74DD2"/>
    <w:rsid w:val="00F75823"/>
    <w:rsid w:val="00F7643D"/>
    <w:rsid w:val="00F76C9D"/>
    <w:rsid w:val="00F77D8A"/>
    <w:rsid w:val="00F77DC4"/>
    <w:rsid w:val="00F80F0F"/>
    <w:rsid w:val="00F81978"/>
    <w:rsid w:val="00F81A3A"/>
    <w:rsid w:val="00F830A3"/>
    <w:rsid w:val="00F837D4"/>
    <w:rsid w:val="00F83FAA"/>
    <w:rsid w:val="00F84A29"/>
    <w:rsid w:val="00F85223"/>
    <w:rsid w:val="00F85E9A"/>
    <w:rsid w:val="00F863F5"/>
    <w:rsid w:val="00F90063"/>
    <w:rsid w:val="00F9035C"/>
    <w:rsid w:val="00F91144"/>
    <w:rsid w:val="00F913C1"/>
    <w:rsid w:val="00F91475"/>
    <w:rsid w:val="00F92A18"/>
    <w:rsid w:val="00F93DAE"/>
    <w:rsid w:val="00F9426C"/>
    <w:rsid w:val="00F9438E"/>
    <w:rsid w:val="00F94820"/>
    <w:rsid w:val="00F94A18"/>
    <w:rsid w:val="00F94E52"/>
    <w:rsid w:val="00F9609F"/>
    <w:rsid w:val="00F96279"/>
    <w:rsid w:val="00F96F8A"/>
    <w:rsid w:val="00FA0D38"/>
    <w:rsid w:val="00FA2B20"/>
    <w:rsid w:val="00FA2D1C"/>
    <w:rsid w:val="00FA3533"/>
    <w:rsid w:val="00FA3C6B"/>
    <w:rsid w:val="00FA450A"/>
    <w:rsid w:val="00FA4FC7"/>
    <w:rsid w:val="00FA5090"/>
    <w:rsid w:val="00FA5A84"/>
    <w:rsid w:val="00FA6498"/>
    <w:rsid w:val="00FA72A2"/>
    <w:rsid w:val="00FA78D2"/>
    <w:rsid w:val="00FB0B65"/>
    <w:rsid w:val="00FB10BF"/>
    <w:rsid w:val="00FB111B"/>
    <w:rsid w:val="00FB126A"/>
    <w:rsid w:val="00FB15BF"/>
    <w:rsid w:val="00FB1EF4"/>
    <w:rsid w:val="00FB25C2"/>
    <w:rsid w:val="00FB300A"/>
    <w:rsid w:val="00FB3680"/>
    <w:rsid w:val="00FB4098"/>
    <w:rsid w:val="00FB48D4"/>
    <w:rsid w:val="00FB5BEA"/>
    <w:rsid w:val="00FB600B"/>
    <w:rsid w:val="00FB65C9"/>
    <w:rsid w:val="00FB7B09"/>
    <w:rsid w:val="00FC0871"/>
    <w:rsid w:val="00FC089F"/>
    <w:rsid w:val="00FC0958"/>
    <w:rsid w:val="00FC0EAE"/>
    <w:rsid w:val="00FC13CF"/>
    <w:rsid w:val="00FC1FC9"/>
    <w:rsid w:val="00FC2012"/>
    <w:rsid w:val="00FC27B2"/>
    <w:rsid w:val="00FC2BB9"/>
    <w:rsid w:val="00FC351C"/>
    <w:rsid w:val="00FC3A22"/>
    <w:rsid w:val="00FC3AF6"/>
    <w:rsid w:val="00FC46BC"/>
    <w:rsid w:val="00FC5373"/>
    <w:rsid w:val="00FC5BF3"/>
    <w:rsid w:val="00FC6494"/>
    <w:rsid w:val="00FC6C01"/>
    <w:rsid w:val="00FC79A2"/>
    <w:rsid w:val="00FD0CAE"/>
    <w:rsid w:val="00FD1551"/>
    <w:rsid w:val="00FD155A"/>
    <w:rsid w:val="00FD1683"/>
    <w:rsid w:val="00FD1ECA"/>
    <w:rsid w:val="00FD2412"/>
    <w:rsid w:val="00FD30E3"/>
    <w:rsid w:val="00FD3CA8"/>
    <w:rsid w:val="00FD3D3B"/>
    <w:rsid w:val="00FD4046"/>
    <w:rsid w:val="00FD50C9"/>
    <w:rsid w:val="00FD58D4"/>
    <w:rsid w:val="00FD65C2"/>
    <w:rsid w:val="00FD692D"/>
    <w:rsid w:val="00FD758E"/>
    <w:rsid w:val="00FD75AC"/>
    <w:rsid w:val="00FD7D14"/>
    <w:rsid w:val="00FD7F5C"/>
    <w:rsid w:val="00FE04C3"/>
    <w:rsid w:val="00FE04F8"/>
    <w:rsid w:val="00FE13E6"/>
    <w:rsid w:val="00FE199E"/>
    <w:rsid w:val="00FE1F48"/>
    <w:rsid w:val="00FE25FC"/>
    <w:rsid w:val="00FE519C"/>
    <w:rsid w:val="00FE5733"/>
    <w:rsid w:val="00FE57C2"/>
    <w:rsid w:val="00FE5B1A"/>
    <w:rsid w:val="00FE627D"/>
    <w:rsid w:val="00FE6AD7"/>
    <w:rsid w:val="00FF00BE"/>
    <w:rsid w:val="00FF0BA3"/>
    <w:rsid w:val="00FF0E6F"/>
    <w:rsid w:val="00FF1B1E"/>
    <w:rsid w:val="00FF1EB4"/>
    <w:rsid w:val="00FF295E"/>
    <w:rsid w:val="00FF2BB5"/>
    <w:rsid w:val="00FF2CD5"/>
    <w:rsid w:val="00FF30A6"/>
    <w:rsid w:val="00FF32A1"/>
    <w:rsid w:val="00FF41BA"/>
    <w:rsid w:val="00FF4E89"/>
    <w:rsid w:val="00FF60E9"/>
    <w:rsid w:val="00FF75E7"/>
    <w:rsid w:val="06169578"/>
    <w:rsid w:val="1EC50443"/>
    <w:rsid w:val="3CEEC841"/>
    <w:rsid w:val="3E34B676"/>
    <w:rsid w:val="62DA0754"/>
    <w:rsid w:val="75845E97"/>
    <w:rsid w:val="7E1FE62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2F2FCC"/>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2F2FCC"/>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2F2FCC"/>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F2FCC"/>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F2FCC"/>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2F2FCC"/>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2F2FCC"/>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2F2FCC"/>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2F2FCC"/>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uiPriority w:val="99"/>
    <w:rsid w:val="00AF5935"/>
    <w:rPr>
      <w:rFonts w:ascii="Times New Roman" w:hAnsi="Times New Roman" w:cs="Times New Roman"/>
      <w:sz w:val="26"/>
      <w:szCs w:val="20"/>
    </w:rPr>
  </w:style>
  <w:style w:type="paragraph" w:styleId="Revision">
    <w:name w:val="Revision"/>
    <w:hidden/>
    <w:uiPriority w:val="99"/>
    <w:semiHidden/>
    <w:rsid w:val="00427828"/>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E06CF5"/>
    <w:rPr>
      <w:color w:val="954F72"/>
      <w:u w:val="single"/>
    </w:rPr>
  </w:style>
  <w:style w:type="character" w:styleId="Mention">
    <w:name w:val="Mention"/>
    <w:basedOn w:val="DefaultParagraphFont"/>
    <w:uiPriority w:val="99"/>
    <w:unhideWhenUsed/>
    <w:rsid w:val="00775AB7"/>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01CF9DA4-8DA7-4E29-AFC0-E04111CA95C4}">
  <ds:schemaRefs/>
</ds:datastoreItem>
</file>

<file path=customXml/itemProps3.xml><?xml version="1.0" encoding="utf-8"?>
<ds:datastoreItem xmlns:ds="http://schemas.openxmlformats.org/officeDocument/2006/customXml" ds:itemID="{55766B89-2402-4E26-8FB7-DC7A41248D67}">
  <ds:schemaRefs/>
</ds:datastoreItem>
</file>

<file path=customXml/itemProps4.xml><?xml version="1.0" encoding="utf-8"?>
<ds:datastoreItem xmlns:ds="http://schemas.openxmlformats.org/officeDocument/2006/customXml" ds:itemID="{358B9E49-4518-4A3E-B127-53E6AF3DD429}">
  <ds:schemaRefs/>
</ds:datastoreItem>
</file>

<file path=customXml/itemProps5.xml><?xml version="1.0" encoding="utf-8"?>
<ds:datastoreItem xmlns:ds="http://schemas.openxmlformats.org/officeDocument/2006/customXml" ds:itemID="{F013B729-19BA-4D12-B9A6-B07AE633142A}">
  <ds:schemaRefs/>
</ds:datastoreItem>
</file>

<file path=docProps/app.xml><?xml version="1.0" encoding="utf-8"?>
<Properties xmlns="http://schemas.openxmlformats.org/officeDocument/2006/extended-properties" xmlns:vt="http://schemas.openxmlformats.org/officeDocument/2006/docPropsVTypes">
  <TotalTime>0</TotalTime>
  <Pages>16</Pages>
  <Words>4625</Words>
  <Characters>25253</Characters>
  <Application>Microsoft Office Word</Application>
  <DocSecurity>0</DocSecurity>
  <Lines>413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2024-12-23T23:00:14Z</cp:lastPrinted>
  <dcterms:created xsi:type="dcterms:W3CDTF">2024-12-23T20:07:00Z</dcterms:created>
  <dcterms:modified xsi:type="dcterms:W3CDTF">2024-12-23T20:26:00Z</dcterms:modified>
</cp:coreProperties>
</file>