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71636E" w:rsidRPr="00A11DF2" w:rsidP="0071636E">
      <w:pPr>
        <w:widowControl/>
        <w:autoSpaceDE/>
        <w:autoSpaceDN/>
        <w:adjustRightInd/>
        <w:rPr>
          <w:rFonts w:eastAsia="Calibri"/>
          <w:szCs w:val="22"/>
        </w:rPr>
      </w:pPr>
      <w:bookmarkStart w:id="0" w:name="Company"/>
      <w:bookmarkStart w:id="1" w:name="Docket_Number"/>
      <w:bookmarkEnd w:id="0"/>
      <w:bookmarkEnd w:id="1"/>
      <w:r w:rsidRPr="00A11DF2">
        <w:rPr>
          <w:rFonts w:eastAsia="Calibri"/>
          <w:szCs w:val="22"/>
        </w:rPr>
        <w:t>New York Independent System Operator, Inc.</w:t>
      </w:r>
    </w:p>
    <w:p w:rsidR="00E109F1" w:rsidRPr="00E109F1" w:rsidP="0071636E">
      <w:pPr>
        <w:tabs>
          <w:tab w:val="left" w:pos="3870"/>
          <w:tab w:val="left" w:pos="5040"/>
        </w:tabs>
      </w:pPr>
      <w:r w:rsidRPr="00E109F1">
        <w:t xml:space="preserve">Docket </w:t>
      </w:r>
      <w:r w:rsidR="00192ECB">
        <w:t>No. ER23-</w:t>
      </w:r>
      <w:r w:rsidR="007F138C">
        <w:t>973</w:t>
      </w:r>
      <w:r w:rsidR="005423B1">
        <w:t>-00</w:t>
      </w:r>
      <w:r w:rsidR="007F138C">
        <w:t>4</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BF256F">
        <w:t xml:space="preserve"> </w:t>
      </w:r>
      <w:r w:rsidR="00581668">
        <w:t>October 15, 2024</w:t>
      </w:r>
    </w:p>
    <w:p w:rsidR="002D1556" w:rsidP="00CF707C"/>
    <w:p w:rsidR="00B03ED9" w:rsidRPr="00192ECB" w:rsidP="00192ECB">
      <w:pPr>
        <w:widowControl/>
        <w:autoSpaceDE/>
        <w:autoSpaceDN/>
        <w:adjustRightInd/>
        <w:ind w:firstLine="720"/>
        <w:rPr>
          <w:szCs w:val="26"/>
        </w:rPr>
      </w:pPr>
      <w:bookmarkStart w:id="3" w:name="Name2"/>
      <w:bookmarkEnd w:id="3"/>
      <w:r w:rsidRPr="00192ECB">
        <w:rPr>
          <w:szCs w:val="26"/>
        </w:rPr>
        <w:t>On</w:t>
      </w:r>
      <w:r w:rsidRPr="00192ECB" w:rsidR="00FA48E6">
        <w:rPr>
          <w:szCs w:val="26"/>
        </w:rPr>
        <w:t xml:space="preserve"> </w:t>
      </w:r>
      <w:r w:rsidRPr="00367140" w:rsidR="007F138C">
        <w:rPr>
          <w:szCs w:val="26"/>
        </w:rPr>
        <w:t>September 6</w:t>
      </w:r>
      <w:r w:rsidRPr="00367140" w:rsidR="005423B1">
        <w:rPr>
          <w:szCs w:val="26"/>
        </w:rPr>
        <w:t>, 2024</w:t>
      </w:r>
      <w:r w:rsidRPr="00367140" w:rsidR="00192ECB">
        <w:rPr>
          <w:szCs w:val="26"/>
        </w:rPr>
        <w:t xml:space="preserve">, </w:t>
      </w:r>
      <w:r w:rsidRPr="00367140" w:rsidR="00192ECB">
        <w:rPr>
          <w:rFonts w:eastAsia="Calibri"/>
          <w:szCs w:val="22"/>
        </w:rPr>
        <w:t xml:space="preserve">New York Independent System Operator, Inc. (NYISO) </w:t>
      </w:r>
      <w:r w:rsidRPr="00367140" w:rsidR="0053324E">
        <w:rPr>
          <w:szCs w:val="26"/>
        </w:rPr>
        <w:t>submitted</w:t>
      </w:r>
      <w:r w:rsidRPr="00367140" w:rsidR="00E5067F">
        <w:rPr>
          <w:szCs w:val="26"/>
        </w:rPr>
        <w:t xml:space="preserve">, on behalf of </w:t>
      </w:r>
      <w:r w:rsidRPr="00367140" w:rsidR="00E5067F">
        <w:rPr>
          <w:rFonts w:eastAsia="Calibri"/>
          <w:szCs w:val="22"/>
        </w:rPr>
        <w:t>Niagara Mohawk Power Corp.,</w:t>
      </w:r>
      <w:r w:rsidRPr="00367140">
        <w:rPr>
          <w:szCs w:val="26"/>
        </w:rPr>
        <w:t xml:space="preserve"> </w:t>
      </w:r>
      <w:r w:rsidRPr="00367140" w:rsidR="007101D7">
        <w:rPr>
          <w:szCs w:val="26"/>
        </w:rPr>
        <w:t xml:space="preserve">revisions to </w:t>
      </w:r>
      <w:r w:rsidRPr="00367140" w:rsidR="00192ECB">
        <w:rPr>
          <w:szCs w:val="26"/>
        </w:rPr>
        <w:t>the NYISO Tariff</w:t>
      </w:r>
      <w:r w:rsidRPr="00367140" w:rsidR="007101D7">
        <w:rPr>
          <w:szCs w:val="26"/>
        </w:rPr>
        <w:t xml:space="preserve"> </w:t>
      </w:r>
      <w:r w:rsidRPr="00367140" w:rsidR="00E109F1">
        <w:rPr>
          <w:szCs w:val="26"/>
        </w:rPr>
        <w:t xml:space="preserve">to </w:t>
      </w:r>
      <w:r w:rsidRPr="00367140" w:rsidR="00192ECB">
        <w:rPr>
          <w:szCs w:val="26"/>
        </w:rPr>
        <w:t xml:space="preserve">comply with the Commission’s </w:t>
      </w:r>
      <w:r w:rsidRPr="00367140" w:rsidR="003109F3">
        <w:rPr>
          <w:szCs w:val="26"/>
        </w:rPr>
        <w:t xml:space="preserve">directive in </w:t>
      </w:r>
      <w:r w:rsidRPr="00367140" w:rsidR="005423B1">
        <w:rPr>
          <w:i/>
          <w:iCs/>
          <w:szCs w:val="26"/>
        </w:rPr>
        <w:t>N.Y. Indep. Sys. Operator, Inc</w:t>
      </w:r>
      <w:r w:rsidRPr="00367140" w:rsidR="005423B1">
        <w:rPr>
          <w:szCs w:val="26"/>
        </w:rPr>
        <w:t>., 18</w:t>
      </w:r>
      <w:r w:rsidRPr="00367140" w:rsidR="00367140">
        <w:rPr>
          <w:szCs w:val="26"/>
        </w:rPr>
        <w:t>8</w:t>
      </w:r>
      <w:r w:rsidRPr="00367140" w:rsidR="005423B1">
        <w:rPr>
          <w:szCs w:val="26"/>
        </w:rPr>
        <w:t xml:space="preserve"> FERC ¶ 61,1</w:t>
      </w:r>
      <w:r w:rsidRPr="00367140" w:rsidR="00367140">
        <w:rPr>
          <w:szCs w:val="26"/>
        </w:rPr>
        <w:t>16</w:t>
      </w:r>
      <w:r w:rsidRPr="00367140" w:rsidR="005423B1">
        <w:rPr>
          <w:szCs w:val="26"/>
        </w:rPr>
        <w:t xml:space="preserve"> (2024)</w:t>
      </w:r>
      <w:r w:rsidRPr="00367140" w:rsidR="00367140">
        <w:rPr>
          <w:szCs w:val="26"/>
        </w:rPr>
        <w:t xml:space="preserve"> and ministerial edits to retain previously-approved tariff language in </w:t>
      </w:r>
      <w:r w:rsidRPr="00367140" w:rsidR="00367140">
        <w:rPr>
          <w:i/>
          <w:iCs/>
          <w:szCs w:val="26"/>
        </w:rPr>
        <w:t>N.Y. Indep. Sys. Operator, Inc.</w:t>
      </w:r>
      <w:r w:rsidRPr="00367140" w:rsidR="00367140">
        <w:rPr>
          <w:szCs w:val="26"/>
        </w:rPr>
        <w:t>, 187 FERC ¶ 61,129 (2024)</w:t>
      </w:r>
      <w:r w:rsidRPr="00192ECB" w:rsidR="00F85FD6">
        <w:rPr>
          <w:szCs w:val="26"/>
        </w:rPr>
        <w:t>.</w:t>
      </w:r>
      <w:r>
        <w:rPr>
          <w:rStyle w:val="FootnoteReference"/>
        </w:rPr>
        <w:footnoteReference w:id="3"/>
      </w:r>
      <w:r w:rsidRPr="00192ECB" w:rsidR="00CD0E10">
        <w:rPr>
          <w:szCs w:val="26"/>
        </w:rPr>
        <w:t xml:space="preserve"> </w:t>
      </w:r>
      <w:r w:rsidRPr="00192ECB" w:rsidR="00EE363A">
        <w:rPr>
          <w:szCs w:val="26"/>
        </w:rPr>
        <w:t xml:space="preserve"> </w:t>
      </w:r>
      <w:r w:rsidR="002D0EE6">
        <w:rPr>
          <w:szCs w:val="26"/>
        </w:rPr>
        <w:t xml:space="preserve">NYISO requested that the filing be accepted effective </w:t>
      </w:r>
      <w:r w:rsidR="007F138C">
        <w:rPr>
          <w:szCs w:val="26"/>
        </w:rPr>
        <w:t xml:space="preserve">April 1, 2023 and </w:t>
      </w:r>
      <w:r w:rsidR="002D0EE6">
        <w:rPr>
          <w:szCs w:val="26"/>
        </w:rPr>
        <w:t xml:space="preserve">August 5, 2023.  </w:t>
      </w:r>
      <w:r w:rsidRPr="00192ECB" w:rsidR="00EE363A">
        <w:rPr>
          <w:szCs w:val="26"/>
        </w:rPr>
        <w:t>Pursuant to authority delegated to the Director, Division of Electric Power Regulation</w:t>
      </w:r>
      <w:r w:rsidRPr="00192ECB" w:rsidR="0011178C">
        <w:rPr>
          <w:szCs w:val="26"/>
        </w:rPr>
        <w:t xml:space="preserve"> – </w:t>
      </w:r>
      <w:r w:rsidRPr="00192ECB" w:rsidR="00192ECB">
        <w:rPr>
          <w:szCs w:val="26"/>
        </w:rPr>
        <w:t xml:space="preserve">East </w:t>
      </w:r>
      <w:r w:rsidRPr="00192ECB" w:rsidR="00EE363A">
        <w:rPr>
          <w:szCs w:val="26"/>
        </w:rPr>
        <w:t xml:space="preserve">under 18 C.F.R. § 375.307, </w:t>
      </w:r>
      <w:r w:rsidRPr="00192ECB">
        <w:rPr>
          <w:szCs w:val="26"/>
        </w:rPr>
        <w:t>the submittal</w:t>
      </w:r>
      <w:r w:rsidR="000C1583">
        <w:rPr>
          <w:szCs w:val="26"/>
        </w:rPr>
        <w:t xml:space="preserve"> </w:t>
      </w:r>
      <w:r w:rsidRPr="00192ECB" w:rsidR="00192ECB">
        <w:rPr>
          <w:szCs w:val="26"/>
        </w:rPr>
        <w:t>is</w:t>
      </w:r>
      <w:r w:rsidRPr="00192ECB">
        <w:rPr>
          <w:szCs w:val="26"/>
        </w:rPr>
        <w:t xml:space="preserve"> accepted for filing, effective </w:t>
      </w:r>
      <w:r w:rsidR="007F138C">
        <w:rPr>
          <w:szCs w:val="26"/>
        </w:rPr>
        <w:t xml:space="preserve">April 1, 2023 and </w:t>
      </w:r>
      <w:r w:rsidR="005423B1">
        <w:rPr>
          <w:szCs w:val="26"/>
        </w:rPr>
        <w:t>August 5</w:t>
      </w:r>
      <w:r w:rsidRPr="00192ECB" w:rsidR="00192ECB">
        <w:rPr>
          <w:szCs w:val="26"/>
        </w:rPr>
        <w:t>, 2023</w:t>
      </w:r>
      <w:r w:rsidRPr="00192ECB">
        <w:rPr>
          <w:szCs w:val="26"/>
        </w:rPr>
        <w:t>, as requested</w:t>
      </w:r>
      <w:r w:rsidRPr="00192ECB">
        <w:t>.</w:t>
      </w:r>
      <w:r>
        <w:rPr>
          <w:rStyle w:val="FootnoteReference"/>
        </w:rPr>
        <w:footnoteReference w:id="4"/>
      </w:r>
    </w:p>
    <w:p w:rsidR="00ED74D7" w:rsidRPr="00192ECB" w:rsidP="00B03ED9">
      <w:pPr>
        <w:ind w:firstLine="720"/>
        <w:rPr>
          <w:b/>
          <w:bCs/>
        </w:rPr>
      </w:pPr>
    </w:p>
    <w:p w:rsidR="0053324E" w:rsidRPr="00192ECB" w:rsidP="00170964">
      <w:pPr>
        <w:pStyle w:val="FERCparanumber"/>
        <w:numPr>
          <w:ilvl w:val="0"/>
          <w:numId w:val="0"/>
        </w:numPr>
        <w:spacing w:after="0"/>
        <w:ind w:firstLine="720"/>
      </w:pPr>
      <w:r w:rsidRPr="00192ECB">
        <w:t>The filing</w:t>
      </w:r>
      <w:r w:rsidRPr="00192ECB" w:rsidR="00192ECB">
        <w:t xml:space="preserve"> was</w:t>
      </w:r>
      <w:r w:rsidRPr="00192ECB">
        <w:t xml:space="preserve"> publicly noticed</w:t>
      </w:r>
      <w:r w:rsidRPr="00192ECB" w:rsidR="00CF707C">
        <w:t xml:space="preserve">.  No protests or adverse comments were filed.  </w:t>
      </w:r>
      <w:r w:rsidRPr="00192ECB">
        <w:t xml:space="preserve">Pursuant to Rule 214 of the Commission’s regulations (18 C.F.R. § 385.214), notices of intervention, timely-filed motions to intervene, and any unopposed motions to intervene out-of-time filed before the issuance date of this order are granted.  </w:t>
        <w:br/>
      </w:r>
    </w:p>
    <w:p w:rsidR="002D1556" w:rsidRPr="00192ECB" w:rsidP="00C55250">
      <w:pPr>
        <w:pStyle w:val="FERCparanumber"/>
        <w:numPr>
          <w:ilvl w:val="0"/>
          <w:numId w:val="0"/>
        </w:numPr>
        <w:spacing w:after="0"/>
        <w:ind w:firstLine="720"/>
      </w:pPr>
      <w:r w:rsidRPr="00192ECB">
        <w:t>This action does not constitute approval of any service, rate, charge, classification, or any rule, regulation, contract, or practice affecting such rate or service provided for in the filed document</w:t>
      </w:r>
      <w:r w:rsidRPr="00192ECB" w:rsidR="006B17C6">
        <w:t>(</w:t>
      </w:r>
      <w:r w:rsidRPr="00192ECB" w:rsidR="00193783">
        <w:t>s</w:t>
      </w:r>
      <w:r w:rsidRPr="00192ECB" w:rsidR="003240EF">
        <w:t>)</w:t>
      </w:r>
      <w:r w:rsidRPr="00192ECB">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Pr="00192ECB" w:rsidR="005C7910">
        <w:t>the</w:t>
      </w:r>
      <w:r w:rsidRPr="00192ECB">
        <w:t xml:space="preserve"> applicant</w:t>
      </w:r>
      <w:r w:rsidRPr="00192ECB" w:rsidR="005C7910">
        <w:t>(s)</w:t>
      </w:r>
      <w:r w:rsidRPr="00192ECB">
        <w:t>.</w:t>
      </w:r>
    </w:p>
    <w:p w:rsidR="00BE18F5" w:rsidRPr="00192ECB" w:rsidP="00C55250">
      <w:pPr>
        <w:tabs>
          <w:tab w:val="left" w:pos="5040"/>
        </w:tabs>
      </w:pPr>
      <w:bookmarkStart w:id="4" w:name="Deficiency"/>
      <w:bookmarkEnd w:id="4"/>
    </w:p>
    <w:p w:rsidR="00C15B17" w:rsidRPr="00192ECB" w:rsidP="00C15B17">
      <w:pPr>
        <w:spacing w:after="240"/>
        <w:ind w:firstLine="720"/>
      </w:pPr>
      <w:r w:rsidRPr="00192ECB">
        <w:t>This order constitutes final agency action.  Requests for rehearing by the Commission may be filed within 30 days of the date of issuance of this order, pursuant to 18 C.F.R. § 385.713.</w:t>
      </w:r>
    </w:p>
    <w:p w:rsidR="00581668" w:rsidRPr="0014077F" w:rsidP="00581668">
      <w:r w:rsidRPr="00192ECB">
        <w:t xml:space="preserve">Issued by: </w:t>
      </w:r>
      <w:r w:rsidRPr="00192ECB" w:rsidR="00E83213">
        <w:t xml:space="preserve"> </w:t>
      </w:r>
      <w:r w:rsidRPr="00192ECB" w:rsidR="00192ECB">
        <w:t>Kurt Longo</w:t>
      </w:r>
      <w:r w:rsidRPr="00192ECB">
        <w:t xml:space="preserve">, Director, Division of Electric Power Regulation – </w:t>
      </w:r>
      <w:r w:rsidRPr="00192ECB" w:rsidR="00192ECB">
        <w:t>East</w:t>
      </w:r>
    </w:p>
    <w:sectPr w:rsidSect="00D520E2">
      <w:headerReference w:type="even" r:id="rId10"/>
      <w:headerReference w:type="default" r:id="rId11"/>
      <w:headerReference w:type="first" r:id="rId12"/>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ric2-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D9">
      <w:r>
        <w:separator/>
      </w:r>
    </w:p>
  </w:footnote>
  <w:footnote w:type="continuationSeparator" w:id="1">
    <w:p w:rsidR="00D85CD9">
      <w:r>
        <w:continuationSeparator/>
      </w:r>
    </w:p>
  </w:footnote>
  <w:footnote w:type="continuationNotice" w:id="2">
    <w:p w:rsidR="00D85CD9" w:rsidRPr="00B15BCA" w:rsidP="00B15BCA">
      <w:pPr>
        <w:pStyle w:val="Footer"/>
      </w:pPr>
      <w:r w:rsidRPr="00B15BCA">
        <w:rPr>
          <w:i/>
        </w:rPr>
        <w:t>(continued ...)</w:t>
      </w:r>
    </w:p>
  </w:footnote>
  <w:footnote w:id="3">
    <w:p w:rsidR="00CD0E10" w:rsidRPr="00581668" w:rsidP="00B36DB1">
      <w:pPr>
        <w:spacing w:after="240" w:line="252" w:lineRule="auto"/>
        <w:ind w:firstLine="720"/>
        <w:rPr>
          <w:szCs w:val="26"/>
        </w:rPr>
      </w:pPr>
      <w:r>
        <w:rPr>
          <w:rStyle w:val="FootnoteReference"/>
        </w:rPr>
        <w:footnoteRef/>
      </w:r>
      <w:r>
        <w:t xml:space="preserve"> </w:t>
      </w:r>
      <w:r w:rsidR="00192ECB">
        <w:rPr>
          <w:szCs w:val="26"/>
        </w:rPr>
        <w:t xml:space="preserve">New York Independent System Operator, Inc., </w:t>
      </w:r>
      <w:r w:rsidR="00581668">
        <w:rPr>
          <w:szCs w:val="26"/>
        </w:rPr>
        <w:t>NYISO Tariffs,</w:t>
      </w:r>
      <w:r w:rsidR="00B36DB1">
        <w:rPr>
          <w:szCs w:val="26"/>
        </w:rPr>
        <w:t xml:space="preserve"> </w:t>
      </w:r>
      <w:hyperlink r:id="rId1" w:history="1">
        <w:r w:rsidRPr="00B36DB1" w:rsidR="00B36DB1">
          <w:rPr>
            <w:rStyle w:val="Hyperlink"/>
            <w:szCs w:val="26"/>
          </w:rPr>
          <w:t>NYISO OATT, 14.2-14.2.1 OATT Att H Attachment 1 to Attachment H (29.0.0)</w:t>
        </w:r>
      </w:hyperlink>
      <w:r w:rsidR="00B36DB1">
        <w:rPr>
          <w:szCs w:val="26"/>
        </w:rPr>
        <w:t xml:space="preserve">, </w:t>
      </w:r>
      <w:hyperlink r:id="rId2" w:history="1">
        <w:r w:rsidRPr="00B36DB1" w:rsidR="00B36DB1">
          <w:rPr>
            <w:rStyle w:val="Hyperlink"/>
            <w:szCs w:val="26"/>
          </w:rPr>
          <w:t>NYISO OATT, 14.2-14.2.1 OATT Att H Attachment 1 to Attachment H (30.0.0)</w:t>
        </w:r>
      </w:hyperlink>
      <w:r w:rsidR="00B36DB1">
        <w:rPr>
          <w:szCs w:val="26"/>
        </w:rPr>
        <w:t>.</w:t>
      </w:r>
    </w:p>
  </w:footnote>
  <w:footnote w:id="4">
    <w:p w:rsidR="002D0EE6">
      <w:pPr>
        <w:pStyle w:val="FootnoteText"/>
      </w:pPr>
      <w:r>
        <w:rPr>
          <w:rStyle w:val="FootnoteReference"/>
        </w:rPr>
        <w:footnoteRef/>
      </w:r>
      <w:r>
        <w:t xml:space="preserve"> </w:t>
      </w:r>
      <w:r w:rsidRPr="002D0EE6">
        <w:rPr>
          <w:i/>
          <w:iCs/>
        </w:rPr>
        <w:t xml:space="preserve">See </w:t>
      </w:r>
      <w:r w:rsidRPr="002D0EE6">
        <w:t xml:space="preserve">18 C.F.R. § 35.11; </w:t>
      </w:r>
      <w:r w:rsidRPr="002D0EE6">
        <w:rPr>
          <w:i/>
        </w:rPr>
        <w:t>Cent. Hudson Gas &amp; Elec. Corp.</w:t>
      </w:r>
      <w:r w:rsidRPr="002D0EE6">
        <w:t xml:space="preserve">, 60 FERC ¶ 61,106, </w:t>
      </w:r>
      <w:r w:rsidRPr="002D0EE6">
        <w:rPr>
          <w:i/>
        </w:rPr>
        <w:t>reh’g denied</w:t>
      </w:r>
      <w:r w:rsidRPr="002D0EE6">
        <w:t xml:space="preserve">, 61 FERC ¶ 61,089 (1992); </w:t>
      </w:r>
      <w:r w:rsidRPr="002D0EE6">
        <w:rPr>
          <w:i/>
          <w:iCs/>
        </w:rPr>
        <w:t>but see Sunflower Elec. Power Corp.</w:t>
      </w:r>
      <w:r w:rsidRPr="002D0EE6">
        <w:t>, 173 FERC ¶ 61,054</w:t>
      </w:r>
      <w:r w:rsidRPr="002D0EE6">
        <w:rPr>
          <w:i/>
          <w:iCs/>
        </w:rPr>
        <w:t xml:space="preserve"> </w:t>
      </w:r>
      <w:r w:rsidRPr="002D0EE6">
        <w:t>(2020) (Danly, Comm’r, dissenting).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 No. ER23-</w:t>
    </w:r>
    <w:r w:rsidR="007F138C">
      <w:t>973</w:t>
    </w:r>
    <w:r w:rsidR="00A0728D">
      <w:t>-00</w:t>
    </w:r>
    <w:r w:rsidR="007F138C">
      <w:t>4</w:t>
    </w:r>
    <w:r w:rsidR="002D1556">
      <w:tab/>
    </w:r>
    <w:r w:rsidR="002D1556">
      <w:fldChar w:fldCharType="begin"/>
    </w:r>
    <w:r w:rsidR="002D1556">
      <w:instrText xml:space="preserve"> PAGE  \* MERGEFORMAT </w:instrText>
    </w:r>
    <w:r w:rsidR="002D1556">
      <w:fldChar w:fldCharType="separate"/>
    </w:r>
    <w:r w:rsidR="00C46CF2">
      <w:rPr>
        <w:noProof/>
      </w:rPr>
      <w:t>- 2 -</w:t>
    </w:r>
    <w:r w:rsidR="002D1556">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1841DA"/>
    <w:multiLevelType w:val="hybridMultilevel"/>
    <w:tmpl w:val="EECE0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6">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2"/>
  </w:num>
  <w:num w:numId="5">
    <w:abstractNumId w:val="19"/>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8"/>
  </w:num>
  <w:num w:numId="27">
    <w:abstractNumId w:val="11"/>
  </w:num>
  <w:num w:numId="28">
    <w:abstractNumId w:val="1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159D"/>
    <w:rsid w:val="00003B3F"/>
    <w:rsid w:val="000060FC"/>
    <w:rsid w:val="00006E79"/>
    <w:rsid w:val="00007013"/>
    <w:rsid w:val="0001111E"/>
    <w:rsid w:val="00012F59"/>
    <w:rsid w:val="00013F3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3A91"/>
    <w:rsid w:val="00063E74"/>
    <w:rsid w:val="00064D88"/>
    <w:rsid w:val="0006768F"/>
    <w:rsid w:val="00076F52"/>
    <w:rsid w:val="0008635A"/>
    <w:rsid w:val="00094059"/>
    <w:rsid w:val="000964CE"/>
    <w:rsid w:val="000973D0"/>
    <w:rsid w:val="000A500F"/>
    <w:rsid w:val="000A7086"/>
    <w:rsid w:val="000B32DC"/>
    <w:rsid w:val="000B3933"/>
    <w:rsid w:val="000B590D"/>
    <w:rsid w:val="000B5FB2"/>
    <w:rsid w:val="000C1583"/>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2ECB"/>
    <w:rsid w:val="00193783"/>
    <w:rsid w:val="00194ACD"/>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0CF"/>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0EE6"/>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5C23"/>
    <w:rsid w:val="00307E59"/>
    <w:rsid w:val="003109F3"/>
    <w:rsid w:val="00311B1B"/>
    <w:rsid w:val="0031443B"/>
    <w:rsid w:val="00320784"/>
    <w:rsid w:val="003240EF"/>
    <w:rsid w:val="00324BFE"/>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67140"/>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9E9"/>
    <w:rsid w:val="00426D49"/>
    <w:rsid w:val="00430800"/>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3B1"/>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1668"/>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45F92"/>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636E"/>
    <w:rsid w:val="007175E5"/>
    <w:rsid w:val="007232DD"/>
    <w:rsid w:val="00723333"/>
    <w:rsid w:val="00723A08"/>
    <w:rsid w:val="007251C1"/>
    <w:rsid w:val="00726AB4"/>
    <w:rsid w:val="00727E5B"/>
    <w:rsid w:val="00730373"/>
    <w:rsid w:val="00731A9B"/>
    <w:rsid w:val="00734A04"/>
    <w:rsid w:val="00736432"/>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138C"/>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6D2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0728D"/>
    <w:rsid w:val="00A1021A"/>
    <w:rsid w:val="00A11DF2"/>
    <w:rsid w:val="00A12C87"/>
    <w:rsid w:val="00A1355D"/>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6DB1"/>
    <w:rsid w:val="00B37FCD"/>
    <w:rsid w:val="00B44677"/>
    <w:rsid w:val="00B46D7E"/>
    <w:rsid w:val="00B47977"/>
    <w:rsid w:val="00B56261"/>
    <w:rsid w:val="00B61DED"/>
    <w:rsid w:val="00B63C36"/>
    <w:rsid w:val="00B65B55"/>
    <w:rsid w:val="00B70C77"/>
    <w:rsid w:val="00B7233F"/>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35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56F"/>
    <w:rsid w:val="00BF268B"/>
    <w:rsid w:val="00BF2DF8"/>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6D9C"/>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067F"/>
    <w:rsid w:val="00E524EF"/>
    <w:rsid w:val="00E54A4F"/>
    <w:rsid w:val="00E57419"/>
    <w:rsid w:val="00E64963"/>
    <w:rsid w:val="00E719C4"/>
    <w:rsid w:val="00E7264E"/>
    <w:rsid w:val="00E75A6B"/>
    <w:rsid w:val="00E7774A"/>
    <w:rsid w:val="00E80268"/>
    <w:rsid w:val="00E83213"/>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2CB"/>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641B2"/>
    <w:rsid w:val="00F702D6"/>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37A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customStyle="1" w:styleId="Default">
    <w:name w:val="Default"/>
    <w:rsid w:val="00192ECB"/>
    <w:pPr>
      <w:autoSpaceDE w:val="0"/>
      <w:autoSpaceDN w:val="0"/>
      <w:adjustRightInd w:val="0"/>
    </w:pPr>
    <w:rPr>
      <w:rFonts w:ascii="Generic2-Regular" w:hAnsi="Generic2-Regular" w:cs="Generic2-Regular"/>
      <w:color w:val="000000"/>
      <w:sz w:val="24"/>
      <w:szCs w:val="24"/>
      <w:lang w:bidi="ar-SA"/>
    </w:rPr>
  </w:style>
  <w:style w:type="paragraph" w:styleId="Revision">
    <w:name w:val="Revision"/>
    <w:hidden/>
    <w:uiPriority w:val="99"/>
    <w:semiHidden/>
    <w:rsid w:val="00645F92"/>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46277" TargetMode="External" /><Relationship Id="rId2" Type="http://schemas.openxmlformats.org/officeDocument/2006/relationships/hyperlink" Target="http://etariff.ferc.gov/TariffSectionDetails.aspx?tid=898&amp;sid=34627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customXml/itemProps2.xml><?xml version="1.0" encoding="utf-8"?>
<ds:datastoreItem xmlns:ds="http://schemas.openxmlformats.org/officeDocument/2006/customXml" ds:itemID="{783F03C8-1E26-4147-A25D-4CA942A63D9F}">
  <ds:schemaRefs>
    <ds:schemaRef ds:uri="Microsoft.SharePoint.Taxonomy.ContentTypeSync"/>
  </ds:schemaRefs>
</ds:datastoreItem>
</file>

<file path=customXml/itemProps3.xml><?xml version="1.0" encoding="utf-8"?>
<ds:datastoreItem xmlns:ds="http://schemas.openxmlformats.org/officeDocument/2006/customXml" ds:itemID="{3779C137-6A7E-4894-B720-9369865EBACC}">
  <ds:schemaRefs>
    <ds:schemaRef ds:uri="http://schemas.microsoft.com/sharepoint/v4"/>
    <ds:schemaRef ds:uri="http://purl.org/dc/terms/"/>
    <ds:schemaRef ds:uri="http://schemas.openxmlformats.org/package/2006/metadata/core-properties"/>
    <ds:schemaRef ds:uri="http://purl.org/dc/dcmitype/"/>
    <ds:schemaRef ds:uri="5b614717-fa42-4d55-8c6b-b7d98cda7b53"/>
    <ds:schemaRef ds:uri="http://purl.org/dc/elements/1.1/"/>
    <ds:schemaRef ds:uri="http://schemas.microsoft.com/office/2006/documentManagement/types"/>
    <ds:schemaRef ds:uri="http://schemas.microsoft.com/office/infopath/2007/PartnerControls"/>
    <ds:schemaRef ds:uri="5d3abafd-a539-4ca2-a17d-fcc67f3242ed"/>
    <ds:schemaRef ds:uri="http://schemas.microsoft.com/office/2006/metadata/properties"/>
    <ds:schemaRef ds:uri="http://www.w3.org/XML/1998/namespace"/>
    <ds:schemaRef ds:uri="5e8733a2-e908-454b-85cf-c9d17e1d0943"/>
  </ds:schemaRefs>
</ds:datastoreItem>
</file>

<file path=customXml/itemProps4.xml><?xml version="1.0" encoding="utf-8"?>
<ds:datastoreItem xmlns:ds="http://schemas.openxmlformats.org/officeDocument/2006/customXml" ds:itemID="{89EA5EF2-DECB-4CB8-99D4-40E432172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61071B-18F5-40BB-891A-97B7E80B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2024-10-15T18:00:57Z</cp:lastPrinted>
  <dcterms:created xsi:type="dcterms:W3CDTF">2024-10-15T17:08:00Z</dcterms:created>
  <dcterms:modified xsi:type="dcterms:W3CDTF">2024-10-15T17:08:00Z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e4832d65-6111-4d7e-94c5-d9c100fb7703</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2024-10-15T17:07:41Z</vt:lpwstr>
  </property>
  <property fmtid="{D5CDD505-2E9C-101B-9397-08002B2CF9AE}" pid="8" name="MSIP_Label_a5049dce-8671-4c79-90d7-f6ec79470f4e_SiteId">
    <vt:lpwstr>7658602a-f7b9-4209-bc62-d2bfc30dea0d</vt:lpwstr>
  </property>
</Properties>
</file>