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D51DE5">
      <w:pPr>
        <w:jc w:val="center"/>
      </w:pPr>
      <w:r w:rsidR="0074644F">
        <w:t>188 FERC ¶ 61,100</w:t>
      </w:r>
    </w:p>
    <w:p w:rsidR="00473BCD" w:rsidRPr="00CD0B38" w:rsidP="006857C6">
      <w:pPr>
        <w:jc w:val="center"/>
      </w:pPr>
      <w:r w:rsidRPr="00CD0B38">
        <w:t>UNITED STATES OF AMERICA</w:t>
      </w:r>
    </w:p>
    <w:p w:rsidR="00473BCD" w:rsidRPr="00CD0B38" w:rsidP="006857C6">
      <w:pPr>
        <w:jc w:val="center"/>
      </w:pPr>
      <w:r w:rsidRPr="00CD0B38">
        <w:t>FEDERAL ENERGY REGULATORY COMMISSION</w:t>
      </w:r>
    </w:p>
    <w:p w:rsidR="00473BCD" w:rsidRPr="00CD0B38" w:rsidP="006857C6"/>
    <w:p w:rsidR="00473BCD" w:rsidRPr="006A78AD" w:rsidP="006A78AD">
      <w:pPr>
        <w:widowControl/>
      </w:pPr>
      <w:r w:rsidRPr="006A78AD" w:rsidR="006A78AD">
        <w:t>Before Commissioners:  Willie L. Phillips, Chairman;</w:t>
      </w:r>
    </w:p>
    <w:p w:rsidR="006A78AD" w:rsidRPr="006A78AD" w:rsidP="006A78AD">
      <w:pPr>
        <w:widowControl/>
      </w:pPr>
      <w:r w:rsidRPr="006A78AD">
        <w:t xml:space="preserve">                                        Mark C. Christie</w:t>
      </w:r>
      <w:r>
        <w:t xml:space="preserve"> and </w:t>
      </w:r>
      <w:r w:rsidRPr="006A78AD">
        <w:t>David Rosner</w:t>
      </w:r>
      <w:r>
        <w:t>.</w:t>
      </w:r>
      <w:r w:rsidRPr="006A78AD">
        <w:t xml:space="preserve"> </w:t>
      </w:r>
    </w:p>
    <w:p w:rsidR="00473BCD" w:rsidRPr="00CD0B38" w:rsidP="006857C6"/>
    <w:tbl>
      <w:tblPr>
        <w:tblStyle w:val="TableNormal"/>
        <w:tblW w:w="0" w:type="auto"/>
        <w:tblCellMar>
          <w:left w:w="0" w:type="dxa"/>
          <w:right w:w="0" w:type="dxa"/>
        </w:tblCellMar>
        <w:tblLook w:val="01E0"/>
      </w:tblPr>
      <w:tblGrid>
        <w:gridCol w:w="5934"/>
        <w:gridCol w:w="1534"/>
        <w:gridCol w:w="1892"/>
      </w:tblGrid>
      <w:tr w:rsidTr="00CE189D">
        <w:tblPrEx>
          <w:tblW w:w="0" w:type="auto"/>
          <w:tblCellMar>
            <w:left w:w="0" w:type="dxa"/>
            <w:right w:w="0" w:type="dxa"/>
          </w:tblCellMar>
          <w:tblLook w:val="01E0"/>
        </w:tblPrEx>
        <w:tc>
          <w:tcPr>
            <w:tcW w:w="6088" w:type="dxa"/>
            <w:shd w:val="clear" w:color="auto" w:fill="auto"/>
          </w:tcPr>
          <w:p w:rsidR="00732BED" w:rsidRPr="00CE189D" w:rsidP="00CE189D">
            <w:pPr>
              <w:widowControl/>
              <w:rPr>
                <w:rFonts w:cs="Arial"/>
              </w:rPr>
            </w:pPr>
            <w:r w:rsidRPr="00CE189D">
              <w:rPr>
                <w:rFonts w:cs="Arial"/>
              </w:rPr>
              <w:t>Central Hudson</w:t>
            </w:r>
            <w:r w:rsidRPr="00CE189D" w:rsidR="00813AE9">
              <w:rPr>
                <w:rFonts w:cs="Arial"/>
              </w:rPr>
              <w:t xml:space="preserve"> Gas &amp; Electric Corp</w:t>
            </w:r>
            <w:r w:rsidRPr="00CE189D" w:rsidR="001558EF">
              <w:rPr>
                <w:rFonts w:cs="Arial"/>
              </w:rPr>
              <w:t>oration</w:t>
            </w:r>
          </w:p>
          <w:p w:rsidR="001558EF" w:rsidRPr="00CE189D" w:rsidP="00CE189D">
            <w:pPr>
              <w:widowControl/>
              <w:rPr>
                <w:rFonts w:cs="Arial"/>
              </w:rPr>
            </w:pPr>
            <w:r w:rsidRPr="00CE189D">
              <w:rPr>
                <w:rFonts w:cs="Arial"/>
              </w:rPr>
              <w:t>New York Independent System Operator, Inc.</w:t>
            </w:r>
          </w:p>
          <w:p w:rsidR="00813AE9" w:rsidRPr="00CE189D" w:rsidP="00CE189D">
            <w:pPr>
              <w:widowControl/>
              <w:rPr>
                <w:rFonts w:cs="Arial"/>
              </w:rPr>
            </w:pPr>
          </w:p>
        </w:tc>
        <w:tc>
          <w:tcPr>
            <w:tcW w:w="1560" w:type="dxa"/>
            <w:shd w:val="clear" w:color="auto" w:fill="auto"/>
          </w:tcPr>
          <w:p w:rsidR="00473BCD" w:rsidRPr="00CE189D" w:rsidP="00CE189D">
            <w:pPr>
              <w:widowControl/>
              <w:jc w:val="right"/>
              <w:rPr>
                <w:rFonts w:cs="Arial"/>
              </w:rPr>
            </w:pPr>
            <w:r w:rsidRPr="00CE189D">
              <w:rPr>
                <w:rFonts w:cs="Arial"/>
              </w:rPr>
              <w:t>Docket No.</w:t>
            </w:r>
          </w:p>
        </w:tc>
        <w:tc>
          <w:tcPr>
            <w:tcW w:w="1928" w:type="dxa"/>
            <w:shd w:val="clear" w:color="auto" w:fill="auto"/>
            <w:tcMar>
              <w:left w:w="144" w:type="dxa"/>
            </w:tcMar>
          </w:tcPr>
          <w:p w:rsidR="00473BCD" w:rsidRPr="00CE189D" w:rsidP="00CE189D">
            <w:pPr>
              <w:widowControl/>
              <w:rPr>
                <w:rFonts w:cs="Arial"/>
              </w:rPr>
            </w:pPr>
            <w:r w:rsidRPr="00CE189D">
              <w:rPr>
                <w:rFonts w:cs="Arial"/>
              </w:rPr>
              <w:t>ER24-1434-00</w:t>
            </w:r>
            <w:r w:rsidRPr="00CE189D" w:rsidR="00B358C3">
              <w:rPr>
                <w:rFonts w:cs="Arial"/>
              </w:rPr>
              <w:t>1</w:t>
            </w:r>
          </w:p>
        </w:tc>
      </w:tr>
    </w:tbl>
    <w:p w:rsidR="00473BCD" w:rsidRPr="00CD0B38" w:rsidP="00AB4409">
      <w:pPr>
        <w:jc w:val="center"/>
      </w:pPr>
      <w:r w:rsidRPr="00AB4409" w:rsidR="00AB4409">
        <w:t>ORDER ACCEPTING AND SUSPENDING FILING, SUBJECT TO REFUND, AND ESTABLISHING HEARING AND SETTLEMENT JUDGE PROCEDURES</w:t>
      </w:r>
    </w:p>
    <w:p w:rsidR="00473BCD" w:rsidRPr="00CD0B38" w:rsidP="00B15580">
      <w:pPr>
        <w:tabs>
          <w:tab w:val="left" w:pos="3326"/>
          <w:tab w:val="center" w:pos="4680"/>
        </w:tabs>
      </w:pPr>
      <w:r w:rsidR="00C500BD">
        <w:tab/>
        <w:tab/>
      </w:r>
    </w:p>
    <w:p w:rsidR="00473BCD" w:rsidP="006A78AD">
      <w:pPr>
        <w:widowControl/>
        <w:jc w:val="center"/>
      </w:pPr>
      <w:r w:rsidRPr="006A78AD" w:rsidR="006A78AD">
        <w:t>(Issued August 2, 2024)</w:t>
      </w:r>
    </w:p>
    <w:p w:rsidR="00473BCD" w:rsidRPr="00C26B1C" w:rsidP="006857C6">
      <w:pPr>
        <w:rPr>
          <w:bCs/>
        </w:rPr>
      </w:pPr>
    </w:p>
    <w:p w:rsidR="00473BCD" w:rsidP="00F43380">
      <w:pPr>
        <w:pStyle w:val="FERCparanumber"/>
      </w:pPr>
      <w:r>
        <w:t xml:space="preserve">On March 8, 2024, </w:t>
      </w:r>
      <w:r w:rsidRPr="00473BCD">
        <w:t>pursuant to section 205 of the Federal Power Act (FPA)</w:t>
      </w:r>
      <w:r>
        <w:rPr>
          <w:rStyle w:val="FootnoteReference"/>
        </w:rPr>
        <w:footnoteReference w:id="3"/>
      </w:r>
      <w:r w:rsidRPr="00473BCD">
        <w:t xml:space="preserve"> and Part 35 of the Commission’s regulations,</w:t>
      </w:r>
      <w:r>
        <w:rPr>
          <w:rStyle w:val="FootnoteReference"/>
        </w:rPr>
        <w:footnoteReference w:id="4"/>
      </w:r>
      <w:r>
        <w:t xml:space="preserve"> </w:t>
      </w:r>
      <w:r w:rsidR="00817D6E">
        <w:t>New York Independent System Operator, Inc. (NYISO), on behalf of Central Hudson Gas and Electric Corporation (Central Hudson),</w:t>
      </w:r>
      <w:r>
        <w:t xml:space="preserve"> </w:t>
      </w:r>
      <w:r w:rsidR="00B51E80">
        <w:t xml:space="preserve">submitted </w:t>
      </w:r>
      <w:r>
        <w:t>a new proposed Rate Schedule 21</w:t>
      </w:r>
      <w:r>
        <w:rPr>
          <w:rStyle w:val="FootnoteReference"/>
        </w:rPr>
        <w:footnoteReference w:id="5"/>
      </w:r>
      <w:r>
        <w:t xml:space="preserve"> to provide for Central Hudson’s recovery </w:t>
      </w:r>
      <w:r w:rsidR="006A78AD">
        <w:br/>
      </w:r>
      <w:r>
        <w:t>of costs associated with the provision of Wholesale Distribution Service (</w:t>
      </w:r>
      <w:r w:rsidR="00142F10">
        <w:t xml:space="preserve">WDS) to customers who own electric resources connected to Central Hudson’s distribution system </w:t>
      </w:r>
      <w:r w:rsidR="00D25F84">
        <w:t>and sell the output of those resources through NYISO wholesale markets,</w:t>
      </w:r>
      <w:r w:rsidR="00E17CF8">
        <w:t xml:space="preserve"> </w:t>
      </w:r>
      <w:r w:rsidR="00142F10">
        <w:t xml:space="preserve">as well as customers charging electric energy storage systems for the purposes of </w:t>
      </w:r>
      <w:r w:rsidR="0075137A">
        <w:t xml:space="preserve">making wholesale sales </w:t>
      </w:r>
      <w:r w:rsidR="00142F10">
        <w:t xml:space="preserve">in </w:t>
      </w:r>
      <w:r w:rsidR="00D25F84">
        <w:t>NYIS</w:t>
      </w:r>
      <w:r w:rsidR="00E17CF8">
        <w:t>O</w:t>
      </w:r>
      <w:r w:rsidR="00142F10">
        <w:t xml:space="preserve"> wholesale markets.</w:t>
      </w:r>
      <w:r w:rsidR="00A156F5">
        <w:t xml:space="preserve">  </w:t>
      </w:r>
      <w:r w:rsidR="000F1087">
        <w:t xml:space="preserve">As discussed below, we accept </w:t>
      </w:r>
      <w:r w:rsidR="0034405B">
        <w:t xml:space="preserve">proposed Rate Schedule 21, </w:t>
      </w:r>
      <w:r w:rsidR="00081D92">
        <w:t xml:space="preserve">effective May 8, 2024, </w:t>
      </w:r>
      <w:r w:rsidR="00E77859">
        <w:t xml:space="preserve">suspend it for a nominal period, subject to refund, </w:t>
      </w:r>
      <w:r w:rsidR="00502EA7">
        <w:t xml:space="preserve">and </w:t>
      </w:r>
      <w:r w:rsidR="006B0677">
        <w:t>set this proceeding for hearing and</w:t>
      </w:r>
      <w:r w:rsidR="00502EA7">
        <w:t xml:space="preserve"> </w:t>
      </w:r>
      <w:r w:rsidR="00081D92">
        <w:t>settlement judge procedures.</w:t>
      </w:r>
    </w:p>
    <w:p w:rsidR="00142F10" w:rsidRPr="00142F10" w:rsidP="00142F10">
      <w:pPr>
        <w:pStyle w:val="Heading1"/>
      </w:pPr>
      <w:r w:rsidRPr="00142F10">
        <w:t>Background</w:t>
      </w:r>
    </w:p>
    <w:p w:rsidR="00142F10" w:rsidRPr="00142F10" w:rsidP="00142F10">
      <w:pPr>
        <w:pStyle w:val="FERCparanumber"/>
      </w:pPr>
      <w:r w:rsidRPr="00142F10">
        <w:t xml:space="preserve">In 2018, the Commission issued Order No. 841, which required each Regional Transmission Organization or Independent System Operator (RTO/ISO) to revise </w:t>
      </w:r>
      <w:r w:rsidR="006A78AD">
        <w:br/>
      </w:r>
      <w:r w:rsidRPr="00142F10">
        <w:t>its tariff to establish market rules that facilitate the participation of electric storage</w:t>
      </w:r>
      <w:r w:rsidR="006A78AD">
        <w:br/>
        <w:br/>
      </w:r>
      <w:r w:rsidRPr="00142F10">
        <w:t>resources in RTO/ISO markets.</w:t>
      </w:r>
      <w:r>
        <w:rPr>
          <w:rStyle w:val="FootnoteReference"/>
        </w:rPr>
        <w:footnoteReference w:id="6"/>
      </w:r>
      <w:r w:rsidRPr="00142F10">
        <w:t xml:space="preserve">  On </w:t>
      </w:r>
      <w:r>
        <w:t>December 20, 2019</w:t>
      </w:r>
      <w:r w:rsidR="00C31906">
        <w:t>,</w:t>
      </w:r>
      <w:r>
        <w:t xml:space="preserve"> and August 3, 2020, </w:t>
      </w:r>
      <w:r w:rsidRPr="00142F10">
        <w:t xml:space="preserve">the Commission accepted proposed revisions to </w:t>
      </w:r>
      <w:r>
        <w:t>NYISO’s</w:t>
      </w:r>
      <w:r w:rsidRPr="00142F10">
        <w:t xml:space="preserve"> Market Administration and Control Area Services Tariff and </w:t>
      </w:r>
      <w:r>
        <w:t xml:space="preserve">OATT </w:t>
      </w:r>
      <w:r w:rsidRPr="00142F10">
        <w:t xml:space="preserve">that would enable electric storage resources </w:t>
      </w:r>
      <w:r w:rsidR="006A78AD">
        <w:br/>
      </w:r>
      <w:r w:rsidRPr="00142F10">
        <w:t xml:space="preserve">to participate more fully in </w:t>
      </w:r>
      <w:r>
        <w:t>NYISO’s</w:t>
      </w:r>
      <w:r w:rsidRPr="00142F10">
        <w:t xml:space="preserve"> markets.</w:t>
      </w:r>
      <w:r>
        <w:rPr>
          <w:rStyle w:val="FootnoteReference"/>
        </w:rPr>
        <w:footnoteReference w:id="7"/>
      </w:r>
      <w:r w:rsidRPr="00142F10">
        <w:t xml:space="preserve">  </w:t>
      </w:r>
    </w:p>
    <w:p w:rsidR="00BF59F5" w:rsidP="00142F10">
      <w:pPr>
        <w:pStyle w:val="FERCparanumber"/>
      </w:pPr>
      <w:r w:rsidRPr="00142F10" w:rsidR="00142F10">
        <w:t>In Order No. 841, the Commission found that it had jurisdiction over the rates charged for the sale of energy for resale from the grid to storage resources.</w:t>
      </w:r>
      <w:r>
        <w:rPr>
          <w:rStyle w:val="FootnoteReference"/>
        </w:rPr>
        <w:footnoteReference w:id="8"/>
      </w:r>
      <w:r w:rsidRPr="00142F10" w:rsidR="00142F10">
        <w:t xml:space="preserve">  The Commission also noted that “it may be appropriate, on a case-by-case basis, for distribution utilities to assess a charge on electric storage resources.”</w:t>
      </w:r>
      <w:r>
        <w:rPr>
          <w:rStyle w:val="FootnoteReference"/>
        </w:rPr>
        <w:footnoteReference w:id="9"/>
      </w:r>
      <w:r w:rsidRPr="00142F10" w:rsidR="00142F10">
        <w:t xml:space="preserve">  </w:t>
      </w:r>
      <w:r w:rsidR="00B64575">
        <w:t xml:space="preserve">In </w:t>
      </w:r>
      <w:r w:rsidR="00EA266C">
        <w:t xml:space="preserve">2020, the Commission issued </w:t>
      </w:r>
      <w:r w:rsidRPr="0023396B" w:rsidR="0023396B">
        <w:t xml:space="preserve">Order No. 2222, </w:t>
      </w:r>
      <w:r w:rsidR="00EA266C">
        <w:t xml:space="preserve">in which </w:t>
      </w:r>
      <w:r w:rsidRPr="0023396B" w:rsidR="0023396B">
        <w:t xml:space="preserve">the Commission adopted reforms </w:t>
      </w:r>
      <w:bookmarkStart w:id="0" w:name="_Hlk72939348"/>
      <w:r w:rsidRPr="0023396B" w:rsidR="0023396B">
        <w:t>to remove barriers to the participation of distributed energy resource</w:t>
      </w:r>
      <w:r w:rsidRPr="0023396B" w:rsidR="0023396B">
        <w:rPr>
          <w:b/>
          <w:bCs/>
        </w:rPr>
        <w:t xml:space="preserve"> </w:t>
      </w:r>
      <w:r w:rsidRPr="0023396B" w:rsidR="0023396B">
        <w:t xml:space="preserve">aggregations in </w:t>
      </w:r>
      <w:r w:rsidR="006A78AD">
        <w:br/>
      </w:r>
      <w:r w:rsidRPr="0023396B" w:rsidR="0023396B">
        <w:t>the RTO/ISO markets</w:t>
      </w:r>
      <w:bookmarkEnd w:id="0"/>
      <w:r w:rsidRPr="0023396B" w:rsidR="0023396B">
        <w:t>.</w:t>
      </w:r>
      <w:r>
        <w:rPr>
          <w:rStyle w:val="FootnoteReference"/>
        </w:rPr>
        <w:footnoteReference w:id="10"/>
      </w:r>
      <w:r w:rsidRPr="0023396B" w:rsidR="0023396B">
        <w:t xml:space="preserve">  </w:t>
      </w:r>
      <w:r w:rsidR="000A5701">
        <w:t>The Commission</w:t>
      </w:r>
      <w:r w:rsidR="00E377F0">
        <w:t xml:space="preserve">, consistent with its conclusion in Order </w:t>
      </w:r>
      <w:r w:rsidR="006A78AD">
        <w:br/>
      </w:r>
      <w:r w:rsidR="00E377F0">
        <w:t xml:space="preserve">Nos. 841 and 841-A, </w:t>
      </w:r>
      <w:r w:rsidR="004607DD">
        <w:t>found</w:t>
      </w:r>
      <w:r w:rsidR="008D2383">
        <w:t xml:space="preserve"> that</w:t>
      </w:r>
      <w:r w:rsidR="004607DD">
        <w:t xml:space="preserve"> </w:t>
      </w:r>
      <w:r w:rsidR="008D2383">
        <w:t>“</w:t>
      </w:r>
      <w:r w:rsidRPr="008D2383" w:rsidR="008D2383">
        <w:t xml:space="preserve">it may also be appropriate, on a case-by-case basis, </w:t>
      </w:r>
      <w:r w:rsidR="006A78AD">
        <w:br/>
      </w:r>
      <w:r w:rsidRPr="008D2383" w:rsidR="008D2383">
        <w:t>for distribution utilities to assess a wholesale distribution charge on distributed energy resource aggregators</w:t>
      </w:r>
      <w:r w:rsidR="008D2383">
        <w:t>.”</w:t>
      </w:r>
      <w:r>
        <w:rPr>
          <w:rStyle w:val="FootnoteReference"/>
        </w:rPr>
        <w:footnoteReference w:id="11"/>
      </w:r>
    </w:p>
    <w:p w:rsidR="00EA0BC6" w:rsidP="00E334B0">
      <w:pPr>
        <w:pStyle w:val="FERCparanumber"/>
      </w:pPr>
      <w:r>
        <w:t>Central Hudson is a New York corporation that</w:t>
      </w:r>
      <w:r w:rsidR="004D6D56">
        <w:t xml:space="preserve">:  (1) </w:t>
      </w:r>
      <w:r>
        <w:t>distributes natural gas for residential, commercial, and industrial use</w:t>
      </w:r>
      <w:r w:rsidR="00AE6D4E">
        <w:t>;</w:t>
      </w:r>
      <w:r>
        <w:t xml:space="preserve"> </w:t>
      </w:r>
      <w:r w:rsidR="004D6D56">
        <w:t xml:space="preserve">(2) </w:t>
      </w:r>
      <w:r>
        <w:t>transmits and distributes electric power to wholesale and retail customers</w:t>
      </w:r>
      <w:r w:rsidR="00C529E0">
        <w:t>;</w:t>
      </w:r>
      <w:r>
        <w:t xml:space="preserve"> and </w:t>
      </w:r>
      <w:r w:rsidR="004D6D56">
        <w:t xml:space="preserve">(3) </w:t>
      </w:r>
      <w:r>
        <w:t>transmits electric power on behalf of third parties.</w:t>
      </w:r>
      <w:r>
        <w:rPr>
          <w:rStyle w:val="FootnoteReference"/>
        </w:rPr>
        <w:footnoteReference w:id="12"/>
      </w:r>
      <w:r>
        <w:t xml:space="preserve">  Central Hudson is a participant in NYISO’s electricity markets and holds market-based rate tariff authority under the FPA.</w:t>
      </w:r>
    </w:p>
    <w:p w:rsidR="00023076" w:rsidP="00C92EA5">
      <w:pPr>
        <w:pStyle w:val="Heading1"/>
      </w:pPr>
      <w:r w:rsidR="00C92EA5">
        <w:t>Filing</w:t>
      </w:r>
    </w:p>
    <w:p w:rsidR="00572409" w:rsidP="00572409">
      <w:pPr>
        <w:pStyle w:val="FERCparanumber"/>
      </w:pPr>
      <w:r>
        <w:t>Central Hudson states that it</w:t>
      </w:r>
      <w:r w:rsidR="00A048FD">
        <w:t xml:space="preserve">s </w:t>
      </w:r>
      <w:r w:rsidR="002D0F82">
        <w:t xml:space="preserve">new </w:t>
      </w:r>
      <w:r w:rsidR="002615B0">
        <w:t>propose</w:t>
      </w:r>
      <w:r w:rsidR="00A048FD">
        <w:t>d</w:t>
      </w:r>
      <w:r w:rsidR="002615B0">
        <w:t xml:space="preserve"> Rate Schedule 21 </w:t>
      </w:r>
      <w:r w:rsidR="00A048FD">
        <w:t>will</w:t>
      </w:r>
      <w:r w:rsidR="002615B0">
        <w:t xml:space="preserve"> enable Central Hudson to provide </w:t>
      </w:r>
      <w:r w:rsidR="009D4A3C">
        <w:t>WDS to generation or storage resources interconnected to Central Hudson’s distribution system that seek to participate in NYISO-administered wholesale markets.</w:t>
      </w:r>
      <w:r>
        <w:rPr>
          <w:rStyle w:val="FootnoteReference"/>
        </w:rPr>
        <w:footnoteReference w:id="13"/>
      </w:r>
      <w:r w:rsidR="009D4A3C">
        <w:t xml:space="preserve">  </w:t>
      </w:r>
      <w:r w:rsidR="00A0453C">
        <w:t>Central Hudson states that</w:t>
      </w:r>
      <w:r w:rsidR="00097D4E">
        <w:t>,</w:t>
      </w:r>
      <w:r w:rsidR="00A0453C">
        <w:t xml:space="preserve"> pursuant to proposed section 6.21.3 of Rate Schedule 21, WDS will </w:t>
      </w:r>
      <w:r w:rsidR="00433746">
        <w:t>b</w:t>
      </w:r>
      <w:r w:rsidR="00A0453C">
        <w:t>e available to any Central Hudson customer who</w:t>
      </w:r>
      <w:r w:rsidR="00433746">
        <w:t>:  (1) owns an electric generator, including an electric energy storage system that is connected to Central Hudson’s distribution</w:t>
      </w:r>
      <w:r w:rsidR="003825A1">
        <w:t xml:space="preserve"> system</w:t>
      </w:r>
      <w:r w:rsidR="00635434">
        <w:t>;</w:t>
      </w:r>
      <w:r w:rsidR="00B01BFA">
        <w:t xml:space="preserve"> (2) proposes to directly engage in wholesale energy and other market transactions</w:t>
      </w:r>
      <w:r w:rsidR="006F1EB2">
        <w:t>;</w:t>
      </w:r>
      <w:r w:rsidR="00B01BFA">
        <w:t xml:space="preserve"> and (3) signs a separate agreement with </w:t>
      </w:r>
      <w:r w:rsidR="00CC1D83">
        <w:t>C</w:t>
      </w:r>
      <w:r w:rsidR="00B01BFA">
        <w:t xml:space="preserve">entral Hudson for the </w:t>
      </w:r>
      <w:r w:rsidR="00CC1D83">
        <w:t>interconnection and parallel operation of its generator.</w:t>
      </w:r>
      <w:r>
        <w:rPr>
          <w:rStyle w:val="FootnoteReference"/>
        </w:rPr>
        <w:footnoteReference w:id="14"/>
      </w:r>
      <w:r w:rsidR="00CC1D83">
        <w:t xml:space="preserve">  </w:t>
      </w:r>
    </w:p>
    <w:p w:rsidR="00CC1D83" w:rsidP="00572409">
      <w:pPr>
        <w:pStyle w:val="FERCparanumber"/>
      </w:pPr>
      <w:r w:rsidR="002B19BD">
        <w:t>Central Hudson states that</w:t>
      </w:r>
      <w:r w:rsidR="00FD0E88">
        <w:t>,</w:t>
      </w:r>
      <w:r w:rsidR="002B19BD">
        <w:t xml:space="preserve"> under proposed Rate Schedule 21, </w:t>
      </w:r>
      <w:r w:rsidR="005864D3">
        <w:t>eligible customer</w:t>
      </w:r>
      <w:r w:rsidR="004C6B54">
        <w:t>s</w:t>
      </w:r>
      <w:r w:rsidR="005864D3">
        <w:t xml:space="preserve"> will pay Central Hudso</w:t>
      </w:r>
      <w:r w:rsidR="004F264E">
        <w:t>n to</w:t>
      </w:r>
      <w:r w:rsidR="005864D3">
        <w:t xml:space="preserve"> deliver electric energy </w:t>
      </w:r>
      <w:r w:rsidR="00847FE2">
        <w:t xml:space="preserve">at wholesale over Central Hudson’s </w:t>
      </w:r>
      <w:r w:rsidR="0090678D">
        <w:t>distribution facilities</w:t>
      </w:r>
      <w:r w:rsidR="004F264E">
        <w:t xml:space="preserve">, </w:t>
      </w:r>
      <w:r w:rsidR="00182383">
        <w:t>which is referred to as</w:t>
      </w:r>
      <w:r w:rsidR="004F264E">
        <w:t xml:space="preserve"> Wholesale Energy Export Service.</w:t>
      </w:r>
      <w:r>
        <w:rPr>
          <w:rStyle w:val="FootnoteReference"/>
        </w:rPr>
        <w:footnoteReference w:id="15"/>
      </w:r>
      <w:r w:rsidR="00797245">
        <w:t xml:space="preserve">  Central Hudson states that</w:t>
      </w:r>
      <w:r w:rsidR="00C976B0">
        <w:t xml:space="preserve">, under proposed Rate Schedule 21, </w:t>
      </w:r>
      <w:r w:rsidR="00797245">
        <w:t xml:space="preserve">customers with an electric energy storage system charging to sell through NYISO’s wholesale markets will pay Central Hudson for the provision of service over Central Hudson’s </w:t>
      </w:r>
      <w:r w:rsidR="00182383">
        <w:t>distribution facilities necessary to facilitate that charging, which is referred to as Wholesale Charging Service.</w:t>
      </w:r>
      <w:r w:rsidR="00E93DC4">
        <w:t xml:space="preserve">  Central Hudson asserts that the rates for Central Hudson’s Wholesale Energy Export Service and Wholesale Charging Services</w:t>
      </w:r>
      <w:r w:rsidR="00383958">
        <w:t xml:space="preserve"> have been established in accordance with the calculation methodologies for Central Hudson’s </w:t>
      </w:r>
      <w:r w:rsidR="00714EC6">
        <w:t>s</w:t>
      </w:r>
      <w:r w:rsidR="00383958">
        <w:t xml:space="preserve">tandby and </w:t>
      </w:r>
      <w:r w:rsidR="00714EC6">
        <w:t>b</w:t>
      </w:r>
      <w:r w:rsidR="00383958">
        <w:t xml:space="preserve">uyback </w:t>
      </w:r>
      <w:r w:rsidR="00714EC6">
        <w:t>r</w:t>
      </w:r>
      <w:r w:rsidR="00383958">
        <w:t xml:space="preserve">ates approved by </w:t>
      </w:r>
      <w:r w:rsidR="00A94328">
        <w:t xml:space="preserve">the </w:t>
      </w:r>
      <w:r w:rsidR="00383958">
        <w:t xml:space="preserve">New York </w:t>
      </w:r>
      <w:r w:rsidR="00AC0198">
        <w:t xml:space="preserve">State </w:t>
      </w:r>
      <w:r w:rsidR="00F97F6A">
        <w:t xml:space="preserve">Public Service </w:t>
      </w:r>
      <w:r w:rsidR="00383958">
        <w:t>Commission</w:t>
      </w:r>
      <w:r w:rsidR="00F97F6A">
        <w:t xml:space="preserve"> (New York Commission)</w:t>
      </w:r>
      <w:r w:rsidR="00383958">
        <w:t>.</w:t>
      </w:r>
    </w:p>
    <w:p w:rsidR="00C75214" w:rsidP="00C75214">
      <w:pPr>
        <w:pStyle w:val="FERCparanumber"/>
      </w:pPr>
      <w:r>
        <w:t>Central Hudson</w:t>
      </w:r>
      <w:r w:rsidR="00F97F6A">
        <w:t xml:space="preserve"> explains</w:t>
      </w:r>
      <w:r>
        <w:t xml:space="preserve"> that it submitted draft tariff amendments to the New York Commission on July 14, 2022</w:t>
      </w:r>
      <w:r w:rsidR="00612782">
        <w:t>,</w:t>
      </w:r>
      <w:r>
        <w:t xml:space="preserve"> to update its </w:t>
      </w:r>
      <w:r w:rsidR="00714EC6">
        <w:t>s</w:t>
      </w:r>
      <w:r>
        <w:t xml:space="preserve">tandby and </w:t>
      </w:r>
      <w:r w:rsidR="00714EC6">
        <w:t>b</w:t>
      </w:r>
      <w:r>
        <w:t xml:space="preserve">uyback service rates, in compliance with a March 2022 order issued by the New York Commission requiring New York utilities to update </w:t>
      </w:r>
      <w:r w:rsidR="005B2AB3">
        <w:t>s</w:t>
      </w:r>
      <w:r>
        <w:t xml:space="preserve">tandby and </w:t>
      </w:r>
      <w:r w:rsidR="005B2AB3">
        <w:t>b</w:t>
      </w:r>
      <w:r>
        <w:t xml:space="preserve">uyback rates to incorporate the </w:t>
      </w:r>
      <w:r w:rsidR="00714EC6">
        <w:t>a</w:t>
      </w:r>
      <w:r>
        <w:t>llocated</w:t>
      </w:r>
      <w:r w:rsidR="006A78AD">
        <w:br/>
      </w:r>
      <w:r>
        <w:t xml:space="preserve"> </w:t>
      </w:r>
      <w:r w:rsidR="006A78AD">
        <w:br/>
      </w:r>
      <w:r w:rsidR="00714EC6">
        <w:t>c</w:t>
      </w:r>
      <w:r>
        <w:t xml:space="preserve">ost of </w:t>
      </w:r>
      <w:r w:rsidR="00714EC6">
        <w:t>s</w:t>
      </w:r>
      <w:r>
        <w:t xml:space="preserve">ervice </w:t>
      </w:r>
      <w:r w:rsidR="000C386E">
        <w:t xml:space="preserve">(ACOS) </w:t>
      </w:r>
      <w:r>
        <w:t>methodology.</w:t>
      </w:r>
      <w:r>
        <w:rPr>
          <w:rStyle w:val="FootnoteReference"/>
        </w:rPr>
        <w:footnoteReference w:id="16"/>
      </w:r>
      <w:r>
        <w:t xml:space="preserve">  Central Hudson explains that </w:t>
      </w:r>
      <w:r w:rsidR="00714EC6">
        <w:t>s</w:t>
      </w:r>
      <w:r>
        <w:t xml:space="preserve">tandby </w:t>
      </w:r>
      <w:r w:rsidR="00714EC6">
        <w:t>r</w:t>
      </w:r>
      <w:r>
        <w:t xml:space="preserve">ates compensate a utility for being available in case a customer’s on-site distributed generation does not fully offset a customer’s load, and </w:t>
      </w:r>
      <w:r w:rsidR="00714EC6">
        <w:t>b</w:t>
      </w:r>
      <w:r>
        <w:t xml:space="preserve">uyback </w:t>
      </w:r>
      <w:r w:rsidR="00714EC6">
        <w:t>r</w:t>
      </w:r>
      <w:r>
        <w:t>ates account for the utility’s payment to the customer for its export power, based on wholesale prices for energy and capacity in the NYISO market.  Central Hudson states that</w:t>
      </w:r>
      <w:r w:rsidR="00915591">
        <w:t>,</w:t>
      </w:r>
      <w:r>
        <w:t xml:space="preserve"> on October 13, 2023, </w:t>
      </w:r>
      <w:r w:rsidR="00231EB6">
        <w:t xml:space="preserve">the </w:t>
      </w:r>
      <w:r>
        <w:t>New York Commission approved the tariff amendments to Central Hudson’s state retail tariff, subject to further compliance.</w:t>
      </w:r>
      <w:r>
        <w:rPr>
          <w:rStyle w:val="FootnoteReference"/>
        </w:rPr>
        <w:footnoteReference w:id="17"/>
      </w:r>
      <w:r>
        <w:t xml:space="preserve">  Specifically,</w:t>
      </w:r>
      <w:r w:rsidR="000E2605">
        <w:t xml:space="preserve"> Central Hudson states that</w:t>
      </w:r>
      <w:r>
        <w:t xml:space="preserve"> the New York Commission directed Central Hudson to submit a further compliance filing with updated tariff </w:t>
      </w:r>
      <w:r w:rsidR="00DB2C69">
        <w:t xml:space="preserve">revisions </w:t>
      </w:r>
      <w:r>
        <w:t>to become effective on a temporary basis as of January 1, 2024.</w:t>
      </w:r>
    </w:p>
    <w:p w:rsidR="00915938" w:rsidP="00B50736">
      <w:pPr>
        <w:pStyle w:val="FERCparanumber"/>
      </w:pPr>
      <w:r w:rsidR="002378BB">
        <w:t xml:space="preserve">Central Hudson </w:t>
      </w:r>
      <w:r w:rsidR="00257A18">
        <w:t>state</w:t>
      </w:r>
      <w:r w:rsidR="00CB759B">
        <w:t xml:space="preserve">s that </w:t>
      </w:r>
      <w:r w:rsidR="00545213">
        <w:t xml:space="preserve">it prepares an </w:t>
      </w:r>
      <w:r w:rsidR="00714EC6">
        <w:t>e</w:t>
      </w:r>
      <w:r w:rsidR="00545213">
        <w:t xml:space="preserve">mbedded </w:t>
      </w:r>
      <w:r w:rsidR="00714EC6">
        <w:t>c</w:t>
      </w:r>
      <w:r w:rsidR="00545213">
        <w:t xml:space="preserve">ost of </w:t>
      </w:r>
      <w:r w:rsidR="00714EC6">
        <w:t>s</w:t>
      </w:r>
      <w:r w:rsidR="00545213">
        <w:t xml:space="preserve">ervice study (ECOS Study) as a preliminary step to developing its electric retail rates, including the </w:t>
      </w:r>
      <w:r w:rsidR="00714EC6">
        <w:t>s</w:t>
      </w:r>
      <w:r w:rsidR="00545213">
        <w:t xml:space="preserve">tandby and </w:t>
      </w:r>
      <w:r w:rsidR="00714EC6">
        <w:t>b</w:t>
      </w:r>
      <w:r w:rsidR="00545213">
        <w:t xml:space="preserve">uyback </w:t>
      </w:r>
      <w:r w:rsidR="00714EC6">
        <w:t>r</w:t>
      </w:r>
      <w:r w:rsidR="00545213">
        <w:t>ates</w:t>
      </w:r>
      <w:r w:rsidR="003362B9">
        <w:t>.</w:t>
      </w:r>
      <w:r>
        <w:rPr>
          <w:rStyle w:val="FootnoteReference"/>
        </w:rPr>
        <w:footnoteReference w:id="18"/>
      </w:r>
      <w:r w:rsidR="003362B9">
        <w:t xml:space="preserve">  </w:t>
      </w:r>
      <w:r w:rsidR="00B34D38">
        <w:t xml:space="preserve">Central Hudson </w:t>
      </w:r>
      <w:r w:rsidR="00257A18">
        <w:t>explain</w:t>
      </w:r>
      <w:r w:rsidR="00B34D38">
        <w:t>s that th</w:t>
      </w:r>
      <w:r w:rsidR="003362B9">
        <w:t>e ECOS Study apportions Central Hudson’s total revenue requirement among the retail service classes</w:t>
      </w:r>
      <w:r w:rsidR="007C52A9">
        <w:t xml:space="preserve">.  Central Hudson </w:t>
      </w:r>
      <w:r w:rsidR="00334697">
        <w:t xml:space="preserve">further </w:t>
      </w:r>
      <w:r w:rsidR="007C52A9">
        <w:t>explains that it use</w:t>
      </w:r>
      <w:r w:rsidR="008327CF">
        <w:t>s</w:t>
      </w:r>
      <w:r w:rsidR="007C52A9">
        <w:t xml:space="preserve"> an updated </w:t>
      </w:r>
      <w:r w:rsidR="002709C4">
        <w:t>ACOS</w:t>
      </w:r>
      <w:r w:rsidR="00C04868">
        <w:t xml:space="preserve"> methodology to allocate Central Hudson’s costs between shared and local components, using the </w:t>
      </w:r>
      <w:r w:rsidR="00714EC6">
        <w:t>d</w:t>
      </w:r>
      <w:r w:rsidR="00C04868">
        <w:t xml:space="preserve">ecision </w:t>
      </w:r>
      <w:r w:rsidR="00714EC6">
        <w:t>t</w:t>
      </w:r>
      <w:r w:rsidR="00C04868">
        <w:t>ree methodology prescribed by the New York Commission</w:t>
      </w:r>
      <w:r w:rsidR="008D00A5">
        <w:t xml:space="preserve"> (ACOS Study)</w:t>
      </w:r>
      <w:r w:rsidR="005E432E">
        <w:t>.</w:t>
      </w:r>
      <w:r>
        <w:rPr>
          <w:rStyle w:val="FootnoteReference"/>
        </w:rPr>
        <w:footnoteReference w:id="19"/>
      </w:r>
      <w:r w:rsidR="005E432E">
        <w:t xml:space="preserve">  The ACOS Study’s allocation of shared versus local costs </w:t>
      </w:r>
      <w:r w:rsidR="006329A5">
        <w:t>is the basis for the revenue requirements associated with the As-</w:t>
      </w:r>
      <w:r w:rsidR="00714EC6">
        <w:t>U</w:t>
      </w:r>
      <w:r w:rsidR="006329A5">
        <w:t xml:space="preserve">sed Daily Demand Charges and the Contract Demand Charges in Central Hudson’s </w:t>
      </w:r>
      <w:r w:rsidR="00714EC6">
        <w:t>s</w:t>
      </w:r>
      <w:r w:rsidR="006329A5">
        <w:t xml:space="preserve">tandby </w:t>
      </w:r>
      <w:r w:rsidR="00714EC6">
        <w:t>r</w:t>
      </w:r>
      <w:r w:rsidR="006329A5">
        <w:t>ate design</w:t>
      </w:r>
      <w:r w:rsidR="00D5208A">
        <w:t xml:space="preserve">, which </w:t>
      </w:r>
      <w:r w:rsidR="00F72AC2">
        <w:t xml:space="preserve">also </w:t>
      </w:r>
      <w:r w:rsidR="00D5208A">
        <w:t>form the basis for establishing WDS rates as adjusted to exclude transmission revenue</w:t>
      </w:r>
      <w:r w:rsidR="00D32579">
        <w:t>,</w:t>
      </w:r>
      <w:r w:rsidR="00AE440D">
        <w:t xml:space="preserve"> as shown in </w:t>
      </w:r>
      <w:r w:rsidR="00445109">
        <w:t xml:space="preserve">the </w:t>
      </w:r>
      <w:r w:rsidRPr="00445109" w:rsidR="00445109">
        <w:t xml:space="preserve">WDS </w:t>
      </w:r>
      <w:r w:rsidR="00445109">
        <w:t>r</w:t>
      </w:r>
      <w:r w:rsidRPr="00445109" w:rsidR="00445109">
        <w:t xml:space="preserve">evenue </w:t>
      </w:r>
      <w:r w:rsidR="00445109">
        <w:t>r</w:t>
      </w:r>
      <w:r w:rsidRPr="00445109" w:rsidR="00445109">
        <w:t xml:space="preserve">equirement and </w:t>
      </w:r>
      <w:r w:rsidR="00445109">
        <w:t>r</w:t>
      </w:r>
      <w:r w:rsidRPr="00445109" w:rsidR="00445109">
        <w:t xml:space="preserve">ate </w:t>
      </w:r>
      <w:r w:rsidR="00445109">
        <w:t>d</w:t>
      </w:r>
      <w:r w:rsidRPr="00445109" w:rsidR="00445109">
        <w:t>esign</w:t>
      </w:r>
      <w:r w:rsidR="00445109">
        <w:t xml:space="preserve"> calculations in </w:t>
      </w:r>
      <w:r w:rsidR="00AE440D">
        <w:t>Attachment C</w:t>
      </w:r>
      <w:r w:rsidR="00445109">
        <w:t xml:space="preserve"> to the filing</w:t>
      </w:r>
      <w:r w:rsidR="00D5208A">
        <w:t>.</w:t>
      </w:r>
      <w:r>
        <w:rPr>
          <w:rStyle w:val="FootnoteReference"/>
        </w:rPr>
        <w:footnoteReference w:id="20"/>
      </w:r>
    </w:p>
    <w:p w:rsidR="00D5208A" w:rsidP="00B50736">
      <w:pPr>
        <w:pStyle w:val="FERCparanumber"/>
      </w:pPr>
      <w:r w:rsidR="0072303F">
        <w:t xml:space="preserve">Central Hudson states that the rate design for the Wholesale Charging Service </w:t>
      </w:r>
      <w:r w:rsidR="002A68D0">
        <w:t xml:space="preserve">as described </w:t>
      </w:r>
      <w:r w:rsidR="0072303F">
        <w:t xml:space="preserve">in </w:t>
      </w:r>
      <w:r w:rsidR="00EF59F9">
        <w:t xml:space="preserve">proposed </w:t>
      </w:r>
      <w:r w:rsidR="0072303F">
        <w:t xml:space="preserve">section 6.21.5.2 of </w:t>
      </w:r>
      <w:r w:rsidR="00EF59F9">
        <w:t xml:space="preserve">Rate Schedule 21 is based on the calculation methodology for Central Hudson’s approved </w:t>
      </w:r>
      <w:r w:rsidR="004D7AF7">
        <w:t xml:space="preserve">retail </w:t>
      </w:r>
      <w:r w:rsidR="00F32A57">
        <w:t>s</w:t>
      </w:r>
      <w:r w:rsidR="00EF59F9">
        <w:t xml:space="preserve">tandby </w:t>
      </w:r>
      <w:r w:rsidR="00F32A57">
        <w:t>r</w:t>
      </w:r>
      <w:r w:rsidR="00EF59F9">
        <w:t>ates</w:t>
      </w:r>
      <w:r w:rsidR="00D11CBB">
        <w:t>.</w:t>
      </w:r>
      <w:r>
        <w:rPr>
          <w:rStyle w:val="FootnoteReference"/>
        </w:rPr>
        <w:footnoteReference w:id="21"/>
      </w:r>
      <w:r w:rsidR="00D11CBB">
        <w:t xml:space="preserve">  The </w:t>
      </w:r>
      <w:r w:rsidR="002F447C">
        <w:t xml:space="preserve">retail </w:t>
      </w:r>
      <w:r w:rsidR="00714EC6">
        <w:t>s</w:t>
      </w:r>
      <w:r w:rsidR="00D11CBB">
        <w:t xml:space="preserve">tandby </w:t>
      </w:r>
      <w:r w:rsidR="00714EC6">
        <w:t>r</w:t>
      </w:r>
      <w:r w:rsidR="00D11CBB">
        <w:t>ates</w:t>
      </w:r>
      <w:r w:rsidR="000749C3">
        <w:t>’</w:t>
      </w:r>
      <w:r w:rsidR="00D11CBB">
        <w:t xml:space="preserve"> </w:t>
      </w:r>
      <w:r w:rsidR="001275AA">
        <w:t xml:space="preserve">components </w:t>
      </w:r>
      <w:r w:rsidR="00D11CBB">
        <w:t xml:space="preserve">include a </w:t>
      </w:r>
      <w:r w:rsidR="00B86D45">
        <w:t>C</w:t>
      </w:r>
      <w:r w:rsidR="00D11CBB">
        <w:t xml:space="preserve">ustomer </w:t>
      </w:r>
      <w:r w:rsidR="00B86D45">
        <w:t>C</w:t>
      </w:r>
      <w:r w:rsidR="00D11CBB">
        <w:t>harge, the As-</w:t>
      </w:r>
      <w:r w:rsidR="00714EC6">
        <w:t>U</w:t>
      </w:r>
      <w:r w:rsidR="00D11CBB">
        <w:t xml:space="preserve">sed Daily </w:t>
      </w:r>
      <w:r w:rsidR="008D6A27">
        <w:t xml:space="preserve">Demand </w:t>
      </w:r>
      <w:r w:rsidR="00D11CBB">
        <w:t xml:space="preserve">Charges, Contract Demand Charges, and if applicable, a </w:t>
      </w:r>
      <w:r w:rsidR="00183CDF">
        <w:t>R</w:t>
      </w:r>
      <w:r w:rsidR="00D11CBB">
        <w:t xml:space="preserve">eactive </w:t>
      </w:r>
      <w:r w:rsidR="00183CDF">
        <w:t>D</w:t>
      </w:r>
      <w:r w:rsidR="00D11CBB">
        <w:t xml:space="preserve">emand </w:t>
      </w:r>
      <w:r w:rsidR="00D23FB6">
        <w:t>C</w:t>
      </w:r>
      <w:r w:rsidR="00D11CBB">
        <w:t xml:space="preserve">harge.  </w:t>
      </w:r>
      <w:r w:rsidR="00B15794">
        <w:t xml:space="preserve">Central Hudson states that the Wholesale Charging Service rates are calculated from the revenue requirements for each </w:t>
      </w:r>
      <w:r w:rsidR="00714EC6">
        <w:t>s</w:t>
      </w:r>
      <w:r w:rsidR="00B15794">
        <w:t xml:space="preserve">tandby </w:t>
      </w:r>
      <w:r w:rsidR="00714EC6">
        <w:t>r</w:t>
      </w:r>
      <w:r w:rsidR="00B15794">
        <w:t>ate component</w:t>
      </w:r>
      <w:r w:rsidR="001275AA">
        <w:t xml:space="preserve">, with the transmission costs removed.  Central Hudson explains that the net revenue requirements of each rate component are blended and divided by the respective billing determinants to develop rates that are based on voltage </w:t>
      </w:r>
      <w:r w:rsidR="00FA2089">
        <w:t xml:space="preserve">delivery service level, rather than only service class. </w:t>
      </w:r>
      <w:r w:rsidR="00B021C7">
        <w:t xml:space="preserve"> Central Hudson states that proposed sections 6.21.5.2.1.1 and 6.21.5.2.1.2 of Rate Schedule 21 set forth the requirements </w:t>
      </w:r>
      <w:r w:rsidR="002A68D0">
        <w:t xml:space="preserve">for determining each customer’s Contract Demand.  Central Hudson states that </w:t>
      </w:r>
      <w:r w:rsidR="0098028F">
        <w:t xml:space="preserve">proposed </w:t>
      </w:r>
      <w:r w:rsidR="002A68D0">
        <w:t xml:space="preserve">section 6.21.7 of Rate Schedule 21 </w:t>
      </w:r>
      <w:r w:rsidR="005A0ADE">
        <w:t>specifies the monthly rates customers with electric energy storage systems charging to sell to NYISO or to a third party for wholesale purposes will pay to Central Hudson.</w:t>
      </w:r>
    </w:p>
    <w:p w:rsidR="00B021C7" w:rsidP="00B50736">
      <w:pPr>
        <w:pStyle w:val="FERCparanumber"/>
      </w:pPr>
      <w:r>
        <w:t xml:space="preserve">Central Hudson states that the Wholesale Energy Export Demand rates </w:t>
      </w:r>
      <w:r w:rsidR="004D2B85">
        <w:t>are outlined in</w:t>
      </w:r>
      <w:r>
        <w:t xml:space="preserve"> proposed section 6.21.6 of </w:t>
      </w:r>
      <w:r w:rsidR="004D2B85">
        <w:t>Rate Schedule 21.</w:t>
      </w:r>
      <w:r>
        <w:rPr>
          <w:rStyle w:val="FootnoteReference"/>
        </w:rPr>
        <w:footnoteReference w:id="22"/>
      </w:r>
      <w:r w:rsidR="0018041F">
        <w:t xml:space="preserve">  </w:t>
      </w:r>
      <w:r w:rsidR="00234C48">
        <w:t xml:space="preserve">Central Hudson explains </w:t>
      </w:r>
      <w:r w:rsidR="006A78AD">
        <w:br/>
      </w:r>
      <w:r w:rsidR="00234C48">
        <w:t>that</w:t>
      </w:r>
      <w:r w:rsidR="00C1108D">
        <w:t>,</w:t>
      </w:r>
      <w:r w:rsidR="00234C48">
        <w:t xml:space="preserve"> pursuant to proposed section 6.21.5.1.1, the Wholesale Energy Demand Charge </w:t>
      </w:r>
      <w:r w:rsidR="006A78AD">
        <w:br/>
      </w:r>
      <w:r w:rsidR="00204792">
        <w:t xml:space="preserve">will be based on the </w:t>
      </w:r>
      <w:r w:rsidR="00323434">
        <w:t>demand quantity</w:t>
      </w:r>
      <w:r w:rsidR="002B1CD3">
        <w:t xml:space="preserve"> </w:t>
      </w:r>
      <w:r w:rsidR="000A7E0D">
        <w:t xml:space="preserve">and the </w:t>
      </w:r>
      <w:r w:rsidR="00AC2A84">
        <w:t>Wholesale Energy Export Demand rates</w:t>
      </w:r>
      <w:r w:rsidR="00DE7BE4">
        <w:t>.</w:t>
      </w:r>
      <w:r>
        <w:rPr>
          <w:rStyle w:val="FootnoteReference"/>
        </w:rPr>
        <w:footnoteReference w:id="23"/>
      </w:r>
      <w:r w:rsidR="00AC2A84">
        <w:t xml:space="preserve">  Central Hudson states that the demand rates were developed using the </w:t>
      </w:r>
      <w:r w:rsidR="00663CED">
        <w:t xml:space="preserve">same </w:t>
      </w:r>
      <w:r w:rsidR="00AC2A84">
        <w:t xml:space="preserve">local revenue requirements </w:t>
      </w:r>
      <w:r w:rsidR="00663CED">
        <w:t xml:space="preserve">as Central Hudson’s retail </w:t>
      </w:r>
      <w:r w:rsidR="00714EC6">
        <w:t>s</w:t>
      </w:r>
      <w:r w:rsidR="00663CED">
        <w:t xml:space="preserve">tandby </w:t>
      </w:r>
      <w:r w:rsidR="00714EC6">
        <w:t>r</w:t>
      </w:r>
      <w:r w:rsidR="00663CED">
        <w:t>ates, w</w:t>
      </w:r>
      <w:r w:rsidR="008D0D6F">
        <w:t xml:space="preserve">ith the exception </w:t>
      </w:r>
      <w:r w:rsidR="007D5E3A">
        <w:t>of</w:t>
      </w:r>
      <w:r w:rsidR="008D0D6F">
        <w:t xml:space="preserve"> </w:t>
      </w:r>
      <w:r w:rsidR="00DF4182">
        <w:t xml:space="preserve">certain </w:t>
      </w:r>
      <w:r w:rsidR="006A78AD">
        <w:br/>
      </w:r>
      <w:r w:rsidR="00DF4182">
        <w:t xml:space="preserve">costs </w:t>
      </w:r>
      <w:r w:rsidR="005E0E29">
        <w:t xml:space="preserve">not applicable to exports of electric energy </w:t>
      </w:r>
      <w:r w:rsidR="007D5E3A">
        <w:t>and transmission costs</w:t>
      </w:r>
      <w:r w:rsidR="00C332E5">
        <w:t>,</w:t>
      </w:r>
      <w:r w:rsidR="007D5E3A">
        <w:t xml:space="preserve"> which </w:t>
      </w:r>
      <w:r w:rsidR="005E0E29">
        <w:t>were excluded.</w:t>
      </w:r>
      <w:r>
        <w:rPr>
          <w:rStyle w:val="FootnoteReference"/>
        </w:rPr>
        <w:footnoteReference w:id="24"/>
      </w:r>
      <w:r w:rsidR="005E0E29">
        <w:t xml:space="preserve">  </w:t>
      </w:r>
      <w:r w:rsidR="007D5E3A">
        <w:t xml:space="preserve">Central Hudson states that the resulting net revenue requirements were blended by voltage delivery service level and then divided by the applicable billing determinants to develop a blended Wholesale Energy Export </w:t>
      </w:r>
      <w:r w:rsidR="00CF7DC2">
        <w:t xml:space="preserve">Service </w:t>
      </w:r>
      <w:r w:rsidR="007D5E3A">
        <w:t xml:space="preserve">Demand </w:t>
      </w:r>
      <w:r w:rsidR="00CF7DC2">
        <w:t xml:space="preserve">Charge </w:t>
      </w:r>
      <w:r w:rsidR="006A78AD">
        <w:br/>
      </w:r>
      <w:r w:rsidR="007D5E3A">
        <w:t>for each voltage delivery service level.</w:t>
      </w:r>
      <w:r w:rsidR="00877E4C">
        <w:t xml:space="preserve">  Finally, Central Hudson explains that </w:t>
      </w:r>
      <w:r w:rsidR="00AF7357">
        <w:t xml:space="preserve">Wholesale Energy Export Service customers will also pay a </w:t>
      </w:r>
      <w:r w:rsidR="00B86D45">
        <w:t>C</w:t>
      </w:r>
      <w:r w:rsidR="00AF7357">
        <w:t xml:space="preserve">ustomer </w:t>
      </w:r>
      <w:r w:rsidR="00B86D45">
        <w:t>C</w:t>
      </w:r>
      <w:r w:rsidR="00AF7357">
        <w:t xml:space="preserve">harge, if they do not already pay a </w:t>
      </w:r>
      <w:r w:rsidR="00B86D45">
        <w:t>C</w:t>
      </w:r>
      <w:r w:rsidR="00AF7357">
        <w:t xml:space="preserve">ustomer </w:t>
      </w:r>
      <w:r w:rsidR="00B86D45">
        <w:t>C</w:t>
      </w:r>
      <w:r w:rsidR="00AF7357">
        <w:t>harge for Wholesale Charging Service.</w:t>
      </w:r>
      <w:r>
        <w:rPr>
          <w:rStyle w:val="FootnoteReference"/>
        </w:rPr>
        <w:footnoteReference w:id="25"/>
      </w:r>
    </w:p>
    <w:p w:rsidR="00C16502" w:rsidP="00B50736">
      <w:pPr>
        <w:pStyle w:val="FERCparanumber"/>
      </w:pPr>
      <w:r>
        <w:t>Central Hudson argues that proposed Rate Schedule 21 reflects rates</w:t>
      </w:r>
      <w:r w:rsidR="00A517DB">
        <w:t>, terms, and conditions of service</w:t>
      </w:r>
      <w:r>
        <w:t xml:space="preserve"> </w:t>
      </w:r>
      <w:r w:rsidR="00C5195B">
        <w:t xml:space="preserve">determined by </w:t>
      </w:r>
      <w:r w:rsidR="008C68E8">
        <w:t xml:space="preserve">those already </w:t>
      </w:r>
      <w:r w:rsidR="002A3222">
        <w:t xml:space="preserve">found </w:t>
      </w:r>
      <w:r w:rsidR="008C68E8">
        <w:t>to be reasonable and approved for inclusion in Central Hudson’s retail tariff</w:t>
      </w:r>
      <w:r w:rsidR="00C646AA">
        <w:t xml:space="preserve"> by the N</w:t>
      </w:r>
      <w:r w:rsidR="00FE6F1A">
        <w:t>ew York Commission</w:t>
      </w:r>
      <w:r w:rsidR="008C68E8">
        <w:t>.</w:t>
      </w:r>
      <w:r>
        <w:rPr>
          <w:rStyle w:val="FootnoteReference"/>
        </w:rPr>
        <w:footnoteReference w:id="26"/>
      </w:r>
      <w:r w:rsidR="006A00C5">
        <w:t xml:space="preserve">  Central Hudson asserts that</w:t>
      </w:r>
      <w:r w:rsidR="009C08D8">
        <w:t xml:space="preserve"> </w:t>
      </w:r>
      <w:r w:rsidR="00875C91">
        <w:t>t</w:t>
      </w:r>
      <w:r w:rsidR="006A00C5">
        <w:t xml:space="preserve">he Commission has previously found that deferring to the New York Commission’s findings regarding </w:t>
      </w:r>
      <w:r w:rsidR="009E23DD">
        <w:t>rate calculations underlying WDS rates satisfies the Commission’s regulatory responsi</w:t>
      </w:r>
      <w:r w:rsidR="000D0704">
        <w:t>bility under the FPA, while also serving the ends of comity and administrative efficiency, and fostering parity of rates between customers.</w:t>
      </w:r>
      <w:r>
        <w:rPr>
          <w:rStyle w:val="FootnoteReference"/>
        </w:rPr>
        <w:footnoteReference w:id="27"/>
      </w:r>
      <w:r w:rsidR="009931A6">
        <w:t xml:space="preserve">  </w:t>
      </w:r>
      <w:r w:rsidR="00261726">
        <w:t>Central Hudson argues that th</w:t>
      </w:r>
      <w:r w:rsidR="00C91654">
        <w:t>ere is an acute</w:t>
      </w:r>
      <w:r w:rsidR="00261726">
        <w:t xml:space="preserve"> interest in ensuring parity </w:t>
      </w:r>
      <w:r w:rsidR="00F577CC">
        <w:t xml:space="preserve">between </w:t>
      </w:r>
      <w:r w:rsidR="00261726">
        <w:t>retail and wholesale distribution rates</w:t>
      </w:r>
      <w:r w:rsidR="00C91654">
        <w:t xml:space="preserve"> because distribution-connected customers may engage in both retail and wholesale transactions.</w:t>
      </w:r>
      <w:r w:rsidR="00B706C4">
        <w:t xml:space="preserve">  Central Hudson asserts that </w:t>
      </w:r>
      <w:r w:rsidR="004A174C">
        <w:t xml:space="preserve">it is appropriate for the Commission to defer to the findings of </w:t>
      </w:r>
      <w:r w:rsidR="00276606">
        <w:t xml:space="preserve">the New York Commission </w:t>
      </w:r>
      <w:r w:rsidR="00F10A43">
        <w:t>for</w:t>
      </w:r>
      <w:r w:rsidR="00635A56">
        <w:t xml:space="preserve"> </w:t>
      </w:r>
      <w:r w:rsidR="00D966B7">
        <w:t xml:space="preserve">its </w:t>
      </w:r>
      <w:r w:rsidR="002364E7">
        <w:t>s</w:t>
      </w:r>
      <w:r w:rsidR="00D966B7">
        <w:t xml:space="preserve">tandby </w:t>
      </w:r>
      <w:r w:rsidR="002364E7">
        <w:t>r</w:t>
      </w:r>
      <w:r w:rsidR="00D966B7">
        <w:t>ates</w:t>
      </w:r>
      <w:r w:rsidR="00FE4811">
        <w:t>, and</w:t>
      </w:r>
      <w:r w:rsidR="00895798">
        <w:t xml:space="preserve"> </w:t>
      </w:r>
      <w:r w:rsidR="000905C8">
        <w:t xml:space="preserve">notes </w:t>
      </w:r>
      <w:r w:rsidR="00895798">
        <w:t>that</w:t>
      </w:r>
      <w:r w:rsidR="00FE4811">
        <w:t xml:space="preserve"> Central Hudson</w:t>
      </w:r>
      <w:r w:rsidR="00F02495">
        <w:t>’s</w:t>
      </w:r>
      <w:r w:rsidR="00FE4811">
        <w:t xml:space="preserve"> </w:t>
      </w:r>
      <w:r w:rsidR="003352FF">
        <w:t xml:space="preserve">retail tariff amendments for its </w:t>
      </w:r>
      <w:r w:rsidR="002364E7">
        <w:t>s</w:t>
      </w:r>
      <w:r w:rsidR="003352FF">
        <w:t xml:space="preserve">tandby </w:t>
      </w:r>
      <w:r w:rsidR="002364E7">
        <w:t>r</w:t>
      </w:r>
      <w:r w:rsidR="003352FF">
        <w:t>ates went into effect on a temporary basis on January 1, 2024, pending final review by the New York Commission.</w:t>
      </w:r>
      <w:r w:rsidR="00C964C0">
        <w:t xml:space="preserve">  </w:t>
      </w:r>
      <w:r w:rsidR="00E01507">
        <w:t xml:space="preserve">Central Hudson also states that its </w:t>
      </w:r>
      <w:r w:rsidR="000A404F">
        <w:t>proposed Rate Schedule 21 is modelled on Attachment O of Consolidated Edison’s tariff</w:t>
      </w:r>
      <w:r w:rsidR="00874660">
        <w:t>, which contains the rates, terms, and conditions of Consolidated Edison’s existing WDS</w:t>
      </w:r>
      <w:r w:rsidR="006460D7">
        <w:t>.</w:t>
      </w:r>
    </w:p>
    <w:p w:rsidR="00F10A43" w:rsidP="008D09D2">
      <w:pPr>
        <w:pStyle w:val="FERCparanumber"/>
      </w:pPr>
      <w:r w:rsidR="006B6428">
        <w:t xml:space="preserve">Central Hudson requests an </w:t>
      </w:r>
      <w:r w:rsidR="003352FF">
        <w:t>effective date of May 8, 2024</w:t>
      </w:r>
      <w:r w:rsidR="005322C2">
        <w:t>,</w:t>
      </w:r>
      <w:r w:rsidR="006A0E2F">
        <w:t xml:space="preserve"> for proposed Rate Schedule 21</w:t>
      </w:r>
      <w:r w:rsidR="00B67D79">
        <w:t>.</w:t>
      </w:r>
      <w:r>
        <w:rPr>
          <w:rStyle w:val="FootnoteReference"/>
        </w:rPr>
        <w:footnoteReference w:id="28"/>
      </w:r>
    </w:p>
    <w:p w:rsidR="00B302B8" w:rsidP="0092044C">
      <w:pPr>
        <w:pStyle w:val="Heading1"/>
      </w:pPr>
      <w:r w:rsidR="0092044C">
        <w:t>Notice and Responsive Pleadings</w:t>
      </w:r>
    </w:p>
    <w:p w:rsidR="0092044C" w:rsidP="0092044C">
      <w:pPr>
        <w:pStyle w:val="FERCparanumber"/>
      </w:pPr>
      <w:r w:rsidRPr="00F32BE6" w:rsidR="00F32BE6">
        <w:t xml:space="preserve">Notice of the filing was published in the </w:t>
      </w:r>
      <w:r w:rsidRPr="00F32BE6" w:rsidR="00F32BE6">
        <w:rPr>
          <w:i/>
          <w:iCs/>
        </w:rPr>
        <w:t>Federal Register</w:t>
      </w:r>
      <w:r w:rsidRPr="00F32BE6" w:rsidR="00F32BE6">
        <w:t xml:space="preserve">, 89 Fed. Reg. </w:t>
      </w:r>
      <w:r w:rsidRPr="00457919" w:rsidR="00457919">
        <w:t>18</w:t>
      </w:r>
      <w:r w:rsidR="00EA4F9C">
        <w:t>,</w:t>
      </w:r>
      <w:r w:rsidRPr="00457919" w:rsidR="00457919">
        <w:t>634</w:t>
      </w:r>
      <w:r w:rsidRPr="00F32BE6" w:rsidR="00F32BE6">
        <w:t xml:space="preserve"> (</w:t>
      </w:r>
      <w:r w:rsidR="00457919">
        <w:t>Mar</w:t>
      </w:r>
      <w:r w:rsidRPr="00F32BE6" w:rsidR="00F32BE6">
        <w:t>. 8, 2024),</w:t>
      </w:r>
      <w:r w:rsidR="00457919">
        <w:t xml:space="preserve"> with interventions and protests due on or before March 29, 2024.  </w:t>
      </w:r>
      <w:r w:rsidR="002E4433">
        <w:t xml:space="preserve">The </w:t>
      </w:r>
      <w:r w:rsidR="005C6706">
        <w:t>New York Commission filed a timely notice of intervention</w:t>
      </w:r>
      <w:r w:rsidR="005C085D">
        <w:t xml:space="preserve"> and a protest</w:t>
      </w:r>
      <w:r w:rsidR="00CE3984">
        <w:t xml:space="preserve">.  </w:t>
      </w:r>
      <w:r w:rsidR="009E1931">
        <w:t xml:space="preserve">Timely motions to intervene </w:t>
      </w:r>
      <w:r w:rsidR="005C085D">
        <w:t xml:space="preserve">and protests </w:t>
      </w:r>
      <w:r w:rsidR="009E1931">
        <w:t>were filed by</w:t>
      </w:r>
      <w:r w:rsidR="00CE3984">
        <w:t xml:space="preserve"> </w:t>
      </w:r>
      <w:r w:rsidR="001D5656">
        <w:t>Aypa Power LLC</w:t>
      </w:r>
      <w:r w:rsidR="00AE789C">
        <w:t xml:space="preserve"> (Aypa Power)</w:t>
      </w:r>
      <w:r w:rsidR="00290724">
        <w:t>, Key Capture</w:t>
      </w:r>
      <w:r w:rsidR="001576C3">
        <w:t xml:space="preserve"> Energy</w:t>
      </w:r>
      <w:r w:rsidR="00290724">
        <w:t>, LLC</w:t>
      </w:r>
      <w:r w:rsidR="00AE789C">
        <w:t xml:space="preserve"> (Key Capture)</w:t>
      </w:r>
      <w:r w:rsidR="00290724">
        <w:t>, Catskill Grid, LLC</w:t>
      </w:r>
      <w:r w:rsidR="00AE789C">
        <w:t xml:space="preserve"> (Catskill Grid)</w:t>
      </w:r>
      <w:r w:rsidR="00290724">
        <w:t>, New York Battery and Energy Storage Technology Consortium</w:t>
      </w:r>
      <w:r w:rsidR="004B5594">
        <w:t xml:space="preserve"> (NY-BEST)</w:t>
      </w:r>
      <w:r w:rsidR="009E1931">
        <w:t>,</w:t>
      </w:r>
      <w:r>
        <w:rPr>
          <w:rStyle w:val="FootnoteReference"/>
        </w:rPr>
        <w:footnoteReference w:id="29"/>
      </w:r>
      <w:r w:rsidR="00BA381F">
        <w:t xml:space="preserve"> and MicroGrid Networks, LLC</w:t>
      </w:r>
      <w:r w:rsidR="00E13805">
        <w:t xml:space="preserve"> (MicroGrid)</w:t>
      </w:r>
      <w:r w:rsidR="00BA381F">
        <w:t xml:space="preserve">. </w:t>
      </w:r>
      <w:r w:rsidR="00400ED7">
        <w:t xml:space="preserve"> On </w:t>
      </w:r>
      <w:r w:rsidR="00731F68">
        <w:t>April 15, 2024</w:t>
      </w:r>
      <w:r w:rsidR="00400ED7">
        <w:t xml:space="preserve">, Central Hudson submitted an answer to </w:t>
      </w:r>
      <w:r w:rsidR="00563E4F">
        <w:t xml:space="preserve">the </w:t>
      </w:r>
      <w:r w:rsidR="00400ED7">
        <w:t xml:space="preserve">protests.  On </w:t>
      </w:r>
      <w:r w:rsidR="005648EF">
        <w:t>April</w:t>
      </w:r>
      <w:r w:rsidR="006B2F17">
        <w:t xml:space="preserve"> 22, 2024</w:t>
      </w:r>
      <w:r w:rsidR="007F0599">
        <w:t>, Key Capture submitted an answer to Central Hudson’s answer</w:t>
      </w:r>
      <w:r w:rsidR="006B2F17">
        <w:t>.</w:t>
      </w:r>
    </w:p>
    <w:p w:rsidR="00C16D17" w:rsidP="0092044C">
      <w:pPr>
        <w:pStyle w:val="FERCparanumber"/>
      </w:pPr>
      <w:r>
        <w:t>On</w:t>
      </w:r>
      <w:r w:rsidR="00485F92">
        <w:t xml:space="preserve"> </w:t>
      </w:r>
      <w:r w:rsidR="00D12D40">
        <w:t>May 6, 2024</w:t>
      </w:r>
      <w:r w:rsidR="00CD04FA">
        <w:t xml:space="preserve">, Commission staff issued a letter informing </w:t>
      </w:r>
      <w:r w:rsidR="00CD04FA">
        <w:t>Central Hudson</w:t>
      </w:r>
      <w:r w:rsidR="00CD04FA">
        <w:t xml:space="preserve"> that its filing was deficient and requesting additional information necessary to process the filing (Deficiency Letter).  On </w:t>
      </w:r>
      <w:r w:rsidR="00D12D40">
        <w:t>June 5, 2024</w:t>
      </w:r>
      <w:r w:rsidR="00CD04FA">
        <w:t xml:space="preserve">, </w:t>
      </w:r>
      <w:r w:rsidR="00CD04FA">
        <w:t xml:space="preserve">Central Hudson </w:t>
      </w:r>
      <w:r w:rsidR="00CD04FA">
        <w:t>filed a response (Deficiency Response).</w:t>
      </w:r>
    </w:p>
    <w:p w:rsidR="008E2B83" w:rsidP="004B31DA">
      <w:pPr>
        <w:pStyle w:val="FERCparanumber"/>
      </w:pPr>
      <w:r w:rsidR="00CD04FA">
        <w:t xml:space="preserve">Notice of Central Hudson’s Deficiency Response was published in the </w:t>
      </w:r>
      <w:r w:rsidR="00CD04FA">
        <w:rPr>
          <w:i/>
          <w:iCs/>
        </w:rPr>
        <w:t>Federal Register</w:t>
      </w:r>
      <w:r w:rsidR="00CD04FA">
        <w:t xml:space="preserve">, </w:t>
      </w:r>
      <w:r w:rsidR="004546EB">
        <w:t>89</w:t>
      </w:r>
      <w:r w:rsidR="00CD04FA">
        <w:t xml:space="preserve"> Fed. Reg. </w:t>
      </w:r>
      <w:r w:rsidR="007725D2">
        <w:t>49,165</w:t>
      </w:r>
      <w:r w:rsidR="00CD04FA">
        <w:t xml:space="preserve"> (</w:t>
      </w:r>
      <w:r w:rsidR="007725D2">
        <w:t>June 11, 2024</w:t>
      </w:r>
      <w:r w:rsidR="00CD04FA">
        <w:t>), with interventions and protests due on or before June 26, 2024</w:t>
      </w:r>
      <w:r w:rsidR="00737963">
        <w:t xml:space="preserve">. </w:t>
      </w:r>
      <w:r w:rsidR="00A65763">
        <w:t xml:space="preserve"> Key Capture and NY-BEST filed protests to Central Hudson’s Deficiency Response.</w:t>
      </w:r>
      <w:r w:rsidR="0060218B">
        <w:t xml:space="preserve">  </w:t>
      </w:r>
      <w:r w:rsidR="004B31DA">
        <w:t>On July 12, 2024, Central Hudson submitted an answer to the protests</w:t>
      </w:r>
      <w:r w:rsidR="00A723F2">
        <w:t xml:space="preserve"> (</w:t>
      </w:r>
      <w:r w:rsidRPr="00A723F2" w:rsidR="00A723F2">
        <w:t>Central Hudson Answer to Deficiency Response Protests</w:t>
      </w:r>
      <w:r w:rsidR="00A723F2">
        <w:t>)</w:t>
      </w:r>
      <w:r w:rsidR="004B31DA">
        <w:t>.</w:t>
      </w:r>
    </w:p>
    <w:p w:rsidR="0062450C" w:rsidP="0062450C">
      <w:pPr>
        <w:pStyle w:val="Heading2"/>
      </w:pPr>
      <w:r>
        <w:t>Protests</w:t>
      </w:r>
      <w:r w:rsidR="00EB6C3C">
        <w:t xml:space="preserve"> </w:t>
      </w:r>
      <w:r w:rsidR="004C5ADE">
        <w:t>and Answers</w:t>
      </w:r>
    </w:p>
    <w:p w:rsidR="00700497" w:rsidRPr="00954015" w:rsidP="000812E7">
      <w:pPr>
        <w:pStyle w:val="Heading3"/>
      </w:pPr>
      <w:r w:rsidR="00E172E8">
        <w:t>Central Hudson</w:t>
      </w:r>
      <w:r w:rsidR="00973596">
        <w:t xml:space="preserve"> </w:t>
      </w:r>
      <w:r w:rsidR="00E913AE">
        <w:t>H</w:t>
      </w:r>
      <w:r w:rsidR="00DD127A">
        <w:t xml:space="preserve">as </w:t>
      </w:r>
      <w:r w:rsidR="00E913AE">
        <w:t>N</w:t>
      </w:r>
      <w:r w:rsidR="00DD127A">
        <w:t xml:space="preserve">ot </w:t>
      </w:r>
      <w:r w:rsidR="00E913AE">
        <w:t>P</w:t>
      </w:r>
      <w:r w:rsidR="00DD127A">
        <w:t xml:space="preserve">rovided </w:t>
      </w:r>
      <w:r w:rsidR="00E913AE">
        <w:t>S</w:t>
      </w:r>
      <w:r w:rsidR="00DD127A">
        <w:t xml:space="preserve">ufficient </w:t>
      </w:r>
      <w:r w:rsidR="00E913AE">
        <w:t>S</w:t>
      </w:r>
      <w:r w:rsidR="00973596">
        <w:t>upport for</w:t>
      </w:r>
      <w:r w:rsidR="007D101C">
        <w:t xml:space="preserve"> </w:t>
      </w:r>
      <w:r w:rsidR="00973596">
        <w:t>Rate Schedule 21</w:t>
      </w:r>
    </w:p>
    <w:p w:rsidR="00350F8B" w:rsidP="000812E7">
      <w:pPr>
        <w:pStyle w:val="FERCparanumber"/>
      </w:pPr>
      <w:r w:rsidR="009365EE">
        <w:t xml:space="preserve">Protesters argue that Central Hudson’s filing lacks sufficient </w:t>
      </w:r>
      <w:r w:rsidR="00380366">
        <w:t xml:space="preserve">support.  </w:t>
      </w:r>
      <w:r w:rsidR="00B86619">
        <w:t xml:space="preserve">The </w:t>
      </w:r>
      <w:r w:rsidRPr="000812E7" w:rsidR="000812E7">
        <w:t xml:space="preserve">New York Commission argues </w:t>
      </w:r>
      <w:r w:rsidR="00D145AD">
        <w:t xml:space="preserve">that </w:t>
      </w:r>
      <w:r w:rsidRPr="000812E7" w:rsidR="000812E7">
        <w:t>the Commission should determine that Central Hudson’s filing lacks sufficient detail and requests that the Commission hold a technical conference.</w:t>
      </w:r>
      <w:r>
        <w:rPr>
          <w:rStyle w:val="FootnoteReference"/>
        </w:rPr>
        <w:footnoteReference w:id="30"/>
      </w:r>
      <w:r w:rsidR="000576D9">
        <w:t xml:space="preserve">  </w:t>
      </w:r>
      <w:r w:rsidR="00820A3C">
        <w:t>Key Capture requests that the Commission</w:t>
      </w:r>
      <w:r w:rsidR="00C04DF0">
        <w:t xml:space="preserve"> either</w:t>
      </w:r>
      <w:r w:rsidR="00820A3C">
        <w:t xml:space="preserve"> reject the filing as deficient or</w:t>
      </w:r>
      <w:r w:rsidR="00A41CB3">
        <w:t>,</w:t>
      </w:r>
      <w:r w:rsidR="00820A3C">
        <w:t xml:space="preserve"> if the Commission does not dismiss the filing, suspend Central Hudson’s filing for the maximum </w:t>
      </w:r>
      <w:r w:rsidR="0033149D">
        <w:t xml:space="preserve">period </w:t>
      </w:r>
      <w:r w:rsidR="00820A3C">
        <w:t>and establish hearing and settlement judge procedures.</w:t>
      </w:r>
      <w:r>
        <w:rPr>
          <w:rStyle w:val="FootnoteReference"/>
        </w:rPr>
        <w:footnoteReference w:id="31"/>
      </w:r>
      <w:r w:rsidR="00820A3C">
        <w:t xml:space="preserve">  </w:t>
      </w:r>
    </w:p>
    <w:p w:rsidR="000A3B39" w:rsidP="000A3B39">
      <w:pPr>
        <w:pStyle w:val="FERCparanumber"/>
      </w:pPr>
      <w:r>
        <w:t>Key Capture argues that Central Hudson neither provides the necessary detailed cost support information required by section 35.13 of the Commission’s regulations nor requests waiver of the requirements to submit workpapers and cost-of-service statements in sections 35.13(a)(2)(iv), 35.13(d)(1) and (d)(2), and 35.13(h) of the Commission’s regulations.</w:t>
      </w:r>
      <w:r>
        <w:rPr>
          <w:rStyle w:val="FootnoteReference"/>
        </w:rPr>
        <w:footnoteReference w:id="32"/>
      </w:r>
      <w:r>
        <w:t xml:space="preserve">  Key Capture states that Central Hudson neither provides any workpapers to support the calculations in Attachment C of its filing nor files an attestation as required under section 35.13(d)(6) of the Commission’s regulations that the data submitted is true, accurate, and a current representation of its books and records.</w:t>
      </w:r>
      <w:r>
        <w:rPr>
          <w:rStyle w:val="FootnoteReference"/>
        </w:rPr>
        <w:footnoteReference w:id="33"/>
      </w:r>
      <w:r>
        <w:t xml:space="preserve">  Key Capture further argues that</w:t>
      </w:r>
      <w:r w:rsidR="009C0C0D">
        <w:t xml:space="preserve"> </w:t>
      </w:r>
      <w:r>
        <w:t xml:space="preserve">Central Hudson’s generic incorporation by reference of the New York Commission’s orders does not establish sufficient information and cost-of-service </w:t>
      </w:r>
      <w:r w:rsidR="004D5F73">
        <w:br/>
      </w:r>
      <w:r>
        <w:t>data to support its proposed WDS rates.</w:t>
      </w:r>
    </w:p>
    <w:p w:rsidR="000812E7" w:rsidP="000812E7">
      <w:pPr>
        <w:pStyle w:val="FERCparanumber"/>
      </w:pPr>
      <w:r w:rsidR="008E293E">
        <w:t>T</w:t>
      </w:r>
      <w:r w:rsidR="00B86619">
        <w:t xml:space="preserve">he </w:t>
      </w:r>
      <w:r w:rsidRPr="00DE4EF4" w:rsidR="00FF68A4">
        <w:t xml:space="preserve">New York </w:t>
      </w:r>
      <w:r w:rsidR="00FF68A4">
        <w:t>Commission</w:t>
      </w:r>
      <w:r w:rsidRPr="00DE4EF4" w:rsidR="00FF68A4">
        <w:t xml:space="preserve"> argues </w:t>
      </w:r>
      <w:r w:rsidR="00FF68A4">
        <w:t xml:space="preserve">that </w:t>
      </w:r>
      <w:r w:rsidRPr="00DE4EF4" w:rsidR="00FF68A4">
        <w:t xml:space="preserve">Central Hudson’s </w:t>
      </w:r>
      <w:r w:rsidR="00FF68A4">
        <w:t>Attachment C</w:t>
      </w:r>
      <w:r w:rsidRPr="00DE4EF4" w:rsidR="00FF68A4">
        <w:t xml:space="preserve"> does </w:t>
      </w:r>
      <w:r w:rsidR="004D5F73">
        <w:br/>
      </w:r>
      <w:r w:rsidRPr="00DE4EF4" w:rsidR="00FF68A4">
        <w:t xml:space="preserve">not provide enough detail to verify that the </w:t>
      </w:r>
      <w:r w:rsidR="00E874B4">
        <w:t>b</w:t>
      </w:r>
      <w:r w:rsidRPr="00DE4EF4" w:rsidR="00FF68A4">
        <w:t xml:space="preserve">ase </w:t>
      </w:r>
      <w:r w:rsidR="00E874B4">
        <w:t>d</w:t>
      </w:r>
      <w:r w:rsidRPr="00DE4EF4" w:rsidR="00FF68A4">
        <w:t xml:space="preserve">elivery </w:t>
      </w:r>
      <w:r w:rsidR="00E874B4">
        <w:t>r</w:t>
      </w:r>
      <w:r w:rsidRPr="00DE4EF4" w:rsidR="00FF68A4">
        <w:t xml:space="preserve">evenue </w:t>
      </w:r>
      <w:r w:rsidR="00E874B4">
        <w:t>r</w:t>
      </w:r>
      <w:r w:rsidRPr="00DE4EF4" w:rsidR="00FF68A4">
        <w:t>equirement</w:t>
      </w:r>
      <w:r w:rsidR="002510B6">
        <w:t xml:space="preserve"> and </w:t>
      </w:r>
      <w:r w:rsidR="00E874B4">
        <w:t>t</w:t>
      </w:r>
      <w:r w:rsidR="00D23BE1">
        <w:t xml:space="preserve">ransmission </w:t>
      </w:r>
      <w:r w:rsidR="00E874B4">
        <w:t>r</w:t>
      </w:r>
      <w:r w:rsidR="00D23BE1">
        <w:t xml:space="preserve">evenue </w:t>
      </w:r>
      <w:r w:rsidR="00E874B4">
        <w:t>r</w:t>
      </w:r>
      <w:r w:rsidR="00D23BE1">
        <w:t>equirement</w:t>
      </w:r>
      <w:r w:rsidRPr="00DE4EF4" w:rsidR="00FF68A4">
        <w:t xml:space="preserve"> included in the development of its WDS rates align with those </w:t>
      </w:r>
      <w:r w:rsidR="00D01C8A">
        <w:t>authorized</w:t>
      </w:r>
      <w:r w:rsidRPr="00DE4EF4" w:rsidR="00FF68A4">
        <w:t xml:space="preserve"> </w:t>
      </w:r>
      <w:r w:rsidR="00EF155F">
        <w:t>by the New York Commission</w:t>
      </w:r>
      <w:r w:rsidRPr="00DE4EF4" w:rsidR="00FF68A4">
        <w:t>.</w:t>
      </w:r>
      <w:r>
        <w:rPr>
          <w:rStyle w:val="FootnoteReference"/>
        </w:rPr>
        <w:footnoteReference w:id="34"/>
      </w:r>
      <w:r w:rsidRPr="00DE4EF4" w:rsidR="00FF68A4">
        <w:t xml:space="preserve">  </w:t>
      </w:r>
      <w:r w:rsidRPr="00045926" w:rsidR="00B86619">
        <w:t xml:space="preserve">The </w:t>
      </w:r>
      <w:r w:rsidRPr="00045926" w:rsidR="00FF68A4">
        <w:t xml:space="preserve">New York Commission </w:t>
      </w:r>
      <w:r w:rsidRPr="00045B06" w:rsidR="00F9481C">
        <w:t xml:space="preserve">and Key Capture </w:t>
      </w:r>
      <w:r w:rsidRPr="00045926" w:rsidR="005871B2">
        <w:t>request</w:t>
      </w:r>
      <w:r w:rsidRPr="00045926" w:rsidR="00FF68A4">
        <w:t xml:space="preserve"> that Central Hudson be required to provide workpapers used to develop the rates in </w:t>
      </w:r>
      <w:r w:rsidRPr="00045926" w:rsidR="0043404D">
        <w:t xml:space="preserve">proposed </w:t>
      </w:r>
      <w:r w:rsidRPr="00045926" w:rsidR="00FF68A4">
        <w:t>sections 6.21.6 and 6.21.7 of Rate Schedule 21.</w:t>
      </w:r>
      <w:r>
        <w:rPr>
          <w:rStyle w:val="FootnoteReference"/>
        </w:rPr>
        <w:footnoteReference w:id="35"/>
      </w:r>
    </w:p>
    <w:p w:rsidR="004C5ADE" w:rsidP="004C5ADE">
      <w:pPr>
        <w:pStyle w:val="FERCparanumber"/>
      </w:pPr>
      <w:r>
        <w:t xml:space="preserve">In </w:t>
      </w:r>
      <w:r w:rsidR="00D26B4D">
        <w:t xml:space="preserve">its </w:t>
      </w:r>
      <w:r w:rsidR="00C369AD">
        <w:t>a</w:t>
      </w:r>
      <w:r w:rsidR="00D26B4D">
        <w:t>nswer</w:t>
      </w:r>
      <w:r>
        <w:t xml:space="preserve">, Central Hudson </w:t>
      </w:r>
      <w:r w:rsidR="00D26B4D">
        <w:t>responds</w:t>
      </w:r>
      <w:r>
        <w:t xml:space="preserve"> that it provided the same information that </w:t>
      </w:r>
      <w:r w:rsidR="00E462EA">
        <w:t xml:space="preserve">Orange </w:t>
      </w:r>
      <w:r w:rsidR="00F93DD0">
        <w:t>and</w:t>
      </w:r>
      <w:r w:rsidR="00E462EA">
        <w:t xml:space="preserve"> Rockland Utilities, Inc. (</w:t>
      </w:r>
      <w:r>
        <w:t xml:space="preserve">Orange </w:t>
      </w:r>
      <w:r w:rsidR="00EA2E13">
        <w:t>and</w:t>
      </w:r>
      <w:r>
        <w:t xml:space="preserve"> Rockland</w:t>
      </w:r>
      <w:r w:rsidR="00E462EA">
        <w:t>)</w:t>
      </w:r>
      <w:r>
        <w:t xml:space="preserve"> and Consolidated Edison </w:t>
      </w:r>
      <w:r w:rsidRPr="007B6668" w:rsidR="007B6668">
        <w:t>Co. of New York, Inc.</w:t>
      </w:r>
      <w:r w:rsidR="007B6668">
        <w:t xml:space="preserve"> (Consolidated Edison) </w:t>
      </w:r>
      <w:r>
        <w:t xml:space="preserve">provided in their WDS </w:t>
      </w:r>
      <w:r w:rsidR="00E50F54">
        <w:t xml:space="preserve">rate </w:t>
      </w:r>
      <w:r>
        <w:t xml:space="preserve">filings, which the Commission accepted, and Central Hudson therefore did not believe it necessary to file any other </w:t>
      </w:r>
      <w:r w:rsidR="00A72AB3">
        <w:t>documents</w:t>
      </w:r>
      <w:r>
        <w:t xml:space="preserve"> or seek waiver.</w:t>
      </w:r>
      <w:r>
        <w:rPr>
          <w:rStyle w:val="FootnoteReference"/>
        </w:rPr>
        <w:footnoteReference w:id="36"/>
      </w:r>
      <w:r>
        <w:t xml:space="preserve">  Central Hudson states that, if the Commission disagrees, it now seeks waiver of section 35.13 of the Commission’s regulations to the extent those filing requirements are applicable and Central Hudson’s filing failed to comply.  Central Hudson states that the Commission allows for filing cost support derived from New York Commission approved rates that are applicable to the service provided, and that information is set out in the New York Commission orders and enclosed workpapers provided with Central Hudson’s filing.</w:t>
      </w:r>
      <w:r>
        <w:rPr>
          <w:rStyle w:val="FootnoteReference"/>
        </w:rPr>
        <w:footnoteReference w:id="37"/>
      </w:r>
      <w:r>
        <w:t xml:space="preserve">  Central Hudson asserts that waiver is justified and an attestation is not required because proposed Rate Schedule 21 and the cost of service information are derived from New York Commission orders.</w:t>
      </w:r>
      <w:r>
        <w:rPr>
          <w:rStyle w:val="FootnoteReference"/>
        </w:rPr>
        <w:footnoteReference w:id="38"/>
      </w:r>
    </w:p>
    <w:p w:rsidR="004C5ADE" w:rsidP="004C5ADE">
      <w:pPr>
        <w:pStyle w:val="FERCparanumber"/>
      </w:pPr>
      <w:r>
        <w:t>Central Hudson states that</w:t>
      </w:r>
      <w:r w:rsidR="00B756ED">
        <w:t xml:space="preserve"> </w:t>
      </w:r>
      <w:r>
        <w:t>it is attaching a Microsoft Excel spreadsheet version of previously filed Attachment C with all formulas and links intact and commits to make any other workpapers available as required to substantiate the values in A</w:t>
      </w:r>
      <w:r w:rsidR="00AC09C6">
        <w:t xml:space="preserve">ttachment </w:t>
      </w:r>
      <w:r>
        <w:t>C.</w:t>
      </w:r>
      <w:r>
        <w:rPr>
          <w:rStyle w:val="FootnoteReference"/>
        </w:rPr>
        <w:footnoteReference w:id="39"/>
      </w:r>
      <w:r>
        <w:t xml:space="preserve">  </w:t>
      </w:r>
    </w:p>
    <w:p w:rsidR="004C5ADE" w:rsidP="004C5ADE">
      <w:pPr>
        <w:pStyle w:val="FERCparanumber"/>
      </w:pPr>
      <w:r>
        <w:t xml:space="preserve">In its </w:t>
      </w:r>
      <w:r w:rsidR="00C369AD">
        <w:t>a</w:t>
      </w:r>
      <w:r>
        <w:t>nswer, Key Capture asserts that Central Hudson’s answer still does not provide interested parties with the information required to evaluate the implementation of proposed Rate Schedule 21</w:t>
      </w:r>
      <w:r w:rsidR="006239D1">
        <w:t xml:space="preserve">, such as </w:t>
      </w:r>
      <w:r w:rsidR="005D2C97">
        <w:t>the necessary information to match Central Hudson’s base delivery revenue requirement or transmission revenue requirement with Central Hudson’s 2021 Rate Case or detail regarding the source of the revenue requirements, revenues, demand (kW), and billing units numbers in Attachment C</w:t>
      </w:r>
      <w:r>
        <w:t>.</w:t>
      </w:r>
      <w:r>
        <w:rPr>
          <w:rStyle w:val="FootnoteReference"/>
        </w:rPr>
        <w:footnoteReference w:id="40"/>
      </w:r>
      <w:r>
        <w:t xml:space="preserve">  </w:t>
      </w:r>
    </w:p>
    <w:p w:rsidR="00954015" w:rsidRPr="00954015" w:rsidP="000812E7">
      <w:pPr>
        <w:pStyle w:val="Heading3"/>
      </w:pPr>
      <w:r w:rsidRPr="000812E7" w:rsidR="00700497">
        <w:t>Rate Schedule 21 Contains Ambi</w:t>
      </w:r>
      <w:r w:rsidRPr="000812E7">
        <w:t>guous Tariff Provisions</w:t>
      </w:r>
    </w:p>
    <w:p w:rsidR="00465F5A" w:rsidP="00465F5A">
      <w:pPr>
        <w:pStyle w:val="FERCparanumber"/>
      </w:pPr>
      <w:r w:rsidR="00B86619">
        <w:t xml:space="preserve">The </w:t>
      </w:r>
      <w:r w:rsidRPr="00DE4EF4" w:rsidR="009C43D1">
        <w:t xml:space="preserve">New York </w:t>
      </w:r>
      <w:r w:rsidR="009C43D1">
        <w:t>Commission</w:t>
      </w:r>
      <w:r w:rsidRPr="00DE4EF4" w:rsidR="009C43D1">
        <w:t xml:space="preserve"> argues </w:t>
      </w:r>
      <w:r w:rsidR="009C43D1">
        <w:t>that</w:t>
      </w:r>
      <w:r w:rsidR="008A32E9">
        <w:t xml:space="preserve"> proposed</w:t>
      </w:r>
      <w:r w:rsidR="009C43D1">
        <w:t xml:space="preserve"> </w:t>
      </w:r>
      <w:r w:rsidRPr="00DE4EF4" w:rsidR="009C43D1">
        <w:t xml:space="preserve">Rate Schedule 21 contains language that is ambiguous and </w:t>
      </w:r>
      <w:r w:rsidR="009C43D1">
        <w:t>requests that the Commission direct Central Hudson to provide</w:t>
      </w:r>
      <w:r w:rsidRPr="00DE4EF4" w:rsidR="009C43D1">
        <w:t xml:space="preserve"> clarification</w:t>
      </w:r>
      <w:r w:rsidR="009C43D1">
        <w:t>s</w:t>
      </w:r>
      <w:r w:rsidRPr="00DE4EF4" w:rsidR="009C43D1">
        <w:t>.</w:t>
      </w:r>
      <w:r>
        <w:rPr>
          <w:rStyle w:val="FootnoteReference"/>
        </w:rPr>
        <w:footnoteReference w:id="41"/>
      </w:r>
      <w:r w:rsidRPr="00DE4EF4" w:rsidR="009C43D1">
        <w:t xml:space="preserve">  </w:t>
      </w:r>
      <w:r w:rsidR="00B57663">
        <w:t xml:space="preserve">The </w:t>
      </w:r>
      <w:r w:rsidRPr="00DE4EF4" w:rsidR="009C43D1">
        <w:t xml:space="preserve">New York </w:t>
      </w:r>
      <w:r w:rsidR="009C43D1">
        <w:t>Commission</w:t>
      </w:r>
      <w:r w:rsidRPr="00DE4EF4" w:rsidR="009C43D1">
        <w:t xml:space="preserve"> </w:t>
      </w:r>
      <w:r w:rsidR="00284569">
        <w:t>states</w:t>
      </w:r>
      <w:r w:rsidRPr="00DE4EF4" w:rsidR="009C43D1">
        <w:t xml:space="preserve"> that there are two groups of rates included in </w:t>
      </w:r>
      <w:r w:rsidR="009C43D1">
        <w:t>s</w:t>
      </w:r>
      <w:r w:rsidRPr="00DE4EF4" w:rsidR="009C43D1">
        <w:t>ection 6.21.6</w:t>
      </w:r>
      <w:r w:rsidR="009C43D1">
        <w:t xml:space="preserve"> of </w:t>
      </w:r>
      <w:r w:rsidR="006A712C">
        <w:t xml:space="preserve">proposed </w:t>
      </w:r>
      <w:r w:rsidR="009C43D1">
        <w:t>Rate Schedule 21</w:t>
      </w:r>
      <w:r w:rsidRPr="00DE4EF4" w:rsidR="009C43D1">
        <w:t xml:space="preserve"> that are labeled as being applicable to “Primary in Excess of 1,000 kW</w:t>
      </w:r>
      <w:r w:rsidRPr="00DE4EF4" w:rsidR="009C43D1">
        <w:t>.”</w:t>
      </w:r>
      <w:r w:rsidRPr="00DE4EF4" w:rsidR="009C43D1">
        <w:t xml:space="preserve">  </w:t>
      </w:r>
      <w:r w:rsidR="002642A8">
        <w:t xml:space="preserve">The </w:t>
      </w:r>
      <w:r w:rsidRPr="00DE4EF4" w:rsidR="009C43D1">
        <w:t xml:space="preserve">New York </w:t>
      </w:r>
      <w:r w:rsidR="009C43D1">
        <w:t>Commission</w:t>
      </w:r>
      <w:r w:rsidRPr="00DE4EF4" w:rsidR="009C43D1">
        <w:t xml:space="preserve"> </w:t>
      </w:r>
      <w:r w:rsidR="009C43D1">
        <w:t>asserts that</w:t>
      </w:r>
      <w:r w:rsidRPr="00DE4EF4" w:rsidR="009C43D1">
        <w:t xml:space="preserve"> there is a similar issue in</w:t>
      </w:r>
      <w:r w:rsidR="0062082A">
        <w:t xml:space="preserve"> </w:t>
      </w:r>
      <w:r w:rsidRPr="00DE4EF4" w:rsidR="009C43D1">
        <w:t>section 6.21.7</w:t>
      </w:r>
      <w:r w:rsidR="009C43D1">
        <w:t xml:space="preserve"> of </w:t>
      </w:r>
      <w:r w:rsidR="00C32D50">
        <w:t xml:space="preserve">proposed </w:t>
      </w:r>
      <w:r w:rsidR="009C43D1">
        <w:t>Rate Schedule 21</w:t>
      </w:r>
      <w:r w:rsidRPr="00DE4EF4" w:rsidR="009C43D1">
        <w:t xml:space="preserve">, where the rates are labelled as “Primary up to 1,000 kW,” but should likely be labelled as “Primary up to and Including 1,000 kW.”  </w:t>
      </w:r>
    </w:p>
    <w:p w:rsidR="009C43D1" w:rsidP="00465F5A">
      <w:pPr>
        <w:pStyle w:val="FERCparanumber"/>
      </w:pPr>
      <w:r w:rsidR="00A0480C">
        <w:t xml:space="preserve">The </w:t>
      </w:r>
      <w:r w:rsidRPr="00DE4EF4">
        <w:t xml:space="preserve">New York </w:t>
      </w:r>
      <w:r>
        <w:t>Commission</w:t>
      </w:r>
      <w:r w:rsidRPr="00DE4EF4">
        <w:t xml:space="preserve"> </w:t>
      </w:r>
      <w:r w:rsidR="007F095E">
        <w:t>and Key Capture</w:t>
      </w:r>
      <w:r w:rsidRPr="00DE4EF4">
        <w:t xml:space="preserve"> </w:t>
      </w:r>
      <w:r>
        <w:t xml:space="preserve">also </w:t>
      </w:r>
      <w:r w:rsidR="007F095E">
        <w:t>assert that</w:t>
      </w:r>
      <w:r w:rsidRPr="00DE4EF4" w:rsidR="007F095E">
        <w:t xml:space="preserve"> </w:t>
      </w:r>
      <w:r w:rsidRPr="00DE4EF4">
        <w:t>the use of the term “Minimum Charges” in</w:t>
      </w:r>
      <w:r w:rsidR="008903A5">
        <w:t xml:space="preserve"> proposed</w:t>
      </w:r>
      <w:r w:rsidRPr="00DE4EF4">
        <w:t xml:space="preserve"> </w:t>
      </w:r>
      <w:r>
        <w:t>s</w:t>
      </w:r>
      <w:r w:rsidRPr="00DE4EF4">
        <w:t>ection 6.21.6 is ambiguous</w:t>
      </w:r>
      <w:r w:rsidR="0068390D">
        <w:t xml:space="preserve"> because it </w:t>
      </w:r>
      <w:r w:rsidRPr="00DE4EF4">
        <w:t xml:space="preserve">is unclear if customers will be charged the Minimum Charge in addition to Contract Demand Charges </w:t>
      </w:r>
      <w:r w:rsidR="00195863">
        <w:t>and C</w:t>
      </w:r>
      <w:r w:rsidRPr="00DE4EF4" w:rsidR="00195863">
        <w:t xml:space="preserve">ustomer </w:t>
      </w:r>
      <w:r w:rsidR="00195863">
        <w:t>C</w:t>
      </w:r>
      <w:r w:rsidRPr="00DE4EF4" w:rsidR="00195863">
        <w:t>harge</w:t>
      </w:r>
      <w:r w:rsidR="00195863">
        <w:t>s</w:t>
      </w:r>
      <w:r w:rsidRPr="00DE4EF4">
        <w:t>.</w:t>
      </w:r>
      <w:r>
        <w:rPr>
          <w:rStyle w:val="FootnoteReference"/>
        </w:rPr>
        <w:footnoteReference w:id="42"/>
      </w:r>
      <w:r w:rsidRPr="00DE4EF4">
        <w:t xml:space="preserve">    </w:t>
      </w:r>
    </w:p>
    <w:p w:rsidR="00167C28" w:rsidRPr="00167C28" w:rsidP="00903D01">
      <w:pPr>
        <w:pStyle w:val="Heading3"/>
      </w:pPr>
      <w:r w:rsidR="00286A4B">
        <w:t xml:space="preserve">Rate Schedule 21 </w:t>
      </w:r>
      <w:r w:rsidR="00EB1D7A">
        <w:t>is Inconsistent with</w:t>
      </w:r>
      <w:r w:rsidR="00286A4B">
        <w:t xml:space="preserve"> Order Nos. 841 and 2222 and Creates a Barrier to Entry</w:t>
      </w:r>
    </w:p>
    <w:p w:rsidR="00AB0989" w:rsidP="007E3507">
      <w:pPr>
        <w:pStyle w:val="FERCparanumber"/>
      </w:pPr>
      <w:r w:rsidRPr="00416D9A" w:rsidR="00416D9A">
        <w:t xml:space="preserve">Key Capture asserts that </w:t>
      </w:r>
      <w:r w:rsidR="00C40B3C">
        <w:t>proposed Rate Schedule 21</w:t>
      </w:r>
      <w:r w:rsidRPr="00416D9A" w:rsidR="00416D9A">
        <w:t xml:space="preserve"> appear</w:t>
      </w:r>
      <w:r w:rsidR="00C40B3C">
        <w:t>s</w:t>
      </w:r>
      <w:r w:rsidRPr="00416D9A" w:rsidR="00416D9A">
        <w:t xml:space="preserve"> to create barriers with respect to the deployment of battery storage in wholesale markets</w:t>
      </w:r>
      <w:r w:rsidR="00D215CF">
        <w:t xml:space="preserve"> and therefore has not been shown to be just and reasonable and in the public interest</w:t>
      </w:r>
      <w:r w:rsidRPr="00416D9A" w:rsidR="00416D9A">
        <w:t>.</w:t>
      </w:r>
      <w:r>
        <w:rPr>
          <w:rStyle w:val="FootnoteReference"/>
        </w:rPr>
        <w:footnoteReference w:id="43"/>
      </w:r>
      <w:r w:rsidRPr="00416D9A" w:rsidR="00416D9A">
        <w:t xml:space="preserve">  </w:t>
      </w:r>
      <w:r w:rsidR="00C12069">
        <w:t>MicroGrid</w:t>
      </w:r>
      <w:r w:rsidR="00E8333E">
        <w:t xml:space="preserve"> argues that, in </w:t>
      </w:r>
      <w:r w:rsidR="008C4AFA">
        <w:t xml:space="preserve">contrast with </w:t>
      </w:r>
      <w:r w:rsidR="00E8333E">
        <w:t xml:space="preserve">Order No. 841, </w:t>
      </w:r>
      <w:r w:rsidR="0031272F">
        <w:t xml:space="preserve">Central Hudson’s proposed </w:t>
      </w:r>
      <w:r w:rsidR="005C17E6">
        <w:t>Rate Schedule 21</w:t>
      </w:r>
      <w:r w:rsidR="0031272F">
        <w:t xml:space="preserve"> will impose unjust and unreaso</w:t>
      </w:r>
      <w:r w:rsidR="00C5293B">
        <w:t>na</w:t>
      </w:r>
      <w:r w:rsidR="0031272F">
        <w:t>ble rates</w:t>
      </w:r>
      <w:r w:rsidR="00C5293B">
        <w:t xml:space="preserve"> for both energy storage developers and ratepayers in Central Hudson’s service territory.</w:t>
      </w:r>
      <w:r>
        <w:rPr>
          <w:rStyle w:val="FootnoteReference"/>
        </w:rPr>
        <w:footnoteReference w:id="44"/>
      </w:r>
      <w:r w:rsidR="004452FC">
        <w:t xml:space="preserve">  </w:t>
      </w:r>
      <w:r w:rsidR="00C12069">
        <w:t>MicroGrid</w:t>
      </w:r>
      <w:r w:rsidR="00B27CBE">
        <w:t xml:space="preserve"> asserts that, if proposed </w:t>
      </w:r>
      <w:r w:rsidR="00780256">
        <w:t>Rate Schedule 21 is</w:t>
      </w:r>
      <w:r w:rsidR="00B27CBE">
        <w:t xml:space="preserve"> accepted, then the applicable rates for bulk storage facilities will be set by </w:t>
      </w:r>
      <w:r w:rsidR="00B27E1B">
        <w:t>Central Hudson</w:t>
      </w:r>
      <w:r w:rsidR="00B27CBE">
        <w:t xml:space="preserve">’s New York Commission-approved </w:t>
      </w:r>
      <w:r w:rsidR="004A5D38">
        <w:t>s</w:t>
      </w:r>
      <w:r w:rsidR="00B27CBE">
        <w:t xml:space="preserve">tandby and </w:t>
      </w:r>
      <w:r w:rsidR="004A5D38">
        <w:t>b</w:t>
      </w:r>
      <w:r w:rsidR="00B27CBE">
        <w:t xml:space="preserve">uyback </w:t>
      </w:r>
      <w:r w:rsidR="004A5D38">
        <w:t>r</w:t>
      </w:r>
      <w:r w:rsidR="00B27CBE">
        <w:t>ates</w:t>
      </w:r>
      <w:r w:rsidR="00FE60FB">
        <w:t>, which are intended to compensate the utility for the obligation to meet the customer’s demand in the even</w:t>
      </w:r>
      <w:r w:rsidR="003E16DC">
        <w:t>t</w:t>
      </w:r>
      <w:r w:rsidR="00FE60FB">
        <w:t xml:space="preserve"> that its generation is not </w:t>
      </w:r>
      <w:r w:rsidR="003E16DC">
        <w:t>available</w:t>
      </w:r>
      <w:r w:rsidR="002E1515">
        <w:t xml:space="preserve">, </w:t>
      </w:r>
      <w:r w:rsidR="00B831EF">
        <w:t>whereas</w:t>
      </w:r>
      <w:r w:rsidR="002E1515">
        <w:t xml:space="preserve"> energy storage resources have unique and flexible operating characteristics</w:t>
      </w:r>
      <w:r w:rsidR="00B831EF">
        <w:t>.</w:t>
      </w:r>
      <w:r>
        <w:rPr>
          <w:rStyle w:val="FootnoteReference"/>
        </w:rPr>
        <w:footnoteReference w:id="45"/>
      </w:r>
      <w:r w:rsidRPr="000671B5" w:rsidR="000671B5">
        <w:t xml:space="preserve"> </w:t>
      </w:r>
      <w:r w:rsidR="000671B5">
        <w:t xml:space="preserve"> </w:t>
      </w:r>
      <w:r w:rsidR="00C12069">
        <w:t>MicroGrid</w:t>
      </w:r>
      <w:r w:rsidR="000671B5">
        <w:t xml:space="preserve"> </w:t>
      </w:r>
      <w:r w:rsidR="00B60313">
        <w:t xml:space="preserve">also argues that </w:t>
      </w:r>
      <w:r w:rsidR="00B87D04">
        <w:t xml:space="preserve">subjecting energy storage resources to </w:t>
      </w:r>
      <w:r w:rsidR="009F6D5D">
        <w:t xml:space="preserve">the </w:t>
      </w:r>
      <w:r w:rsidR="004A5D38">
        <w:t>s</w:t>
      </w:r>
      <w:r w:rsidR="009F6D5D">
        <w:t xml:space="preserve">tandby and </w:t>
      </w:r>
      <w:r w:rsidR="004A5D38">
        <w:t>b</w:t>
      </w:r>
      <w:r w:rsidR="009F6D5D">
        <w:t>uyback rates contravenes the requirement in Order No. 841</w:t>
      </w:r>
      <w:r w:rsidR="00026E23">
        <w:t xml:space="preserve"> </w:t>
      </w:r>
      <w:r w:rsidRPr="00CC2B9F" w:rsidR="00CC2B9F">
        <w:t>that RTOs and ISOs not allow the assessment of identical transmission charges to energy storage resources providing ancillary services in the RTO/ISO markets and to load</w:t>
      </w:r>
      <w:r w:rsidR="00CC2B9F">
        <w:t>.</w:t>
      </w:r>
      <w:r>
        <w:rPr>
          <w:rStyle w:val="FootnoteReference"/>
        </w:rPr>
        <w:footnoteReference w:id="46"/>
      </w:r>
      <w:r w:rsidR="009D0D56">
        <w:t xml:space="preserve">  </w:t>
      </w:r>
    </w:p>
    <w:p w:rsidR="00A8724B" w:rsidP="00EB384C">
      <w:pPr>
        <w:pStyle w:val="FERCparanumber"/>
      </w:pPr>
      <w:r w:rsidR="00C12069">
        <w:t>MicroGrid</w:t>
      </w:r>
      <w:r w:rsidR="000924C8">
        <w:t xml:space="preserve"> asserts that proposed </w:t>
      </w:r>
      <w:r w:rsidR="000D6243">
        <w:t>Rate Schedule 21 is</w:t>
      </w:r>
      <w:r w:rsidR="000924C8">
        <w:t xml:space="preserve"> inconsistent with New </w:t>
      </w:r>
      <w:r w:rsidR="0074644F">
        <w:br/>
      </w:r>
      <w:r w:rsidR="000924C8">
        <w:t xml:space="preserve">York State’s policy of ensuring consistency between tariffs that facilitate dual participation in wholesale and retail </w:t>
      </w:r>
      <w:r w:rsidR="004C6CE9">
        <w:t>markets</w:t>
      </w:r>
      <w:r w:rsidR="008C2F40">
        <w:t>.</w:t>
      </w:r>
      <w:r>
        <w:rPr>
          <w:rStyle w:val="FootnoteReference"/>
        </w:rPr>
        <w:footnoteReference w:id="47"/>
      </w:r>
      <w:r w:rsidR="00843C22">
        <w:t xml:space="preserve">  </w:t>
      </w:r>
      <w:r w:rsidR="00C12069">
        <w:t>MicroGrid</w:t>
      </w:r>
      <w:r w:rsidR="00843C22">
        <w:t xml:space="preserve"> </w:t>
      </w:r>
      <w:r w:rsidR="001D03B7">
        <w:t xml:space="preserve">asserts that, by subjecting every interconnecting project in Central Hudson’s </w:t>
      </w:r>
      <w:r w:rsidR="00B41C3D">
        <w:t xml:space="preserve">service territory seeking to sell into NYISO’s markets to distribution rates, including those interconnected at 69 kV, 115 kV and 345 kV, proposed </w:t>
      </w:r>
      <w:r w:rsidR="00912CBA">
        <w:t>Rate Schedule 21</w:t>
      </w:r>
      <w:r w:rsidR="00B41C3D">
        <w:t xml:space="preserve"> will have a significant chilling effect on energy storage development in Central Hudson’s service territory, and likely statewide.</w:t>
      </w:r>
      <w:r>
        <w:rPr>
          <w:rStyle w:val="FootnoteReference"/>
        </w:rPr>
        <w:footnoteReference w:id="48"/>
      </w:r>
      <w:r w:rsidR="0092736B">
        <w:t xml:space="preserve">  </w:t>
      </w:r>
      <w:r w:rsidR="00C12069">
        <w:t>MicroGrid</w:t>
      </w:r>
      <w:r w:rsidR="0092736B">
        <w:t xml:space="preserve"> argues that proposed </w:t>
      </w:r>
      <w:r w:rsidR="00912CBA">
        <w:t>Rate Schedule 21</w:t>
      </w:r>
      <w:r w:rsidR="0092736B">
        <w:t xml:space="preserve"> will result in approximately $14 million in charges annually for a 200 MW bulk storage facility in Central Hudson’s service territory, while a similarly sized facility in another New State service territory would not pay any charging rate.</w:t>
      </w:r>
      <w:r>
        <w:rPr>
          <w:rStyle w:val="FootnoteReference"/>
        </w:rPr>
        <w:footnoteReference w:id="49"/>
      </w:r>
      <w:r w:rsidR="0066441A">
        <w:t xml:space="preserve">  </w:t>
      </w:r>
      <w:r w:rsidR="00C12069">
        <w:t>MicroGrid</w:t>
      </w:r>
      <w:r w:rsidR="0066441A">
        <w:t xml:space="preserve"> contends that </w:t>
      </w:r>
      <w:r w:rsidR="00912CBA">
        <w:t xml:space="preserve">Rate Schedule 21 </w:t>
      </w:r>
      <w:r w:rsidR="008232EF">
        <w:t>would have the unintended consequence of Central Hudson’s ratepayers</w:t>
      </w:r>
      <w:r w:rsidR="00820D5F">
        <w:t xml:space="preserve"> </w:t>
      </w:r>
      <w:r w:rsidR="0026291B">
        <w:t>paying for resources</w:t>
      </w:r>
      <w:r w:rsidR="009E2FFF">
        <w:t xml:space="preserve"> through the state’s energy incentive programs</w:t>
      </w:r>
      <w:r w:rsidR="0026291B">
        <w:t xml:space="preserve"> from which they will not benefit</w:t>
      </w:r>
      <w:r w:rsidR="00FF669F">
        <w:t xml:space="preserve">, </w:t>
      </w:r>
      <w:r w:rsidR="007E344C">
        <w:t xml:space="preserve">because </w:t>
      </w:r>
      <w:r w:rsidR="006F53A1">
        <w:t xml:space="preserve">energy storage development in Central Hudson’s territory would </w:t>
      </w:r>
      <w:r w:rsidR="00D0798F">
        <w:t>come to a halt</w:t>
      </w:r>
      <w:r w:rsidR="0026291B">
        <w:t>.</w:t>
      </w:r>
      <w:r>
        <w:rPr>
          <w:rStyle w:val="FootnoteReference"/>
        </w:rPr>
        <w:footnoteReference w:id="50"/>
      </w:r>
      <w:r w:rsidR="00EB384C">
        <w:t xml:space="preserve">  </w:t>
      </w:r>
      <w:r>
        <w:t>MicroGrid requests that, if the Commission approves proposed Rate Schedule 21, then the Commission should direct Central Hudson to exempt those energy storage projects interconnecting at 69 kV or higher.</w:t>
      </w:r>
      <w:r>
        <w:rPr>
          <w:rStyle w:val="FootnoteReference"/>
        </w:rPr>
        <w:footnoteReference w:id="51"/>
      </w:r>
      <w:r>
        <w:t xml:space="preserve">  </w:t>
      </w:r>
    </w:p>
    <w:p w:rsidR="00944737" w:rsidP="00944737">
      <w:pPr>
        <w:pStyle w:val="FERCparanumber"/>
      </w:pPr>
      <w:r>
        <w:t xml:space="preserve">In </w:t>
      </w:r>
      <w:r w:rsidR="00DB0606">
        <w:t xml:space="preserve">its </w:t>
      </w:r>
      <w:r w:rsidR="00317315">
        <w:t>answer</w:t>
      </w:r>
      <w:r>
        <w:t xml:space="preserve">, </w:t>
      </w:r>
      <w:r w:rsidRPr="00F609E1" w:rsidR="00F609E1">
        <w:t xml:space="preserve">Central Hudson </w:t>
      </w:r>
      <w:r w:rsidR="00F609E1">
        <w:t>responds</w:t>
      </w:r>
      <w:r w:rsidRPr="00F609E1" w:rsidR="00F609E1">
        <w:t xml:space="preserve"> that proposed Rate Schedule 21 is just and reasonable because it leverages an ACOS Study and rate design methodology that the New York Commission found just and reasonable and uses that retail rate to formulate wholesale rates</w:t>
      </w:r>
      <w:r w:rsidR="003F6C19">
        <w:t>,</w:t>
      </w:r>
      <w:r w:rsidRPr="00F609E1" w:rsidR="00F609E1">
        <w:t xml:space="preserve"> consistent with Order No. 841’s requirements.</w:t>
      </w:r>
      <w:r>
        <w:rPr>
          <w:b/>
          <w:vertAlign w:val="superscript"/>
        </w:rPr>
        <w:footnoteReference w:id="52"/>
      </w:r>
      <w:r w:rsidRPr="00F609E1" w:rsidR="00F609E1">
        <w:t xml:space="preserve">  </w:t>
      </w:r>
      <w:r>
        <w:t xml:space="preserve">Central Hudson </w:t>
      </w:r>
      <w:r w:rsidR="000646F0">
        <w:br/>
      </w:r>
      <w:r w:rsidR="00F609E1">
        <w:t>asserts</w:t>
      </w:r>
      <w:r>
        <w:t xml:space="preserve"> that </w:t>
      </w:r>
      <w:r w:rsidR="00394EE6">
        <w:t>protesters</w:t>
      </w:r>
      <w:r>
        <w:t xml:space="preserve"> fail to recognize that the proposal, for purposes of calculating </w:t>
      </w:r>
      <w:r w:rsidR="000646F0">
        <w:br/>
      </w:r>
      <w:r>
        <w:t xml:space="preserve">the Wholesale Charging Service rates, removed transmission costs to ensure compliance with Order No. 841.  Central Hudson states that the same methodology was used by Consolidated Edison and Orange </w:t>
      </w:r>
      <w:r w:rsidR="00EA2E13">
        <w:t>and</w:t>
      </w:r>
      <w:r>
        <w:t xml:space="preserve"> Rockland in their accepted WDS filings.  Central Hudson also asserts that Order No. 841 explained that it may be appropriate for distribution utilities to assess a wholesale distribution charge when electric storage resources participate in wholesale markets.</w:t>
      </w:r>
      <w:r>
        <w:rPr>
          <w:rStyle w:val="FootnoteReference"/>
        </w:rPr>
        <w:footnoteReference w:id="53"/>
      </w:r>
      <w:r>
        <w:t xml:space="preserve"> </w:t>
      </w:r>
      <w:r w:rsidR="00394EE6">
        <w:t xml:space="preserve"> </w:t>
      </w:r>
    </w:p>
    <w:p w:rsidR="00270185" w:rsidP="00313BED">
      <w:pPr>
        <w:pStyle w:val="Heading3"/>
      </w:pPr>
      <w:r>
        <w:t xml:space="preserve">Rate Schedule 21 Is Inconsistent with Just and Reasonable Rates </w:t>
      </w:r>
    </w:p>
    <w:p w:rsidR="000C671F" w:rsidP="006F7BEA">
      <w:pPr>
        <w:pStyle w:val="FERCparanumber"/>
      </w:pPr>
      <w:r w:rsidRPr="00422B56" w:rsidR="00416D9A">
        <w:t>Key Capture asserts that</w:t>
      </w:r>
      <w:r w:rsidRPr="00422B56" w:rsidR="00813464">
        <w:t xml:space="preserve"> </w:t>
      </w:r>
      <w:r w:rsidRPr="00422B56" w:rsidR="00BA3CA5">
        <w:t>proposed Rate Schedule 21 is</w:t>
      </w:r>
      <w:r w:rsidRPr="00422B56" w:rsidR="00813464">
        <w:t xml:space="preserve"> inconsistent with just and </w:t>
      </w:r>
      <w:r w:rsidRPr="00422B56" w:rsidR="005B77EE">
        <w:t>reasonable</w:t>
      </w:r>
      <w:r w:rsidRPr="00422B56" w:rsidR="00813464">
        <w:t xml:space="preserve"> rates because</w:t>
      </w:r>
      <w:r w:rsidR="005F104D">
        <w:t>,</w:t>
      </w:r>
      <w:r w:rsidRPr="00422B56" w:rsidR="00416D9A">
        <w:t xml:space="preserve"> </w:t>
      </w:r>
      <w:r w:rsidRPr="00422B56" w:rsidR="00F62A7D">
        <w:t xml:space="preserve">in the Wholesale Charging Service rate, </w:t>
      </w:r>
      <w:r w:rsidRPr="00422B56" w:rsidR="00416D9A">
        <w:t xml:space="preserve">the Contract Demand </w:t>
      </w:r>
      <w:r w:rsidR="0092171E">
        <w:t>C</w:t>
      </w:r>
      <w:r w:rsidRPr="00422B56" w:rsidR="00416D9A">
        <w:t>harge</w:t>
      </w:r>
      <w:r w:rsidRPr="00422B56" w:rsidR="00F62A7D">
        <w:t xml:space="preserve"> </w:t>
      </w:r>
      <w:r w:rsidRPr="00422B56" w:rsidR="00416D9A">
        <w:t>for transmission customers is inexplicably higher</w:t>
      </w:r>
      <w:r w:rsidRPr="00422B56" w:rsidR="00416D9A">
        <w:t xml:space="preserve"> </w:t>
      </w:r>
      <w:r w:rsidRPr="00422B56" w:rsidR="00416D9A">
        <w:t>than in its retail rate.</w:t>
      </w:r>
      <w:r>
        <w:rPr>
          <w:rStyle w:val="FootnoteReference"/>
        </w:rPr>
        <w:footnoteReference w:id="54"/>
      </w:r>
      <w:r w:rsidRPr="00416D9A" w:rsidR="00416D9A">
        <w:t xml:space="preserve">  Key Capture explains that</w:t>
      </w:r>
      <w:r w:rsidR="00E256BD">
        <w:t xml:space="preserve">, because the </w:t>
      </w:r>
      <w:r w:rsidR="00BA3CA5">
        <w:t>ACOS Study</w:t>
      </w:r>
      <w:r w:rsidR="00E256BD">
        <w:t xml:space="preserve"> divide</w:t>
      </w:r>
      <w:r w:rsidR="00BA3CA5">
        <w:t>s</w:t>
      </w:r>
      <w:r w:rsidR="00E256BD">
        <w:t xml:space="preserve"> rates</w:t>
      </w:r>
      <w:r w:rsidR="00230FD2">
        <w:t xml:space="preserve"> up into </w:t>
      </w:r>
      <w:r w:rsidR="003E647A">
        <w:t>l</w:t>
      </w:r>
      <w:r w:rsidR="00230FD2">
        <w:t xml:space="preserve">ocal </w:t>
      </w:r>
      <w:r w:rsidR="0059634F">
        <w:t>costs</w:t>
      </w:r>
      <w:r w:rsidR="00230FD2">
        <w:t xml:space="preserve"> (recovered via the Contracted Demand </w:t>
      </w:r>
      <w:r w:rsidR="0092171E">
        <w:t>C</w:t>
      </w:r>
      <w:r w:rsidR="00230FD2">
        <w:t xml:space="preserve">harge) and </w:t>
      </w:r>
      <w:r w:rsidR="003E647A">
        <w:t>s</w:t>
      </w:r>
      <w:r w:rsidR="0059634F">
        <w:t>hared costs (recovered through the Daily</w:t>
      </w:r>
      <w:r w:rsidR="00672A99">
        <w:t>-</w:t>
      </w:r>
      <w:r w:rsidR="0059634F">
        <w:t xml:space="preserve">As-Used </w:t>
      </w:r>
      <w:r w:rsidR="0092171E">
        <w:t>C</w:t>
      </w:r>
      <w:r w:rsidR="0059634F">
        <w:t>harges),</w:t>
      </w:r>
      <w:r w:rsidRPr="00416D9A" w:rsidR="00416D9A">
        <w:t xml:space="preserve"> </w:t>
      </w:r>
      <w:r w:rsidR="0059634F">
        <w:t>one</w:t>
      </w:r>
      <w:r w:rsidRPr="00416D9A" w:rsidR="00416D9A">
        <w:t xml:space="preserve"> would expect that the removal of transmission costs </w:t>
      </w:r>
      <w:r w:rsidR="003E647A">
        <w:t>in developing Rate Schedule 21</w:t>
      </w:r>
      <w:r w:rsidRPr="00416D9A" w:rsidR="00416D9A">
        <w:t xml:space="preserve"> would result in </w:t>
      </w:r>
      <w:r w:rsidR="001E1E97">
        <w:t>lower Daily</w:t>
      </w:r>
      <w:r w:rsidR="00672A99">
        <w:t>-</w:t>
      </w:r>
      <w:r w:rsidR="001E1E97">
        <w:t xml:space="preserve">As-Used </w:t>
      </w:r>
      <w:r w:rsidR="0092171E">
        <w:t>C</w:t>
      </w:r>
      <w:r w:rsidR="001E1E97">
        <w:t>harges and</w:t>
      </w:r>
      <w:r w:rsidRPr="00416D9A" w:rsidR="001E1E97">
        <w:t xml:space="preserve"> </w:t>
      </w:r>
      <w:r w:rsidRPr="00416D9A" w:rsidR="00416D9A">
        <w:t>lower</w:t>
      </w:r>
      <w:r w:rsidR="001E1E97">
        <w:t xml:space="preserve"> (or at minimum, the same)</w:t>
      </w:r>
      <w:r w:rsidRPr="00416D9A" w:rsidR="00416D9A">
        <w:t xml:space="preserve"> Contract Demand </w:t>
      </w:r>
      <w:r w:rsidR="0092171E">
        <w:t>C</w:t>
      </w:r>
      <w:r w:rsidRPr="00416D9A" w:rsidR="00416D9A">
        <w:t>harge for transmission customers.</w:t>
      </w:r>
      <w:r>
        <w:rPr>
          <w:rStyle w:val="FootnoteReference"/>
        </w:rPr>
        <w:footnoteReference w:id="55"/>
      </w:r>
      <w:r w:rsidR="006F7BEA">
        <w:t xml:space="preserve">  </w:t>
      </w:r>
      <w:r>
        <w:t>In response, Central Hudson explains that its current retail tariff is incorrect and that it has filed corrections with the New York Commission.</w:t>
      </w:r>
      <w:r>
        <w:rPr>
          <w:rStyle w:val="FootnoteReference"/>
        </w:rPr>
        <w:footnoteReference w:id="56"/>
      </w:r>
      <w:r w:rsidR="0027706C">
        <w:t xml:space="preserve">  In its answer, Key Capture contends that Central Hudson’s admission that its current retail tariff is incorrect demonstrates the need for Central Hudson to make its full workpapers available for review.</w:t>
      </w:r>
      <w:r>
        <w:rPr>
          <w:rStyle w:val="FootnoteReference"/>
        </w:rPr>
        <w:footnoteReference w:id="57"/>
      </w:r>
    </w:p>
    <w:p w:rsidR="00DB2AFA" w:rsidP="003B6CD5">
      <w:pPr>
        <w:pStyle w:val="FERCparanumber"/>
      </w:pPr>
      <w:r w:rsidR="005778FE">
        <w:t xml:space="preserve">Key Capture argues that </w:t>
      </w:r>
      <w:r w:rsidR="008A1462">
        <w:t>Central Hudson does not support</w:t>
      </w:r>
      <w:r w:rsidR="001D328F">
        <w:t xml:space="preserve"> </w:t>
      </w:r>
      <w:r w:rsidR="0065377D">
        <w:t>the</w:t>
      </w:r>
      <w:r w:rsidR="00657BEC">
        <w:t xml:space="preserve"> inclu</w:t>
      </w:r>
      <w:r w:rsidR="001D328F">
        <w:t>sion of</w:t>
      </w:r>
      <w:r w:rsidR="00657BEC">
        <w:t xml:space="preserve"> a </w:t>
      </w:r>
      <w:r w:rsidR="005778FE">
        <w:t xml:space="preserve">Merchant Function Charge in </w:t>
      </w:r>
      <w:r w:rsidR="00A34953">
        <w:t>proposed Rate Schedule 21</w:t>
      </w:r>
      <w:r w:rsidR="00D31ABC">
        <w:t xml:space="preserve"> </w:t>
      </w:r>
      <w:r w:rsidR="00D31ABC">
        <w:t>because</w:t>
      </w:r>
      <w:r w:rsidR="005778FE">
        <w:t xml:space="preserve"> the Merchant Function Charge is associated with the provision of default supply service</w:t>
      </w:r>
      <w:r w:rsidR="00C848E9">
        <w:t xml:space="preserve"> and when a WDS customer tak</w:t>
      </w:r>
      <w:r w:rsidR="003E6BE3">
        <w:t>es</w:t>
      </w:r>
      <w:r w:rsidR="00C848E9">
        <w:t xml:space="preserve"> supply service directly from NYISO</w:t>
      </w:r>
      <w:r w:rsidR="005778FE">
        <w:t>.</w:t>
      </w:r>
      <w:r>
        <w:rPr>
          <w:rStyle w:val="FootnoteReference"/>
        </w:rPr>
        <w:footnoteReference w:id="58"/>
      </w:r>
      <w:r w:rsidR="005778FE">
        <w:t xml:space="preserve">  </w:t>
      </w:r>
      <w:r>
        <w:t xml:space="preserve">In response, Central Hudson argues that </w:t>
      </w:r>
      <w:r w:rsidR="003279CB">
        <w:t xml:space="preserve">there is an administrative </w:t>
      </w:r>
      <w:r>
        <w:t xml:space="preserve">Merchant Function Charge, which differs from the </w:t>
      </w:r>
      <w:r w:rsidR="003279CB">
        <w:t xml:space="preserve">supply </w:t>
      </w:r>
      <w:r>
        <w:t xml:space="preserve">Merchant Function Charge, </w:t>
      </w:r>
      <w:r w:rsidR="00EB55FB">
        <w:t xml:space="preserve">that </w:t>
      </w:r>
      <w:r>
        <w:t>was established in Central Hudson’s New York Commission tariff and is applicable to all delivery service customers.</w:t>
      </w:r>
      <w:r>
        <w:rPr>
          <w:rStyle w:val="FootnoteReference"/>
        </w:rPr>
        <w:footnoteReference w:id="59"/>
      </w:r>
      <w:r>
        <w:t xml:space="preserve">  </w:t>
      </w:r>
    </w:p>
    <w:p w:rsidR="00162B1B" w:rsidP="00C97CA0">
      <w:pPr>
        <w:pStyle w:val="FERCparanumber"/>
      </w:pPr>
      <w:r w:rsidR="005778FE">
        <w:t xml:space="preserve">Key Capture </w:t>
      </w:r>
      <w:r w:rsidR="00CC7F87">
        <w:t>argues</w:t>
      </w:r>
      <w:r w:rsidR="00925E45">
        <w:t xml:space="preserve"> that </w:t>
      </w:r>
      <w:r w:rsidR="00A34953">
        <w:t xml:space="preserve">proposed Rate Schedule 21 </w:t>
      </w:r>
      <w:r w:rsidR="00167C3A">
        <w:t>may be</w:t>
      </w:r>
      <w:r w:rsidR="00852D21">
        <w:t xml:space="preserve"> very volatile </w:t>
      </w:r>
      <w:r w:rsidR="00040523">
        <w:t>because</w:t>
      </w:r>
      <w:r w:rsidR="005778FE">
        <w:t xml:space="preserve"> the customer classes used to determine Central Hudson’s rates are very small.</w:t>
      </w:r>
      <w:r>
        <w:rPr>
          <w:rStyle w:val="FootnoteReference"/>
        </w:rPr>
        <w:footnoteReference w:id="60"/>
      </w:r>
      <w:r w:rsidR="005778FE">
        <w:t xml:space="preserve">  </w:t>
      </w:r>
      <w:r w:rsidR="00917451">
        <w:t>In response, Central Hudson states that the New York Commission has found that the underlying service class is acceptable for purposes of rate design in state rate proceedings.</w:t>
      </w:r>
      <w:r>
        <w:rPr>
          <w:rStyle w:val="FootnoteReference"/>
        </w:rPr>
        <w:footnoteReference w:id="61"/>
      </w:r>
      <w:r w:rsidR="00827735">
        <w:t xml:space="preserve">  </w:t>
      </w:r>
    </w:p>
    <w:p w:rsidR="00C328D4" w:rsidP="002350B1">
      <w:pPr>
        <w:pStyle w:val="FERCparanumber"/>
      </w:pPr>
      <w:r w:rsidR="005778FE">
        <w:t>Key Capture asserts that</w:t>
      </w:r>
      <w:r w:rsidR="00CF740D">
        <w:t xml:space="preserve"> </w:t>
      </w:r>
      <w:r w:rsidR="005778FE">
        <w:t>there is ambiguity as to whether Central Hudson’s WDS rates will be outside of retail cost of service</w:t>
      </w:r>
      <w:r w:rsidR="00162B1B">
        <w:t>,</w:t>
      </w:r>
      <w:r w:rsidR="006A5AC3">
        <w:t xml:space="preserve"> </w:t>
      </w:r>
      <w:r w:rsidR="004E4D1B">
        <w:t>given that Central Hudson proposed in testimony to the New York Commission that the</w:t>
      </w:r>
      <w:r w:rsidR="005778FE">
        <w:t xml:space="preserve"> revenues from WDS service will be passed back to other delivery </w:t>
      </w:r>
      <w:r w:rsidR="004E4D1B">
        <w:t xml:space="preserve">service </w:t>
      </w:r>
      <w:r w:rsidR="005778FE">
        <w:t>customers.</w:t>
      </w:r>
      <w:r>
        <w:rPr>
          <w:rStyle w:val="FootnoteReference"/>
        </w:rPr>
        <w:footnoteReference w:id="62"/>
      </w:r>
      <w:r w:rsidR="005778FE">
        <w:t xml:space="preserve">  Key Capture argues that</w:t>
      </w:r>
      <w:r w:rsidR="00B72E06">
        <w:t>,</w:t>
      </w:r>
      <w:r w:rsidR="005778FE">
        <w:t xml:space="preserve"> if the WDS rates are outside of the retail cost of service</w:t>
      </w:r>
      <w:r w:rsidR="00C3094A">
        <w:t xml:space="preserve"> and the revenues will be passed back to other delivery customers instead of contributing to the distribution revenue requirement of the utility</w:t>
      </w:r>
      <w:r w:rsidR="005778FE">
        <w:t>, then it does not make sense to derive the WDS rates using retail billing determinants.</w:t>
      </w:r>
      <w:r>
        <w:rPr>
          <w:rStyle w:val="FootnoteReference"/>
        </w:rPr>
        <w:footnoteReference w:id="63"/>
      </w:r>
      <w:r w:rsidR="00C97CA0">
        <w:t xml:space="preserve">  </w:t>
      </w:r>
      <w:r w:rsidR="00DB2AFA">
        <w:t>In response, Central Hudson argues that the practice of passing revenues received for use of the utilit</w:t>
      </w:r>
      <w:r w:rsidR="00CA1994">
        <w:t>y’s</w:t>
      </w:r>
      <w:r w:rsidR="00DB2AFA">
        <w:t xml:space="preserve"> transmission and distribution system back to retail customers is common practice and, because it is a New York Commission ratemaking item, outside the scope of this proceeding.</w:t>
      </w:r>
      <w:r>
        <w:rPr>
          <w:rStyle w:val="FootnoteReference"/>
        </w:rPr>
        <w:footnoteReference w:id="64"/>
      </w:r>
    </w:p>
    <w:p w:rsidR="00A34953" w:rsidP="00A34953">
      <w:pPr>
        <w:pStyle w:val="FERCparanumber"/>
      </w:pPr>
      <w:r w:rsidR="00C12069">
        <w:t>MicroGrid</w:t>
      </w:r>
      <w:r>
        <w:t xml:space="preserve"> argues that, because bulk storage facilities are not retail customers, and therefore not end users of bulk charging energy, it is inappropriate, contrary to the underlying rationale of </w:t>
      </w:r>
      <w:r w:rsidR="007D7BB3">
        <w:t>s</w:t>
      </w:r>
      <w:r>
        <w:t xml:space="preserve">tandby </w:t>
      </w:r>
      <w:r w:rsidR="007D7BB3">
        <w:t>r</w:t>
      </w:r>
      <w:r>
        <w:t>ates, and unjust and unreasonable to subject energy storage resources to such rates through a WDS tariff.</w:t>
      </w:r>
      <w:r>
        <w:rPr>
          <w:rStyle w:val="FootnoteReference"/>
        </w:rPr>
        <w:footnoteReference w:id="65"/>
      </w:r>
      <w:r>
        <w:t xml:space="preserve">    </w:t>
      </w:r>
    </w:p>
    <w:p w:rsidR="00B662C5" w:rsidP="000812E7">
      <w:pPr>
        <w:pStyle w:val="Heading3"/>
      </w:pPr>
      <w:r w:rsidR="00DA025A">
        <w:t>The Commission Should Not Afford Any Deference to the WDS Rates</w:t>
      </w:r>
    </w:p>
    <w:p w:rsidR="00F90465" w:rsidP="00447B2B">
      <w:pPr>
        <w:pStyle w:val="FERCparanumber"/>
      </w:pPr>
      <w:r w:rsidR="00477BD4">
        <w:t>Key Capture contends that</w:t>
      </w:r>
      <w:r w:rsidR="00BA3734">
        <w:t>, although the Commission has previously accepted the rate determinations of the New York Commission,</w:t>
      </w:r>
      <w:r w:rsidR="00477BD4">
        <w:t xml:space="preserve"> </w:t>
      </w:r>
      <w:r w:rsidR="00092720">
        <w:t xml:space="preserve">Central Hudson’s filing does not provide a sufficient basis </w:t>
      </w:r>
      <w:r w:rsidR="0012028B">
        <w:t xml:space="preserve">for the Commission </w:t>
      </w:r>
      <w:r w:rsidR="001A2D38">
        <w:t>to</w:t>
      </w:r>
      <w:r w:rsidR="0012028B">
        <w:t xml:space="preserve"> provide such deference in this instance</w:t>
      </w:r>
      <w:r w:rsidR="001A2D38">
        <w:t>.</w:t>
      </w:r>
      <w:r>
        <w:rPr>
          <w:rStyle w:val="FootnoteReference"/>
        </w:rPr>
        <w:footnoteReference w:id="66"/>
      </w:r>
      <w:r w:rsidR="001A2D38">
        <w:t xml:space="preserve">  Key Capture explains that Central Hudson’s rate base </w:t>
      </w:r>
      <w:r w:rsidR="00357B0C">
        <w:t>is currently being litigated before the New York Commission</w:t>
      </w:r>
      <w:r w:rsidR="006C32C2">
        <w:t xml:space="preserve">, and asserts that Central Hudson has </w:t>
      </w:r>
      <w:r w:rsidR="005B7668">
        <w:t>stated to the New York Commission that its WDS tariff is subject to the Commission’s review and approval and outside the scope of the rate proposal at issue in the New York Commission proceeding.</w:t>
      </w:r>
      <w:r>
        <w:rPr>
          <w:rStyle w:val="FootnoteReference"/>
        </w:rPr>
        <w:footnoteReference w:id="67"/>
      </w:r>
      <w:r w:rsidR="002C4010">
        <w:t xml:space="preserve">  </w:t>
      </w:r>
      <w:r w:rsidR="00F138A4">
        <w:t>Additionally, Key Capture argues that deference is not warranted because the New York Commission</w:t>
      </w:r>
      <w:r w:rsidR="00B32E1A">
        <w:t xml:space="preserve"> ACOS Order</w:t>
      </w:r>
      <w:r w:rsidR="004526AD">
        <w:t xml:space="preserve"> approved a methodology, not actual rates</w:t>
      </w:r>
      <w:r w:rsidR="00BE2B66">
        <w:t xml:space="preserve">, </w:t>
      </w:r>
      <w:r w:rsidR="00CF60DB">
        <w:t>and the New York Commission determined</w:t>
      </w:r>
      <w:r w:rsidR="00257856">
        <w:t xml:space="preserve"> </w:t>
      </w:r>
      <w:r w:rsidR="00D661B0">
        <w:t xml:space="preserve">that issues related to utilities’ </w:t>
      </w:r>
      <w:r w:rsidR="00D314A6">
        <w:t>c</w:t>
      </w:r>
      <w:r w:rsidR="00D661B0">
        <w:t xml:space="preserve">ost of </w:t>
      </w:r>
      <w:r w:rsidR="00D314A6">
        <w:t>s</w:t>
      </w:r>
      <w:r w:rsidR="00D661B0">
        <w:t>ervice studies and methodologies were outside the scope of th</w:t>
      </w:r>
      <w:r w:rsidR="00257856">
        <w:t>at</w:t>
      </w:r>
      <w:r w:rsidR="00D661B0">
        <w:t xml:space="preserve"> proceeding.</w:t>
      </w:r>
      <w:r>
        <w:rPr>
          <w:rStyle w:val="FootnoteReference"/>
        </w:rPr>
        <w:footnoteReference w:id="68"/>
      </w:r>
      <w:r w:rsidR="006B7674">
        <w:t xml:space="preserve">  </w:t>
      </w:r>
      <w:r>
        <w:t xml:space="preserve">Key Capture further asserts that </w:t>
      </w:r>
      <w:r w:rsidR="002178F3">
        <w:t xml:space="preserve">the Commission should not defer to Central Hudson’s rate calculations underlying </w:t>
      </w:r>
      <w:r w:rsidR="006F6494">
        <w:t>proposed Rate Schedule 21</w:t>
      </w:r>
      <w:r w:rsidR="002178F3">
        <w:t xml:space="preserve"> because </w:t>
      </w:r>
      <w:r>
        <w:t>Central Hudson’s ACOS</w:t>
      </w:r>
      <w:r w:rsidR="003E2B5C">
        <w:t xml:space="preserve"> </w:t>
      </w:r>
      <w:r w:rsidR="006F6494">
        <w:t>Study</w:t>
      </w:r>
      <w:r w:rsidR="003E2B5C">
        <w:t xml:space="preserve"> ha</w:t>
      </w:r>
      <w:r w:rsidR="006F6494">
        <w:t>s</w:t>
      </w:r>
      <w:r w:rsidR="003E2B5C">
        <w:t xml:space="preserve"> not </w:t>
      </w:r>
      <w:r w:rsidR="00174509">
        <w:t>been submitted on a by FERC</w:t>
      </w:r>
      <w:r w:rsidR="008867FA">
        <w:t xml:space="preserve"> </w:t>
      </w:r>
      <w:r w:rsidR="008A692E">
        <w:t>a</w:t>
      </w:r>
      <w:r w:rsidR="00E93770">
        <w:t>ccount</w:t>
      </w:r>
      <w:r w:rsidR="00174509">
        <w:t>-basis</w:t>
      </w:r>
      <w:r w:rsidR="00E93770">
        <w:t>.</w:t>
      </w:r>
      <w:r>
        <w:rPr>
          <w:rStyle w:val="FootnoteReference"/>
        </w:rPr>
        <w:footnoteReference w:id="69"/>
      </w:r>
    </w:p>
    <w:p w:rsidR="00666249" w:rsidP="00C328D4">
      <w:pPr>
        <w:pStyle w:val="FERCparanumber"/>
      </w:pPr>
      <w:r>
        <w:t xml:space="preserve">In its </w:t>
      </w:r>
      <w:r w:rsidR="00E44F1B">
        <w:t>a</w:t>
      </w:r>
      <w:r>
        <w:t>nswer</w:t>
      </w:r>
      <w:r w:rsidRPr="00935C86">
        <w:t xml:space="preserve">, </w:t>
      </w:r>
      <w:r w:rsidRPr="00827735" w:rsidR="00935C86">
        <w:t xml:space="preserve">Central Hudson asserts that its filing and request for deference is consistent with the WDS filings submitted by Orange </w:t>
      </w:r>
      <w:r w:rsidR="00EA2E13">
        <w:t>and</w:t>
      </w:r>
      <w:r w:rsidRPr="00827735" w:rsidR="00935C86">
        <w:t xml:space="preserve"> Rockland and Consolidated Edison and accepted by the Commission.</w:t>
      </w:r>
      <w:r>
        <w:rPr>
          <w:rStyle w:val="FootnoteReference"/>
        </w:rPr>
        <w:footnoteReference w:id="70"/>
      </w:r>
      <w:r w:rsidRPr="00935C86" w:rsidR="00935C86">
        <w:t xml:space="preserve">  </w:t>
      </w:r>
      <w:r w:rsidRPr="00935C86">
        <w:t>Central</w:t>
      </w:r>
      <w:r>
        <w:t xml:space="preserve"> Hudson contends that Key Capture’s argument that deference is not warranted fails to recognize that Central Hudson’s WDS filing is premised on Central Hudson’s currently effective retail rates, not those pending before the New York Commission.</w:t>
      </w:r>
      <w:r>
        <w:rPr>
          <w:rStyle w:val="FootnoteReference"/>
        </w:rPr>
        <w:footnoteReference w:id="71"/>
      </w:r>
      <w:r>
        <w:t xml:space="preserve">  Central Hudson </w:t>
      </w:r>
      <w:r w:rsidR="008F11D5">
        <w:t xml:space="preserve">also </w:t>
      </w:r>
      <w:r w:rsidR="00900EEE">
        <w:t xml:space="preserve">clarifies </w:t>
      </w:r>
      <w:r>
        <w:t>that proposed Rate Schedule 21 will not apply to customers connected to Central Hudson’s transmission system that is considered part of the Commission-regulated bulk transmission system.</w:t>
      </w:r>
      <w:r>
        <w:rPr>
          <w:rStyle w:val="FootnoteReference"/>
        </w:rPr>
        <w:footnoteReference w:id="72"/>
      </w:r>
    </w:p>
    <w:p w:rsidR="00176B5E" w:rsidP="007A1A57">
      <w:pPr>
        <w:pStyle w:val="Heading2"/>
      </w:pPr>
      <w:r>
        <w:t>Deficiency Letter</w:t>
      </w:r>
    </w:p>
    <w:p w:rsidR="00176B5E" w:rsidRPr="00176B5E" w:rsidP="009B2594">
      <w:pPr>
        <w:pStyle w:val="FERCparanumber"/>
      </w:pPr>
      <w:r w:rsidR="007B3505">
        <w:t xml:space="preserve">In the deficiency letter, Commission staff </w:t>
      </w:r>
      <w:r w:rsidR="00DE3C28">
        <w:t xml:space="preserve">asked Central Hudson to </w:t>
      </w:r>
      <w:r w:rsidR="009A428E">
        <w:t xml:space="preserve">show how </w:t>
      </w:r>
      <w:r w:rsidR="000646F0">
        <w:br/>
      </w:r>
      <w:r w:rsidR="009A428E">
        <w:t xml:space="preserve">the </w:t>
      </w:r>
      <w:r w:rsidR="001C1AC2">
        <w:t xml:space="preserve">proposed WDS rates are derived from </w:t>
      </w:r>
      <w:r w:rsidR="00DE0884">
        <w:t xml:space="preserve">or relate to </w:t>
      </w:r>
      <w:r w:rsidR="00534CD1">
        <w:t xml:space="preserve">Central Hudson’s </w:t>
      </w:r>
      <w:r w:rsidR="001C1AC2">
        <w:t>New York Commission</w:t>
      </w:r>
      <w:r w:rsidR="00917762">
        <w:t xml:space="preserve">-approved rates </w:t>
      </w:r>
      <w:r w:rsidR="00534CD1">
        <w:t>and</w:t>
      </w:r>
      <w:r w:rsidR="00465106">
        <w:t xml:space="preserve"> </w:t>
      </w:r>
      <w:r w:rsidR="00A206FA">
        <w:t xml:space="preserve">explain how </w:t>
      </w:r>
      <w:r w:rsidR="002473F9">
        <w:t xml:space="preserve">the </w:t>
      </w:r>
      <w:r w:rsidR="00A206FA">
        <w:t>transmission revenue</w:t>
      </w:r>
      <w:r w:rsidR="009A428E">
        <w:t xml:space="preserve"> requirement </w:t>
      </w:r>
      <w:r w:rsidR="00576E4C">
        <w:t xml:space="preserve">is </w:t>
      </w:r>
      <w:r w:rsidR="003D4158">
        <w:t>derived</w:t>
      </w:r>
      <w:r w:rsidR="0063493B">
        <w:t>.  Commission staff also asked Central Hudson to clarify certain ambiguities in proposed Rate Schedule 21</w:t>
      </w:r>
      <w:r w:rsidR="00BF0B96">
        <w:t xml:space="preserve">, such as </w:t>
      </w:r>
      <w:r w:rsidR="00A52D54">
        <w:t>when the</w:t>
      </w:r>
      <w:r w:rsidR="00BF0B96">
        <w:t xml:space="preserve"> Minimum Charge</w:t>
      </w:r>
      <w:r w:rsidR="00A52D54">
        <w:t xml:space="preserve"> is applied to customers</w:t>
      </w:r>
      <w:r w:rsidR="00BF0B96">
        <w:t xml:space="preserve">, </w:t>
      </w:r>
      <w:r w:rsidR="00E30EB4">
        <w:t xml:space="preserve">whether </w:t>
      </w:r>
      <w:r w:rsidR="00BF0B96">
        <w:t>the service level categories</w:t>
      </w:r>
      <w:r w:rsidR="00E30EB4">
        <w:t xml:space="preserve"> are incorrectly labeled, how Contract Demand for </w:t>
      </w:r>
      <w:r w:rsidR="00A52D54">
        <w:t>new customers</w:t>
      </w:r>
      <w:r w:rsidR="006836D1">
        <w:t xml:space="preserve"> will be determined</w:t>
      </w:r>
      <w:r w:rsidR="00A52D54">
        <w:t xml:space="preserve">, and </w:t>
      </w:r>
      <w:r w:rsidR="006836D1">
        <w:t xml:space="preserve">how </w:t>
      </w:r>
      <w:r w:rsidR="00431D54">
        <w:t xml:space="preserve">to define </w:t>
      </w:r>
      <w:r w:rsidR="00C011CE">
        <w:t>Merchant Function Charge and related terms.</w:t>
      </w:r>
    </w:p>
    <w:p w:rsidR="003C550B" w:rsidP="007A1A57">
      <w:pPr>
        <w:pStyle w:val="Heading2"/>
      </w:pPr>
      <w:r w:rsidR="007A1A57">
        <w:t>Deficiency Response</w:t>
      </w:r>
    </w:p>
    <w:p w:rsidR="007722B4" w:rsidRPr="001943CF" w:rsidP="004536B7">
      <w:pPr>
        <w:pStyle w:val="FERCparanumber"/>
      </w:pPr>
      <w:r w:rsidRPr="001943CF">
        <w:t xml:space="preserve">Central Hudson explains that the </w:t>
      </w:r>
      <w:r w:rsidR="009139B8">
        <w:t>b</w:t>
      </w:r>
      <w:r w:rsidRPr="001943CF">
        <w:t xml:space="preserve">ase </w:t>
      </w:r>
      <w:r w:rsidR="009139B8">
        <w:t>d</w:t>
      </w:r>
      <w:r w:rsidRPr="001943CF">
        <w:t xml:space="preserve">elivery </w:t>
      </w:r>
      <w:r w:rsidR="009139B8">
        <w:t>r</w:t>
      </w:r>
      <w:r w:rsidRPr="001943CF">
        <w:t>equirement reflects the revenue requirement, excluding M</w:t>
      </w:r>
      <w:r w:rsidR="00827735">
        <w:t xml:space="preserve">erchant </w:t>
      </w:r>
      <w:r w:rsidRPr="001943CF">
        <w:t>F</w:t>
      </w:r>
      <w:r w:rsidR="00827735">
        <w:t xml:space="preserve">unction </w:t>
      </w:r>
      <w:r w:rsidRPr="001943CF">
        <w:t>C</w:t>
      </w:r>
      <w:r w:rsidR="00827735">
        <w:t>harge</w:t>
      </w:r>
      <w:r w:rsidRPr="001943CF">
        <w:t xml:space="preserve">s, established under Central Hudson’s current New York Commission rate plan and rates, and was the result of the revenue allocation, which is shown in the </w:t>
      </w:r>
      <w:r w:rsidR="008A692E">
        <w:t>j</w:t>
      </w:r>
      <w:r w:rsidRPr="001943CF">
        <w:t xml:space="preserve">oint </w:t>
      </w:r>
      <w:r w:rsidR="008A692E">
        <w:t>p</w:t>
      </w:r>
      <w:r w:rsidRPr="001943CF">
        <w:t>roposal adopted by the New York Commission.</w:t>
      </w:r>
      <w:r>
        <w:rPr>
          <w:rStyle w:val="FootnoteReference"/>
          <w:szCs w:val="26"/>
        </w:rPr>
        <w:footnoteReference w:id="73"/>
      </w:r>
      <w:r w:rsidRPr="001943CF">
        <w:t xml:space="preserve">  Central Hudson provides new Attachment 2 that reconciles the </w:t>
      </w:r>
      <w:r w:rsidR="009139B8">
        <w:t>b</w:t>
      </w:r>
      <w:r w:rsidRPr="001943CF">
        <w:t xml:space="preserve">ase </w:t>
      </w:r>
      <w:r w:rsidR="009139B8">
        <w:t>d</w:t>
      </w:r>
      <w:r w:rsidRPr="001943CF">
        <w:t xml:space="preserve">elivery </w:t>
      </w:r>
      <w:r w:rsidR="009139B8">
        <w:t>r</w:t>
      </w:r>
      <w:r w:rsidRPr="001943CF">
        <w:t xml:space="preserve">equirement </w:t>
      </w:r>
      <w:r w:rsidR="00905B9C">
        <w:t>used</w:t>
      </w:r>
      <w:r w:rsidRPr="001943CF" w:rsidR="00905B9C">
        <w:t xml:space="preserve"> </w:t>
      </w:r>
      <w:r w:rsidRPr="001943CF">
        <w:t>to establish the New York Commission base delivery rates, excluding M</w:t>
      </w:r>
      <w:r w:rsidR="00DE34B1">
        <w:t xml:space="preserve">erchant </w:t>
      </w:r>
      <w:r w:rsidRPr="001943CF">
        <w:t>F</w:t>
      </w:r>
      <w:r w:rsidR="00DE34B1">
        <w:t xml:space="preserve">unction </w:t>
      </w:r>
      <w:r w:rsidRPr="001943CF">
        <w:t>C</w:t>
      </w:r>
      <w:r w:rsidR="00DE34B1">
        <w:t>harge</w:t>
      </w:r>
      <w:r w:rsidRPr="001943CF">
        <w:t>s.</w:t>
      </w:r>
      <w:r>
        <w:rPr>
          <w:rStyle w:val="FootnoteReference"/>
          <w:szCs w:val="26"/>
        </w:rPr>
        <w:footnoteReference w:id="74"/>
      </w:r>
    </w:p>
    <w:p w:rsidR="007722B4" w:rsidRPr="007722B4" w:rsidP="004536B7">
      <w:pPr>
        <w:pStyle w:val="FERCparanumber"/>
      </w:pPr>
      <w:r w:rsidRPr="001943CF">
        <w:t>Central Hudson states that the revenue numbers provided on page 2 of Attachment</w:t>
      </w:r>
      <w:r w:rsidR="00AD2E90">
        <w:t> </w:t>
      </w:r>
      <w:r w:rsidRPr="001943CF">
        <w:t xml:space="preserve">C </w:t>
      </w:r>
      <w:r w:rsidR="00E73E9D">
        <w:t>to</w:t>
      </w:r>
      <w:r w:rsidRPr="001943CF" w:rsidR="00E73E9D">
        <w:t xml:space="preserve"> </w:t>
      </w:r>
      <w:r w:rsidRPr="001943CF">
        <w:t>the initial filing represent the final allocated revenue requirement determined in the ACOS Study.</w:t>
      </w:r>
      <w:r>
        <w:rPr>
          <w:rStyle w:val="FootnoteReference"/>
          <w:szCs w:val="26"/>
        </w:rPr>
        <w:footnoteReference w:id="75"/>
      </w:r>
      <w:r w:rsidRPr="007722B4">
        <w:rPr>
          <w:b/>
        </w:rPr>
        <w:t xml:space="preserve"> </w:t>
      </w:r>
      <w:r w:rsidRPr="004536B7">
        <w:rPr>
          <w:b/>
        </w:rPr>
        <w:t xml:space="preserve"> </w:t>
      </w:r>
      <w:r w:rsidRPr="001943CF">
        <w:t>Central Hudson explains that</w:t>
      </w:r>
      <w:r w:rsidR="00933B0C">
        <w:t>, as shown in new Attachment 4</w:t>
      </w:r>
      <w:r w:rsidRPr="001943CF" w:rsidR="00933B0C">
        <w:t>,</w:t>
      </w:r>
      <w:r w:rsidRPr="001943CF">
        <w:t xml:space="preserve"> the </w:t>
      </w:r>
      <w:r w:rsidR="005165A1">
        <w:t>t</w:t>
      </w:r>
      <w:r w:rsidRPr="001943CF">
        <w:t xml:space="preserve">ransmission </w:t>
      </w:r>
      <w:r w:rsidR="005165A1">
        <w:t>r</w:t>
      </w:r>
      <w:r w:rsidRPr="001943CF">
        <w:t xml:space="preserve">evenue </w:t>
      </w:r>
      <w:r w:rsidR="005165A1">
        <w:t>r</w:t>
      </w:r>
      <w:r w:rsidRPr="001943CF">
        <w:t xml:space="preserve">equirement was determined by comparing the results of the ACOS Study with and without transmission costs and the WDS revenue requirement was determined by applying the resulting percentage of the ACOS revenue requirement comprised of transmission costs to the </w:t>
      </w:r>
      <w:r w:rsidR="00E0278D">
        <w:t>b</w:t>
      </w:r>
      <w:r w:rsidRPr="001943CF">
        <w:t xml:space="preserve">ase </w:t>
      </w:r>
      <w:r w:rsidR="00E0278D">
        <w:t>d</w:t>
      </w:r>
      <w:r w:rsidRPr="001943CF">
        <w:t xml:space="preserve">elivery </w:t>
      </w:r>
      <w:r w:rsidR="00E0278D">
        <w:t>r</w:t>
      </w:r>
      <w:r w:rsidRPr="001943CF">
        <w:t xml:space="preserve">equirement.  Central Hudson states that the WDS revenue requirement was then allocated to the </w:t>
      </w:r>
      <w:r w:rsidR="00672A99">
        <w:t>Daily-</w:t>
      </w:r>
      <w:r w:rsidRPr="001943CF">
        <w:t>As-</w:t>
      </w:r>
      <w:r w:rsidR="00A429C2">
        <w:t>U</w:t>
      </w:r>
      <w:r w:rsidRPr="001943CF">
        <w:t>sed Demand, Contract Demand</w:t>
      </w:r>
      <w:r w:rsidR="00A25551">
        <w:t>,</w:t>
      </w:r>
      <w:r w:rsidRPr="001943CF">
        <w:t xml:space="preserve"> and Customer Charge revenue requirements using the results of the ACOS Study’s allocation of </w:t>
      </w:r>
      <w:r w:rsidRPr="007722B4">
        <w:t>shared versus local costs.</w:t>
      </w:r>
      <w:r>
        <w:rPr>
          <w:rStyle w:val="FootnoteReference"/>
          <w:bCs/>
          <w:szCs w:val="26"/>
        </w:rPr>
        <w:footnoteReference w:id="76"/>
      </w:r>
      <w:r w:rsidRPr="004536B7">
        <w:rPr>
          <w:b/>
          <w:bCs/>
        </w:rPr>
        <w:t xml:space="preserve"> </w:t>
      </w:r>
    </w:p>
    <w:p w:rsidR="007722B4" w:rsidRPr="004536B7" w:rsidP="004536B7">
      <w:pPr>
        <w:pStyle w:val="FERCparanumber"/>
      </w:pPr>
      <w:r w:rsidRPr="007722B4">
        <w:t xml:space="preserve">In response to questions about ambiguities in the tariff, Central Hudson </w:t>
      </w:r>
      <w:r w:rsidR="00827735">
        <w:t>proposes</w:t>
      </w:r>
      <w:r w:rsidRPr="007722B4">
        <w:t xml:space="preserve"> tariff amendments to clarify that the Minimum Charge for Wholesale Distribution Export Service is:  (1) applied in addition to the Contract Demand </w:t>
      </w:r>
      <w:r w:rsidR="00706DCE">
        <w:t>C</w:t>
      </w:r>
      <w:r w:rsidRPr="007722B4">
        <w:t>harge; and (2) waived if service is also taken for Wholesale Distribution Charging Service through the same service connection.</w:t>
      </w:r>
      <w:r>
        <w:rPr>
          <w:rStyle w:val="FootnoteReference"/>
          <w:bCs/>
          <w:szCs w:val="26"/>
        </w:rPr>
        <w:footnoteReference w:id="77"/>
      </w:r>
      <w:r w:rsidRPr="004536B7">
        <w:rPr>
          <w:b/>
          <w:bCs/>
        </w:rPr>
        <w:t xml:space="preserve">  </w:t>
      </w:r>
      <w:r w:rsidRPr="007722B4">
        <w:t xml:space="preserve">Central Hudson also </w:t>
      </w:r>
      <w:r w:rsidR="007A4468">
        <w:t xml:space="preserve">proposes tariff amendments to correct </w:t>
      </w:r>
      <w:r w:rsidR="00331940">
        <w:t xml:space="preserve">certain </w:t>
      </w:r>
      <w:r w:rsidRPr="007722B4">
        <w:t>incorrectly labeled service categories in section 6.21.6 of Rate Schedule 21.  Central Hudson explains that Contract Demand is either determined by the customer or by using existing metered demand, but where neither is available</w:t>
      </w:r>
      <w:r w:rsidR="00054C98">
        <w:t>,</w:t>
      </w:r>
      <w:r w:rsidRPr="007722B4">
        <w:t xml:space="preserve"> Central Hudson will estimate using nameplate capacity of the connected equipment and projecting coincidence and diversity of the new customer’s load.</w:t>
      </w:r>
      <w:r>
        <w:rPr>
          <w:rStyle w:val="FootnoteReference"/>
          <w:bCs/>
          <w:szCs w:val="26"/>
        </w:rPr>
        <w:footnoteReference w:id="78"/>
      </w:r>
      <w:r w:rsidRPr="004536B7">
        <w:rPr>
          <w:b/>
          <w:bCs/>
        </w:rPr>
        <w:t xml:space="preserve"> </w:t>
      </w:r>
      <w:r w:rsidRPr="007722B4">
        <w:t xml:space="preserve"> Central Hudson explains that the </w:t>
      </w:r>
      <w:r w:rsidR="003C4786">
        <w:t xml:space="preserve">proposed </w:t>
      </w:r>
      <w:r w:rsidRPr="007722B4">
        <w:t xml:space="preserve">ten-day timeframe for providing new customers with a determined </w:t>
      </w:r>
      <w:r w:rsidR="001D75CE">
        <w:t>C</w:t>
      </w:r>
      <w:r w:rsidRPr="007722B4">
        <w:t xml:space="preserve">ontract </w:t>
      </w:r>
      <w:r w:rsidR="001D75CE">
        <w:t>D</w:t>
      </w:r>
      <w:r w:rsidRPr="007722B4">
        <w:t>emand was selected to be consistent with the same retail tariff provisions.</w:t>
      </w:r>
      <w:r>
        <w:rPr>
          <w:rStyle w:val="FootnoteReference"/>
          <w:bCs/>
          <w:szCs w:val="26"/>
        </w:rPr>
        <w:footnoteReference w:id="79"/>
      </w:r>
      <w:r w:rsidRPr="004536B7">
        <w:rPr>
          <w:b/>
          <w:bCs/>
        </w:rPr>
        <w:t xml:space="preserve">  </w:t>
      </w:r>
    </w:p>
    <w:p w:rsidR="007722B4" w:rsidRPr="007722B4" w:rsidP="004536B7">
      <w:pPr>
        <w:pStyle w:val="FERCparanumber"/>
      </w:pPr>
      <w:r w:rsidRPr="007722B4">
        <w:t>Finally, Central Hudson explains that the M</w:t>
      </w:r>
      <w:r w:rsidR="00054C98">
        <w:t xml:space="preserve">erchant </w:t>
      </w:r>
      <w:r w:rsidRPr="007722B4">
        <w:t>F</w:t>
      </w:r>
      <w:r w:rsidR="00054C98">
        <w:t xml:space="preserve">unction </w:t>
      </w:r>
      <w:r w:rsidRPr="007722B4">
        <w:t>C</w:t>
      </w:r>
      <w:r w:rsidR="00054C98">
        <w:t>harg</w:t>
      </w:r>
      <w:r w:rsidR="00912EB4">
        <w:t>e</w:t>
      </w:r>
      <w:r w:rsidRPr="007722B4">
        <w:t xml:space="preserve"> reflects the costs it incurs in the delivery and supply of electricity and includes an </w:t>
      </w:r>
      <w:r w:rsidR="00440487">
        <w:t>a</w:t>
      </w:r>
      <w:r w:rsidRPr="007722B4">
        <w:t xml:space="preserve">dministrative </w:t>
      </w:r>
      <w:r w:rsidR="00440487">
        <w:t>ch</w:t>
      </w:r>
      <w:r w:rsidRPr="007722B4">
        <w:t xml:space="preserve">arge and a </w:t>
      </w:r>
      <w:r w:rsidR="00440487">
        <w:t>s</w:t>
      </w:r>
      <w:r w:rsidRPr="007722B4">
        <w:t xml:space="preserve">upply </w:t>
      </w:r>
      <w:r w:rsidR="00440487">
        <w:t>c</w:t>
      </w:r>
      <w:r w:rsidRPr="007722B4">
        <w:t>harge.</w:t>
      </w:r>
      <w:r>
        <w:rPr>
          <w:rStyle w:val="FootnoteReference"/>
          <w:bCs/>
          <w:szCs w:val="26"/>
        </w:rPr>
        <w:footnoteReference w:id="80"/>
      </w:r>
      <w:r w:rsidRPr="007722B4">
        <w:rPr>
          <w:b/>
          <w:bCs/>
        </w:rPr>
        <w:t xml:space="preserve">  </w:t>
      </w:r>
      <w:r w:rsidRPr="007722B4">
        <w:t xml:space="preserve">Central Hudson asserts that the </w:t>
      </w:r>
      <w:r w:rsidR="00440487">
        <w:t>a</w:t>
      </w:r>
      <w:r w:rsidRPr="007722B4">
        <w:t xml:space="preserve">dministrative </w:t>
      </w:r>
      <w:r w:rsidR="00440487">
        <w:t>c</w:t>
      </w:r>
      <w:r w:rsidRPr="007722B4">
        <w:t xml:space="preserve">harge reflects the costs it incurs when third party suppliers bill their customers through Central Hudson and includes the commodity related credit and collections component and 50 percent of the call center costs determined to be commodity related, plus </w:t>
      </w:r>
      <w:r w:rsidR="00912EB4">
        <w:t>administrative and general costs</w:t>
      </w:r>
      <w:r w:rsidRPr="007722B4">
        <w:t xml:space="preserve"> and rate base items associated with each component.  Central Hudson explains</w:t>
      </w:r>
      <w:r w:rsidR="00345EA1">
        <w:t xml:space="preserve"> that</w:t>
      </w:r>
      <w:r w:rsidRPr="007722B4">
        <w:t xml:space="preserve"> the </w:t>
      </w:r>
      <w:r w:rsidR="00440487">
        <w:t>a</w:t>
      </w:r>
      <w:r w:rsidRPr="007722B4">
        <w:t xml:space="preserve">dministrative </w:t>
      </w:r>
      <w:r w:rsidR="00440487">
        <w:t>c</w:t>
      </w:r>
      <w:r w:rsidRPr="007722B4">
        <w:t xml:space="preserve">harge is applicable to all energy deliveries, excluding energy delivered by Central Hudson to customers purchasing their electricity requirements from a retail supplier that is not participating in its </w:t>
      </w:r>
      <w:r w:rsidR="00636C96">
        <w:t>p</w:t>
      </w:r>
      <w:r w:rsidRPr="007722B4">
        <w:t xml:space="preserve">urchase of </w:t>
      </w:r>
      <w:r w:rsidR="00636C96">
        <w:t>a</w:t>
      </w:r>
      <w:r w:rsidRPr="007722B4">
        <w:t xml:space="preserve">ccounts </w:t>
      </w:r>
      <w:r w:rsidR="00636C96">
        <w:t>r</w:t>
      </w:r>
      <w:r w:rsidRPr="007722B4">
        <w:t xml:space="preserve">eceivable </w:t>
      </w:r>
      <w:r w:rsidR="00636C96">
        <w:t>p</w:t>
      </w:r>
      <w:r w:rsidRPr="007722B4">
        <w:t>rogram.</w:t>
      </w:r>
    </w:p>
    <w:p w:rsidR="007A1A57">
      <w:pPr>
        <w:pStyle w:val="Heading2"/>
      </w:pPr>
      <w:r w:rsidR="00072E88">
        <w:t xml:space="preserve">Deficiency Response </w:t>
      </w:r>
      <w:r>
        <w:t>Protests</w:t>
      </w:r>
      <w:r w:rsidR="00E93779">
        <w:t xml:space="preserve"> and Answers</w:t>
      </w:r>
    </w:p>
    <w:p w:rsidR="0058702A" w:rsidP="00A723F2">
      <w:pPr>
        <w:pStyle w:val="FERCparanumber"/>
      </w:pPr>
      <w:r w:rsidRPr="001943CF" w:rsidR="00682652">
        <w:t xml:space="preserve">Key Capture </w:t>
      </w:r>
      <w:r w:rsidR="00682652">
        <w:t>argues</w:t>
      </w:r>
      <w:r w:rsidRPr="001943CF" w:rsidR="00682652">
        <w:t xml:space="preserve"> that Central Hudson</w:t>
      </w:r>
      <w:r w:rsidR="00682652">
        <w:t xml:space="preserve"> still does not provide all information required to evaluate proposed Rate Schedule 21 and highlights several examples where Central Hudson’s filing </w:t>
      </w:r>
      <w:r w:rsidR="0005012D">
        <w:t xml:space="preserve">remains </w:t>
      </w:r>
      <w:r w:rsidR="00682652">
        <w:t>deficient</w:t>
      </w:r>
      <w:r w:rsidRPr="001943CF" w:rsidR="00682652">
        <w:t>.</w:t>
      </w:r>
      <w:r>
        <w:rPr>
          <w:rStyle w:val="FootnoteReference"/>
          <w:szCs w:val="26"/>
        </w:rPr>
        <w:footnoteReference w:id="81"/>
      </w:r>
      <w:r w:rsidRPr="00682652" w:rsidR="00682652">
        <w:rPr>
          <w:b/>
        </w:rPr>
        <w:t xml:space="preserve"> </w:t>
      </w:r>
      <w:r w:rsidRPr="001943CF" w:rsidR="00682652">
        <w:t xml:space="preserve"> Key Capture</w:t>
      </w:r>
      <w:r w:rsidR="00682652">
        <w:t xml:space="preserve"> </w:t>
      </w:r>
      <w:r w:rsidRPr="001943CF" w:rsidR="00682652">
        <w:t xml:space="preserve">argues that </w:t>
      </w:r>
      <w:r w:rsidR="00682652">
        <w:t>new Attachment 4 (Determination of WDS Revenue Requirement) is</w:t>
      </w:r>
      <w:r w:rsidRPr="001943CF" w:rsidR="00682652">
        <w:t xml:space="preserve"> incomplete</w:t>
      </w:r>
      <w:r w:rsidR="00682652">
        <w:t xml:space="preserve"> </w:t>
      </w:r>
      <w:r w:rsidR="00E8473E">
        <w:t>because Central Hudson fails</w:t>
      </w:r>
      <w:r w:rsidR="00682652">
        <w:t xml:space="preserve"> to explain how certain columns were developed and </w:t>
      </w:r>
      <w:r w:rsidR="00E8473E">
        <w:t xml:space="preserve">references </w:t>
      </w:r>
      <w:r w:rsidR="00682652">
        <w:t xml:space="preserve">non-existent columns that are relevant to </w:t>
      </w:r>
      <w:r w:rsidR="00E8473E">
        <w:t xml:space="preserve">showing </w:t>
      </w:r>
      <w:r w:rsidR="00682652">
        <w:t xml:space="preserve">how and why transmission costs were removed from the </w:t>
      </w:r>
      <w:r w:rsidR="00E44680">
        <w:t>b</w:t>
      </w:r>
      <w:r w:rsidR="00682652">
        <w:t xml:space="preserve">ase </w:t>
      </w:r>
      <w:r w:rsidR="00E44680">
        <w:t>d</w:t>
      </w:r>
      <w:r w:rsidR="00682652">
        <w:t xml:space="preserve">elivery </w:t>
      </w:r>
      <w:r w:rsidR="00E44680">
        <w:t>r</w:t>
      </w:r>
      <w:r w:rsidR="00682652">
        <w:t>equirement.</w:t>
      </w:r>
      <w:r>
        <w:rPr>
          <w:rStyle w:val="FootnoteReference"/>
          <w:szCs w:val="26"/>
        </w:rPr>
        <w:footnoteReference w:id="82"/>
      </w:r>
      <w:r w:rsidRPr="001943CF" w:rsidR="00682652">
        <w:t xml:space="preserve">  Key Capture </w:t>
      </w:r>
      <w:r w:rsidR="00682652">
        <w:t>also contends</w:t>
      </w:r>
      <w:r w:rsidRPr="001943CF" w:rsidR="00682652">
        <w:t xml:space="preserve"> that </w:t>
      </w:r>
      <w:r w:rsidR="00682652">
        <w:t>new Attachment 3 (the ACOS Study) contains certain unexplained and inconsistent hardcoded values.</w:t>
      </w:r>
      <w:r>
        <w:rPr>
          <w:rStyle w:val="FootnoteReference"/>
          <w:szCs w:val="26"/>
        </w:rPr>
        <w:footnoteReference w:id="83"/>
      </w:r>
      <w:r w:rsidR="00A723F2">
        <w:t xml:space="preserve">  </w:t>
      </w:r>
      <w:r>
        <w:t xml:space="preserve">In response, Central Hudson </w:t>
      </w:r>
      <w:r w:rsidR="00F87155">
        <w:t>explains</w:t>
      </w:r>
      <w:r w:rsidR="00266C81">
        <w:t xml:space="preserve"> that it determined </w:t>
      </w:r>
      <w:r w:rsidR="00D549FD">
        <w:t xml:space="preserve">the </w:t>
      </w:r>
      <w:r w:rsidR="003E178E">
        <w:t>r</w:t>
      </w:r>
      <w:r w:rsidR="00D549FD">
        <w:t xml:space="preserve">evenue </w:t>
      </w:r>
      <w:r w:rsidR="003E178E">
        <w:t>r</w:t>
      </w:r>
      <w:r w:rsidR="00D549FD">
        <w:t>equirement by comparing the results of the ACOS Study with and without transmission costs</w:t>
      </w:r>
      <w:r w:rsidR="00F87155">
        <w:t>,</w:t>
      </w:r>
      <w:r w:rsidR="00D535BB">
        <w:t xml:space="preserve"> that it</w:t>
      </w:r>
      <w:r w:rsidR="00F87155">
        <w:t xml:space="preserve"> now provide</w:t>
      </w:r>
      <w:r w:rsidR="00D535BB">
        <w:t>s</w:t>
      </w:r>
      <w:r w:rsidR="00F87155">
        <w:t xml:space="preserve"> a corrected Attachment 4, and th</w:t>
      </w:r>
      <w:r w:rsidR="00D535BB">
        <w:t xml:space="preserve">at </w:t>
      </w:r>
      <w:r w:rsidR="00075E94">
        <w:t xml:space="preserve">the </w:t>
      </w:r>
      <w:r w:rsidR="00D535BB">
        <w:t xml:space="preserve">hardcoded values in the </w:t>
      </w:r>
      <w:r w:rsidR="00A723F2">
        <w:t>Attachment 3 worksheet are for presentation purposes only.</w:t>
      </w:r>
      <w:r>
        <w:rPr>
          <w:rStyle w:val="FootnoteReference"/>
        </w:rPr>
        <w:footnoteReference w:id="84"/>
      </w:r>
    </w:p>
    <w:p w:rsidR="00DE79BC" w:rsidRPr="00DE79BC" w:rsidP="00DE79BC">
      <w:pPr>
        <w:pStyle w:val="FERCparanumber"/>
        <w:rPr>
          <w:szCs w:val="26"/>
        </w:rPr>
      </w:pPr>
      <w:r w:rsidRPr="00DE79BC">
        <w:rPr>
          <w:szCs w:val="26"/>
        </w:rPr>
        <w:t>Key Capture asserts that proposed Rate Schedule 21</w:t>
      </w:r>
      <w:r w:rsidR="003B3CD8">
        <w:rPr>
          <w:szCs w:val="26"/>
        </w:rPr>
        <w:t xml:space="preserve"> </w:t>
      </w:r>
      <w:r w:rsidRPr="00DE79BC">
        <w:rPr>
          <w:szCs w:val="26"/>
        </w:rPr>
        <w:t xml:space="preserve">is inconsistent with and much higher than WDS rates in neighboring Orange </w:t>
      </w:r>
      <w:r w:rsidR="007B6668">
        <w:rPr>
          <w:szCs w:val="26"/>
        </w:rPr>
        <w:t>and</w:t>
      </w:r>
      <w:r w:rsidRPr="00DE79BC">
        <w:rPr>
          <w:szCs w:val="26"/>
        </w:rPr>
        <w:t xml:space="preserve"> Rockland.</w:t>
      </w:r>
      <w:r>
        <w:rPr>
          <w:rStyle w:val="FootnoteReference"/>
          <w:szCs w:val="26"/>
        </w:rPr>
        <w:footnoteReference w:id="85"/>
      </w:r>
      <w:r w:rsidRPr="00DE79BC">
        <w:rPr>
          <w:szCs w:val="26"/>
        </w:rPr>
        <w:t xml:space="preserve">  Key Capture argues this difference is unjustified and not based on any difference in the two systems.  Key Capture also argues that, from a ratemaking perspective, it does not make sense for the Contract Demand Charge to be higher for </w:t>
      </w:r>
      <w:r w:rsidR="00893D43">
        <w:rPr>
          <w:szCs w:val="26"/>
        </w:rPr>
        <w:t>t</w:t>
      </w:r>
      <w:r w:rsidRPr="00DE79BC">
        <w:rPr>
          <w:szCs w:val="26"/>
        </w:rPr>
        <w:t xml:space="preserve">ransmission </w:t>
      </w:r>
      <w:r w:rsidR="00893D43">
        <w:rPr>
          <w:szCs w:val="26"/>
        </w:rPr>
        <w:t>c</w:t>
      </w:r>
      <w:r w:rsidRPr="00DE79BC">
        <w:rPr>
          <w:szCs w:val="26"/>
        </w:rPr>
        <w:t xml:space="preserve">ustomers than </w:t>
      </w:r>
      <w:r w:rsidR="006131F8">
        <w:rPr>
          <w:szCs w:val="26"/>
        </w:rPr>
        <w:t>subtransmission</w:t>
      </w:r>
      <w:r w:rsidRPr="00DE79BC">
        <w:rPr>
          <w:szCs w:val="26"/>
        </w:rPr>
        <w:t xml:space="preserve"> </w:t>
      </w:r>
      <w:r w:rsidR="00893D43">
        <w:rPr>
          <w:szCs w:val="26"/>
        </w:rPr>
        <w:t>c</w:t>
      </w:r>
      <w:r w:rsidRPr="00DE79BC">
        <w:rPr>
          <w:szCs w:val="26"/>
        </w:rPr>
        <w:t>ustomers because, on a per kilowatt basis, higher voltage customers use less of the distribution system.</w:t>
      </w:r>
      <w:r>
        <w:rPr>
          <w:rStyle w:val="FootnoteReference"/>
          <w:szCs w:val="26"/>
        </w:rPr>
        <w:footnoteReference w:id="86"/>
      </w:r>
      <w:r w:rsidR="00A723F2">
        <w:rPr>
          <w:szCs w:val="26"/>
        </w:rPr>
        <w:t xml:space="preserve">  In response, Central Hudson explains that any differences</w:t>
      </w:r>
      <w:r w:rsidR="00133DAF">
        <w:rPr>
          <w:szCs w:val="26"/>
        </w:rPr>
        <w:t xml:space="preserve"> between its rates and other utilities</w:t>
      </w:r>
      <w:r w:rsidR="0003119C">
        <w:rPr>
          <w:szCs w:val="26"/>
        </w:rPr>
        <w:t>’ rates</w:t>
      </w:r>
      <w:r w:rsidR="00133DAF">
        <w:rPr>
          <w:szCs w:val="26"/>
        </w:rPr>
        <w:t xml:space="preserve"> are due to the fact that retail utility rates and service classifications can differ from one utility to another</w:t>
      </w:r>
      <w:r w:rsidR="006F7010">
        <w:rPr>
          <w:szCs w:val="26"/>
        </w:rPr>
        <w:t xml:space="preserve"> and that</w:t>
      </w:r>
      <w:r w:rsidR="00E04D6D">
        <w:rPr>
          <w:szCs w:val="26"/>
        </w:rPr>
        <w:t xml:space="preserve"> </w:t>
      </w:r>
      <w:r w:rsidR="006F7010">
        <w:rPr>
          <w:szCs w:val="26"/>
        </w:rPr>
        <w:t xml:space="preserve">differences between customer costs and </w:t>
      </w:r>
      <w:r w:rsidR="000646F0">
        <w:rPr>
          <w:szCs w:val="26"/>
        </w:rPr>
        <w:br/>
      </w:r>
      <w:r w:rsidR="00E04D6D">
        <w:rPr>
          <w:szCs w:val="26"/>
        </w:rPr>
        <w:t xml:space="preserve">the resulting </w:t>
      </w:r>
      <w:r w:rsidR="00491D5D">
        <w:rPr>
          <w:szCs w:val="26"/>
        </w:rPr>
        <w:t>C</w:t>
      </w:r>
      <w:r w:rsidR="00E04D6D">
        <w:rPr>
          <w:szCs w:val="26"/>
        </w:rPr>
        <w:t xml:space="preserve">ustomer </w:t>
      </w:r>
      <w:r w:rsidR="00491D5D">
        <w:rPr>
          <w:szCs w:val="26"/>
        </w:rPr>
        <w:t>C</w:t>
      </w:r>
      <w:r w:rsidR="00E04D6D">
        <w:rPr>
          <w:szCs w:val="26"/>
        </w:rPr>
        <w:t xml:space="preserve">harge are re-allocated to the </w:t>
      </w:r>
      <w:r w:rsidR="00491D5D">
        <w:rPr>
          <w:szCs w:val="26"/>
        </w:rPr>
        <w:t>C</w:t>
      </w:r>
      <w:r w:rsidR="00E04D6D">
        <w:rPr>
          <w:szCs w:val="26"/>
        </w:rPr>
        <w:t xml:space="preserve">ontract </w:t>
      </w:r>
      <w:r w:rsidR="00491D5D">
        <w:rPr>
          <w:szCs w:val="26"/>
        </w:rPr>
        <w:t>D</w:t>
      </w:r>
      <w:r w:rsidR="00E04D6D">
        <w:rPr>
          <w:szCs w:val="26"/>
        </w:rPr>
        <w:t xml:space="preserve">emand </w:t>
      </w:r>
      <w:r w:rsidR="00491D5D">
        <w:rPr>
          <w:szCs w:val="26"/>
        </w:rPr>
        <w:t>C</w:t>
      </w:r>
      <w:r w:rsidR="00E04D6D">
        <w:rPr>
          <w:szCs w:val="26"/>
        </w:rPr>
        <w:t>harge.</w:t>
      </w:r>
      <w:r>
        <w:rPr>
          <w:rStyle w:val="FootnoteReference"/>
          <w:szCs w:val="26"/>
        </w:rPr>
        <w:footnoteReference w:id="87"/>
      </w:r>
    </w:p>
    <w:p w:rsidR="00DE79BC" w:rsidRPr="004536B7" w:rsidP="004536B7">
      <w:pPr>
        <w:pStyle w:val="FERCparanumber"/>
        <w:rPr>
          <w:kern w:val="2"/>
          <w:szCs w:val="26"/>
        </w:rPr>
      </w:pPr>
      <w:r w:rsidRPr="00DE79BC">
        <w:rPr>
          <w:szCs w:val="26"/>
        </w:rPr>
        <w:t xml:space="preserve">Key Capture contends that Central Hudson </w:t>
      </w:r>
      <w:r w:rsidR="00893D43">
        <w:rPr>
          <w:szCs w:val="26"/>
        </w:rPr>
        <w:t>fails</w:t>
      </w:r>
      <w:r w:rsidRPr="00DE79BC">
        <w:rPr>
          <w:szCs w:val="26"/>
        </w:rPr>
        <w:t xml:space="preserve"> to adequately explain and justify certain costs it proposes to recover through its </w:t>
      </w:r>
      <w:r w:rsidR="00893D43">
        <w:rPr>
          <w:szCs w:val="26"/>
        </w:rPr>
        <w:t>t</w:t>
      </w:r>
      <w:r w:rsidRPr="00DE79BC">
        <w:rPr>
          <w:szCs w:val="26"/>
        </w:rPr>
        <w:t xml:space="preserve">ransmission </w:t>
      </w:r>
      <w:r w:rsidR="00893D43">
        <w:rPr>
          <w:szCs w:val="26"/>
        </w:rPr>
        <w:t>c</w:t>
      </w:r>
      <w:r w:rsidRPr="00DE79BC">
        <w:rPr>
          <w:szCs w:val="26"/>
        </w:rPr>
        <w:t>ustomer rates</w:t>
      </w:r>
      <w:r w:rsidR="00364EF4">
        <w:rPr>
          <w:szCs w:val="26"/>
        </w:rPr>
        <w:t>,</w:t>
      </w:r>
      <w:r w:rsidRPr="00DE79BC">
        <w:rPr>
          <w:szCs w:val="26"/>
        </w:rPr>
        <w:t xml:space="preserve"> </w:t>
      </w:r>
      <w:r w:rsidR="00763A93">
        <w:rPr>
          <w:szCs w:val="26"/>
        </w:rPr>
        <w:t xml:space="preserve">such as </w:t>
      </w:r>
      <w:r w:rsidRPr="00DE79BC">
        <w:rPr>
          <w:szCs w:val="26"/>
        </w:rPr>
        <w:t xml:space="preserve">the allocation of the total </w:t>
      </w:r>
      <w:r w:rsidRPr="005E4874">
        <w:rPr>
          <w:szCs w:val="26"/>
        </w:rPr>
        <w:t xml:space="preserve">revenue requirement between different </w:t>
      </w:r>
      <w:r w:rsidR="00491D5D">
        <w:rPr>
          <w:szCs w:val="26"/>
        </w:rPr>
        <w:t>D</w:t>
      </w:r>
      <w:r w:rsidRPr="005E4874">
        <w:rPr>
          <w:szCs w:val="26"/>
        </w:rPr>
        <w:t xml:space="preserve">emand </w:t>
      </w:r>
      <w:r w:rsidR="00491D5D">
        <w:rPr>
          <w:szCs w:val="26"/>
        </w:rPr>
        <w:t>C</w:t>
      </w:r>
      <w:r w:rsidRPr="005E4874">
        <w:rPr>
          <w:szCs w:val="26"/>
        </w:rPr>
        <w:t>harge</w:t>
      </w:r>
      <w:r w:rsidRPr="005E4874" w:rsidR="00FB22CD">
        <w:rPr>
          <w:szCs w:val="26"/>
        </w:rPr>
        <w:t>s</w:t>
      </w:r>
      <w:r w:rsidRPr="005E4874">
        <w:rPr>
          <w:szCs w:val="26"/>
        </w:rPr>
        <w:t>.</w:t>
      </w:r>
      <w:r>
        <w:rPr>
          <w:rStyle w:val="FootnoteReference"/>
          <w:szCs w:val="26"/>
        </w:rPr>
        <w:footnoteReference w:id="88"/>
      </w:r>
      <w:r w:rsidRPr="005E4874">
        <w:rPr>
          <w:szCs w:val="26"/>
        </w:rPr>
        <w:t xml:space="preserve">  </w:t>
      </w:r>
      <w:r w:rsidR="00F35479">
        <w:rPr>
          <w:szCs w:val="26"/>
        </w:rPr>
        <w:t xml:space="preserve">In response, Central Hudson </w:t>
      </w:r>
      <w:r w:rsidR="00472549">
        <w:rPr>
          <w:szCs w:val="26"/>
        </w:rPr>
        <w:t>reiterates that</w:t>
      </w:r>
      <w:r w:rsidR="001D28C9">
        <w:rPr>
          <w:szCs w:val="26"/>
        </w:rPr>
        <w:t xml:space="preserve"> it followed the New York Commission ACOS methodology in determining </w:t>
      </w:r>
      <w:r w:rsidR="00026058">
        <w:rPr>
          <w:szCs w:val="26"/>
        </w:rPr>
        <w:t>how to</w:t>
      </w:r>
      <w:r w:rsidR="001D28C9">
        <w:rPr>
          <w:szCs w:val="26"/>
        </w:rPr>
        <w:t xml:space="preserve"> allocat</w:t>
      </w:r>
      <w:r w:rsidR="00026058">
        <w:rPr>
          <w:szCs w:val="26"/>
        </w:rPr>
        <w:t>e</w:t>
      </w:r>
      <w:r w:rsidR="001D28C9">
        <w:rPr>
          <w:szCs w:val="26"/>
        </w:rPr>
        <w:t xml:space="preserve"> the revenue requirement</w:t>
      </w:r>
      <w:r w:rsidR="00026058">
        <w:rPr>
          <w:szCs w:val="26"/>
        </w:rPr>
        <w:t>.</w:t>
      </w:r>
      <w:r>
        <w:rPr>
          <w:rStyle w:val="FootnoteReference"/>
          <w:szCs w:val="26"/>
        </w:rPr>
        <w:footnoteReference w:id="89"/>
      </w:r>
    </w:p>
    <w:p w:rsidR="00DE79BC" w:rsidRPr="00E74149" w:rsidP="00DE79BC">
      <w:pPr>
        <w:pStyle w:val="FERCparanumber"/>
        <w:rPr>
          <w:kern w:val="2"/>
          <w:szCs w:val="26"/>
        </w:rPr>
      </w:pPr>
      <w:r w:rsidRPr="00DE79BC">
        <w:rPr>
          <w:szCs w:val="26"/>
        </w:rPr>
        <w:t>Key Capture argues that Central Hudson has not justified including the administrative component of the M</w:t>
      </w:r>
      <w:r w:rsidR="00967492">
        <w:rPr>
          <w:szCs w:val="26"/>
        </w:rPr>
        <w:t xml:space="preserve">erchant </w:t>
      </w:r>
      <w:r w:rsidRPr="00DE79BC">
        <w:rPr>
          <w:szCs w:val="26"/>
        </w:rPr>
        <w:t>F</w:t>
      </w:r>
      <w:r w:rsidR="00967492">
        <w:rPr>
          <w:szCs w:val="26"/>
        </w:rPr>
        <w:t xml:space="preserve">unction </w:t>
      </w:r>
      <w:r w:rsidRPr="00DE79BC">
        <w:rPr>
          <w:szCs w:val="26"/>
        </w:rPr>
        <w:t>C</w:t>
      </w:r>
      <w:r w:rsidR="00967492">
        <w:rPr>
          <w:szCs w:val="26"/>
        </w:rPr>
        <w:t>harge</w:t>
      </w:r>
      <w:r w:rsidRPr="00DE79BC">
        <w:rPr>
          <w:szCs w:val="26"/>
        </w:rPr>
        <w:t xml:space="preserve"> and asserts that this </w:t>
      </w:r>
      <w:r w:rsidR="000646F0">
        <w:rPr>
          <w:szCs w:val="26"/>
        </w:rPr>
        <w:br/>
      </w:r>
      <w:r w:rsidRPr="00DE79BC">
        <w:rPr>
          <w:szCs w:val="26"/>
        </w:rPr>
        <w:t>charge is unduly discriminatory.</w:t>
      </w:r>
      <w:r>
        <w:rPr>
          <w:rStyle w:val="FootnoteReference"/>
          <w:szCs w:val="26"/>
        </w:rPr>
        <w:footnoteReference w:id="90"/>
      </w:r>
      <w:r w:rsidRPr="004536B7">
        <w:rPr>
          <w:szCs w:val="26"/>
        </w:rPr>
        <w:t xml:space="preserve"> </w:t>
      </w:r>
      <w:r w:rsidRPr="00DE79BC">
        <w:rPr>
          <w:szCs w:val="26"/>
        </w:rPr>
        <w:t xml:space="preserve"> </w:t>
      </w:r>
    </w:p>
    <w:p w:rsidR="00D66A7A" w:rsidP="00D66A7A">
      <w:pPr>
        <w:pStyle w:val="Heading1"/>
      </w:pPr>
      <w:r>
        <w:t>Discussion</w:t>
      </w:r>
    </w:p>
    <w:p w:rsidR="00D66A7A" w:rsidP="00D66A7A">
      <w:pPr>
        <w:pStyle w:val="Heading2"/>
      </w:pPr>
      <w:r>
        <w:t>Procedural Matters</w:t>
      </w:r>
    </w:p>
    <w:p w:rsidR="00220176" w:rsidP="00220176">
      <w:pPr>
        <w:pStyle w:val="FERCparanumber"/>
      </w:pPr>
      <w:r w:rsidRPr="00CA5B73">
        <w:t xml:space="preserve">Pursuant to Rule 214 of the Commission’s Rules of Practice and Procedure, </w:t>
      </w:r>
      <w:r w:rsidR="000646F0">
        <w:br/>
      </w:r>
      <w:r w:rsidRPr="00CA5B73">
        <w:t xml:space="preserve">18 C.F.R. § 385.214 (2023), the </w:t>
      </w:r>
      <w:r w:rsidR="00496D50">
        <w:t xml:space="preserve">notice of intervention </w:t>
      </w:r>
      <w:r w:rsidR="00CC181D">
        <w:t xml:space="preserve">and </w:t>
      </w:r>
      <w:r w:rsidRPr="00CA5B73">
        <w:t xml:space="preserve">timely, unopposed motions </w:t>
      </w:r>
      <w:r w:rsidR="000646F0">
        <w:br/>
      </w:r>
      <w:r w:rsidRPr="00CA5B73">
        <w:t>to intervene serve to make the entities that filed them parties to this proceeding.</w:t>
      </w:r>
    </w:p>
    <w:p w:rsidR="00680DA6" w:rsidRPr="00CA5B73" w:rsidP="004C036A">
      <w:pPr>
        <w:pStyle w:val="FERCparanumber"/>
        <w:spacing w:after="240"/>
      </w:pPr>
      <w:r w:rsidRPr="003F0558" w:rsidR="003F0558">
        <w:rPr>
          <w:rFonts w:eastAsia="Times New Roman"/>
        </w:rPr>
        <w:t xml:space="preserve">Rule </w:t>
      </w:r>
      <w:r w:rsidR="003F0558">
        <w:t>213</w:t>
      </w:r>
      <w:r w:rsidRPr="003F0558" w:rsidR="003F0558">
        <w:rPr>
          <w:rFonts w:eastAsia="Times New Roman"/>
        </w:rPr>
        <w:t>(a)(2) of the Commission</w:t>
      </w:r>
      <w:r w:rsidR="00586316">
        <w:rPr>
          <w:rFonts w:eastAsia="Times New Roman"/>
        </w:rPr>
        <w:t>’</w:t>
      </w:r>
      <w:r w:rsidRPr="003F0558" w:rsidR="003F0558">
        <w:rPr>
          <w:rFonts w:eastAsia="Times New Roman"/>
        </w:rPr>
        <w:t xml:space="preserve">s Rules of Practice and Procedure, 18 C.F.R. § 385.213(a)(2), prohibits an answer to a protest </w:t>
      </w:r>
      <w:r w:rsidR="00110651">
        <w:rPr>
          <w:rFonts w:eastAsia="Times New Roman"/>
        </w:rPr>
        <w:t xml:space="preserve">or answer </w:t>
      </w:r>
      <w:r w:rsidRPr="003F0558" w:rsidR="003F0558">
        <w:rPr>
          <w:rFonts w:eastAsia="Times New Roman"/>
        </w:rPr>
        <w:t xml:space="preserve">unless otherwise ordered </w:t>
      </w:r>
      <w:r w:rsidR="000646F0">
        <w:rPr>
          <w:rFonts w:eastAsia="Times New Roman"/>
        </w:rPr>
        <w:br/>
      </w:r>
      <w:r w:rsidRPr="003F0558" w:rsidR="003F0558">
        <w:rPr>
          <w:rFonts w:eastAsia="Times New Roman"/>
        </w:rPr>
        <w:t xml:space="preserve">by the decisional authority.  We accept </w:t>
      </w:r>
      <w:r w:rsidR="00B45805">
        <w:rPr>
          <w:rFonts w:eastAsia="Times New Roman"/>
        </w:rPr>
        <w:t xml:space="preserve">Central Hudson’s and Key Capture’s answers </w:t>
      </w:r>
      <w:r w:rsidRPr="003F0558" w:rsidR="003F0558">
        <w:rPr>
          <w:rFonts w:eastAsia="Times New Roman"/>
        </w:rPr>
        <w:t xml:space="preserve">because </w:t>
      </w:r>
      <w:r w:rsidR="00273521">
        <w:rPr>
          <w:rFonts w:eastAsia="Times New Roman"/>
        </w:rPr>
        <w:t>they</w:t>
      </w:r>
      <w:r w:rsidRPr="003F0558" w:rsidR="003F0558">
        <w:rPr>
          <w:rFonts w:eastAsia="Times New Roman"/>
        </w:rPr>
        <w:t xml:space="preserve"> ha</w:t>
      </w:r>
      <w:r w:rsidR="00273521">
        <w:rPr>
          <w:rFonts w:eastAsia="Times New Roman"/>
        </w:rPr>
        <w:t>ve</w:t>
      </w:r>
      <w:r w:rsidRPr="003F0558" w:rsidR="003F0558">
        <w:rPr>
          <w:rFonts w:eastAsia="Times New Roman"/>
        </w:rPr>
        <w:t xml:space="preserve"> provided information that assisted us in our decision-making process</w:t>
      </w:r>
      <w:r w:rsidR="00273521">
        <w:rPr>
          <w:rFonts w:eastAsia="Times New Roman"/>
        </w:rPr>
        <w:t>.</w:t>
      </w:r>
    </w:p>
    <w:p w:rsidR="00982FA1" w:rsidRPr="00CA5B73" w:rsidP="00982FA1">
      <w:pPr>
        <w:pStyle w:val="Heading2"/>
      </w:pPr>
      <w:r w:rsidRPr="00CA5B73">
        <w:t>Substantive Matters</w:t>
      </w:r>
    </w:p>
    <w:p w:rsidR="0090037E" w:rsidRPr="0090037E" w:rsidP="0090037E">
      <w:pPr>
        <w:pStyle w:val="FERCparanumber"/>
      </w:pPr>
      <w:r w:rsidRPr="0090037E">
        <w:t xml:space="preserve">Our preliminary analysis indicates that </w:t>
      </w:r>
      <w:r w:rsidRPr="00F176C5" w:rsidR="00EA0D10">
        <w:t>Central Hudson’s</w:t>
      </w:r>
      <w:r w:rsidRPr="00F176C5" w:rsidR="001A1005">
        <w:t xml:space="preserve"> proposed Rate Schedule 21</w:t>
      </w:r>
      <w:r w:rsidRPr="0090037E">
        <w:t xml:space="preserve"> has not been shown to be just and reasonable and may be unjust, unreasonable, unduly discriminatory or preferential, or otherwise unlawful.  </w:t>
      </w:r>
      <w:r w:rsidR="001A1005">
        <w:t>Central Hudson’s</w:t>
      </w:r>
      <w:r w:rsidRPr="0090037E">
        <w:rPr>
          <w:b/>
          <w:bCs/>
        </w:rPr>
        <w:t xml:space="preserve"> </w:t>
      </w:r>
      <w:r w:rsidRPr="0090037E">
        <w:t>filing raises issues of material fact that cannot be resolved based on the record before us</w:t>
      </w:r>
      <w:r w:rsidR="007D3019">
        <w:t>.  For that reason, we accept proposed Rate Schedule 21, effective May 8, 2024, suspend it for a nominal period, subject to refund</w:t>
      </w:r>
      <w:r w:rsidR="00041CB3">
        <w:t>,</w:t>
      </w:r>
      <w:r w:rsidRPr="0090037E">
        <w:t xml:space="preserve"> and </w:t>
      </w:r>
      <w:r w:rsidR="00041CB3">
        <w:t>establish</w:t>
      </w:r>
      <w:r w:rsidRPr="0090037E">
        <w:t xml:space="preserve"> hearing and settlement judge procedures.</w:t>
      </w:r>
    </w:p>
    <w:p w:rsidR="0090037E" w:rsidRPr="0090037E" w:rsidP="0090037E">
      <w:pPr>
        <w:pStyle w:val="FERCparanumber"/>
      </w:pPr>
      <w:r w:rsidRPr="0090037E">
        <w:t>While we are setting these matters for a trial-type evidentiary hearing,</w:t>
      </w:r>
      <w:r>
        <w:rPr>
          <w:b/>
          <w:vertAlign w:val="superscript"/>
        </w:rPr>
        <w:footnoteReference w:id="91"/>
      </w:r>
      <w:r w:rsidRPr="0090037E">
        <w:t xml:space="preserve"> we encourage efforts to reach settlement before hearing procedures commence.  To aid settlement efforts, we will hold the hearing in abeyance and direct that a settlement </w:t>
      </w:r>
      <w:r w:rsidR="000646F0">
        <w:br/>
      </w:r>
      <w:r w:rsidRPr="0090037E">
        <w:t>judge be appointed, pursuant to Rule 603 of the Commission’s Rules of Practice and Procedure.</w:t>
      </w:r>
      <w:r>
        <w:rPr>
          <w:b/>
          <w:vertAlign w:val="superscript"/>
        </w:rPr>
        <w:footnoteReference w:id="92"/>
      </w:r>
      <w:r w:rsidRPr="0090037E">
        <w:t xml:space="preserve">  If parties desire, they may, by mutual agreement, request a specific judge </w:t>
      </w:r>
      <w:r w:rsidR="000646F0">
        <w:br/>
      </w:r>
      <w:r w:rsidRPr="0090037E">
        <w:t xml:space="preserve">as the settlement judge in the proceeding.  The Chief Judge, however, may not be </w:t>
      </w:r>
      <w:r w:rsidR="000646F0">
        <w:br/>
      </w:r>
      <w:r w:rsidRPr="0090037E">
        <w:t>able to designate the requested settlement judge based on workload requirements which determine judges’ availability.</w:t>
      </w:r>
      <w:r>
        <w:rPr>
          <w:b/>
          <w:vertAlign w:val="superscript"/>
        </w:rPr>
        <w:footnoteReference w:id="93"/>
      </w:r>
      <w:r w:rsidRPr="0090037E">
        <w:t xml:space="preserve">  The settlement judge shall report to the Chief Judge and the Commission within 60 days of the date of the appointment of the settlement judge, concerning the status of settlement discussions.  Based on this report, the Chief Judge shall provide additional time to continue settlement discussions or provide for commencement of a hearing by assigning the case to a presiding judge.</w:t>
      </w:r>
    </w:p>
    <w:p w:rsidR="001B1933" w:rsidP="00E3703B">
      <w:pPr>
        <w:pStyle w:val="FERCparanumber"/>
      </w:pPr>
      <w:r w:rsidR="008068BC">
        <w:t xml:space="preserve">The Commission has previously stated that, </w:t>
      </w:r>
      <w:r w:rsidRPr="002370E6" w:rsidR="002370E6">
        <w:t>where there is a strong local interest, such as a “historical link” and “ongoing complementary relationship” between retail and wholesale rates, and the New York Commission has approved a rate on which the utility relies, the Commission will exercise its authority to review wholesale rates by accepting the New York Commission’s rate determination in the absence of a showing of abuse of discretion or violation of public policy.</w:t>
      </w:r>
      <w:r>
        <w:rPr>
          <w:rStyle w:val="FootnoteReference"/>
        </w:rPr>
        <w:footnoteReference w:id="94"/>
      </w:r>
      <w:r w:rsidRPr="002370E6" w:rsidR="002370E6">
        <w:t xml:space="preserve">  </w:t>
      </w:r>
      <w:r w:rsidR="00AE741D">
        <w:t xml:space="preserve">Therefore, </w:t>
      </w:r>
      <w:r w:rsidR="0021043D">
        <w:t xml:space="preserve">the Commission </w:t>
      </w:r>
      <w:r w:rsidR="009823A6">
        <w:t xml:space="preserve">allows a utility to </w:t>
      </w:r>
      <w:r w:rsidRPr="009823A6" w:rsidR="009823A6">
        <w:t>file cost support data derived from the New York Commission</w:t>
      </w:r>
      <w:r w:rsidR="00C75DE6">
        <w:t>-</w:t>
      </w:r>
      <w:r w:rsidRPr="009823A6" w:rsidR="009823A6">
        <w:t>approved rate</w:t>
      </w:r>
      <w:r w:rsidR="00113679">
        <w:t>;</w:t>
      </w:r>
      <w:r w:rsidR="00EA5A43">
        <w:t xml:space="preserve"> however</w:t>
      </w:r>
      <w:r w:rsidR="007D67CB">
        <w:t xml:space="preserve">, the Commission must still </w:t>
      </w:r>
      <w:r w:rsidRPr="009823A6" w:rsidR="007D67CB">
        <w:t>conduct its own independent analysis</w:t>
      </w:r>
      <w:r w:rsidR="00EA5A43">
        <w:t>.</w:t>
      </w:r>
      <w:r>
        <w:rPr>
          <w:rStyle w:val="FootnoteReference"/>
        </w:rPr>
        <w:footnoteReference w:id="95"/>
      </w:r>
      <w:r w:rsidR="00EA52DE">
        <w:t xml:space="preserve"> </w:t>
      </w:r>
      <w:r w:rsidR="00EA5A43">
        <w:t xml:space="preserve"> U</w:t>
      </w:r>
      <w:r w:rsidR="00EA52DE">
        <w:t>tilities must adequately demonstrate</w:t>
      </w:r>
      <w:r w:rsidR="008431A6">
        <w:t xml:space="preserve"> </w:t>
      </w:r>
      <w:r w:rsidRPr="0053214E" w:rsidR="0053214E">
        <w:t xml:space="preserve">how the retail rates accepted </w:t>
      </w:r>
      <w:r w:rsidR="0053214E">
        <w:t>by</w:t>
      </w:r>
      <w:r w:rsidRPr="0053214E" w:rsidR="0053214E">
        <w:t xml:space="preserve"> the New York Commission are the basis for the </w:t>
      </w:r>
      <w:r w:rsidR="006E78F3">
        <w:t>w</w:t>
      </w:r>
      <w:r w:rsidRPr="0053214E" w:rsidR="0053214E">
        <w:t xml:space="preserve">holesale </w:t>
      </w:r>
      <w:r w:rsidR="006E78F3">
        <w:t>d</w:t>
      </w:r>
      <w:r w:rsidRPr="0053214E" w:rsidR="0053214E">
        <w:t xml:space="preserve">istribution </w:t>
      </w:r>
      <w:r w:rsidR="006E78F3">
        <w:t>r</w:t>
      </w:r>
      <w:r w:rsidRPr="0053214E" w:rsidR="0053214E">
        <w:t xml:space="preserve">ates </w:t>
      </w:r>
      <w:r w:rsidR="00BF3EAA">
        <w:t>and reasonably reflect</w:t>
      </w:r>
      <w:r w:rsidR="009536FB">
        <w:t xml:space="preserve"> the costs of providing the service at issue.</w:t>
      </w:r>
      <w:r>
        <w:rPr>
          <w:rStyle w:val="FootnoteReference"/>
        </w:rPr>
        <w:footnoteReference w:id="96"/>
      </w:r>
      <w:r w:rsidR="00E3703B">
        <w:t xml:space="preserve">  </w:t>
      </w:r>
      <w:r w:rsidR="00A3140B">
        <w:t xml:space="preserve">While </w:t>
      </w:r>
      <w:r w:rsidR="000774FC">
        <w:t xml:space="preserve">we </w:t>
      </w:r>
      <w:r w:rsidR="00594005">
        <w:t xml:space="preserve">agree that </w:t>
      </w:r>
      <w:r w:rsidR="00340960">
        <w:t xml:space="preserve">there is a </w:t>
      </w:r>
      <w:r w:rsidR="00AE141B">
        <w:t xml:space="preserve">relationship between </w:t>
      </w:r>
      <w:r w:rsidR="00B6300F">
        <w:t xml:space="preserve">the </w:t>
      </w:r>
      <w:r w:rsidR="00E36F1C">
        <w:t xml:space="preserve">cost of providing wholesale distribution service and the </w:t>
      </w:r>
      <w:r w:rsidR="0041198D">
        <w:t xml:space="preserve">New York Commission-approved rate, Central Hudson’s filing </w:t>
      </w:r>
      <w:r w:rsidR="004A77EB">
        <w:t xml:space="preserve">raises issues of material fact regarding how it has relied on the </w:t>
      </w:r>
      <w:r w:rsidR="00624716">
        <w:t xml:space="preserve">New York Commission-approved rate that cannot be resolved </w:t>
      </w:r>
      <w:r w:rsidR="00E3703B">
        <w:t>based on the record before the Commission.</w:t>
      </w:r>
    </w:p>
    <w:p w:rsidR="000C32D8" w:rsidRPr="002447EC" w:rsidP="00D8266A">
      <w:pPr>
        <w:pStyle w:val="FERCparanumber"/>
        <w:rPr>
          <w:b/>
          <w:u w:val="single"/>
        </w:rPr>
      </w:pPr>
      <w:r w:rsidR="00CD52F0">
        <w:t xml:space="preserve">Despite </w:t>
      </w:r>
      <w:r w:rsidR="00550ECF">
        <w:t xml:space="preserve">our finding </w:t>
      </w:r>
      <w:r w:rsidR="00734798">
        <w:t xml:space="preserve">of </w:t>
      </w:r>
      <w:r w:rsidR="00C261C7">
        <w:t>unresolved</w:t>
      </w:r>
      <w:r w:rsidR="00734798">
        <w:t xml:space="preserve"> issues of material</w:t>
      </w:r>
      <w:r w:rsidR="00A74F70">
        <w:t xml:space="preserve"> </w:t>
      </w:r>
      <w:r w:rsidR="00B13340">
        <w:t>fact</w:t>
      </w:r>
      <w:r w:rsidR="00C261C7">
        <w:t>, w</w:t>
      </w:r>
      <w:r w:rsidR="00893641">
        <w:t>e disagree with protest</w:t>
      </w:r>
      <w:r w:rsidR="00CD34B7">
        <w:t>e</w:t>
      </w:r>
      <w:r w:rsidR="00893641">
        <w:t>rs</w:t>
      </w:r>
      <w:r w:rsidR="00806E8A">
        <w:t>’</w:t>
      </w:r>
      <w:r w:rsidR="00893641">
        <w:t xml:space="preserve"> arguments that </w:t>
      </w:r>
      <w:r w:rsidR="00AD0BC4">
        <w:t xml:space="preserve">implementation of a </w:t>
      </w:r>
      <w:r w:rsidR="007F258B">
        <w:t xml:space="preserve">wholesale distribution service charge </w:t>
      </w:r>
      <w:r w:rsidR="00EA01D1">
        <w:br/>
      </w:r>
      <w:r w:rsidR="007F258B">
        <w:t>for distribution</w:t>
      </w:r>
      <w:r w:rsidR="00023BF6">
        <w:t>-sited energy storage resources</w:t>
      </w:r>
      <w:r w:rsidR="00AD0BC4">
        <w:t xml:space="preserve"> is inconsistent with Order No. 841.</w:t>
      </w:r>
      <w:r w:rsidR="00023BF6">
        <w:t xml:space="preserve">  While</w:t>
      </w:r>
      <w:r w:rsidR="006D38F6">
        <w:t xml:space="preserve"> the Commission</w:t>
      </w:r>
      <w:r w:rsidR="00842942">
        <w:t xml:space="preserve"> in</w:t>
      </w:r>
      <w:r w:rsidR="00023BF6">
        <w:t xml:space="preserve"> Order No. 841 </w:t>
      </w:r>
      <w:r w:rsidR="00842942">
        <w:t xml:space="preserve">directed RTOs/ISOs to eliminate </w:t>
      </w:r>
      <w:r w:rsidR="00CF1F07">
        <w:t xml:space="preserve">certain </w:t>
      </w:r>
      <w:r w:rsidR="00842942">
        <w:t>barriers to participation in wholesale markets for energy storage resources, Order No</w:t>
      </w:r>
      <w:r w:rsidR="00517FE3">
        <w:t>s</w:t>
      </w:r>
      <w:r w:rsidR="00842942">
        <w:t xml:space="preserve">. 841 </w:t>
      </w:r>
      <w:r w:rsidR="00844A99">
        <w:t>and 841-A expressly found</w:t>
      </w:r>
      <w:r w:rsidRPr="00142F10" w:rsidR="00844A99">
        <w:t xml:space="preserve"> that “it may be appropriate, on a case-by-case basis, for distribution utilities to assess a charge on electric storage resources.”</w:t>
      </w:r>
      <w:r>
        <w:rPr>
          <w:rStyle w:val="FootnoteReference"/>
        </w:rPr>
        <w:footnoteReference w:id="97"/>
      </w:r>
      <w:r w:rsidRPr="00142F10" w:rsidR="00844A99">
        <w:t xml:space="preserve">  </w:t>
      </w:r>
      <w:r w:rsidR="008C7D3E">
        <w:t xml:space="preserve">The </w:t>
      </w:r>
      <w:r w:rsidR="00A202CD">
        <w:t>hearing and settlement</w:t>
      </w:r>
      <w:r w:rsidR="00F2417D">
        <w:t xml:space="preserve"> judge</w:t>
      </w:r>
      <w:r w:rsidR="00A202CD">
        <w:t xml:space="preserve"> procedures </w:t>
      </w:r>
      <w:r w:rsidR="008C7D3E">
        <w:t>established</w:t>
      </w:r>
      <w:r w:rsidR="00A202CD">
        <w:t xml:space="preserve"> above</w:t>
      </w:r>
      <w:r w:rsidR="00D909BD">
        <w:t xml:space="preserve"> will further develop </w:t>
      </w:r>
      <w:r w:rsidR="00CF1F07">
        <w:t>the</w:t>
      </w:r>
      <w:r w:rsidR="00D909BD">
        <w:t xml:space="preserve"> record with respect </w:t>
      </w:r>
      <w:r w:rsidR="00382625">
        <w:t xml:space="preserve">to Central Hudson’s </w:t>
      </w:r>
      <w:r w:rsidR="00D20F08">
        <w:t xml:space="preserve">proposal in this case to assess </w:t>
      </w:r>
      <w:r w:rsidR="00A75972">
        <w:t xml:space="preserve">that </w:t>
      </w:r>
      <w:r w:rsidR="00D20F08">
        <w:t>charge</w:t>
      </w:r>
      <w:r w:rsidR="00A202CD">
        <w:t>.</w:t>
      </w:r>
    </w:p>
    <w:p w:rsidR="00473BCD" w:rsidP="006857C6">
      <w:r w:rsidRPr="00CD0B38">
        <w:rPr>
          <w:u w:val="single"/>
        </w:rPr>
        <w:t>The Commission orders</w:t>
      </w:r>
      <w:r w:rsidRPr="00CD0B38">
        <w:t>:</w:t>
      </w:r>
    </w:p>
    <w:p w:rsidR="00473BCD" w:rsidP="006857C6"/>
    <w:p w:rsidR="00FD25F5" w:rsidRPr="0090037E" w:rsidP="00FD25F5">
      <w:pPr>
        <w:pStyle w:val="FERCparanumber"/>
        <w:numPr>
          <w:ilvl w:val="0"/>
          <w:numId w:val="23"/>
        </w:numPr>
      </w:pPr>
      <w:r w:rsidR="009B505C">
        <w:rPr>
          <w:bCs/>
        </w:rPr>
        <w:t>Central Hudson</w:t>
      </w:r>
      <w:r w:rsidRPr="0090037E">
        <w:t xml:space="preserve">’s proposed </w:t>
      </w:r>
      <w:r w:rsidR="00CE0197">
        <w:t>OATT</w:t>
      </w:r>
      <w:r w:rsidRPr="0090037E">
        <w:t xml:space="preserve"> revisions are hereby accepted for </w:t>
      </w:r>
      <w:r w:rsidR="00EA01D1">
        <w:br/>
      </w:r>
      <w:r w:rsidRPr="0090037E">
        <w:t xml:space="preserve">filing, </w:t>
      </w:r>
      <w:r w:rsidRPr="00A65C18" w:rsidR="00AC4FB9">
        <w:t>effective May 8, 2024,</w:t>
      </w:r>
      <w:r w:rsidRPr="0090037E" w:rsidR="00AC4FB9">
        <w:t xml:space="preserve"> </w:t>
      </w:r>
      <w:r w:rsidRPr="0090037E">
        <w:t xml:space="preserve">and suspended for a nominal period, subject to refund, </w:t>
      </w:r>
      <w:r w:rsidR="00EA01D1">
        <w:br/>
      </w:r>
      <w:r w:rsidRPr="0090037E">
        <w:t>as discussed in the body of this order.</w:t>
      </w:r>
    </w:p>
    <w:p w:rsidR="00FD25F5" w:rsidRPr="0090037E" w:rsidP="00FD25F5">
      <w:pPr>
        <w:pStyle w:val="FERCparanumber"/>
        <w:numPr>
          <w:ilvl w:val="0"/>
          <w:numId w:val="23"/>
        </w:numPr>
      </w:pPr>
      <w:r w:rsidRPr="0090037E">
        <w:t>Pursuant to the authority contained in and subject to the jurisdiction conferred on the Federal Energy Regulatory Commission by section 402(a) of the Department of Energy Organization Act and the FPA, particularly sections 205 and 206 thereof, and pursuant to the Commission’s Rules of Practice and Procedure and the regulations under the FPA (18 C.F.R. Chapter I), a public hearing shall be held concerning the justness and reasonableness of</w:t>
      </w:r>
      <w:r>
        <w:rPr>
          <w:b/>
        </w:rPr>
        <w:t xml:space="preserve"> </w:t>
      </w:r>
      <w:r w:rsidR="009B505C">
        <w:rPr>
          <w:bCs/>
        </w:rPr>
        <w:t>Central Hudson</w:t>
      </w:r>
      <w:r w:rsidRPr="0090037E">
        <w:t xml:space="preserve">’s proposed </w:t>
      </w:r>
      <w:r w:rsidR="0084622E">
        <w:t>t</w:t>
      </w:r>
      <w:r w:rsidRPr="0090037E">
        <w:t>ariff revisions, as discussed in the body of this order.  However, the hearing will be held in abeyance to provide time for settlement judge procedures, as discussed in Ordering Paragraphs (C) and (D) below.</w:t>
      </w:r>
    </w:p>
    <w:p w:rsidR="00FD25F5" w:rsidRPr="0090037E" w:rsidP="00FD25F5">
      <w:pPr>
        <w:pStyle w:val="FERCparanumber"/>
        <w:numPr>
          <w:ilvl w:val="0"/>
          <w:numId w:val="23"/>
        </w:numPr>
      </w:pPr>
      <w:r w:rsidRPr="0090037E">
        <w:t>Pursuant to Rule 603 of the Commission’s Rules of Practice and Procedure, 18 C.F.R. § 385.603 (20</w:t>
      </w:r>
      <w:r w:rsidR="009B505C">
        <w:t>23</w:t>
      </w:r>
      <w:r w:rsidRPr="0090037E">
        <w:t>), the Chief Judge is hereby directed to appoint a settlement judge in this proceeding within 45 days of the date of this order.  Such settlement judge shall have all powers and duties enumerated in Rule 603 and shall convene a settlement conference as soon as practicable after the Chief Judge designates the settlement judge.  If parties decide to request a specific judge, they must make their request to the Chief Judge within five days of the date of this order.</w:t>
      </w:r>
    </w:p>
    <w:p w:rsidR="00FD25F5" w:rsidRPr="0090037E" w:rsidP="00FD25F5">
      <w:pPr>
        <w:pStyle w:val="FERCparanumber"/>
        <w:numPr>
          <w:ilvl w:val="0"/>
          <w:numId w:val="23"/>
        </w:numPr>
      </w:pPr>
      <w:bookmarkStart w:id="2" w:name="_Hlk51754647"/>
      <w:r w:rsidRPr="0090037E">
        <w:t>Within 60 days of the appointment of the settlement judge, the settlement judge shall file a report with the Commission and the Chief Judge on the status of the settlement discussions.  Based on this report, the Chief Judge shall provide participants with additional time to continue their settlement discussions, if appropriate, or assign this case to a presiding judge for a trial-type evidentiary hearing, if appropriate.  If settlement discussions continue, the settlement judge shall file a report at least every 60 days thereafter, informing the Commission and the Chief Judge of participants’ progress toward settlement.</w:t>
      </w:r>
    </w:p>
    <w:p w:rsidR="00473BCD" w:rsidRPr="00CD0B38" w:rsidP="00FD25F5">
      <w:pPr>
        <w:pStyle w:val="FERCparanumber"/>
        <w:numPr>
          <w:ilvl w:val="0"/>
          <w:numId w:val="23"/>
        </w:numPr>
      </w:pPr>
      <w:r w:rsidRPr="0090037E" w:rsidR="00FD25F5">
        <w:t>If settlement judge procedures fail and a trial-type evidentiary hearing is to be held, a presiding judge, to be designated by the Chief Judge, shall, within 45 days of the date of the presiding judge’s designation, convene a prehearing conference in these proceedings in a hearing room of the Commission, 888 First Street, NE, Washington,  DC 20426, or remotely (by telephone or electronically), as appropriate.  Such a conference shall be held for the purpose of establishing a procedural schedule.  The presiding judge is authorized to establish procedural dates, and to rule on all motions (except motions to dismiss) as provided in the Commission’s Rules of Practice and Procedure.</w:t>
      </w:r>
      <w:bookmarkEnd w:id="2"/>
    </w:p>
    <w:p w:rsidR="00473BCD" w:rsidP="00EA01D1">
      <w:pPr>
        <w:ind w:left="2250" w:hanging="2250"/>
      </w:pPr>
      <w:r w:rsidRPr="00CD0B38">
        <w:t>By the Commission.</w:t>
      </w:r>
      <w:r w:rsidR="00EA01D1">
        <w:t xml:space="preserve">  Commissioner See is not participating.</w:t>
      </w:r>
    </w:p>
    <w:p w:rsidR="00EA01D1" w:rsidP="00EA01D1">
      <w:pPr>
        <w:ind w:left="2250" w:hanging="2250"/>
      </w:pPr>
      <w:r>
        <w:tab/>
        <w:t>Commissioner Chang is not participating.</w:t>
      </w:r>
    </w:p>
    <w:p w:rsidR="00EA01D1" w:rsidP="00EA01D1">
      <w:pPr>
        <w:widowControl/>
      </w:pPr>
    </w:p>
    <w:p w:rsidR="00EA01D1" w:rsidP="00EA01D1">
      <w:pPr>
        <w:widowControl/>
      </w:pPr>
      <w:r w:rsidRPr="00EA01D1">
        <w:t>( S E A L )</w:t>
      </w:r>
    </w:p>
    <w:p w:rsidR="00EA01D1" w:rsidP="00EA01D1">
      <w:pPr>
        <w:widowControl/>
      </w:pPr>
    </w:p>
    <w:p w:rsidR="00EA01D1" w:rsidP="00EA01D1">
      <w:pPr>
        <w:widowControl/>
      </w:pPr>
    </w:p>
    <w:p w:rsidR="00EA01D1" w:rsidP="00EA01D1">
      <w:pPr>
        <w:widowControl/>
      </w:pPr>
    </w:p>
    <w:p w:rsidR="00EA01D1" w:rsidP="00EA01D1">
      <w:pPr>
        <w:widowControl/>
      </w:pPr>
    </w:p>
    <w:p w:rsidR="00EA01D1" w:rsidRPr="00EA01D1" w:rsidP="00EA01D1">
      <w:pPr>
        <w:widowControl/>
        <w:ind w:firstLine="2606"/>
        <w:jc w:val="center"/>
      </w:pPr>
      <w:r w:rsidRPr="00EA01D1">
        <w:t>Debbie-Anne A. Reese,</w:t>
      </w:r>
    </w:p>
    <w:p w:rsidR="00473BCD" w:rsidRPr="00CD0B38" w:rsidP="00EA01D1">
      <w:pPr>
        <w:widowControl/>
        <w:ind w:firstLine="2606"/>
        <w:jc w:val="center"/>
      </w:pPr>
      <w:r w:rsidRPr="00EA01D1" w:rsidR="00EA01D1">
        <w:t>Acting Secretary.</w:t>
      </w:r>
    </w:p>
    <w:p w:rsidR="00473BCD" w:rsidRPr="00401A63" w:rsidP="00401A63">
      <w:r w:rsidRPr="00CD0B38">
        <w:tab/>
        <w:tab/>
        <w:tab/>
        <w:tab/>
        <w:tab/>
        <w:tab/>
        <w:tab/>
      </w:r>
    </w:p>
    <w:p w:rsidR="00FF32A1" w:rsidRPr="0003382F" w:rsidP="000D7E4E">
      <w:pPr>
        <w:pStyle w:val="FootnoteText"/>
        <w:ind w:firstLine="0"/>
      </w:pPr>
    </w:p>
    <w:sectPr w:rsidSect="00473BCD">
      <w:headerReference w:type="even" r:id="rId11"/>
      <w:headerReference w:type="default" r:id="rId12"/>
      <w:headerReference w:type="first" r:id="rId13"/>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A59" w:rsidP="0048020B">
      <w:r>
        <w:separator/>
      </w:r>
    </w:p>
  </w:endnote>
  <w:endnote w:type="continuationSeparator" w:id="1">
    <w:p w:rsidR="00B50A59" w:rsidP="0048020B">
      <w:r>
        <w:continuationSeparator/>
      </w:r>
    </w:p>
  </w:endnote>
  <w:endnote w:type="continuationNotice" w:id="2">
    <w:p w:rsidR="00B50A5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A59" w:rsidP="0048020B">
      <w:r>
        <w:separator/>
      </w:r>
    </w:p>
  </w:footnote>
  <w:footnote w:type="continuationSeparator" w:id="1">
    <w:p w:rsidR="00B50A59" w:rsidP="0048020B">
      <w:r>
        <w:continuationSeparator/>
      </w:r>
    </w:p>
  </w:footnote>
  <w:footnote w:type="continuationNotice" w:id="2">
    <w:p w:rsidR="00B50A59" w:rsidRPr="00804738" w:rsidP="00804738">
      <w:pPr>
        <w:spacing w:line="14" w:lineRule="exact"/>
        <w:rPr>
          <w:sz w:val="2"/>
        </w:rPr>
      </w:pPr>
    </w:p>
  </w:footnote>
  <w:footnote w:id="3">
    <w:p w:rsidR="00473BCD" w:rsidP="00473BCD">
      <w:pPr>
        <w:pStyle w:val="FootnoteText"/>
      </w:pPr>
      <w:r w:rsidRPr="004359C6">
        <w:rPr>
          <w:rStyle w:val="FootnoteReference"/>
        </w:rPr>
        <w:footnoteRef/>
      </w:r>
      <w:r>
        <w:t xml:space="preserve"> </w:t>
      </w:r>
      <w:r w:rsidRPr="00457F81">
        <w:t>16 U.S.C. § 824d.</w:t>
      </w:r>
    </w:p>
  </w:footnote>
  <w:footnote w:id="4">
    <w:p w:rsidR="00473BCD" w:rsidP="00473BCD">
      <w:pPr>
        <w:pStyle w:val="FootnoteText"/>
      </w:pPr>
      <w:r w:rsidRPr="004359C6">
        <w:rPr>
          <w:rStyle w:val="FootnoteReference"/>
        </w:rPr>
        <w:footnoteRef/>
      </w:r>
      <w:r>
        <w:t xml:space="preserve"> </w:t>
      </w:r>
      <w:r w:rsidRPr="00457F81">
        <w:t xml:space="preserve">18 C.F.R. </w:t>
      </w:r>
      <w:r>
        <w:t xml:space="preserve">pt. </w:t>
      </w:r>
      <w:r w:rsidRPr="00457F81">
        <w:t>35 (202</w:t>
      </w:r>
      <w:r>
        <w:t>3</w:t>
      </w:r>
      <w:r w:rsidRPr="00457F81">
        <w:t>)</w:t>
      </w:r>
      <w:r>
        <w:t>.</w:t>
      </w:r>
    </w:p>
  </w:footnote>
  <w:footnote w:id="5">
    <w:p w:rsidR="00ED536A">
      <w:pPr>
        <w:pStyle w:val="FootnoteText"/>
      </w:pPr>
      <w:r>
        <w:rPr>
          <w:rStyle w:val="FootnoteReference"/>
        </w:rPr>
        <w:footnoteRef/>
      </w:r>
      <w:r>
        <w:t xml:space="preserve"> </w:t>
      </w:r>
      <w:r w:rsidR="006A78AD">
        <w:t>New York Independent System Operator, Inc.</w:t>
      </w:r>
      <w:r w:rsidRPr="00931AAA" w:rsidR="006A78AD">
        <w:t xml:space="preserve">, NYISO Tariffs, </w:t>
      </w:r>
      <w:r w:rsidRPr="00C84E99" w:rsidR="006A78AD">
        <w:t xml:space="preserve">NYISO OATT, </w:t>
      </w:r>
      <w:r w:rsidR="006A78AD">
        <w:br/>
        <w:t xml:space="preserve">§ 6 (Rate Schedules), § </w:t>
      </w:r>
      <w:r w:rsidRPr="00C84E99" w:rsidR="006A78AD">
        <w:t xml:space="preserve">6.21 </w:t>
      </w:r>
      <w:r w:rsidR="006A78AD">
        <w:t>(</w:t>
      </w:r>
      <w:r w:rsidRPr="00C84E99" w:rsidR="006A78AD">
        <w:t>Schedule 21</w:t>
      </w:r>
      <w:r w:rsidR="006A78AD">
        <w:t>)</w:t>
      </w:r>
      <w:r w:rsidRPr="00C84E99" w:rsidR="006A78AD">
        <w:t xml:space="preserve"> (1.0.0)</w:t>
      </w:r>
      <w:r w:rsidR="006A78AD">
        <w:t xml:space="preserve">.  </w:t>
      </w:r>
      <w:r w:rsidRPr="00C3664A" w:rsidR="006A78AD">
        <w:t xml:space="preserve">Capitalized terms not defined herein shall have the meaning set forth in the </w:t>
      </w:r>
      <w:r w:rsidR="006A78AD">
        <w:t xml:space="preserve">NYISO </w:t>
      </w:r>
      <w:r w:rsidRPr="00C3664A" w:rsidR="006A78AD">
        <w:t>Open Access Transmission Tariff (OATT)</w:t>
      </w:r>
      <w:r w:rsidR="006A78AD">
        <w:t>.</w:t>
      </w:r>
      <w:r w:rsidRPr="00C3664A" w:rsidR="00C3664A">
        <w:t xml:space="preserve">  </w:t>
      </w:r>
    </w:p>
  </w:footnote>
  <w:footnote w:id="6">
    <w:p w:rsidR="00142F10" w:rsidP="00142F10">
      <w:pPr>
        <w:pStyle w:val="FootnoteText"/>
      </w:pPr>
      <w:r w:rsidRPr="004359C6">
        <w:rPr>
          <w:rStyle w:val="FootnoteReference"/>
        </w:rPr>
        <w:footnoteRef/>
      </w:r>
      <w:r>
        <w:t xml:space="preserve"> </w:t>
      </w:r>
      <w:r>
        <w:rPr>
          <w:i/>
          <w:iCs/>
        </w:rPr>
        <w:t>Elec.</w:t>
      </w:r>
      <w:r w:rsidRPr="00C42F38">
        <w:rPr>
          <w:i/>
          <w:iCs/>
        </w:rPr>
        <w:t xml:space="preserve"> Storage Participation in </w:t>
      </w:r>
      <w:r>
        <w:rPr>
          <w:i/>
          <w:iCs/>
        </w:rPr>
        <w:t>Mkts.</w:t>
      </w:r>
      <w:r w:rsidRPr="00C42F38">
        <w:rPr>
          <w:i/>
          <w:iCs/>
        </w:rPr>
        <w:t xml:space="preserve"> Operated by Reg</w:t>
      </w:r>
      <w:r>
        <w:rPr>
          <w:i/>
          <w:iCs/>
        </w:rPr>
        <w:t>’</w:t>
      </w:r>
      <w:r w:rsidRPr="00C42F38">
        <w:rPr>
          <w:i/>
          <w:iCs/>
        </w:rPr>
        <w:t xml:space="preserve">l Transmission </w:t>
      </w:r>
      <w:r>
        <w:rPr>
          <w:i/>
          <w:iCs/>
        </w:rPr>
        <w:t>Orgs. &amp; Indep. Sys.</w:t>
      </w:r>
      <w:r w:rsidRPr="00C42F38">
        <w:rPr>
          <w:i/>
          <w:iCs/>
        </w:rPr>
        <w:t xml:space="preserve"> Operators</w:t>
      </w:r>
      <w:r w:rsidRPr="00A30585">
        <w:t>, Order No. 841, 162 FERC ¶ 61,127</w:t>
      </w:r>
      <w:r>
        <w:t xml:space="preserve"> </w:t>
      </w:r>
      <w:r w:rsidRPr="00A30585">
        <w:t>(2018)</w:t>
      </w:r>
      <w:r>
        <w:t xml:space="preserve">, </w:t>
      </w:r>
      <w:r w:rsidRPr="00EA516F">
        <w:rPr>
          <w:i/>
          <w:iCs/>
        </w:rPr>
        <w:t>order on reh</w:t>
      </w:r>
      <w:r>
        <w:rPr>
          <w:i/>
          <w:iCs/>
        </w:rPr>
        <w:t>’</w:t>
      </w:r>
      <w:r w:rsidRPr="00EA516F">
        <w:rPr>
          <w:i/>
          <w:iCs/>
        </w:rPr>
        <w:t>g</w:t>
      </w:r>
      <w:r w:rsidRPr="00EA516F">
        <w:t>,</w:t>
      </w:r>
      <w:r>
        <w:t xml:space="preserve"> </w:t>
      </w:r>
      <w:r w:rsidR="006A78AD">
        <w:br/>
      </w:r>
      <w:r>
        <w:t xml:space="preserve">Order No. 841-A, 167 FERC </w:t>
      </w:r>
      <w:r w:rsidRPr="00A30585">
        <w:t xml:space="preserve">¶ </w:t>
      </w:r>
      <w:r>
        <w:t>61,154 (2019)</w:t>
      </w:r>
      <w:r w:rsidRPr="00EA516F">
        <w:t>, </w:t>
      </w:r>
      <w:r w:rsidRPr="00EA516F">
        <w:rPr>
          <w:i/>
          <w:iCs/>
        </w:rPr>
        <w:t>aff</w:t>
      </w:r>
      <w:r>
        <w:rPr>
          <w:i/>
          <w:iCs/>
        </w:rPr>
        <w:t>’</w:t>
      </w:r>
      <w:r w:rsidRPr="00EA516F">
        <w:rPr>
          <w:i/>
          <w:iCs/>
        </w:rPr>
        <w:t>d sub nom. Nat</w:t>
      </w:r>
      <w:r>
        <w:rPr>
          <w:i/>
          <w:iCs/>
        </w:rPr>
        <w:t>’</w:t>
      </w:r>
      <w:r w:rsidRPr="00EA516F">
        <w:rPr>
          <w:i/>
          <w:iCs/>
        </w:rPr>
        <w:t>l Ass</w:t>
      </w:r>
      <w:r>
        <w:rPr>
          <w:i/>
          <w:iCs/>
        </w:rPr>
        <w:t>’</w:t>
      </w:r>
      <w:r w:rsidRPr="00EA516F">
        <w:rPr>
          <w:i/>
          <w:iCs/>
        </w:rPr>
        <w:t>n of Regul</w:t>
      </w:r>
      <w:r>
        <w:rPr>
          <w:i/>
          <w:iCs/>
        </w:rPr>
        <w:t>.</w:t>
      </w:r>
      <w:r w:rsidRPr="00EA516F">
        <w:rPr>
          <w:i/>
          <w:iCs/>
        </w:rPr>
        <w:t xml:space="preserve"> Util. Comm</w:t>
      </w:r>
      <w:r>
        <w:rPr>
          <w:i/>
          <w:iCs/>
        </w:rPr>
        <w:t>’</w:t>
      </w:r>
      <w:r w:rsidRPr="00EA516F">
        <w:rPr>
          <w:i/>
          <w:iCs/>
        </w:rPr>
        <w:t>rs v. FERC</w:t>
      </w:r>
      <w:r w:rsidRPr="00EA516F">
        <w:t xml:space="preserve">, </w:t>
      </w:r>
      <w:r w:rsidRPr="009A2ADA">
        <w:t>964 F.3d 1177</w:t>
      </w:r>
      <w:r>
        <w:t xml:space="preserve"> </w:t>
      </w:r>
      <w:r w:rsidRPr="00EA516F">
        <w:t>(D.C. Cir. 2020)</w:t>
      </w:r>
      <w:r>
        <w:t xml:space="preserve"> (</w:t>
      </w:r>
      <w:r>
        <w:rPr>
          <w:i/>
          <w:iCs/>
        </w:rPr>
        <w:t>NARUC v. FERC</w:t>
      </w:r>
      <w:r w:rsidRPr="00EA516F">
        <w:t>)</w:t>
      </w:r>
      <w:r w:rsidRPr="00A30585">
        <w:t xml:space="preserve">. </w:t>
      </w:r>
    </w:p>
  </w:footnote>
  <w:footnote w:id="7">
    <w:p w:rsidR="00142F10" w:rsidRPr="00142F10" w:rsidP="00142F10">
      <w:pPr>
        <w:pStyle w:val="FootnoteText"/>
      </w:pPr>
      <w:r w:rsidRPr="004359C6">
        <w:rPr>
          <w:rStyle w:val="FootnoteReference"/>
        </w:rPr>
        <w:footnoteRef/>
      </w:r>
      <w:r>
        <w:t xml:space="preserve"> </w:t>
      </w:r>
      <w:r w:rsidRPr="00142F10">
        <w:rPr>
          <w:i/>
          <w:iCs/>
        </w:rPr>
        <w:t>N.Y. Indep. Sys. Operator</w:t>
      </w:r>
      <w:r w:rsidRPr="00142F10">
        <w:t>,</w:t>
      </w:r>
      <w:r w:rsidR="00A756A6">
        <w:t xml:space="preserve"> </w:t>
      </w:r>
      <w:r w:rsidRPr="00220A23" w:rsidR="00A756A6">
        <w:rPr>
          <w:i/>
          <w:iCs/>
        </w:rPr>
        <w:t>Inc.</w:t>
      </w:r>
      <w:r w:rsidR="00A756A6">
        <w:t>,</w:t>
      </w:r>
      <w:r>
        <w:t xml:space="preserve"> </w:t>
      </w:r>
      <w:r w:rsidRPr="00142F10">
        <w:t>169 FERC ¶ 61,225</w:t>
      </w:r>
      <w:r>
        <w:t xml:space="preserve"> (2019), </w:t>
      </w:r>
      <w:r>
        <w:rPr>
          <w:i/>
          <w:iCs/>
        </w:rPr>
        <w:t xml:space="preserve">order on compliance, </w:t>
      </w:r>
      <w:r w:rsidRPr="00142F10">
        <w:t>172 FERC ¶ 61,119</w:t>
      </w:r>
      <w:r>
        <w:t xml:space="preserve"> (2020)</w:t>
      </w:r>
      <w:r w:rsidR="000E1256">
        <w:t>.</w:t>
      </w:r>
    </w:p>
  </w:footnote>
  <w:footnote w:id="8">
    <w:p w:rsidR="00142F10" w:rsidP="00142F10">
      <w:pPr>
        <w:pStyle w:val="FootnoteText"/>
      </w:pPr>
      <w:r w:rsidRPr="004359C6">
        <w:rPr>
          <w:rStyle w:val="FootnoteReference"/>
        </w:rPr>
        <w:footnoteRef/>
      </w:r>
      <w:r>
        <w:t xml:space="preserve"> </w:t>
      </w:r>
      <w:r w:rsidR="00E015AA">
        <w:t xml:space="preserve">Order No. 841, 162 FERC </w:t>
      </w:r>
      <w:r w:rsidRPr="00142F10" w:rsidR="00E015AA">
        <w:t xml:space="preserve">¶ </w:t>
      </w:r>
      <w:r w:rsidR="00F06C70">
        <w:t xml:space="preserve">61,127 at P 289. </w:t>
      </w:r>
      <w:r>
        <w:t xml:space="preserve"> </w:t>
      </w:r>
      <w:r w:rsidRPr="00A50322">
        <w:t>This finding was subsequently affirmed by the U.S. Court of Appeals for the District of Columbia Circuit.</w:t>
      </w:r>
      <w:r>
        <w:t xml:space="preserve">  </w:t>
      </w:r>
      <w:r>
        <w:rPr>
          <w:i/>
          <w:iCs/>
        </w:rPr>
        <w:t xml:space="preserve">NARUC v. </w:t>
      </w:r>
      <w:r w:rsidRPr="00022955">
        <w:rPr>
          <w:i/>
          <w:iCs/>
        </w:rPr>
        <w:t>FERC</w:t>
      </w:r>
      <w:r>
        <w:t>, 964 F.3d at 1188.</w:t>
      </w:r>
    </w:p>
  </w:footnote>
  <w:footnote w:id="9">
    <w:p w:rsidR="00142F10" w:rsidP="00142F10">
      <w:pPr>
        <w:pStyle w:val="FootnoteText"/>
      </w:pPr>
      <w:r w:rsidRPr="004359C6">
        <w:rPr>
          <w:rStyle w:val="FootnoteReference"/>
        </w:rPr>
        <w:footnoteRef/>
      </w:r>
      <w:r>
        <w:t xml:space="preserve"> Order No. 841, </w:t>
      </w:r>
      <w:r w:rsidRPr="005D7849">
        <w:t xml:space="preserve">162 FERC ¶ 61,127 </w:t>
      </w:r>
      <w:r>
        <w:t xml:space="preserve">at P </w:t>
      </w:r>
      <w:r w:rsidR="008E024D">
        <w:t>301</w:t>
      </w:r>
      <w:r>
        <w:t xml:space="preserve">; </w:t>
      </w:r>
      <w:r w:rsidRPr="004720C8">
        <w:rPr>
          <w:i/>
          <w:iCs/>
        </w:rPr>
        <w:t>see also</w:t>
      </w:r>
      <w:r>
        <w:t xml:space="preserve"> Order No. 841-A, 167 FERC </w:t>
      </w:r>
      <w:r w:rsidRPr="000966F4">
        <w:t>¶ 61,154</w:t>
      </w:r>
      <w:r>
        <w:t xml:space="preserve"> at P 123 (</w:t>
      </w:r>
      <w:r w:rsidR="0062751D">
        <w:t xml:space="preserve">stating the </w:t>
      </w:r>
      <w:r>
        <w:t>Commission will “</w:t>
      </w:r>
      <w:r w:rsidRPr="00E84F5E">
        <w:t>consider</w:t>
      </w:r>
      <w:r>
        <w:t xml:space="preserve">” a rate filing for distribution service to an </w:t>
      </w:r>
      <w:r w:rsidR="008174D4">
        <w:t>energy storage resource</w:t>
      </w:r>
      <w:r>
        <w:t xml:space="preserve"> “</w:t>
      </w:r>
      <w:r w:rsidRPr="00E84F5E">
        <w:t>on a case-by-case basis in light of the record evidence</w:t>
      </w:r>
      <w:r>
        <w:t>”).</w:t>
      </w:r>
    </w:p>
  </w:footnote>
  <w:footnote w:id="10">
    <w:p w:rsidR="0023396B" w:rsidRPr="009D2FCA" w:rsidP="0023396B">
      <w:pPr>
        <w:pStyle w:val="FootnoteText"/>
      </w:pPr>
      <w:r w:rsidRPr="00CE5B90">
        <w:rPr>
          <w:rStyle w:val="FootnoteReference"/>
          <w:i/>
          <w:iCs/>
        </w:rPr>
        <w:footnoteRef/>
      </w:r>
      <w:r w:rsidRPr="00CE5B90">
        <w:rPr>
          <w:i/>
          <w:iCs/>
        </w:rPr>
        <w:t xml:space="preserve"> </w:t>
      </w:r>
      <w:r w:rsidRPr="00CE5B90" w:rsidR="009B1CD1">
        <w:rPr>
          <w:i/>
          <w:iCs/>
        </w:rPr>
        <w:t>Participation of Distributed Energy Res</w:t>
      </w:r>
      <w:r w:rsidRPr="00CE5B90" w:rsidR="007838A9">
        <w:rPr>
          <w:i/>
          <w:iCs/>
        </w:rPr>
        <w:t>.</w:t>
      </w:r>
      <w:r w:rsidRPr="00CE5B90" w:rsidR="009B1CD1">
        <w:rPr>
          <w:i/>
          <w:iCs/>
        </w:rPr>
        <w:t xml:space="preserve"> Aggregations in M</w:t>
      </w:r>
      <w:r w:rsidRPr="00CE5B90" w:rsidR="00306CE2">
        <w:rPr>
          <w:i/>
          <w:iCs/>
        </w:rPr>
        <w:t>kt</w:t>
      </w:r>
      <w:r w:rsidRPr="00CE5B90" w:rsidR="009B1CD1">
        <w:rPr>
          <w:i/>
          <w:iCs/>
        </w:rPr>
        <w:t>s</w:t>
      </w:r>
      <w:r w:rsidRPr="00CE5B90" w:rsidR="00306CE2">
        <w:rPr>
          <w:i/>
          <w:iCs/>
        </w:rPr>
        <w:t>.</w:t>
      </w:r>
      <w:r w:rsidRPr="00CE5B90" w:rsidR="009B1CD1">
        <w:rPr>
          <w:i/>
          <w:iCs/>
        </w:rPr>
        <w:t xml:space="preserve"> Operated by Reg</w:t>
      </w:r>
      <w:r w:rsidRPr="00CE5B90" w:rsidR="00306CE2">
        <w:rPr>
          <w:i/>
          <w:iCs/>
        </w:rPr>
        <w:t>’</w:t>
      </w:r>
      <w:r w:rsidRPr="00CE5B90" w:rsidR="009B1CD1">
        <w:rPr>
          <w:i/>
          <w:iCs/>
        </w:rPr>
        <w:t xml:space="preserve">l Transmission </w:t>
      </w:r>
      <w:r w:rsidRPr="00CE5B90" w:rsidR="00306CE2">
        <w:rPr>
          <w:i/>
          <w:iCs/>
        </w:rPr>
        <w:t>Orgs.</w:t>
      </w:r>
      <w:r w:rsidRPr="00CE5B90" w:rsidR="009B1CD1">
        <w:rPr>
          <w:i/>
          <w:iCs/>
        </w:rPr>
        <w:t xml:space="preserve"> </w:t>
      </w:r>
      <w:r w:rsidRPr="00CE5B90" w:rsidR="00306CE2">
        <w:rPr>
          <w:i/>
          <w:iCs/>
        </w:rPr>
        <w:t>&amp;</w:t>
      </w:r>
      <w:r w:rsidRPr="00CE5B90" w:rsidR="009B1CD1">
        <w:rPr>
          <w:i/>
          <w:iCs/>
        </w:rPr>
        <w:t xml:space="preserve"> Indep</w:t>
      </w:r>
      <w:r w:rsidRPr="00CE5B90" w:rsidR="00306CE2">
        <w:rPr>
          <w:i/>
          <w:iCs/>
        </w:rPr>
        <w:t>.</w:t>
      </w:r>
      <w:r w:rsidRPr="00CE5B90" w:rsidR="009B1CD1">
        <w:rPr>
          <w:i/>
          <w:iCs/>
        </w:rPr>
        <w:t xml:space="preserve"> Sys</w:t>
      </w:r>
      <w:r w:rsidRPr="00CE5B90" w:rsidR="00306CE2">
        <w:rPr>
          <w:i/>
          <w:iCs/>
        </w:rPr>
        <w:t>.</w:t>
      </w:r>
      <w:r w:rsidRPr="00CE5B90" w:rsidR="009B1CD1">
        <w:rPr>
          <w:i/>
          <w:iCs/>
        </w:rPr>
        <w:t xml:space="preserve"> Operators</w:t>
      </w:r>
      <w:r w:rsidRPr="00E334B0" w:rsidR="009B1CD1">
        <w:t>,</w:t>
      </w:r>
      <w:r w:rsidRPr="009D2FCA" w:rsidR="009B1CD1">
        <w:t xml:space="preserve"> </w:t>
      </w:r>
      <w:r w:rsidRPr="009D2FCA">
        <w:t>Order No. 2222</w:t>
      </w:r>
      <w:bookmarkStart w:id="1" w:name="_Hlk73697596"/>
      <w:r w:rsidRPr="009D2FCA">
        <w:t>, 172 FERC ¶ 61,247</w:t>
      </w:r>
      <w:bookmarkEnd w:id="1"/>
      <w:r w:rsidR="009B1CD1">
        <w:t>,</w:t>
      </w:r>
      <w:r w:rsidRPr="009D2FCA">
        <w:t xml:space="preserve"> at</w:t>
      </w:r>
      <w:r w:rsidRPr="009D2FCA">
        <w:rPr>
          <w:i/>
          <w:iCs/>
        </w:rPr>
        <w:t xml:space="preserve"> </w:t>
      </w:r>
      <w:r w:rsidRPr="009D2FCA">
        <w:t>P 1</w:t>
      </w:r>
      <w:r w:rsidR="009B1CD1">
        <w:t xml:space="preserve"> </w:t>
      </w:r>
      <w:r w:rsidRPr="00715448" w:rsidR="009B1CD1">
        <w:t>(2020)</w:t>
      </w:r>
      <w:r w:rsidRPr="009B1CD1" w:rsidR="009B1CD1">
        <w:t>, </w:t>
      </w:r>
      <w:r w:rsidRPr="009B1CD1" w:rsidR="009B1CD1">
        <w:rPr>
          <w:i/>
          <w:iCs/>
        </w:rPr>
        <w:t>order on reh</w:t>
      </w:r>
      <w:r w:rsidR="000B4376">
        <w:rPr>
          <w:i/>
          <w:iCs/>
        </w:rPr>
        <w:t>’</w:t>
      </w:r>
      <w:r w:rsidRPr="009B1CD1" w:rsidR="009B1CD1">
        <w:rPr>
          <w:i/>
          <w:iCs/>
        </w:rPr>
        <w:t>g</w:t>
      </w:r>
      <w:r w:rsidRPr="009B1CD1" w:rsidR="009B1CD1">
        <w:t>, </w:t>
      </w:r>
      <w:r w:rsidRPr="00E334B0" w:rsidR="009B1CD1">
        <w:t>Order</w:t>
      </w:r>
      <w:r w:rsidRPr="009B1CD1" w:rsidR="009B1CD1">
        <w:t> </w:t>
      </w:r>
      <w:r w:rsidRPr="00E334B0" w:rsidR="009B1CD1">
        <w:t>No</w:t>
      </w:r>
      <w:r w:rsidRPr="009B1CD1" w:rsidR="009B1CD1">
        <w:t>. </w:t>
      </w:r>
      <w:r w:rsidRPr="00E334B0" w:rsidR="009B1CD1">
        <w:t>2222</w:t>
      </w:r>
      <w:r w:rsidRPr="009B1CD1" w:rsidR="009B1CD1">
        <w:t>-A, </w:t>
      </w:r>
      <w:r w:rsidRPr="00E334B0" w:rsidR="009B1CD1">
        <w:t>174 FERC ¶ 61,197 (2021)</w:t>
      </w:r>
      <w:r w:rsidRPr="009B1CD1" w:rsidR="009B1CD1">
        <w:t>.</w:t>
      </w:r>
    </w:p>
  </w:footnote>
  <w:footnote w:id="11">
    <w:p w:rsidR="008D2383">
      <w:pPr>
        <w:pStyle w:val="FootnoteText"/>
      </w:pPr>
      <w:r>
        <w:rPr>
          <w:rStyle w:val="FootnoteReference"/>
        </w:rPr>
        <w:footnoteRef/>
      </w:r>
      <w:r>
        <w:t xml:space="preserve"> Order No. 2222, 172 FERC ¶ 61,247 at P 62.</w:t>
      </w:r>
    </w:p>
  </w:footnote>
  <w:footnote w:id="12">
    <w:p w:rsidR="00E0101A" w:rsidP="00E0101A">
      <w:pPr>
        <w:pStyle w:val="FootnoteText"/>
      </w:pPr>
      <w:r w:rsidRPr="004359C6">
        <w:rPr>
          <w:rStyle w:val="FootnoteReference"/>
        </w:rPr>
        <w:footnoteRef/>
      </w:r>
      <w:r>
        <w:t xml:space="preserve"> Filing, Transmittal Letter at 2.</w:t>
      </w:r>
    </w:p>
  </w:footnote>
  <w:footnote w:id="13">
    <w:p w:rsidR="009D4A3C">
      <w:pPr>
        <w:pStyle w:val="FootnoteText"/>
      </w:pPr>
      <w:r w:rsidRPr="004359C6">
        <w:rPr>
          <w:rStyle w:val="FootnoteReference"/>
        </w:rPr>
        <w:footnoteRef/>
      </w:r>
      <w:r>
        <w:t xml:space="preserve"> </w:t>
      </w:r>
      <w:r w:rsidR="002A1C07">
        <w:rPr>
          <w:i/>
          <w:iCs/>
        </w:rPr>
        <w:t>Id.</w:t>
      </w:r>
      <w:r>
        <w:t xml:space="preserve"> at </w:t>
      </w:r>
      <w:r w:rsidR="00273CF6">
        <w:t>4.</w:t>
      </w:r>
    </w:p>
  </w:footnote>
  <w:footnote w:id="14">
    <w:p w:rsidR="00CC1D83">
      <w:pPr>
        <w:pStyle w:val="FootnoteText"/>
      </w:pPr>
      <w:r w:rsidRPr="004359C6">
        <w:rPr>
          <w:rStyle w:val="FootnoteReference"/>
        </w:rPr>
        <w:footnoteRef/>
      </w:r>
      <w:r>
        <w:t xml:space="preserve"> </w:t>
      </w:r>
      <w:r w:rsidR="00EE3C60">
        <w:rPr>
          <w:i/>
          <w:iCs/>
        </w:rPr>
        <w:t>Id.</w:t>
      </w:r>
      <w:r>
        <w:t xml:space="preserve"> at 5.</w:t>
      </w:r>
    </w:p>
  </w:footnote>
  <w:footnote w:id="15">
    <w:p w:rsidR="004F264E">
      <w:pPr>
        <w:pStyle w:val="FootnoteText"/>
      </w:pPr>
      <w:r w:rsidRPr="004359C6">
        <w:rPr>
          <w:rStyle w:val="FootnoteReference"/>
        </w:rPr>
        <w:footnoteRef/>
      </w:r>
      <w:r>
        <w:t xml:space="preserve"> </w:t>
      </w:r>
      <w:r w:rsidR="00EE3C60">
        <w:rPr>
          <w:i/>
          <w:iCs/>
        </w:rPr>
        <w:t>Id</w:t>
      </w:r>
      <w:r>
        <w:t xml:space="preserve">.  </w:t>
      </w:r>
      <w:r w:rsidR="00A75701">
        <w:t>I</w:t>
      </w:r>
      <w:r>
        <w:t xml:space="preserve">n </w:t>
      </w:r>
      <w:r w:rsidR="00660D55">
        <w:t xml:space="preserve">the </w:t>
      </w:r>
      <w:r w:rsidR="003070C8">
        <w:t xml:space="preserve">proposed </w:t>
      </w:r>
      <w:r w:rsidR="00660D55">
        <w:t xml:space="preserve">tariff </w:t>
      </w:r>
      <w:r w:rsidR="00AC355D">
        <w:t xml:space="preserve">language </w:t>
      </w:r>
      <w:r w:rsidR="00660D55">
        <w:t xml:space="preserve">for </w:t>
      </w:r>
      <w:r w:rsidR="003070C8">
        <w:t>Rate Schedule 21, delivery of electric energy over Central Hudson’s distribution facilities to the transmission system is referred to as Wholesale Distribution Export Service.</w:t>
      </w:r>
      <w:r w:rsidR="00797245">
        <w:t xml:space="preserve"> </w:t>
      </w:r>
    </w:p>
  </w:footnote>
  <w:footnote w:id="16">
    <w:p w:rsidR="00C75214" w:rsidP="00C75214">
      <w:pPr>
        <w:pStyle w:val="FootnoteText"/>
      </w:pPr>
      <w:r w:rsidRPr="004359C6">
        <w:rPr>
          <w:rStyle w:val="FootnoteReference"/>
        </w:rPr>
        <w:footnoteRef/>
      </w:r>
      <w:r>
        <w:t xml:space="preserve"> </w:t>
      </w:r>
      <w:r>
        <w:rPr>
          <w:i/>
          <w:iCs/>
        </w:rPr>
        <w:t>Id.</w:t>
      </w:r>
      <w:r>
        <w:t xml:space="preserve"> at </w:t>
      </w:r>
      <w:r w:rsidRPr="00D22EC1">
        <w:t xml:space="preserve">4 (citing </w:t>
      </w:r>
      <w:r w:rsidRPr="00BB37A3">
        <w:t xml:space="preserve">Order Establishing Updated Standby Service Rates and Implementing Optional Mass Market Demand Rates, </w:t>
      </w:r>
      <w:r w:rsidRPr="00BE2206">
        <w:rPr>
          <w:i/>
          <w:iCs/>
        </w:rPr>
        <w:t>In the Matter of the Value of Distributed Energy Resources</w:t>
      </w:r>
      <w:r w:rsidRPr="00BB37A3">
        <w:t xml:space="preserve">, </w:t>
      </w:r>
      <w:r w:rsidRPr="00D22EC1">
        <w:t xml:space="preserve">Case </w:t>
      </w:r>
      <w:r>
        <w:t xml:space="preserve">No. </w:t>
      </w:r>
      <w:r w:rsidRPr="00D22EC1">
        <w:t>15-E-0751 (N.Y. Pub. Serv. Comm’n Mar</w:t>
      </w:r>
      <w:r>
        <w:t>.</w:t>
      </w:r>
      <w:r w:rsidRPr="00D22EC1">
        <w:t xml:space="preserve"> 16, 2022)</w:t>
      </w:r>
      <w:r>
        <w:t xml:space="preserve"> (New York Commission ACOS Order)</w:t>
      </w:r>
      <w:r w:rsidRPr="00D22EC1">
        <w:t>).</w:t>
      </w:r>
    </w:p>
  </w:footnote>
  <w:footnote w:id="17">
    <w:p w:rsidR="00C75214" w:rsidRPr="00CC1FEE" w:rsidP="00C75214">
      <w:pPr>
        <w:pStyle w:val="FootnoteText"/>
      </w:pPr>
      <w:r w:rsidRPr="004359C6">
        <w:rPr>
          <w:rStyle w:val="FootnoteReference"/>
        </w:rPr>
        <w:footnoteRef/>
      </w:r>
      <w:r>
        <w:t xml:space="preserve"> </w:t>
      </w:r>
      <w:r>
        <w:rPr>
          <w:i/>
          <w:iCs/>
        </w:rPr>
        <w:t>Id.</w:t>
      </w:r>
      <w:r w:rsidRPr="00D22EC1">
        <w:t xml:space="preserve"> (citing </w:t>
      </w:r>
      <w:r w:rsidRPr="00BB37A3">
        <w:t xml:space="preserve">Order Establishing Updated Standby Service Rates and Implementing Optional Mass Market Demand Rates, </w:t>
      </w:r>
      <w:r w:rsidRPr="00715448">
        <w:rPr>
          <w:i/>
          <w:iCs/>
        </w:rPr>
        <w:t>In the Matter of the Value of Distributed Energy Resources</w:t>
      </w:r>
      <w:r>
        <w:t>,</w:t>
      </w:r>
      <w:r w:rsidRPr="00D22EC1">
        <w:t xml:space="preserve"> Case </w:t>
      </w:r>
      <w:r>
        <w:t xml:space="preserve">No. </w:t>
      </w:r>
      <w:r w:rsidRPr="00D22EC1">
        <w:t>15-E-0751 (N.Y. Pub. Serv. Comm’n Oct</w:t>
      </w:r>
      <w:r>
        <w:t>.</w:t>
      </w:r>
      <w:r w:rsidRPr="00D22EC1">
        <w:t xml:space="preserve"> </w:t>
      </w:r>
      <w:r>
        <w:t>1</w:t>
      </w:r>
      <w:r w:rsidRPr="00D22EC1">
        <w:t>3, 2023)</w:t>
      </w:r>
      <w:r>
        <w:t xml:space="preserve"> (New York Commission Standby Rates Order)</w:t>
      </w:r>
      <w:r w:rsidRPr="00D22EC1">
        <w:t>).</w:t>
      </w:r>
    </w:p>
  </w:footnote>
  <w:footnote w:id="18">
    <w:p w:rsidR="00D15FB4">
      <w:pPr>
        <w:pStyle w:val="FootnoteText"/>
      </w:pPr>
      <w:r w:rsidRPr="004359C6">
        <w:rPr>
          <w:rStyle w:val="FootnoteReference"/>
        </w:rPr>
        <w:footnoteRef/>
      </w:r>
      <w:r>
        <w:t xml:space="preserve"> </w:t>
      </w:r>
      <w:r w:rsidR="00F12783">
        <w:rPr>
          <w:i/>
          <w:iCs/>
        </w:rPr>
        <w:t>Id.</w:t>
      </w:r>
    </w:p>
  </w:footnote>
  <w:footnote w:id="19">
    <w:p w:rsidR="00B34D38">
      <w:pPr>
        <w:pStyle w:val="FootnoteText"/>
      </w:pPr>
      <w:r w:rsidRPr="004359C6">
        <w:rPr>
          <w:rStyle w:val="FootnoteReference"/>
        </w:rPr>
        <w:footnoteRef/>
      </w:r>
      <w:r>
        <w:t xml:space="preserve"> </w:t>
      </w:r>
      <w:r w:rsidR="00296193">
        <w:rPr>
          <w:i/>
          <w:iCs/>
        </w:rPr>
        <w:t>Id.</w:t>
      </w:r>
      <w:r>
        <w:t xml:space="preserve"> (</w:t>
      </w:r>
      <w:r w:rsidRPr="00D22EC1">
        <w:t>citing</w:t>
      </w:r>
      <w:r w:rsidRPr="00D22EC1">
        <w:t xml:space="preserve"> </w:t>
      </w:r>
      <w:r w:rsidR="0007605F">
        <w:t>New York Commission Standby Rates Order</w:t>
      </w:r>
      <w:r>
        <w:t>).</w:t>
      </w:r>
    </w:p>
  </w:footnote>
  <w:footnote w:id="20">
    <w:p w:rsidR="00EE19F1" w:rsidRPr="0088366C">
      <w:pPr>
        <w:pStyle w:val="FootnoteText"/>
      </w:pPr>
      <w:r>
        <w:rPr>
          <w:rStyle w:val="FootnoteReference"/>
        </w:rPr>
        <w:footnoteRef/>
      </w:r>
      <w:r>
        <w:t xml:space="preserve"> </w:t>
      </w:r>
      <w:r>
        <w:rPr>
          <w:i/>
          <w:iCs/>
        </w:rPr>
        <w:t xml:space="preserve">Id. </w:t>
      </w:r>
      <w:r w:rsidR="0088366C">
        <w:t>at 5-6.</w:t>
      </w:r>
    </w:p>
  </w:footnote>
  <w:footnote w:id="21">
    <w:p w:rsidR="00FA2089">
      <w:pPr>
        <w:pStyle w:val="FootnoteText"/>
      </w:pPr>
      <w:r w:rsidRPr="004359C6">
        <w:rPr>
          <w:rStyle w:val="FootnoteReference"/>
        </w:rPr>
        <w:footnoteRef/>
      </w:r>
      <w:r>
        <w:t xml:space="preserve"> </w:t>
      </w:r>
      <w:r w:rsidR="00F12FD5">
        <w:rPr>
          <w:i/>
          <w:iCs/>
        </w:rPr>
        <w:t>Id.</w:t>
      </w:r>
      <w:r>
        <w:t xml:space="preserve"> at 6.</w:t>
      </w:r>
    </w:p>
  </w:footnote>
  <w:footnote w:id="22">
    <w:p w:rsidR="004D2B85">
      <w:pPr>
        <w:pStyle w:val="FootnoteText"/>
      </w:pPr>
      <w:r>
        <w:rPr>
          <w:rStyle w:val="FootnoteReference"/>
        </w:rPr>
        <w:footnoteRef/>
      </w:r>
      <w:r>
        <w:t xml:space="preserve"> </w:t>
      </w:r>
      <w:r w:rsidR="00E83CF3">
        <w:rPr>
          <w:i/>
          <w:iCs/>
        </w:rPr>
        <w:t>Id.</w:t>
      </w:r>
    </w:p>
  </w:footnote>
  <w:footnote w:id="23">
    <w:p w:rsidR="00DE7BE4">
      <w:pPr>
        <w:pStyle w:val="FootnoteText"/>
      </w:pPr>
      <w:r>
        <w:rPr>
          <w:rStyle w:val="FootnoteReference"/>
        </w:rPr>
        <w:footnoteRef/>
      </w:r>
      <w:r>
        <w:t xml:space="preserve"> </w:t>
      </w:r>
      <w:r w:rsidR="00A13153">
        <w:rPr>
          <w:i/>
          <w:iCs/>
        </w:rPr>
        <w:t>Id.</w:t>
      </w:r>
      <w:r w:rsidR="00A13153">
        <w:t xml:space="preserve">  P</w:t>
      </w:r>
      <w:r w:rsidRPr="00A13153" w:rsidR="00A13153">
        <w:t>roposed section 6.21.5.1.2 defines demand quantity as the lesser of the nameplate rating of the customer’s generator and the maximum delivery capacity as defined in the interconnection agreement</w:t>
      </w:r>
      <w:r w:rsidR="00A13153">
        <w:t xml:space="preserve">.  </w:t>
      </w:r>
      <w:r>
        <w:t xml:space="preserve">Proposed Rate Schedule 21, </w:t>
      </w:r>
      <w:r w:rsidR="006A78AD">
        <w:t>§</w:t>
      </w:r>
      <w:r>
        <w:t xml:space="preserve"> </w:t>
      </w:r>
      <w:r w:rsidR="008D5CE5">
        <w:t>6.21.5.1.1.2.</w:t>
      </w:r>
    </w:p>
  </w:footnote>
  <w:footnote w:id="24">
    <w:p w:rsidR="005E0E29">
      <w:pPr>
        <w:pStyle w:val="FootnoteText"/>
      </w:pPr>
      <w:r>
        <w:rPr>
          <w:rStyle w:val="FootnoteReference"/>
        </w:rPr>
        <w:footnoteRef/>
      </w:r>
      <w:r>
        <w:t xml:space="preserve"> </w:t>
      </w:r>
      <w:r w:rsidR="001F1E1F">
        <w:t>Filing,</w:t>
      </w:r>
      <w:r>
        <w:t xml:space="preserve"> </w:t>
      </w:r>
      <w:r w:rsidR="00F7192D">
        <w:t xml:space="preserve">Transmittal </w:t>
      </w:r>
      <w:r w:rsidR="001F1E1F">
        <w:t xml:space="preserve">Letter </w:t>
      </w:r>
      <w:r w:rsidR="00F7192D">
        <w:t>at 6.</w:t>
      </w:r>
    </w:p>
  </w:footnote>
  <w:footnote w:id="25">
    <w:p w:rsidR="00AF7357">
      <w:pPr>
        <w:pStyle w:val="FootnoteText"/>
      </w:pPr>
      <w:r>
        <w:rPr>
          <w:rStyle w:val="FootnoteReference"/>
        </w:rPr>
        <w:footnoteRef/>
      </w:r>
      <w:r>
        <w:t xml:space="preserve"> </w:t>
      </w:r>
      <w:r w:rsidR="0064370F">
        <w:rPr>
          <w:i/>
          <w:iCs/>
        </w:rPr>
        <w:t>Id.</w:t>
      </w:r>
      <w:r>
        <w:t xml:space="preserve"> at 6-7.</w:t>
      </w:r>
    </w:p>
  </w:footnote>
  <w:footnote w:id="26">
    <w:p w:rsidR="008C68E8">
      <w:pPr>
        <w:pStyle w:val="FootnoteText"/>
      </w:pPr>
      <w:r>
        <w:rPr>
          <w:rStyle w:val="FootnoteReference"/>
        </w:rPr>
        <w:footnoteRef/>
      </w:r>
      <w:r>
        <w:t xml:space="preserve"> </w:t>
      </w:r>
      <w:r w:rsidR="00111681">
        <w:rPr>
          <w:i/>
          <w:iCs/>
        </w:rPr>
        <w:t>Id.</w:t>
      </w:r>
      <w:r>
        <w:t xml:space="preserve"> at 7</w:t>
      </w:r>
      <w:r w:rsidR="00163D90">
        <w:t>.</w:t>
      </w:r>
    </w:p>
  </w:footnote>
  <w:footnote w:id="27">
    <w:p w:rsidR="00F76BFC">
      <w:pPr>
        <w:pStyle w:val="FootnoteText"/>
      </w:pPr>
      <w:r>
        <w:rPr>
          <w:rStyle w:val="FootnoteReference"/>
        </w:rPr>
        <w:footnoteRef/>
      </w:r>
      <w:r>
        <w:t xml:space="preserve"> </w:t>
      </w:r>
      <w:r w:rsidRPr="00E027CA">
        <w:rPr>
          <w:i/>
          <w:iCs/>
        </w:rPr>
        <w:t>Id</w:t>
      </w:r>
      <w:r>
        <w:t xml:space="preserve">. at 4, 7 (citing </w:t>
      </w:r>
      <w:r w:rsidRPr="00E027CA">
        <w:rPr>
          <w:i/>
          <w:iCs/>
        </w:rPr>
        <w:t>Consol</w:t>
      </w:r>
      <w:r w:rsidR="006F1989">
        <w:rPr>
          <w:i/>
          <w:iCs/>
        </w:rPr>
        <w:t>.</w:t>
      </w:r>
      <w:r w:rsidRPr="00E027CA">
        <w:rPr>
          <w:i/>
          <w:iCs/>
        </w:rPr>
        <w:t xml:space="preserve"> Edison Co</w:t>
      </w:r>
      <w:r w:rsidR="001B71D4">
        <w:rPr>
          <w:i/>
          <w:iCs/>
        </w:rPr>
        <w:t>.</w:t>
      </w:r>
      <w:r w:rsidRPr="00E027CA">
        <w:rPr>
          <w:i/>
          <w:iCs/>
        </w:rPr>
        <w:t xml:space="preserve"> of N</w:t>
      </w:r>
      <w:r w:rsidR="00AC716C">
        <w:rPr>
          <w:i/>
          <w:iCs/>
        </w:rPr>
        <w:t>.Y.</w:t>
      </w:r>
      <w:r w:rsidRPr="00E027CA">
        <w:rPr>
          <w:i/>
          <w:iCs/>
        </w:rPr>
        <w:t>, Inc</w:t>
      </w:r>
      <w:r w:rsidRPr="00F76BFC">
        <w:t>., 15 FERC ¶ 61,174, at 61,405 (1981)</w:t>
      </w:r>
      <w:r>
        <w:t>).</w:t>
      </w:r>
    </w:p>
  </w:footnote>
  <w:footnote w:id="28">
    <w:p w:rsidR="007A1FA1" w:rsidRPr="00E027CA">
      <w:pPr>
        <w:pStyle w:val="FootnoteText"/>
      </w:pPr>
      <w:r>
        <w:rPr>
          <w:rStyle w:val="FootnoteReference"/>
        </w:rPr>
        <w:footnoteRef/>
      </w:r>
      <w:r>
        <w:t xml:space="preserve"> </w:t>
      </w:r>
      <w:r>
        <w:rPr>
          <w:i/>
          <w:iCs/>
        </w:rPr>
        <w:t>Id.</w:t>
      </w:r>
      <w:r w:rsidR="00F76BFC">
        <w:t xml:space="preserve"> at 7.</w:t>
      </w:r>
    </w:p>
  </w:footnote>
  <w:footnote w:id="29">
    <w:p w:rsidR="009E1931">
      <w:pPr>
        <w:pStyle w:val="FootnoteText"/>
      </w:pPr>
      <w:r>
        <w:rPr>
          <w:rStyle w:val="FootnoteReference"/>
        </w:rPr>
        <w:footnoteRef/>
      </w:r>
      <w:r>
        <w:t xml:space="preserve"> </w:t>
      </w:r>
      <w:r w:rsidR="009B173A">
        <w:t xml:space="preserve">NY-BEST is a not-for-profit trade association representing </w:t>
      </w:r>
      <w:r w:rsidR="00C22BF6">
        <w:t xml:space="preserve">the </w:t>
      </w:r>
      <w:r w:rsidR="009B173A">
        <w:t xml:space="preserve">energy storage industry </w:t>
      </w:r>
      <w:r w:rsidR="00C22BF6">
        <w:t>in New York</w:t>
      </w:r>
      <w:r w:rsidR="00043C01">
        <w:t xml:space="preserve"> with more than 180 member organizations </w:t>
      </w:r>
      <w:r w:rsidR="002C48C1">
        <w:t>which include global corporations, start-ups, project develops, leading research institutions and universities, and numerous companies involved in the electricity and transportation sectors.</w:t>
      </w:r>
    </w:p>
  </w:footnote>
  <w:footnote w:id="30">
    <w:p w:rsidR="004359C6" w:rsidRPr="004359C6">
      <w:pPr>
        <w:pStyle w:val="FootnoteText"/>
        <w:rPr>
          <w:bCs/>
        </w:rPr>
      </w:pPr>
      <w:r w:rsidRPr="004359C6">
        <w:rPr>
          <w:rStyle w:val="FootnoteReference"/>
        </w:rPr>
        <w:footnoteRef/>
      </w:r>
      <w:r>
        <w:t xml:space="preserve"> </w:t>
      </w:r>
      <w:r w:rsidRPr="004359C6">
        <w:rPr>
          <w:bCs/>
        </w:rPr>
        <w:t xml:space="preserve">New York Commission Protest at </w:t>
      </w:r>
      <w:r w:rsidR="00C85EFC">
        <w:rPr>
          <w:bCs/>
        </w:rPr>
        <w:t>2</w:t>
      </w:r>
      <w:r w:rsidR="005331FE">
        <w:rPr>
          <w:bCs/>
        </w:rPr>
        <w:t>.</w:t>
      </w:r>
    </w:p>
  </w:footnote>
  <w:footnote w:id="31">
    <w:p w:rsidR="00820A3C" w:rsidP="00820A3C">
      <w:pPr>
        <w:pStyle w:val="FootnoteText"/>
      </w:pPr>
      <w:r>
        <w:rPr>
          <w:rStyle w:val="FootnoteReference"/>
        </w:rPr>
        <w:footnoteRef/>
      </w:r>
      <w:r>
        <w:t xml:space="preserve"> Key Capture Protest at 1.</w:t>
      </w:r>
      <w:r w:rsidR="00404EC5">
        <w:t xml:space="preserve">  Aypa Power, Catskill Grid, and NY-BEST each </w:t>
      </w:r>
      <w:r w:rsidR="0085273D">
        <w:t xml:space="preserve">state that they adopt and </w:t>
      </w:r>
      <w:r w:rsidR="00404EC5">
        <w:t>incorporate</w:t>
      </w:r>
      <w:r w:rsidR="00291C6F">
        <w:t xml:space="preserve"> the entirety of</w:t>
      </w:r>
      <w:r w:rsidR="00404EC5">
        <w:t xml:space="preserve"> Key Capture’s protest</w:t>
      </w:r>
      <w:r w:rsidR="0085273D">
        <w:t xml:space="preserve"> by reference.  Ay</w:t>
      </w:r>
      <w:r w:rsidR="00881F96">
        <w:t>p</w:t>
      </w:r>
      <w:r w:rsidR="0085273D">
        <w:t xml:space="preserve">a Power Protest at </w:t>
      </w:r>
      <w:r w:rsidR="00546A63">
        <w:t>2</w:t>
      </w:r>
      <w:r w:rsidR="0085273D">
        <w:t xml:space="preserve">; Catskill Grid Protest at </w:t>
      </w:r>
      <w:r w:rsidR="00FE7A29">
        <w:t>3</w:t>
      </w:r>
      <w:r w:rsidR="0085273D">
        <w:t>; NY-BEST Protest at 2.</w:t>
      </w:r>
      <w:r w:rsidR="007A01CB">
        <w:t xml:space="preserve">  M</w:t>
      </w:r>
      <w:r w:rsidR="008052AB">
        <w:t>icroGrid</w:t>
      </w:r>
      <w:r w:rsidR="007A01CB">
        <w:t xml:space="preserve"> also states that it supports Key Capture’s protest, including the requested relief.  M</w:t>
      </w:r>
      <w:r w:rsidR="008052AB">
        <w:t>icroGrid</w:t>
      </w:r>
      <w:r w:rsidR="007A01CB">
        <w:t xml:space="preserve"> Protest at 2.</w:t>
      </w:r>
    </w:p>
  </w:footnote>
  <w:footnote w:id="32">
    <w:p w:rsidR="000A3B39" w:rsidP="000A3B39">
      <w:pPr>
        <w:pStyle w:val="FootnoteText"/>
      </w:pPr>
      <w:r>
        <w:rPr>
          <w:rStyle w:val="FootnoteReference"/>
        </w:rPr>
        <w:footnoteRef/>
      </w:r>
      <w:r>
        <w:t xml:space="preserve"> Key Capture Protest at 2-3.</w:t>
      </w:r>
    </w:p>
  </w:footnote>
  <w:footnote w:id="33">
    <w:p w:rsidR="000A3B39" w:rsidP="000A3B39">
      <w:pPr>
        <w:pStyle w:val="FootnoteText"/>
      </w:pPr>
      <w:r>
        <w:rPr>
          <w:rStyle w:val="FootnoteReference"/>
        </w:rPr>
        <w:footnoteRef/>
      </w:r>
      <w:r>
        <w:t xml:space="preserve"> </w:t>
      </w:r>
      <w:r>
        <w:rPr>
          <w:i/>
          <w:iCs/>
        </w:rPr>
        <w:t>Id.</w:t>
      </w:r>
      <w:r>
        <w:t xml:space="preserve"> at 3.</w:t>
      </w:r>
    </w:p>
  </w:footnote>
  <w:footnote w:id="34">
    <w:p w:rsidR="00FF68A4" w:rsidRPr="00FA2089" w:rsidP="00FA2089">
      <w:pPr>
        <w:pStyle w:val="FootnoteText"/>
        <w:rPr>
          <w:b/>
        </w:rPr>
      </w:pPr>
      <w:r w:rsidRPr="004359C6" w:rsidR="00FA2089">
        <w:rPr>
          <w:rStyle w:val="FootnoteReference"/>
        </w:rPr>
        <w:footnoteRef/>
      </w:r>
      <w:r w:rsidRPr="00FA2089" w:rsidR="00FA2089">
        <w:t xml:space="preserve"> New York Commission Protest at 3-4</w:t>
      </w:r>
      <w:r w:rsidR="0067396C">
        <w:t xml:space="preserve"> (</w:t>
      </w:r>
      <w:r w:rsidR="0067396C">
        <w:rPr>
          <w:bCs/>
        </w:rPr>
        <w:t>citing</w:t>
      </w:r>
      <w:r w:rsidRPr="0070619A" w:rsidR="0067396C">
        <w:rPr>
          <w:bCs/>
          <w:i/>
          <w:iCs/>
        </w:rPr>
        <w:t xml:space="preserve"> Order Adopting Terms of Joint Proposal and Establishing Electric and Gas Rate Plan</w:t>
      </w:r>
      <w:r w:rsidR="0067396C">
        <w:rPr>
          <w:bCs/>
        </w:rPr>
        <w:t>, Case No. 20-E-0428 (N.Y. Pub. Serv. Comm’n Nov. 18, 2021) (2021 Rate Order))</w:t>
      </w:r>
      <w:r w:rsidRPr="00FA2089" w:rsidR="00FA2089">
        <w:t>.</w:t>
      </w:r>
    </w:p>
  </w:footnote>
  <w:footnote w:id="35">
    <w:p w:rsidR="00FF68A4" w:rsidRPr="004359C6" w:rsidP="004359C6">
      <w:pPr>
        <w:pStyle w:val="FootnoteText"/>
        <w:rPr>
          <w:b/>
        </w:rPr>
      </w:pPr>
      <w:r w:rsidRPr="005F7FD0" w:rsidR="004359C6">
        <w:rPr>
          <w:rStyle w:val="FootnoteReference"/>
        </w:rPr>
        <w:footnoteRef/>
      </w:r>
      <w:r w:rsidRPr="004359C6" w:rsidR="004359C6">
        <w:t xml:space="preserve"> </w:t>
      </w:r>
      <w:r w:rsidR="00395B17">
        <w:rPr>
          <w:i/>
          <w:iCs/>
        </w:rPr>
        <w:t>Id.</w:t>
      </w:r>
      <w:r w:rsidR="00395B17">
        <w:t xml:space="preserve"> at 4;</w:t>
      </w:r>
      <w:r w:rsidRPr="004359C6" w:rsidR="004359C6">
        <w:t xml:space="preserve"> </w:t>
      </w:r>
      <w:r w:rsidR="00E116D4">
        <w:t xml:space="preserve">Key Capture Protest at </w:t>
      </w:r>
      <w:r w:rsidR="00F45055">
        <w:t>3-4</w:t>
      </w:r>
      <w:r w:rsidRPr="004359C6" w:rsidR="004359C6">
        <w:t>.</w:t>
      </w:r>
    </w:p>
  </w:footnote>
  <w:footnote w:id="36">
    <w:p w:rsidR="004C5ADE" w:rsidP="004C5ADE">
      <w:pPr>
        <w:pStyle w:val="FootnoteText"/>
      </w:pPr>
      <w:r>
        <w:rPr>
          <w:rStyle w:val="FootnoteReference"/>
        </w:rPr>
        <w:footnoteRef/>
      </w:r>
      <w:r>
        <w:t xml:space="preserve"> Central Hudson Answer at 2, 6.</w:t>
      </w:r>
    </w:p>
  </w:footnote>
  <w:footnote w:id="37">
    <w:p w:rsidR="004C5ADE" w:rsidP="004C5ADE">
      <w:pPr>
        <w:pStyle w:val="FootnoteText"/>
      </w:pPr>
      <w:r>
        <w:rPr>
          <w:rStyle w:val="FootnoteReference"/>
        </w:rPr>
        <w:footnoteRef/>
      </w:r>
      <w:r>
        <w:t xml:space="preserve"> </w:t>
      </w:r>
      <w:r w:rsidR="00F90EAE">
        <w:rPr>
          <w:i/>
          <w:iCs/>
        </w:rPr>
        <w:t>Id.</w:t>
      </w:r>
      <w:r>
        <w:t xml:space="preserve"> at 2-3.</w:t>
      </w:r>
    </w:p>
  </w:footnote>
  <w:footnote w:id="38">
    <w:p w:rsidR="004C5ADE" w:rsidP="004C5ADE">
      <w:pPr>
        <w:pStyle w:val="FootnoteText"/>
      </w:pPr>
      <w:r>
        <w:rPr>
          <w:rStyle w:val="FootnoteReference"/>
        </w:rPr>
        <w:footnoteRef/>
      </w:r>
      <w:r>
        <w:t xml:space="preserve"> </w:t>
      </w:r>
      <w:r w:rsidR="00F90EAE">
        <w:rPr>
          <w:i/>
          <w:iCs/>
        </w:rPr>
        <w:t>Id.</w:t>
      </w:r>
      <w:r>
        <w:t xml:space="preserve"> at 7.</w:t>
      </w:r>
    </w:p>
  </w:footnote>
  <w:footnote w:id="39">
    <w:p w:rsidR="004C5ADE" w:rsidP="004C5ADE">
      <w:pPr>
        <w:pStyle w:val="FootnoteText"/>
      </w:pPr>
      <w:r>
        <w:rPr>
          <w:rStyle w:val="FootnoteReference"/>
        </w:rPr>
        <w:footnoteRef/>
      </w:r>
      <w:r>
        <w:t xml:space="preserve"> </w:t>
      </w:r>
      <w:r w:rsidR="00B542AF">
        <w:rPr>
          <w:i/>
          <w:iCs/>
        </w:rPr>
        <w:t>Id.</w:t>
      </w:r>
      <w:r>
        <w:t xml:space="preserve"> at </w:t>
      </w:r>
      <w:r w:rsidR="003A5894">
        <w:t>6</w:t>
      </w:r>
      <w:r>
        <w:t>.</w:t>
      </w:r>
    </w:p>
  </w:footnote>
  <w:footnote w:id="40">
    <w:p w:rsidR="004C5ADE" w:rsidP="004C5ADE">
      <w:pPr>
        <w:pStyle w:val="FootnoteText"/>
      </w:pPr>
      <w:r>
        <w:rPr>
          <w:rStyle w:val="FootnoteReference"/>
        </w:rPr>
        <w:footnoteRef/>
      </w:r>
      <w:r>
        <w:t xml:space="preserve"> Key Capture Answer at 2</w:t>
      </w:r>
      <w:r w:rsidR="002C3C8C">
        <w:t>-4</w:t>
      </w:r>
      <w:r>
        <w:t>.</w:t>
      </w:r>
    </w:p>
  </w:footnote>
  <w:footnote w:id="41">
    <w:p w:rsidR="009C43D1" w:rsidRPr="005F7FD0" w:rsidP="005F7FD0">
      <w:pPr>
        <w:pStyle w:val="FootnoteText"/>
        <w:rPr>
          <w:b/>
        </w:rPr>
      </w:pPr>
      <w:r w:rsidRPr="005F7FD0">
        <w:rPr>
          <w:b/>
          <w:vertAlign w:val="superscript"/>
        </w:rPr>
        <w:footnoteRef/>
      </w:r>
      <w:r>
        <w:t xml:space="preserve"> New York Commission Protest 4.</w:t>
      </w:r>
    </w:p>
  </w:footnote>
  <w:footnote w:id="42">
    <w:p w:rsidR="009C43D1" w:rsidRPr="003C27FC" w:rsidP="005F7FD0">
      <w:pPr>
        <w:pStyle w:val="FootnoteText"/>
        <w:rPr>
          <w:b/>
        </w:rPr>
      </w:pPr>
      <w:r w:rsidRPr="005F7FD0">
        <w:rPr>
          <w:b/>
          <w:vertAlign w:val="superscript"/>
        </w:rPr>
        <w:footnoteRef/>
      </w:r>
      <w:r>
        <w:t xml:space="preserve"> </w:t>
      </w:r>
      <w:r w:rsidR="00FB2139">
        <w:rPr>
          <w:i/>
          <w:iCs/>
        </w:rPr>
        <w:t>Id.</w:t>
      </w:r>
      <w:r>
        <w:rPr>
          <w:i/>
        </w:rPr>
        <w:t xml:space="preserve"> </w:t>
      </w:r>
      <w:r w:rsidR="00EF0359">
        <w:t>at 4</w:t>
      </w:r>
      <w:r w:rsidR="00FB2139">
        <w:t>-5</w:t>
      </w:r>
      <w:r w:rsidR="00EF0359">
        <w:t xml:space="preserve">; Key Capture Protest at </w:t>
      </w:r>
      <w:r w:rsidR="00501E30">
        <w:t>6.</w:t>
      </w:r>
    </w:p>
  </w:footnote>
  <w:footnote w:id="43">
    <w:p w:rsidR="00416D9A" w:rsidP="00416D9A">
      <w:pPr>
        <w:pStyle w:val="FootnoteText"/>
      </w:pPr>
      <w:r>
        <w:rPr>
          <w:rStyle w:val="FootnoteReference"/>
        </w:rPr>
        <w:footnoteRef/>
      </w:r>
      <w:r>
        <w:t xml:space="preserve"> Key Capture Protest at 4 (citing Order No. 841</w:t>
      </w:r>
      <w:r w:rsidR="00AB1647">
        <w:t xml:space="preserve">, 162 FERC ¶ </w:t>
      </w:r>
      <w:r w:rsidR="002A0619">
        <w:t>61,127</w:t>
      </w:r>
      <w:r>
        <w:t>).</w:t>
      </w:r>
    </w:p>
  </w:footnote>
  <w:footnote w:id="44">
    <w:p w:rsidR="00C5293B">
      <w:pPr>
        <w:pStyle w:val="FootnoteText"/>
      </w:pPr>
      <w:r>
        <w:rPr>
          <w:rStyle w:val="FootnoteReference"/>
        </w:rPr>
        <w:footnoteRef/>
      </w:r>
      <w:r>
        <w:t xml:space="preserve"> </w:t>
      </w:r>
      <w:r w:rsidR="002B233F">
        <w:t xml:space="preserve">MicroGrid Protest </w:t>
      </w:r>
      <w:r>
        <w:t>at 6.</w:t>
      </w:r>
    </w:p>
  </w:footnote>
  <w:footnote w:id="45">
    <w:p w:rsidR="00B831EF">
      <w:pPr>
        <w:pStyle w:val="FootnoteText"/>
      </w:pPr>
      <w:r>
        <w:rPr>
          <w:rStyle w:val="FootnoteReference"/>
        </w:rPr>
        <w:footnoteRef/>
      </w:r>
      <w:r>
        <w:t xml:space="preserve"> </w:t>
      </w:r>
      <w:r w:rsidR="00ED7872">
        <w:rPr>
          <w:i/>
          <w:iCs/>
        </w:rPr>
        <w:t>Id.</w:t>
      </w:r>
      <w:r>
        <w:t xml:space="preserve"> at 7-8.</w:t>
      </w:r>
      <w:r w:rsidRPr="00633A06" w:rsidR="00633A06">
        <w:t xml:space="preserve"> </w:t>
      </w:r>
    </w:p>
  </w:footnote>
  <w:footnote w:id="46">
    <w:p w:rsidR="00207D24">
      <w:pPr>
        <w:pStyle w:val="FootnoteText"/>
      </w:pPr>
      <w:r>
        <w:rPr>
          <w:rStyle w:val="FootnoteReference"/>
        </w:rPr>
        <w:footnoteRef/>
      </w:r>
      <w:r>
        <w:t xml:space="preserve"> </w:t>
      </w:r>
      <w:r w:rsidR="0090576A">
        <w:rPr>
          <w:i/>
          <w:iCs/>
        </w:rPr>
        <w:t>Id.</w:t>
      </w:r>
      <w:r w:rsidR="00427A49">
        <w:t xml:space="preserve"> at 8 (citing Order No. 841,</w:t>
      </w:r>
      <w:r w:rsidR="0090576A">
        <w:t xml:space="preserve"> </w:t>
      </w:r>
      <w:r w:rsidR="00D70171">
        <w:t>162 FERC ¶ 61,127</w:t>
      </w:r>
      <w:r w:rsidR="00427A49">
        <w:t xml:space="preserve"> at P 298).</w:t>
      </w:r>
    </w:p>
  </w:footnote>
  <w:footnote w:id="47">
    <w:p w:rsidR="008C698C">
      <w:pPr>
        <w:pStyle w:val="FootnoteText"/>
      </w:pPr>
      <w:r>
        <w:rPr>
          <w:rStyle w:val="FootnoteReference"/>
        </w:rPr>
        <w:footnoteRef/>
      </w:r>
      <w:r>
        <w:t xml:space="preserve"> </w:t>
      </w:r>
      <w:r w:rsidR="00E850A9">
        <w:rPr>
          <w:i/>
          <w:iCs/>
        </w:rPr>
        <w:t>Id.</w:t>
      </w:r>
      <w:r>
        <w:t xml:space="preserve"> at 2</w:t>
      </w:r>
      <w:r w:rsidR="002758D3">
        <w:t>, 9</w:t>
      </w:r>
      <w:r>
        <w:t xml:space="preserve"> (citing </w:t>
      </w:r>
      <w:r w:rsidRPr="0006208C" w:rsidR="00642FBC">
        <w:rPr>
          <w:i/>
          <w:iCs/>
        </w:rPr>
        <w:t>In the Matter of the Federal Energy Regulatory Commission (FERC) Order Nos. 2222 and 841, to Modify Rules Related to Distributed Energy Resources</w:t>
      </w:r>
      <w:r w:rsidRPr="00642FBC" w:rsidR="00642FBC">
        <w:t>, Order Approving Tariff Modifications</w:t>
      </w:r>
      <w:r w:rsidR="004C6CE9">
        <w:t xml:space="preserve">, </w:t>
      </w:r>
      <w:r w:rsidRPr="00642FBC" w:rsidR="004C6CE9">
        <w:t xml:space="preserve">Case No. 22-E-0549, </w:t>
      </w:r>
      <w:r w:rsidR="004C6CE9">
        <w:t>at 2</w:t>
      </w:r>
      <w:r w:rsidRPr="00642FBC" w:rsidR="00642FBC">
        <w:t xml:space="preserve"> (</w:t>
      </w:r>
      <w:r w:rsidR="004C6CE9">
        <w:t>N.Y. Pub. Serv. Comm’n</w:t>
      </w:r>
      <w:r w:rsidRPr="00642FBC" w:rsidR="00642FBC">
        <w:t xml:space="preserve"> March 17, 2023)</w:t>
      </w:r>
      <w:r w:rsidR="004C6CE9">
        <w:t>).</w:t>
      </w:r>
    </w:p>
  </w:footnote>
  <w:footnote w:id="48">
    <w:p w:rsidR="00B41C3D">
      <w:pPr>
        <w:pStyle w:val="FootnoteText"/>
      </w:pPr>
      <w:r>
        <w:rPr>
          <w:rStyle w:val="FootnoteReference"/>
        </w:rPr>
        <w:footnoteRef/>
      </w:r>
      <w:r>
        <w:t xml:space="preserve"> </w:t>
      </w:r>
      <w:r w:rsidR="00E850A9">
        <w:rPr>
          <w:i/>
          <w:iCs/>
        </w:rPr>
        <w:t>Id.</w:t>
      </w:r>
      <w:r>
        <w:t xml:space="preserve"> at 9</w:t>
      </w:r>
      <w:r w:rsidR="00BA3CA5">
        <w:t>.</w:t>
      </w:r>
    </w:p>
  </w:footnote>
  <w:footnote w:id="49">
    <w:p w:rsidR="0066441A">
      <w:pPr>
        <w:pStyle w:val="FootnoteText"/>
      </w:pPr>
      <w:r>
        <w:rPr>
          <w:rStyle w:val="FootnoteReference"/>
        </w:rPr>
        <w:footnoteRef/>
      </w:r>
      <w:r>
        <w:t xml:space="preserve"> </w:t>
      </w:r>
      <w:r w:rsidR="00E850A9">
        <w:rPr>
          <w:i/>
          <w:iCs/>
        </w:rPr>
        <w:t>Id.</w:t>
      </w:r>
      <w:r>
        <w:t xml:space="preserve"> at 10.</w:t>
      </w:r>
    </w:p>
  </w:footnote>
  <w:footnote w:id="50">
    <w:p w:rsidR="0026291B">
      <w:pPr>
        <w:pStyle w:val="FootnoteText"/>
      </w:pPr>
      <w:r>
        <w:rPr>
          <w:rStyle w:val="FootnoteReference"/>
        </w:rPr>
        <w:footnoteRef/>
      </w:r>
      <w:r>
        <w:t xml:space="preserve"> </w:t>
      </w:r>
      <w:r w:rsidR="00E850A9">
        <w:rPr>
          <w:i/>
          <w:iCs/>
        </w:rPr>
        <w:t>Id.</w:t>
      </w:r>
      <w:r>
        <w:t xml:space="preserve"> at 10-11.</w:t>
      </w:r>
    </w:p>
  </w:footnote>
  <w:footnote w:id="51">
    <w:p w:rsidR="00A8724B" w:rsidP="00A8724B">
      <w:pPr>
        <w:pStyle w:val="FootnoteText"/>
      </w:pPr>
      <w:r>
        <w:rPr>
          <w:rStyle w:val="FootnoteReference"/>
        </w:rPr>
        <w:footnoteRef/>
      </w:r>
      <w:r>
        <w:t xml:space="preserve"> </w:t>
      </w:r>
      <w:r w:rsidR="00E850A9">
        <w:rPr>
          <w:i/>
          <w:iCs/>
        </w:rPr>
        <w:t>Id.</w:t>
      </w:r>
      <w:r>
        <w:t xml:space="preserve"> at 2.</w:t>
      </w:r>
    </w:p>
  </w:footnote>
  <w:footnote w:id="52">
    <w:p w:rsidR="00F609E1" w:rsidP="00F609E1">
      <w:pPr>
        <w:pStyle w:val="FootnoteText"/>
      </w:pPr>
      <w:r>
        <w:rPr>
          <w:rStyle w:val="FootnoteReference"/>
        </w:rPr>
        <w:footnoteRef/>
      </w:r>
      <w:r>
        <w:t xml:space="preserve"> Central Hudson Answer at 7</w:t>
      </w:r>
      <w:r w:rsidR="00A97AC9">
        <w:t>-8</w:t>
      </w:r>
      <w:r>
        <w:t>.</w:t>
      </w:r>
    </w:p>
  </w:footnote>
  <w:footnote w:id="53">
    <w:p w:rsidR="00944737" w:rsidP="00944737">
      <w:pPr>
        <w:pStyle w:val="FootnoteText"/>
      </w:pPr>
      <w:r>
        <w:rPr>
          <w:rStyle w:val="FootnoteReference"/>
        </w:rPr>
        <w:footnoteRef/>
      </w:r>
      <w:r>
        <w:t xml:space="preserve"> </w:t>
      </w:r>
      <w:r w:rsidR="00B5023A">
        <w:rPr>
          <w:i/>
          <w:iCs/>
        </w:rPr>
        <w:t>Id.</w:t>
      </w:r>
      <w:r>
        <w:t xml:space="preserve"> at 8 (citing Order No. 841</w:t>
      </w:r>
      <w:r w:rsidR="005960A5">
        <w:t xml:space="preserve">, </w:t>
      </w:r>
      <w:r w:rsidR="00B5023A">
        <w:t>162 FERC ¶ 61,127</w:t>
      </w:r>
      <w:r>
        <w:t xml:space="preserve"> at P </w:t>
      </w:r>
      <w:r w:rsidR="008E024D">
        <w:t>301</w:t>
      </w:r>
      <w:r>
        <w:t>)</w:t>
      </w:r>
      <w:r w:rsidR="00B5023A">
        <w:t>.</w:t>
      </w:r>
    </w:p>
  </w:footnote>
  <w:footnote w:id="54">
    <w:p w:rsidR="00416D9A" w:rsidP="00416D9A">
      <w:pPr>
        <w:pStyle w:val="FootnoteText"/>
      </w:pPr>
      <w:r>
        <w:rPr>
          <w:rStyle w:val="FootnoteReference"/>
        </w:rPr>
        <w:footnoteRef/>
      </w:r>
      <w:r>
        <w:t xml:space="preserve"> Key Capture Protest at 5.</w:t>
      </w:r>
    </w:p>
  </w:footnote>
  <w:footnote w:id="55">
    <w:p w:rsidR="00D906CB" w:rsidRPr="00D8468E">
      <w:pPr>
        <w:pStyle w:val="FootnoteText"/>
      </w:pPr>
      <w:r>
        <w:rPr>
          <w:rStyle w:val="FootnoteReference"/>
        </w:rPr>
        <w:footnoteRef/>
      </w:r>
      <w:r>
        <w:t xml:space="preserve"> </w:t>
      </w:r>
      <w:r>
        <w:rPr>
          <w:i/>
          <w:iCs/>
        </w:rPr>
        <w:t xml:space="preserve">Id.  </w:t>
      </w:r>
      <w:r>
        <w:t xml:space="preserve">Key Capture notes that </w:t>
      </w:r>
      <w:r w:rsidR="00D34B74">
        <w:t xml:space="preserve">this was the case when Orange </w:t>
      </w:r>
      <w:r w:rsidR="007B6668">
        <w:t>and</w:t>
      </w:r>
      <w:r w:rsidR="00D34B74">
        <w:t xml:space="preserve"> Rockland </w:t>
      </w:r>
      <w:r w:rsidR="000646F0">
        <w:br/>
      </w:r>
      <w:r w:rsidR="00D8468E">
        <w:t xml:space="preserve">filed its own WDS rate.  </w:t>
      </w:r>
      <w:r w:rsidR="00D8468E">
        <w:rPr>
          <w:i/>
          <w:iCs/>
        </w:rPr>
        <w:t xml:space="preserve">Id. </w:t>
      </w:r>
      <w:r w:rsidR="00D8468E">
        <w:t xml:space="preserve">(citing </w:t>
      </w:r>
      <w:r w:rsidRPr="00D8468E" w:rsidR="00D8468E">
        <w:t xml:space="preserve">Orange </w:t>
      </w:r>
      <w:r w:rsidR="007B6668">
        <w:t>and</w:t>
      </w:r>
      <w:r w:rsidRPr="00D8468E" w:rsidR="00D8468E">
        <w:t xml:space="preserve"> Rockland Utilities, Inc.,</w:t>
      </w:r>
      <w:r w:rsidR="00D8468E">
        <w:t xml:space="preserve"> </w:t>
      </w:r>
      <w:r w:rsidRPr="00D8468E" w:rsidR="00D8468E">
        <w:t>Open Access Transmission Tariff, Volume No. 3</w:t>
      </w:r>
      <w:r w:rsidR="00D8468E">
        <w:t xml:space="preserve"> (WDS Tariff)</w:t>
      </w:r>
      <w:r w:rsidRPr="00D8468E" w:rsidR="00D8468E">
        <w:t xml:space="preserve">, at </w:t>
      </w:r>
      <w:r w:rsidR="000646F0">
        <w:t>app.</w:t>
      </w:r>
      <w:r w:rsidRPr="00D8468E" w:rsidR="00D8468E">
        <w:t xml:space="preserve"> D</w:t>
      </w:r>
      <w:r w:rsidR="00D8468E">
        <w:t>,</w:t>
      </w:r>
      <w:r w:rsidRPr="00D8468E" w:rsidR="00D8468E">
        <w:t xml:space="preserve"> Docket No. ER24-967</w:t>
      </w:r>
      <w:r w:rsidR="00014570">
        <w:t>-000</w:t>
      </w:r>
      <w:r w:rsidRPr="00D8468E" w:rsidR="00D8468E">
        <w:t xml:space="preserve"> (filed Jan. 22, 2024)</w:t>
      </w:r>
      <w:r w:rsidR="003F6FCF">
        <w:t xml:space="preserve"> (O&amp;R WDS Tariff))</w:t>
      </w:r>
      <w:r w:rsidRPr="00D8468E" w:rsidR="00D8468E">
        <w:t>.</w:t>
      </w:r>
    </w:p>
  </w:footnote>
  <w:footnote w:id="56">
    <w:p w:rsidR="000C671F" w:rsidP="000C671F">
      <w:pPr>
        <w:pStyle w:val="FootnoteText"/>
      </w:pPr>
      <w:r>
        <w:rPr>
          <w:rStyle w:val="FootnoteReference"/>
        </w:rPr>
        <w:footnoteRef/>
      </w:r>
      <w:r>
        <w:t xml:space="preserve"> Central Hudson Answer at 10.</w:t>
      </w:r>
    </w:p>
  </w:footnote>
  <w:footnote w:id="57">
    <w:p w:rsidR="0027706C" w:rsidP="0027706C">
      <w:pPr>
        <w:pStyle w:val="FootnoteText"/>
      </w:pPr>
      <w:r>
        <w:rPr>
          <w:rStyle w:val="FootnoteReference"/>
        </w:rPr>
        <w:footnoteRef/>
      </w:r>
      <w:r>
        <w:t xml:space="preserve"> Key Capture Answer at 3.</w:t>
      </w:r>
    </w:p>
  </w:footnote>
  <w:footnote w:id="58">
    <w:p w:rsidR="005778FE" w:rsidP="005778FE">
      <w:pPr>
        <w:pStyle w:val="FootnoteText"/>
      </w:pPr>
      <w:r>
        <w:rPr>
          <w:rStyle w:val="FootnoteReference"/>
        </w:rPr>
        <w:footnoteRef/>
      </w:r>
      <w:r>
        <w:t xml:space="preserve"> </w:t>
      </w:r>
      <w:r w:rsidR="00A35AA9">
        <w:t xml:space="preserve">Key Capture Protest </w:t>
      </w:r>
      <w:r>
        <w:t>at 6.</w:t>
      </w:r>
      <w:r w:rsidR="00E72275">
        <w:t xml:space="preserve">  Key Capture also notes that </w:t>
      </w:r>
      <w:r w:rsidR="00007F2D">
        <w:t xml:space="preserve">neither Consolidated Edison nor Orange </w:t>
      </w:r>
      <w:r w:rsidR="007B6668">
        <w:t>and</w:t>
      </w:r>
      <w:r w:rsidR="00007F2D">
        <w:t xml:space="preserve"> Rockland Utilities included a Merchant Function Charge in their WDS rates.</w:t>
      </w:r>
      <w:r w:rsidR="003F6FCF">
        <w:t xml:space="preserve">  </w:t>
      </w:r>
      <w:r w:rsidR="003F6FCF">
        <w:rPr>
          <w:i/>
          <w:iCs/>
        </w:rPr>
        <w:t xml:space="preserve">Id. </w:t>
      </w:r>
      <w:r w:rsidR="003F6FCF">
        <w:t xml:space="preserve">(citing </w:t>
      </w:r>
      <w:r w:rsidRPr="003F6FCF" w:rsidR="003F6FCF">
        <w:t>Consolidated Edison Co</w:t>
      </w:r>
      <w:r w:rsidR="007B6668">
        <w:t>.</w:t>
      </w:r>
      <w:r w:rsidRPr="003F6FCF" w:rsidR="003F6FCF">
        <w:t xml:space="preserve"> of New York, Inc., Open Access Transmission Tariff, Volume No. 1 (WDS Tariff)</w:t>
      </w:r>
      <w:r w:rsidR="003F6FCF">
        <w:t>,</w:t>
      </w:r>
      <w:r w:rsidRPr="003F6FCF" w:rsidR="003F6FCF">
        <w:t xml:space="preserve"> Docket No. ER24-760</w:t>
      </w:r>
      <w:r w:rsidR="00092998">
        <w:t>-000</w:t>
      </w:r>
      <w:r w:rsidR="003F6FCF">
        <w:t xml:space="preserve"> </w:t>
      </w:r>
      <w:r w:rsidRPr="003F6FCF" w:rsidR="003F6FCF">
        <w:t>(filed Dec. 27, 2023)</w:t>
      </w:r>
      <w:r w:rsidR="003F6FCF">
        <w:t xml:space="preserve"> and O&amp;R WDS Tariff).</w:t>
      </w:r>
    </w:p>
  </w:footnote>
  <w:footnote w:id="59">
    <w:p w:rsidR="00DB2AFA" w:rsidP="00DB2AFA">
      <w:pPr>
        <w:pStyle w:val="FootnoteText"/>
      </w:pPr>
      <w:r>
        <w:rPr>
          <w:rStyle w:val="FootnoteReference"/>
        </w:rPr>
        <w:footnoteRef/>
      </w:r>
      <w:r>
        <w:t xml:space="preserve"> Central Hudson Answer at 10.</w:t>
      </w:r>
    </w:p>
  </w:footnote>
  <w:footnote w:id="60">
    <w:p w:rsidR="005778FE" w:rsidP="005778FE">
      <w:pPr>
        <w:pStyle w:val="FootnoteText"/>
      </w:pPr>
      <w:r>
        <w:rPr>
          <w:rStyle w:val="FootnoteReference"/>
        </w:rPr>
        <w:footnoteRef/>
      </w:r>
      <w:r>
        <w:t xml:space="preserve"> </w:t>
      </w:r>
      <w:r w:rsidR="00A35AA9">
        <w:t xml:space="preserve">Key Capture Protest </w:t>
      </w:r>
      <w:r>
        <w:t>at 7.</w:t>
      </w:r>
    </w:p>
  </w:footnote>
  <w:footnote w:id="61">
    <w:p w:rsidR="00917451" w:rsidP="00917451">
      <w:pPr>
        <w:pStyle w:val="FootnoteText"/>
      </w:pPr>
      <w:r>
        <w:rPr>
          <w:rStyle w:val="FootnoteReference"/>
        </w:rPr>
        <w:footnoteRef/>
      </w:r>
      <w:r>
        <w:t xml:space="preserve"> Central Hudson Answer at 8</w:t>
      </w:r>
    </w:p>
  </w:footnote>
  <w:footnote w:id="62">
    <w:p w:rsidR="005778FE" w:rsidP="005778FE">
      <w:pPr>
        <w:pStyle w:val="FootnoteText"/>
      </w:pPr>
      <w:r>
        <w:rPr>
          <w:rStyle w:val="FootnoteReference"/>
        </w:rPr>
        <w:footnoteRef/>
      </w:r>
      <w:r>
        <w:t xml:space="preserve"> </w:t>
      </w:r>
      <w:r w:rsidR="006F441B">
        <w:t xml:space="preserve">Key Capture Protest at 7 </w:t>
      </w:r>
      <w:r w:rsidR="004E4D1B">
        <w:t xml:space="preserve">(citing </w:t>
      </w:r>
      <w:r w:rsidRPr="00F176C5" w:rsidR="004E4D1B">
        <w:rPr>
          <w:i/>
        </w:rPr>
        <w:t>In the Matter of Central Hudson Gas &amp; Elec</w:t>
      </w:r>
      <w:r w:rsidR="008A2B6D">
        <w:rPr>
          <w:i/>
          <w:iCs/>
        </w:rPr>
        <w:t>.</w:t>
      </w:r>
      <w:r w:rsidRPr="00F176C5" w:rsidR="004E4D1B">
        <w:rPr>
          <w:i/>
        </w:rPr>
        <w:t xml:space="preserve"> Corp</w:t>
      </w:r>
      <w:r w:rsidR="008A2B6D">
        <w:rPr>
          <w:i/>
          <w:iCs/>
        </w:rPr>
        <w:t>.</w:t>
      </w:r>
      <w:r w:rsidRPr="004E4D1B" w:rsidR="004E4D1B">
        <w:t>, Direct Testimony of the Accounting and Tax Panel, at 36</w:t>
      </w:r>
      <w:r w:rsidR="004E4D1B">
        <w:t>,</w:t>
      </w:r>
      <w:r w:rsidRPr="004E4D1B" w:rsidR="004E4D1B">
        <w:t xml:space="preserve"> Case Nos. 23-E-0418 </w:t>
      </w:r>
      <w:r w:rsidR="004E4D1B">
        <w:t>&amp;</w:t>
      </w:r>
      <w:r w:rsidRPr="004E4D1B" w:rsidR="004E4D1B">
        <w:t xml:space="preserve"> 23-G-0419 (</w:t>
      </w:r>
      <w:r w:rsidR="004E4D1B">
        <w:t xml:space="preserve">N.Y. Pub. Serv. Comm’n </w:t>
      </w:r>
      <w:r w:rsidRPr="004E4D1B" w:rsidR="004E4D1B">
        <w:t>filed July 31, 2023)</w:t>
      </w:r>
      <w:r w:rsidR="008A2B6D">
        <w:t>).</w:t>
      </w:r>
    </w:p>
  </w:footnote>
  <w:footnote w:id="63">
    <w:p w:rsidR="005778FE" w:rsidP="005778FE">
      <w:pPr>
        <w:pStyle w:val="FootnoteText"/>
      </w:pPr>
      <w:r>
        <w:rPr>
          <w:rStyle w:val="FootnoteReference"/>
        </w:rPr>
        <w:footnoteRef/>
      </w:r>
      <w:r>
        <w:t xml:space="preserve"> </w:t>
      </w:r>
      <w:r w:rsidR="00CE7A81">
        <w:rPr>
          <w:i/>
          <w:iCs/>
        </w:rPr>
        <w:t>Id.</w:t>
      </w:r>
      <w:r>
        <w:t xml:space="preserve"> at 8.</w:t>
      </w:r>
    </w:p>
  </w:footnote>
  <w:footnote w:id="64">
    <w:p w:rsidR="00DB2AFA" w:rsidP="00DB2AFA">
      <w:pPr>
        <w:pStyle w:val="FootnoteText"/>
      </w:pPr>
      <w:r>
        <w:rPr>
          <w:rStyle w:val="FootnoteReference"/>
        </w:rPr>
        <w:footnoteRef/>
      </w:r>
      <w:r>
        <w:t xml:space="preserve"> Central Hudson Answer at 8.</w:t>
      </w:r>
    </w:p>
  </w:footnote>
  <w:footnote w:id="65">
    <w:p w:rsidR="00A34953" w:rsidP="00A34953">
      <w:pPr>
        <w:pStyle w:val="FootnoteText"/>
      </w:pPr>
      <w:r>
        <w:rPr>
          <w:rStyle w:val="FootnoteReference"/>
        </w:rPr>
        <w:footnoteRef/>
      </w:r>
      <w:r>
        <w:t xml:space="preserve"> </w:t>
      </w:r>
      <w:r w:rsidRPr="00885A02" w:rsidR="00885A02">
        <w:t>MicroGrid</w:t>
      </w:r>
      <w:r>
        <w:t xml:space="preserve"> Protest at 8.</w:t>
      </w:r>
    </w:p>
  </w:footnote>
  <w:footnote w:id="66">
    <w:p w:rsidR="001A2D38" w:rsidRPr="001A2D38">
      <w:pPr>
        <w:pStyle w:val="FootnoteText"/>
      </w:pPr>
      <w:r>
        <w:rPr>
          <w:rStyle w:val="FootnoteReference"/>
        </w:rPr>
        <w:footnoteRef/>
      </w:r>
      <w:r>
        <w:t xml:space="preserve"> Key Capture Protest at 8.</w:t>
      </w:r>
    </w:p>
  </w:footnote>
  <w:footnote w:id="67">
    <w:p w:rsidR="008F02BA" w:rsidRPr="00F176C5">
      <w:pPr>
        <w:pStyle w:val="FootnoteText"/>
        <w:rPr>
          <w:i/>
        </w:rPr>
      </w:pPr>
      <w:r>
        <w:rPr>
          <w:rStyle w:val="FootnoteReference"/>
        </w:rPr>
        <w:footnoteRef/>
      </w:r>
      <w:r>
        <w:t xml:space="preserve"> </w:t>
      </w:r>
      <w:r>
        <w:rPr>
          <w:i/>
          <w:iCs/>
        </w:rPr>
        <w:t>Id.</w:t>
      </w:r>
      <w:r w:rsidRPr="00427675" w:rsidR="00427675">
        <w:t xml:space="preserve"> </w:t>
      </w:r>
      <w:r w:rsidR="00427675">
        <w:t xml:space="preserve">(referring to </w:t>
      </w:r>
      <w:r w:rsidRPr="00F176C5" w:rsidR="00427675">
        <w:rPr>
          <w:i/>
        </w:rPr>
        <w:t>In the Matter of Central Hudson Gas &amp; Elec</w:t>
      </w:r>
      <w:r w:rsidR="00427675">
        <w:rPr>
          <w:i/>
          <w:iCs/>
        </w:rPr>
        <w:t>.</w:t>
      </w:r>
      <w:r w:rsidRPr="00F176C5" w:rsidR="00427675">
        <w:rPr>
          <w:i/>
        </w:rPr>
        <w:t xml:space="preserve"> Corp</w:t>
      </w:r>
      <w:r w:rsidR="00427675">
        <w:rPr>
          <w:i/>
          <w:iCs/>
        </w:rPr>
        <w:t>.</w:t>
      </w:r>
      <w:r w:rsidRPr="00747648" w:rsidR="00427675">
        <w:t xml:space="preserve">, Case </w:t>
      </w:r>
      <w:r w:rsidR="0074644F">
        <w:br/>
      </w:r>
      <w:r w:rsidRPr="00747648" w:rsidR="00427675">
        <w:t>Nos. 23-E-0418 and 23-G-0419</w:t>
      </w:r>
      <w:r w:rsidR="00427675">
        <w:t xml:space="preserve"> (N.Y. Pub. Serv. Comm’n))</w:t>
      </w:r>
      <w:r w:rsidR="00F059D4">
        <w:t>.</w:t>
      </w:r>
    </w:p>
  </w:footnote>
  <w:footnote w:id="68">
    <w:p w:rsidR="00D661B0" w:rsidRPr="00D661B0">
      <w:pPr>
        <w:pStyle w:val="FootnoteText"/>
      </w:pPr>
      <w:r>
        <w:rPr>
          <w:rStyle w:val="FootnoteReference"/>
        </w:rPr>
        <w:footnoteRef/>
      </w:r>
      <w:r>
        <w:t xml:space="preserve"> </w:t>
      </w:r>
      <w:r>
        <w:rPr>
          <w:i/>
          <w:iCs/>
        </w:rPr>
        <w:t>Id.</w:t>
      </w:r>
      <w:r w:rsidR="00BD05FF">
        <w:rPr>
          <w:i/>
          <w:iCs/>
        </w:rPr>
        <w:t xml:space="preserve"> </w:t>
      </w:r>
      <w:r>
        <w:t xml:space="preserve">at 9 (citing New York Commission </w:t>
      </w:r>
      <w:r w:rsidR="00AB5D62">
        <w:t>ACOS</w:t>
      </w:r>
      <w:r>
        <w:t xml:space="preserve"> Order</w:t>
      </w:r>
      <w:r w:rsidR="006B7674">
        <w:t xml:space="preserve"> at 85-86).</w:t>
      </w:r>
    </w:p>
  </w:footnote>
  <w:footnote w:id="69">
    <w:p w:rsidR="00E93770" w:rsidRPr="00E93770">
      <w:pPr>
        <w:pStyle w:val="FootnoteText"/>
      </w:pPr>
      <w:r>
        <w:rPr>
          <w:rStyle w:val="FootnoteReference"/>
        </w:rPr>
        <w:footnoteRef/>
      </w:r>
      <w:r>
        <w:t xml:space="preserve"> </w:t>
      </w:r>
      <w:r>
        <w:rPr>
          <w:i/>
          <w:iCs/>
        </w:rPr>
        <w:t>Id.</w:t>
      </w:r>
      <w:r>
        <w:t xml:space="preserve"> at 10.</w:t>
      </w:r>
    </w:p>
  </w:footnote>
  <w:footnote w:id="70">
    <w:p w:rsidR="00935C86" w:rsidP="00935C86">
      <w:pPr>
        <w:pStyle w:val="FootnoteText"/>
      </w:pPr>
      <w:r>
        <w:rPr>
          <w:rStyle w:val="FootnoteReference"/>
        </w:rPr>
        <w:footnoteRef/>
      </w:r>
      <w:r>
        <w:t xml:space="preserve"> Central Hudson Answer at 7.</w:t>
      </w:r>
    </w:p>
  </w:footnote>
  <w:footnote w:id="71">
    <w:p w:rsidR="00666249" w:rsidP="00666249">
      <w:pPr>
        <w:pStyle w:val="FootnoteText"/>
      </w:pPr>
      <w:r>
        <w:rPr>
          <w:rStyle w:val="FootnoteReference"/>
        </w:rPr>
        <w:footnoteRef/>
      </w:r>
      <w:r>
        <w:t xml:space="preserve"> </w:t>
      </w:r>
      <w:r w:rsidR="008A14EF">
        <w:rPr>
          <w:i/>
          <w:iCs/>
        </w:rPr>
        <w:t>Id.</w:t>
      </w:r>
      <w:r>
        <w:t xml:space="preserve"> at 10.</w:t>
      </w:r>
    </w:p>
  </w:footnote>
  <w:footnote w:id="72">
    <w:p w:rsidR="00666249" w:rsidP="00666249">
      <w:pPr>
        <w:pStyle w:val="FootnoteText"/>
      </w:pPr>
      <w:r>
        <w:rPr>
          <w:rStyle w:val="FootnoteReference"/>
        </w:rPr>
        <w:footnoteRef/>
      </w:r>
      <w:r>
        <w:t xml:space="preserve"> </w:t>
      </w:r>
      <w:r w:rsidR="008A14EF">
        <w:rPr>
          <w:i/>
          <w:iCs/>
        </w:rPr>
        <w:t>Id.</w:t>
      </w:r>
      <w:r>
        <w:t xml:space="preserve"> at 10-11.</w:t>
      </w:r>
    </w:p>
  </w:footnote>
  <w:footnote w:id="73">
    <w:p w:rsidR="007722B4" w:rsidRPr="001943CF" w:rsidP="007722B4">
      <w:pPr>
        <w:pStyle w:val="FootnoteText"/>
        <w:rPr>
          <w:color w:val="000000"/>
          <w:szCs w:val="26"/>
        </w:rPr>
      </w:pPr>
      <w:r w:rsidRPr="00F176C5">
        <w:rPr>
          <w:rStyle w:val="FootnoteReference"/>
          <w:szCs w:val="26"/>
        </w:rPr>
        <w:footnoteRef/>
      </w:r>
      <w:r w:rsidRPr="001943CF">
        <w:rPr>
          <w:b/>
          <w:bCs/>
          <w:szCs w:val="26"/>
        </w:rPr>
        <w:t xml:space="preserve"> </w:t>
      </w:r>
      <w:r w:rsidRPr="001943CF">
        <w:rPr>
          <w:szCs w:val="26"/>
        </w:rPr>
        <w:t xml:space="preserve">Deficiency Response at 2 (citing </w:t>
      </w:r>
      <w:r w:rsidRPr="001943CF">
        <w:rPr>
          <w:color w:val="000000"/>
          <w:szCs w:val="26"/>
        </w:rPr>
        <w:t xml:space="preserve">2021 Rate Order, at </w:t>
      </w:r>
      <w:r w:rsidR="000646F0">
        <w:rPr>
          <w:szCs w:val="26"/>
        </w:rPr>
        <w:t>app.</w:t>
      </w:r>
      <w:r w:rsidRPr="001943CF">
        <w:rPr>
          <w:szCs w:val="26"/>
        </w:rPr>
        <w:t xml:space="preserve"> L sheet 3 of 6</w:t>
      </w:r>
      <w:r w:rsidRPr="001943CF">
        <w:rPr>
          <w:color w:val="000000"/>
          <w:szCs w:val="26"/>
        </w:rPr>
        <w:t>).</w:t>
      </w:r>
    </w:p>
  </w:footnote>
  <w:footnote w:id="74">
    <w:p w:rsidR="007722B4" w:rsidRPr="001943CF" w:rsidP="007722B4">
      <w:pPr>
        <w:pStyle w:val="FootnoteText"/>
        <w:rPr>
          <w:szCs w:val="26"/>
        </w:rPr>
      </w:pPr>
      <w:r w:rsidRPr="00F176C5">
        <w:rPr>
          <w:rStyle w:val="FootnoteReference"/>
          <w:szCs w:val="26"/>
        </w:rPr>
        <w:footnoteRef/>
      </w:r>
      <w:r w:rsidRPr="00F176C5">
        <w:rPr>
          <w:szCs w:val="26"/>
        </w:rPr>
        <w:t xml:space="preserve"> </w:t>
      </w:r>
      <w:r w:rsidRPr="00CA72E0">
        <w:rPr>
          <w:i/>
          <w:iCs/>
          <w:szCs w:val="26"/>
        </w:rPr>
        <w:t>Id.</w:t>
      </w:r>
      <w:r w:rsidRPr="001943CF">
        <w:rPr>
          <w:szCs w:val="26"/>
        </w:rPr>
        <w:t xml:space="preserve"> (citing 2021 Rate Order, at </w:t>
      </w:r>
      <w:r w:rsidR="000646F0">
        <w:rPr>
          <w:szCs w:val="26"/>
        </w:rPr>
        <w:t>app.</w:t>
      </w:r>
      <w:r w:rsidRPr="001943CF">
        <w:rPr>
          <w:szCs w:val="26"/>
        </w:rPr>
        <w:t xml:space="preserve"> K).</w:t>
      </w:r>
    </w:p>
  </w:footnote>
  <w:footnote w:id="75">
    <w:p w:rsidR="007722B4" w:rsidRPr="001943CF" w:rsidP="007722B4">
      <w:pPr>
        <w:pStyle w:val="FootnoteText"/>
        <w:rPr>
          <w:szCs w:val="26"/>
        </w:rPr>
      </w:pPr>
      <w:r w:rsidRPr="00F176C5">
        <w:rPr>
          <w:rStyle w:val="FootnoteReference"/>
          <w:szCs w:val="26"/>
        </w:rPr>
        <w:footnoteRef/>
      </w:r>
      <w:r w:rsidRPr="001943CF">
        <w:rPr>
          <w:b/>
          <w:bCs/>
          <w:szCs w:val="26"/>
        </w:rPr>
        <w:t xml:space="preserve"> </w:t>
      </w:r>
      <w:r w:rsidRPr="00216949">
        <w:rPr>
          <w:i/>
          <w:iCs/>
          <w:szCs w:val="26"/>
        </w:rPr>
        <w:t>Id.</w:t>
      </w:r>
      <w:r w:rsidRPr="001943CF">
        <w:rPr>
          <w:szCs w:val="26"/>
        </w:rPr>
        <w:t xml:space="preserve">  Central Hudson provides the ACOS Study as Attachment 3 to its response.</w:t>
      </w:r>
    </w:p>
  </w:footnote>
  <w:footnote w:id="76">
    <w:p w:rsidR="007722B4" w:rsidRPr="001943CF" w:rsidP="007722B4">
      <w:pPr>
        <w:pStyle w:val="FootnoteText"/>
        <w:rPr>
          <w:szCs w:val="26"/>
        </w:rPr>
      </w:pPr>
      <w:r w:rsidRPr="00F176C5">
        <w:rPr>
          <w:rStyle w:val="FootnoteReference"/>
          <w:szCs w:val="26"/>
        </w:rPr>
        <w:footnoteRef/>
      </w:r>
      <w:r w:rsidRPr="00F176C5">
        <w:rPr>
          <w:szCs w:val="26"/>
        </w:rPr>
        <w:t xml:space="preserve"> </w:t>
      </w:r>
      <w:r w:rsidRPr="00216949">
        <w:rPr>
          <w:i/>
          <w:iCs/>
          <w:szCs w:val="26"/>
        </w:rPr>
        <w:t>Id.</w:t>
      </w:r>
      <w:r w:rsidRPr="001943CF">
        <w:rPr>
          <w:szCs w:val="26"/>
        </w:rPr>
        <w:t xml:space="preserve"> at 2-3. </w:t>
      </w:r>
    </w:p>
  </w:footnote>
  <w:footnote w:id="77">
    <w:p w:rsidR="007722B4" w:rsidRPr="001943CF" w:rsidP="007722B4">
      <w:pPr>
        <w:pStyle w:val="FootnoteText"/>
        <w:rPr>
          <w:szCs w:val="26"/>
        </w:rPr>
      </w:pPr>
      <w:r w:rsidRPr="00F176C5">
        <w:rPr>
          <w:rStyle w:val="FootnoteReference"/>
          <w:szCs w:val="26"/>
        </w:rPr>
        <w:footnoteRef/>
      </w:r>
      <w:r w:rsidRPr="001943CF">
        <w:rPr>
          <w:szCs w:val="26"/>
        </w:rPr>
        <w:t xml:space="preserve"> </w:t>
      </w:r>
      <w:r w:rsidRPr="00216949">
        <w:rPr>
          <w:i/>
          <w:iCs/>
          <w:szCs w:val="26"/>
        </w:rPr>
        <w:t xml:space="preserve">Id. </w:t>
      </w:r>
      <w:r w:rsidRPr="00216949">
        <w:rPr>
          <w:szCs w:val="26"/>
        </w:rPr>
        <w:t xml:space="preserve">at </w:t>
      </w:r>
      <w:r w:rsidRPr="001943CF">
        <w:rPr>
          <w:szCs w:val="26"/>
        </w:rPr>
        <w:t>4.</w:t>
      </w:r>
    </w:p>
  </w:footnote>
  <w:footnote w:id="78">
    <w:p w:rsidR="007722B4" w:rsidRPr="001943CF" w:rsidP="007722B4">
      <w:pPr>
        <w:pStyle w:val="FootnoteText"/>
        <w:rPr>
          <w:szCs w:val="26"/>
        </w:rPr>
      </w:pPr>
      <w:r w:rsidRPr="00F176C5">
        <w:rPr>
          <w:rStyle w:val="FootnoteReference"/>
          <w:szCs w:val="26"/>
        </w:rPr>
        <w:footnoteRef/>
      </w:r>
      <w:r w:rsidRPr="001943CF">
        <w:rPr>
          <w:szCs w:val="26"/>
        </w:rPr>
        <w:t xml:space="preserve"> </w:t>
      </w:r>
      <w:r w:rsidRPr="00216949">
        <w:rPr>
          <w:i/>
          <w:iCs/>
          <w:szCs w:val="26"/>
        </w:rPr>
        <w:t>Id.</w:t>
      </w:r>
      <w:r w:rsidRPr="001943CF">
        <w:rPr>
          <w:szCs w:val="26"/>
        </w:rPr>
        <w:t xml:space="preserve"> at 4-5.</w:t>
      </w:r>
    </w:p>
  </w:footnote>
  <w:footnote w:id="79">
    <w:p w:rsidR="007722B4" w:rsidRPr="001943CF" w:rsidP="007722B4">
      <w:pPr>
        <w:pStyle w:val="FootnoteText"/>
        <w:rPr>
          <w:szCs w:val="26"/>
        </w:rPr>
      </w:pPr>
      <w:r w:rsidRPr="00F176C5">
        <w:rPr>
          <w:rStyle w:val="FootnoteReference"/>
          <w:szCs w:val="26"/>
        </w:rPr>
        <w:footnoteRef/>
      </w:r>
      <w:r w:rsidRPr="001943CF">
        <w:rPr>
          <w:b/>
          <w:bCs/>
          <w:szCs w:val="26"/>
        </w:rPr>
        <w:t xml:space="preserve"> </w:t>
      </w:r>
      <w:r w:rsidRPr="00216949">
        <w:rPr>
          <w:i/>
          <w:iCs/>
          <w:szCs w:val="26"/>
        </w:rPr>
        <w:t>Id.</w:t>
      </w:r>
      <w:r w:rsidRPr="001943CF">
        <w:rPr>
          <w:szCs w:val="26"/>
        </w:rPr>
        <w:t xml:space="preserve"> at 5 (citing </w:t>
      </w:r>
      <w:r w:rsidRPr="001943CF">
        <w:rPr>
          <w:i/>
          <w:iCs/>
          <w:szCs w:val="26"/>
        </w:rPr>
        <w:t>Proceeding on Motion of the Commission as to Central Hudson Gas &amp; Electric Corporation's Electric Tariff Filing to Establish a New Standby Service in Accordance with Commission Order issued October 26, 2001 in Case 99-E-1470</w:t>
      </w:r>
      <w:r w:rsidRPr="001943CF">
        <w:rPr>
          <w:szCs w:val="26"/>
        </w:rPr>
        <w:t>, Order Establishing Electric Standby Rates, Case No. 02-E-1108 (N.Y. Pub. Serv. Comm’n Dec. 4, 2023)).</w:t>
      </w:r>
    </w:p>
  </w:footnote>
  <w:footnote w:id="80">
    <w:p w:rsidR="007722B4" w:rsidRPr="00216949" w:rsidP="007722B4">
      <w:pPr>
        <w:pStyle w:val="FootnoteText"/>
        <w:rPr>
          <w:szCs w:val="26"/>
        </w:rPr>
      </w:pPr>
      <w:r w:rsidRPr="00F176C5">
        <w:rPr>
          <w:rStyle w:val="FootnoteReference"/>
          <w:szCs w:val="26"/>
        </w:rPr>
        <w:footnoteRef/>
      </w:r>
      <w:r w:rsidRPr="007722B4">
        <w:rPr>
          <w:szCs w:val="26"/>
        </w:rPr>
        <w:t xml:space="preserve"> </w:t>
      </w:r>
      <w:r w:rsidRPr="007722B4">
        <w:rPr>
          <w:i/>
          <w:iCs/>
          <w:szCs w:val="26"/>
        </w:rPr>
        <w:t>I</w:t>
      </w:r>
      <w:r w:rsidRPr="00216949">
        <w:rPr>
          <w:i/>
          <w:iCs/>
          <w:szCs w:val="26"/>
        </w:rPr>
        <w:t>d.</w:t>
      </w:r>
      <w:r w:rsidRPr="00216949">
        <w:rPr>
          <w:szCs w:val="26"/>
        </w:rPr>
        <w:t xml:space="preserve"> </w:t>
      </w:r>
    </w:p>
  </w:footnote>
  <w:footnote w:id="81">
    <w:p w:rsidR="00682652" w:rsidRPr="001943CF" w:rsidP="00682652">
      <w:pPr>
        <w:pStyle w:val="FootnoteText"/>
        <w:rPr>
          <w:szCs w:val="26"/>
        </w:rPr>
      </w:pPr>
      <w:r w:rsidRPr="00F176C5">
        <w:rPr>
          <w:rStyle w:val="FootnoteReference"/>
          <w:szCs w:val="26"/>
        </w:rPr>
        <w:footnoteRef/>
      </w:r>
      <w:r w:rsidRPr="00F176C5">
        <w:rPr>
          <w:szCs w:val="26"/>
        </w:rPr>
        <w:t xml:space="preserve"> </w:t>
      </w:r>
      <w:r w:rsidRPr="001943CF">
        <w:rPr>
          <w:szCs w:val="26"/>
        </w:rPr>
        <w:t xml:space="preserve">Key Capture </w:t>
      </w:r>
      <w:r w:rsidRPr="00216949">
        <w:rPr>
          <w:szCs w:val="26"/>
        </w:rPr>
        <w:t xml:space="preserve">Deficiency Response </w:t>
      </w:r>
      <w:r w:rsidRPr="001943CF">
        <w:rPr>
          <w:szCs w:val="26"/>
        </w:rPr>
        <w:t xml:space="preserve">Protest at 2. </w:t>
      </w:r>
      <w:r w:rsidRPr="00216949">
        <w:rPr>
          <w:szCs w:val="26"/>
        </w:rPr>
        <w:t xml:space="preserve"> </w:t>
      </w:r>
      <w:r w:rsidRPr="001943CF">
        <w:rPr>
          <w:szCs w:val="26"/>
        </w:rPr>
        <w:t>NY-BEST state</w:t>
      </w:r>
      <w:r w:rsidRPr="00216949">
        <w:rPr>
          <w:szCs w:val="26"/>
        </w:rPr>
        <w:t>s</w:t>
      </w:r>
      <w:r w:rsidRPr="001943CF">
        <w:rPr>
          <w:szCs w:val="26"/>
        </w:rPr>
        <w:t xml:space="preserve"> that </w:t>
      </w:r>
      <w:r w:rsidRPr="00216949">
        <w:rPr>
          <w:szCs w:val="26"/>
        </w:rPr>
        <w:t>it</w:t>
      </w:r>
      <w:r w:rsidRPr="001943CF">
        <w:rPr>
          <w:szCs w:val="26"/>
        </w:rPr>
        <w:t xml:space="preserve"> adopt</w:t>
      </w:r>
      <w:r w:rsidRPr="00216949">
        <w:rPr>
          <w:szCs w:val="26"/>
        </w:rPr>
        <w:t>s</w:t>
      </w:r>
      <w:r w:rsidRPr="001943CF">
        <w:rPr>
          <w:szCs w:val="26"/>
        </w:rPr>
        <w:t xml:space="preserve"> and incorporate</w:t>
      </w:r>
      <w:r w:rsidRPr="00216949">
        <w:rPr>
          <w:szCs w:val="26"/>
        </w:rPr>
        <w:t>s</w:t>
      </w:r>
      <w:r w:rsidRPr="001943CF">
        <w:rPr>
          <w:szCs w:val="26"/>
        </w:rPr>
        <w:t xml:space="preserve"> the entirety of Key Capture’s protest by reference.  NY-BEST </w:t>
      </w:r>
      <w:r w:rsidRPr="00216949">
        <w:rPr>
          <w:szCs w:val="26"/>
        </w:rPr>
        <w:t xml:space="preserve">Deficiency Response </w:t>
      </w:r>
      <w:r w:rsidRPr="001943CF">
        <w:rPr>
          <w:szCs w:val="26"/>
        </w:rPr>
        <w:t xml:space="preserve">Protest at 2. </w:t>
      </w:r>
    </w:p>
  </w:footnote>
  <w:footnote w:id="82">
    <w:p w:rsidR="00682652" w:rsidRPr="001943CF" w:rsidP="00682652">
      <w:pPr>
        <w:pStyle w:val="FootnoteText"/>
        <w:rPr>
          <w:szCs w:val="26"/>
        </w:rPr>
      </w:pPr>
      <w:r w:rsidRPr="00DE79BC">
        <w:rPr>
          <w:rStyle w:val="FootnoteReference"/>
          <w:szCs w:val="26"/>
        </w:rPr>
        <w:footnoteRef/>
      </w:r>
      <w:r w:rsidRPr="00F176C5">
        <w:rPr>
          <w:b/>
          <w:szCs w:val="26"/>
        </w:rPr>
        <w:t xml:space="preserve"> </w:t>
      </w:r>
      <w:r w:rsidRPr="001943CF">
        <w:rPr>
          <w:szCs w:val="26"/>
        </w:rPr>
        <w:t>Key Capture Deficiency Response Protest at 2-3.</w:t>
      </w:r>
    </w:p>
  </w:footnote>
  <w:footnote w:id="83">
    <w:p w:rsidR="00682652" w:rsidRPr="001943CF" w:rsidP="00682652">
      <w:pPr>
        <w:pStyle w:val="FootnoteText"/>
        <w:rPr>
          <w:szCs w:val="26"/>
        </w:rPr>
      </w:pPr>
      <w:r w:rsidRPr="00F176C5">
        <w:rPr>
          <w:rStyle w:val="FootnoteReference"/>
          <w:szCs w:val="26"/>
        </w:rPr>
        <w:footnoteRef/>
      </w:r>
      <w:r w:rsidRPr="00682652">
        <w:rPr>
          <w:szCs w:val="26"/>
        </w:rPr>
        <w:t xml:space="preserve"> </w:t>
      </w:r>
      <w:r w:rsidRPr="001943CF">
        <w:rPr>
          <w:i/>
          <w:iCs/>
          <w:szCs w:val="26"/>
        </w:rPr>
        <w:t>Id.</w:t>
      </w:r>
      <w:r w:rsidRPr="001943CF">
        <w:rPr>
          <w:szCs w:val="26"/>
        </w:rPr>
        <w:t xml:space="preserve"> at 3-4</w:t>
      </w:r>
      <w:r w:rsidR="009D3C4B">
        <w:rPr>
          <w:szCs w:val="26"/>
        </w:rPr>
        <w:t>.</w:t>
      </w:r>
    </w:p>
  </w:footnote>
  <w:footnote w:id="84">
    <w:p w:rsidR="00A723F2">
      <w:pPr>
        <w:pStyle w:val="FootnoteText"/>
      </w:pPr>
      <w:r>
        <w:rPr>
          <w:rStyle w:val="FootnoteReference"/>
        </w:rPr>
        <w:footnoteRef/>
      </w:r>
      <w:r>
        <w:t xml:space="preserve"> Central Hudson Answer to Deficiency Response Protests at 2-3.</w:t>
      </w:r>
    </w:p>
  </w:footnote>
  <w:footnote w:id="85">
    <w:p w:rsidR="00DE79BC" w:rsidRPr="001943CF" w:rsidP="00DE79BC">
      <w:pPr>
        <w:pStyle w:val="FootnoteText"/>
        <w:rPr>
          <w:szCs w:val="26"/>
        </w:rPr>
      </w:pPr>
      <w:r w:rsidRPr="00F176C5">
        <w:rPr>
          <w:rStyle w:val="FootnoteReference"/>
          <w:szCs w:val="26"/>
        </w:rPr>
        <w:footnoteRef/>
      </w:r>
      <w:r w:rsidRPr="00F176C5">
        <w:rPr>
          <w:szCs w:val="26"/>
        </w:rPr>
        <w:t xml:space="preserve"> </w:t>
      </w:r>
      <w:r w:rsidRPr="001943CF" w:rsidR="00A723F2">
        <w:rPr>
          <w:szCs w:val="26"/>
        </w:rPr>
        <w:t xml:space="preserve">Key Capture Deficiency Response Protest </w:t>
      </w:r>
      <w:r w:rsidRPr="001943CF">
        <w:rPr>
          <w:szCs w:val="26"/>
        </w:rPr>
        <w:t>at</w:t>
      </w:r>
      <w:r w:rsidRPr="001943CF">
        <w:rPr>
          <w:szCs w:val="26"/>
        </w:rPr>
        <w:t xml:space="preserve"> 4. </w:t>
      </w:r>
    </w:p>
  </w:footnote>
  <w:footnote w:id="86">
    <w:p w:rsidR="00DE79BC" w:rsidRPr="001943CF" w:rsidP="00DE79BC">
      <w:pPr>
        <w:pStyle w:val="FootnoteText"/>
        <w:rPr>
          <w:szCs w:val="26"/>
        </w:rPr>
      </w:pPr>
      <w:r w:rsidRPr="00F176C5">
        <w:rPr>
          <w:rStyle w:val="FootnoteReference"/>
          <w:szCs w:val="26"/>
        </w:rPr>
        <w:footnoteRef/>
      </w:r>
      <w:r w:rsidRPr="00F176C5">
        <w:rPr>
          <w:szCs w:val="26"/>
        </w:rPr>
        <w:t xml:space="preserve"> </w:t>
      </w:r>
      <w:r w:rsidRPr="008F793E">
        <w:rPr>
          <w:i/>
          <w:iCs/>
          <w:szCs w:val="26"/>
        </w:rPr>
        <w:t>Id.</w:t>
      </w:r>
      <w:r w:rsidRPr="001943CF">
        <w:rPr>
          <w:szCs w:val="26"/>
        </w:rPr>
        <w:t xml:space="preserve"> at 4-5. </w:t>
      </w:r>
    </w:p>
  </w:footnote>
  <w:footnote w:id="87">
    <w:p w:rsidR="00E04D6D">
      <w:pPr>
        <w:pStyle w:val="FootnoteText"/>
      </w:pPr>
      <w:r>
        <w:rPr>
          <w:rStyle w:val="FootnoteReference"/>
        </w:rPr>
        <w:footnoteRef/>
      </w:r>
      <w:r>
        <w:t xml:space="preserve"> Central Hudson Answer to Deficiency Response Protests at </w:t>
      </w:r>
      <w:r w:rsidR="009D3EF0">
        <w:t>3-4.</w:t>
      </w:r>
    </w:p>
  </w:footnote>
  <w:footnote w:id="88">
    <w:p w:rsidR="00DE79BC" w:rsidRPr="001943CF" w:rsidP="00DE79BC">
      <w:pPr>
        <w:pStyle w:val="FootnoteText"/>
        <w:rPr>
          <w:szCs w:val="26"/>
        </w:rPr>
      </w:pPr>
      <w:r w:rsidRPr="00F176C5">
        <w:rPr>
          <w:rStyle w:val="FootnoteReference"/>
          <w:szCs w:val="26"/>
        </w:rPr>
        <w:footnoteRef/>
      </w:r>
      <w:r w:rsidRPr="00F176C5">
        <w:rPr>
          <w:szCs w:val="26"/>
        </w:rPr>
        <w:t xml:space="preserve"> </w:t>
      </w:r>
      <w:r w:rsidRPr="001943CF" w:rsidR="00A723F2">
        <w:rPr>
          <w:szCs w:val="26"/>
        </w:rPr>
        <w:t xml:space="preserve">Key Capture Deficiency Response Protest </w:t>
      </w:r>
      <w:r w:rsidRPr="001943CF">
        <w:rPr>
          <w:szCs w:val="26"/>
        </w:rPr>
        <w:t>at 5.</w:t>
      </w:r>
    </w:p>
  </w:footnote>
  <w:footnote w:id="89">
    <w:p w:rsidR="00F35479">
      <w:pPr>
        <w:pStyle w:val="FootnoteText"/>
      </w:pPr>
      <w:r>
        <w:rPr>
          <w:rStyle w:val="FootnoteReference"/>
        </w:rPr>
        <w:footnoteRef/>
      </w:r>
      <w:r>
        <w:t xml:space="preserve"> Central Hudson Answer to Deficiency Response Protests at </w:t>
      </w:r>
      <w:r w:rsidR="0029602B">
        <w:t>4-5.</w:t>
      </w:r>
    </w:p>
  </w:footnote>
  <w:footnote w:id="90">
    <w:p w:rsidR="00DE79BC" w:rsidRPr="001943CF" w:rsidP="00DE79BC">
      <w:pPr>
        <w:pStyle w:val="FootnoteText"/>
        <w:rPr>
          <w:szCs w:val="26"/>
        </w:rPr>
      </w:pPr>
      <w:r w:rsidRPr="00F176C5">
        <w:rPr>
          <w:rStyle w:val="FootnoteReference"/>
          <w:szCs w:val="26"/>
        </w:rPr>
        <w:footnoteRef/>
      </w:r>
      <w:r w:rsidRPr="001943CF">
        <w:rPr>
          <w:szCs w:val="26"/>
        </w:rPr>
        <w:t xml:space="preserve"> </w:t>
      </w:r>
      <w:r w:rsidRPr="001943CF" w:rsidR="00E97715">
        <w:rPr>
          <w:szCs w:val="26"/>
        </w:rPr>
        <w:t>Key Capture Deficiency Response Protest</w:t>
      </w:r>
      <w:r w:rsidRPr="001943CF">
        <w:rPr>
          <w:szCs w:val="26"/>
        </w:rPr>
        <w:t xml:space="preserve"> at 8</w:t>
      </w:r>
      <w:r>
        <w:rPr>
          <w:szCs w:val="26"/>
        </w:rPr>
        <w:t>-9</w:t>
      </w:r>
      <w:r w:rsidRPr="001943CF">
        <w:rPr>
          <w:szCs w:val="26"/>
        </w:rPr>
        <w:t xml:space="preserve">. </w:t>
      </w:r>
    </w:p>
  </w:footnote>
  <w:footnote w:id="91">
    <w:p w:rsidR="0090037E" w:rsidRPr="00773BD8" w:rsidP="0090037E">
      <w:pPr>
        <w:pStyle w:val="FootnoteText"/>
        <w:widowControl/>
      </w:pPr>
      <w:r w:rsidRPr="00424766">
        <w:rPr>
          <w:rStyle w:val="FootnoteReference"/>
        </w:rPr>
        <w:footnoteRef/>
      </w:r>
      <w:r w:rsidRPr="00284808">
        <w:t xml:space="preserve"> </w:t>
      </w:r>
      <w:r w:rsidRPr="00424766">
        <w:t xml:space="preserve">Trial Staff is a participant in the hearing and settlement judge procedures. </w:t>
      </w:r>
      <w:r>
        <w:t xml:space="preserve"> </w:t>
      </w:r>
      <w:r w:rsidR="00EA01D1">
        <w:br/>
      </w:r>
      <w:r w:rsidRPr="00424766">
        <w:rPr>
          <w:i/>
        </w:rPr>
        <w:t>See</w:t>
      </w:r>
      <w:r w:rsidRPr="00424766">
        <w:t xml:space="preserve"> 18 C.F.R. §</w:t>
      </w:r>
      <w:r>
        <w:t> </w:t>
      </w:r>
      <w:r w:rsidRPr="00424766">
        <w:t>385.102(b), (c) (</w:t>
      </w:r>
      <w:r w:rsidRPr="00230343">
        <w:t>20</w:t>
      </w:r>
      <w:r w:rsidRPr="00230343" w:rsidR="00230343">
        <w:t>23</w:t>
      </w:r>
      <w:r w:rsidRPr="00424766">
        <w:t>)</w:t>
      </w:r>
      <w:r w:rsidRPr="00F176C5">
        <w:t>.</w:t>
      </w:r>
    </w:p>
  </w:footnote>
  <w:footnote w:id="92">
    <w:p w:rsidR="0090037E" w:rsidRPr="00773BD8" w:rsidP="0090037E">
      <w:pPr>
        <w:pStyle w:val="FootnoteText"/>
      </w:pPr>
      <w:r w:rsidRPr="00773BD8">
        <w:rPr>
          <w:rStyle w:val="FootnoteReference"/>
        </w:rPr>
        <w:footnoteRef/>
      </w:r>
      <w:r w:rsidRPr="00773BD8">
        <w:t xml:space="preserve"> 18 C.F.R. §</w:t>
      </w:r>
      <w:r>
        <w:t> </w:t>
      </w:r>
      <w:r w:rsidRPr="00773BD8">
        <w:t>385.603.</w:t>
      </w:r>
    </w:p>
  </w:footnote>
  <w:footnote w:id="93">
    <w:p w:rsidR="0090037E" w:rsidP="0090037E">
      <w:pPr>
        <w:pStyle w:val="FootnoteText"/>
      </w:pPr>
      <w:r w:rsidRPr="00773BD8">
        <w:rPr>
          <w:rStyle w:val="FootnoteReference"/>
        </w:rPr>
        <w:footnoteRef/>
      </w:r>
      <w:r w:rsidRPr="00773BD8">
        <w:t xml:space="preserve"> If parties decide to request a specific judge, they must make their joint request </w:t>
      </w:r>
      <w:r w:rsidR="00EA01D1">
        <w:br/>
      </w:r>
      <w:r w:rsidRPr="00773BD8">
        <w:t>to the Chief Judge by telephone at (202) 502-8500 within five days of this order.  The Commission’s website contains a list of Commission judges available for settlement proceedings and a summary of their background and experience.</w:t>
      </w:r>
      <w:r>
        <w:t xml:space="preserve"> </w:t>
      </w:r>
      <w:r w:rsidRPr="00773BD8">
        <w:t>(</w:t>
      </w:r>
      <w:r w:rsidRPr="00EA01D1">
        <w:t>https://www.ferc.gov/available-settlement-judges</w:t>
      </w:r>
      <w:r w:rsidRPr="00773BD8">
        <w:t>).</w:t>
      </w:r>
    </w:p>
  </w:footnote>
  <w:footnote w:id="94">
    <w:p w:rsidR="002370E6">
      <w:pPr>
        <w:pStyle w:val="FootnoteText"/>
      </w:pPr>
      <w:r>
        <w:rPr>
          <w:rStyle w:val="FootnoteReference"/>
        </w:rPr>
        <w:footnoteRef/>
      </w:r>
      <w:r>
        <w:t xml:space="preserve"> </w:t>
      </w:r>
      <w:r w:rsidRPr="00122440" w:rsidR="00AE741D">
        <w:rPr>
          <w:i/>
          <w:iCs/>
        </w:rPr>
        <w:t>Consol. Edison Co. of N.Y., Inc.</w:t>
      </w:r>
      <w:r w:rsidRPr="00122440" w:rsidR="00AE741D">
        <w:t xml:space="preserve">, 15 FERC </w:t>
      </w:r>
      <w:r w:rsidR="0082488A">
        <w:t xml:space="preserve">¶ </w:t>
      </w:r>
      <w:r w:rsidRPr="00122440" w:rsidR="00AE741D">
        <w:t>61,174, at 61,404 (1981)</w:t>
      </w:r>
      <w:r w:rsidR="00AE741D">
        <w:t>.</w:t>
      </w:r>
    </w:p>
  </w:footnote>
  <w:footnote w:id="95">
    <w:p w:rsidR="00A538CF" w:rsidRPr="00B76083">
      <w:pPr>
        <w:pStyle w:val="FootnoteText"/>
        <w:rPr>
          <w:i/>
        </w:rPr>
      </w:pPr>
      <w:r>
        <w:rPr>
          <w:rStyle w:val="FootnoteReference"/>
        </w:rPr>
        <w:footnoteRef/>
      </w:r>
      <w:r w:rsidRPr="00AE54ED" w:rsidR="00AE54ED">
        <w:t xml:space="preserve"> </w:t>
      </w:r>
      <w:r w:rsidRPr="002B61CC" w:rsidR="00AE54ED">
        <w:rPr>
          <w:rFonts w:eastAsia="Times New Roman"/>
          <w:i/>
          <w:szCs w:val="26"/>
        </w:rPr>
        <w:t>See</w:t>
      </w:r>
      <w:r w:rsidR="00AE54ED">
        <w:rPr>
          <w:rFonts w:eastAsia="Times New Roman"/>
          <w:i/>
          <w:szCs w:val="26"/>
        </w:rPr>
        <w:t xml:space="preserve"> </w:t>
      </w:r>
      <w:r w:rsidR="0086080D">
        <w:rPr>
          <w:rFonts w:eastAsia="Times New Roman"/>
          <w:i/>
          <w:iCs/>
          <w:szCs w:val="26"/>
        </w:rPr>
        <w:t xml:space="preserve">id. </w:t>
      </w:r>
      <w:r w:rsidR="0086080D">
        <w:rPr>
          <w:rFonts w:eastAsia="Times New Roman"/>
          <w:szCs w:val="26"/>
        </w:rPr>
        <w:t xml:space="preserve">(noting </w:t>
      </w:r>
      <w:r w:rsidR="00DD1916">
        <w:rPr>
          <w:rFonts w:eastAsia="Times New Roman"/>
          <w:szCs w:val="26"/>
        </w:rPr>
        <w:t xml:space="preserve">that </w:t>
      </w:r>
      <w:r w:rsidR="0086080D">
        <w:rPr>
          <w:rFonts w:eastAsia="Times New Roman"/>
          <w:szCs w:val="26"/>
        </w:rPr>
        <w:t xml:space="preserve">the Commission will conduct its </w:t>
      </w:r>
      <w:r w:rsidR="0086080D">
        <w:rPr>
          <w:rFonts w:eastAsia="Times New Roman"/>
          <w:szCs w:val="26"/>
        </w:rPr>
        <w:t xml:space="preserve">own independent analysis of the </w:t>
      </w:r>
      <w:r w:rsidR="00A16FBE">
        <w:rPr>
          <w:rFonts w:eastAsia="Times New Roman"/>
          <w:szCs w:val="26"/>
        </w:rPr>
        <w:t>New York Commission</w:t>
      </w:r>
      <w:r w:rsidR="0086080D">
        <w:rPr>
          <w:rFonts w:eastAsia="Times New Roman"/>
          <w:szCs w:val="26"/>
        </w:rPr>
        <w:t>-approved rates</w:t>
      </w:r>
      <w:r w:rsidRPr="003B280B" w:rsidR="00002E6E">
        <w:rPr>
          <w:rFonts w:eastAsia="Times New Roman"/>
          <w:szCs w:val="26"/>
        </w:rPr>
        <w:t>)</w:t>
      </w:r>
      <w:r w:rsidRPr="003B280B" w:rsidR="00156D88">
        <w:rPr>
          <w:rFonts w:eastAsia="Times New Roman"/>
          <w:szCs w:val="26"/>
        </w:rPr>
        <w:t>.</w:t>
      </w:r>
    </w:p>
  </w:footnote>
  <w:footnote w:id="96">
    <w:p w:rsidR="00011A52">
      <w:pPr>
        <w:pStyle w:val="FootnoteText"/>
      </w:pPr>
      <w:r>
        <w:rPr>
          <w:rStyle w:val="FootnoteReference"/>
        </w:rPr>
        <w:footnoteRef/>
      </w:r>
      <w:r>
        <w:t xml:space="preserve"> </w:t>
      </w:r>
      <w:r w:rsidRPr="00122440" w:rsidR="00443355">
        <w:rPr>
          <w:i/>
          <w:iCs/>
        </w:rPr>
        <w:t>Consol. Edison Co. of N.Y., Inc.</w:t>
      </w:r>
      <w:r w:rsidRPr="00122440" w:rsidR="00443355">
        <w:t>, 184 FERC ⁋ 61,189, at P</w:t>
      </w:r>
      <w:r w:rsidR="00DC23AF">
        <w:t>P</w:t>
      </w:r>
      <w:r w:rsidRPr="00122440" w:rsidR="00443355">
        <w:t xml:space="preserve"> </w:t>
      </w:r>
      <w:r w:rsidR="00443355">
        <w:t>31-33</w:t>
      </w:r>
      <w:r w:rsidRPr="00122440" w:rsidR="00443355">
        <w:t xml:space="preserve"> (2023)</w:t>
      </w:r>
      <w:r w:rsidR="00E67EDD">
        <w:t xml:space="preserve"> (finding </w:t>
      </w:r>
      <w:r w:rsidRPr="00E67EDD" w:rsidR="00E67EDD">
        <w:t>reasonable Con</w:t>
      </w:r>
      <w:r w:rsidR="005D07AA">
        <w:t>solidated</w:t>
      </w:r>
      <w:r w:rsidRPr="00E67EDD" w:rsidR="00E67EDD">
        <w:t xml:space="preserve"> Edison’s explanation that the cost of providing wholesale distribution service i</w:t>
      </w:r>
      <w:r w:rsidRPr="00E67EDD" w:rsidR="00E67EDD">
        <w:t xml:space="preserve">s based on the type of distribution facilities to which </w:t>
      </w:r>
      <w:r w:rsidR="00EA01D1">
        <w:br/>
      </w:r>
      <w:r w:rsidRPr="00E67EDD" w:rsidR="00E67EDD">
        <w:t>the customer interconnects and the amount of wholesale distribution service provided</w:t>
      </w:r>
      <w:r w:rsidR="00E67EDD">
        <w:t xml:space="preserve">, </w:t>
      </w:r>
      <w:r w:rsidR="00B872D1">
        <w:t xml:space="preserve">and </w:t>
      </w:r>
      <w:r w:rsidR="00E67EDD">
        <w:t>that t</w:t>
      </w:r>
      <w:r w:rsidRPr="00E67EDD" w:rsidR="00E67EDD">
        <w:t xml:space="preserve">he proposed </w:t>
      </w:r>
      <w:r w:rsidR="005D07AA">
        <w:t>w</w:t>
      </w:r>
      <w:r w:rsidRPr="00E67EDD" w:rsidR="00E67EDD">
        <w:t xml:space="preserve">holesale </w:t>
      </w:r>
      <w:r w:rsidR="005D07AA">
        <w:t>d</w:t>
      </w:r>
      <w:r w:rsidRPr="00E67EDD" w:rsidR="00E67EDD">
        <w:t xml:space="preserve">istribution </w:t>
      </w:r>
      <w:r w:rsidR="005D07AA">
        <w:t>r</w:t>
      </w:r>
      <w:r w:rsidRPr="00E67EDD" w:rsidR="00E67EDD">
        <w:t>ates reflect</w:t>
      </w:r>
      <w:r w:rsidR="005B47A5">
        <w:t>s</w:t>
      </w:r>
      <w:r w:rsidRPr="00E67EDD" w:rsidR="00E67EDD">
        <w:t xml:space="preserve"> these costs because the retail rates on which they are based are likewise based on type of distribution facilities and amount of service</w:t>
      </w:r>
      <w:r w:rsidR="00E67EDD">
        <w:t>, and clarifying that b</w:t>
      </w:r>
      <w:r w:rsidRPr="00E67EDD" w:rsidR="00E67EDD">
        <w:t>ecause these New York Commission-approved retail rates are grounded in the cost to serve customers, Con</w:t>
      </w:r>
      <w:r w:rsidR="005D07AA">
        <w:t>solidated</w:t>
      </w:r>
      <w:r w:rsidRPr="00E67EDD" w:rsidR="00E67EDD">
        <w:t xml:space="preserve"> Edison </w:t>
      </w:r>
      <w:r w:rsidR="00E67EDD">
        <w:t xml:space="preserve">is not required </w:t>
      </w:r>
      <w:r w:rsidRPr="00E67EDD" w:rsidR="00E67EDD">
        <w:t>to provide further cost evidence</w:t>
      </w:r>
      <w:r w:rsidR="00E67EDD">
        <w:t>).</w:t>
      </w:r>
      <w:r w:rsidRPr="00443355" w:rsidR="00443355">
        <w:t xml:space="preserve">  </w:t>
      </w:r>
    </w:p>
  </w:footnote>
  <w:footnote w:id="97">
    <w:p w:rsidR="00844A99" w:rsidP="00844A99">
      <w:pPr>
        <w:pStyle w:val="FootnoteText"/>
      </w:pPr>
      <w:r w:rsidRPr="004359C6">
        <w:rPr>
          <w:rStyle w:val="FootnoteReference"/>
        </w:rPr>
        <w:footnoteRef/>
      </w:r>
      <w:r>
        <w:t xml:space="preserve"> Order No. 841, </w:t>
      </w:r>
      <w:r w:rsidRPr="005D7849">
        <w:t xml:space="preserve">162 FERC ¶ 61,127 </w:t>
      </w:r>
      <w:r>
        <w:t xml:space="preserve">at P </w:t>
      </w:r>
      <w:r w:rsidR="008E024D">
        <w:t>301</w:t>
      </w:r>
      <w:r w:rsidR="00900E71">
        <w:t xml:space="preserve"> (citing </w:t>
      </w:r>
      <w:r w:rsidRPr="00900E71" w:rsidR="00900E71">
        <w:rPr>
          <w:i/>
        </w:rPr>
        <w:t>PJM Interconnection L</w:t>
      </w:r>
      <w:r w:rsidR="003430AD">
        <w:rPr>
          <w:i/>
        </w:rPr>
        <w:t>.</w:t>
      </w:r>
      <w:r w:rsidRPr="00900E71" w:rsidR="00900E71">
        <w:rPr>
          <w:i/>
        </w:rPr>
        <w:t>L</w:t>
      </w:r>
      <w:r w:rsidR="003430AD">
        <w:rPr>
          <w:i/>
        </w:rPr>
        <w:t>.</w:t>
      </w:r>
      <w:r w:rsidRPr="00900E71" w:rsidR="00900E71">
        <w:rPr>
          <w:i/>
        </w:rPr>
        <w:t>C</w:t>
      </w:r>
      <w:r w:rsidR="003430AD">
        <w:rPr>
          <w:i/>
        </w:rPr>
        <w:t>.</w:t>
      </w:r>
      <w:r w:rsidRPr="00900E71" w:rsidR="00900E71">
        <w:rPr>
          <w:i/>
        </w:rPr>
        <w:t xml:space="preserve">, </w:t>
      </w:r>
      <w:r w:rsidRPr="00900E71" w:rsidR="00900E71">
        <w:t>149 FERC ¶ 61,185</w:t>
      </w:r>
      <w:r w:rsidR="00EE021B">
        <w:t>,</w:t>
      </w:r>
      <w:r w:rsidRPr="00900E71" w:rsidR="00900E71">
        <w:rPr>
          <w:i/>
        </w:rPr>
        <w:t xml:space="preserve"> </w:t>
      </w:r>
      <w:r w:rsidRPr="00900E71" w:rsidR="00900E71">
        <w:t xml:space="preserve">at P 12 </w:t>
      </w:r>
      <w:r w:rsidR="00EE021B">
        <w:t xml:space="preserve">(2014) </w:t>
      </w:r>
      <w:r w:rsidRPr="00900E71" w:rsidR="00900E71">
        <w:t>(</w:t>
      </w:r>
      <w:r w:rsidR="00900E71">
        <w:t xml:space="preserve">accepting </w:t>
      </w:r>
      <w:r w:rsidRPr="00900E71" w:rsidR="00900E71">
        <w:t xml:space="preserve">wholesale distribution charge </w:t>
      </w:r>
      <w:r w:rsidR="00EA01D1">
        <w:br/>
      </w:r>
      <w:r w:rsidRPr="00900E71" w:rsidR="00900E71">
        <w:t>that Com</w:t>
      </w:r>
      <w:r w:rsidR="00B50B53">
        <w:t xml:space="preserve">monwealth </w:t>
      </w:r>
      <w:r w:rsidRPr="00900E71" w:rsidR="00900E71">
        <w:t>Ed</w:t>
      </w:r>
      <w:r w:rsidR="00B50B53">
        <w:t>ison</w:t>
      </w:r>
      <w:r w:rsidRPr="00900E71" w:rsidR="00900E71">
        <w:t xml:space="preserve"> </w:t>
      </w:r>
      <w:r w:rsidR="006F7B13">
        <w:t xml:space="preserve">Company </w:t>
      </w:r>
      <w:r w:rsidRPr="00900E71" w:rsidR="00900E71">
        <w:t>will assess to Energy Vault</w:t>
      </w:r>
      <w:r w:rsidR="00453F52">
        <w:t>, LLC</w:t>
      </w:r>
      <w:r w:rsidRPr="00900E71" w:rsidR="00900E71">
        <w:t xml:space="preserve"> </w:t>
      </w:r>
      <w:r w:rsidRPr="00E027CA" w:rsidR="00900E71">
        <w:t xml:space="preserve">for its use </w:t>
      </w:r>
      <w:r w:rsidR="00EA01D1">
        <w:br/>
      </w:r>
      <w:r w:rsidRPr="00E027CA" w:rsidR="00900E71">
        <w:t>of the distribution system for its storage facility charging load</w:t>
      </w:r>
      <w:r w:rsidRPr="00900E71" w:rsidR="00900E71">
        <w:t xml:space="preserve">), </w:t>
      </w:r>
      <w:r w:rsidRPr="00900E71" w:rsidR="00900E71">
        <w:rPr>
          <w:i/>
        </w:rPr>
        <w:t>order on reh’g</w:t>
      </w:r>
      <w:r w:rsidRPr="00900E71" w:rsidR="00900E71">
        <w:t xml:space="preserve">, </w:t>
      </w:r>
      <w:r w:rsidR="00EA01D1">
        <w:br/>
      </w:r>
      <w:r w:rsidRPr="00900E71" w:rsidR="00900E71">
        <w:t>151 FERC ¶ 61,231</w:t>
      </w:r>
      <w:r w:rsidR="00EE021B">
        <w:t>,</w:t>
      </w:r>
      <w:r w:rsidRPr="00900E71" w:rsidR="00900E71">
        <w:rPr>
          <w:i/>
        </w:rPr>
        <w:t xml:space="preserve"> </w:t>
      </w:r>
      <w:r w:rsidRPr="00900E71" w:rsidR="00900E71">
        <w:t>at PP 16-18</w:t>
      </w:r>
      <w:r w:rsidR="00EE021B">
        <w:t xml:space="preserve"> (2015)</w:t>
      </w:r>
      <w:r w:rsidRPr="00900E71" w:rsidR="00900E71">
        <w:t>)</w:t>
      </w:r>
      <w:r w:rsidRPr="00900E71">
        <w:t xml:space="preserve">; Order No. 841-A, 167 FERC ¶ 61,154 at </w:t>
      </w:r>
      <w:r w:rsidR="00EA01D1">
        <w:br/>
      </w:r>
      <w:r w:rsidRPr="00900E71">
        <w:t>P</w:t>
      </w:r>
      <w:r>
        <w:t xml:space="preserve"> 123 (stating the Commission will “</w:t>
      </w:r>
      <w:r w:rsidRPr="00E84F5E">
        <w:t>consider</w:t>
      </w:r>
      <w:r>
        <w:t xml:space="preserve">” a rate filing for </w:t>
      </w:r>
      <w:r w:rsidR="00D87C20">
        <w:t xml:space="preserve">wholesale </w:t>
      </w:r>
      <w:r>
        <w:t xml:space="preserve">distribution service to an energy storage resource </w:t>
      </w:r>
      <w:r w:rsidR="00D87C20">
        <w:t xml:space="preserve">for its charging </w:t>
      </w:r>
      <w:r>
        <w:t>“</w:t>
      </w:r>
      <w:r w:rsidRPr="00E84F5E">
        <w:t xml:space="preserve">on a case-by-case basis in light </w:t>
      </w:r>
      <w:r w:rsidR="00EA01D1">
        <w:br/>
      </w:r>
      <w:r w:rsidRPr="00E84F5E">
        <w:t>of the record evidence</w:t>
      </w:r>
      <w:r>
        <w:t>”).</w:t>
      </w:r>
      <w:r w:rsidR="0062215E">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73BCD">
    <w:pPr>
      <w:pStyle w:val="Header"/>
      <w:tabs>
        <w:tab w:val="clear" w:pos="4680"/>
      </w:tabs>
      <w:spacing w:after="240"/>
    </w:pPr>
    <w:r w:rsidR="00473BCD">
      <w:t>Docket No. ER24-1434-00</w:t>
    </w:r>
    <w:r w:rsidR="00A32043">
      <w:t>1</w:t>
    </w:r>
    <w:r w:rsidR="00473BCD">
      <w:tab/>
    </w:r>
    <w:r w:rsidR="00473BCD">
      <w:fldChar w:fldCharType="begin"/>
    </w:r>
    <w:r w:rsidR="00473BCD">
      <w:instrText xml:space="preserve"> PAGE  \* MERGEFORMAT </w:instrText>
    </w:r>
    <w:r w:rsidR="00473BCD">
      <w:fldChar w:fldCharType="separate"/>
    </w:r>
    <w:r w:rsidR="00CE189D">
      <w:rPr>
        <w:noProof/>
      </w:rPr>
      <w:t>- 20 -</w:t>
    </w:r>
    <w:r w:rsidR="00473BCD">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27160B6"/>
    <w:multiLevelType w:val="hybridMultilevel"/>
    <w:tmpl w:val="CCAA4A2C"/>
    <w:lvl w:ilvl="0">
      <w:start w:val="1"/>
      <w:numFmt w:val="decimal"/>
      <w:lvlText w:val="%1."/>
      <w:lvlJc w:val="left"/>
      <w:pPr>
        <w:ind w:left="216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firstLine="0"/>
      </w:pPr>
      <w:rPr>
        <w:rFonts w:hint="default"/>
        <w:b w:val="0"/>
        <w:bCs w:val="0"/>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3">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5">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6">
    <w:nsid w:val="30E61E88"/>
    <w:multiLevelType w:val="hybridMultilevel"/>
    <w:tmpl w:val="AA3C571A"/>
    <w:lvl w:ilvl="0">
      <w:start w:val="1"/>
      <w:numFmt w:val="decimal"/>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746082C"/>
    <w:multiLevelType w:val="hybridMultilevel"/>
    <w:tmpl w:val="287213FA"/>
    <w:lvl w:ilvl="0">
      <w:start w:val="1"/>
      <w:numFmt w:val="upperLetter"/>
      <w:lvlText w:val="(%1)"/>
      <w:lvlJc w:val="left"/>
      <w:pPr>
        <w:ind w:left="0" w:firstLine="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BE42DCB"/>
    <w:multiLevelType w:val="hybridMultilevel"/>
    <w:tmpl w:val="27009940"/>
    <w:lvl w:ilvl="0">
      <w:start w:val="1"/>
      <w:numFmt w:val="decimal"/>
      <w:lvlText w:val="%1."/>
      <w:lvlJc w:val="left"/>
      <w:pPr>
        <w:tabs>
          <w:tab w:val="num" w:pos="720"/>
        </w:tabs>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B6502FF"/>
    <w:multiLevelType w:val="multilevel"/>
    <w:tmpl w:val="F370B156"/>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4320"/>
        </w:tabs>
        <w:ind w:left="432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21">
    <w:nsid w:val="5C4E5DF6"/>
    <w:multiLevelType w:val="hybridMultilevel"/>
    <w:tmpl w:val="FAD6B02C"/>
    <w:lvl w:ilvl="0">
      <w:start w:val="6"/>
      <w:numFmt w:val="decimal"/>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1D212E7"/>
    <w:multiLevelType w:val="hybridMultilevel"/>
    <w:tmpl w:val="DDF4734A"/>
    <w:lvl w:ilvl="0">
      <w:start w:val="1"/>
      <w:numFmt w:val="decimal"/>
      <w:lvlText w:val="%1."/>
      <w:lvlJc w:val="left"/>
      <w:pPr>
        <w:ind w:left="0" w:hanging="360"/>
      </w:p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3">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5">
    <w:nsid w:val="7D126511"/>
    <w:multiLevelType w:val="hybridMultilevel"/>
    <w:tmpl w:val="F8847EDC"/>
    <w:lvl w:ilvl="0">
      <w:start w:val="1"/>
      <w:numFmt w:val="decimal"/>
      <w:lvlText w:val="%1."/>
      <w:lvlJc w:val="left"/>
      <w:pPr>
        <w:tabs>
          <w:tab w:val="num" w:pos="720"/>
        </w:tabs>
        <w:ind w:left="0" w:firstLine="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D3B09D3"/>
    <w:multiLevelType w:val="hybridMultilevel"/>
    <w:tmpl w:val="CD70BEC8"/>
    <w:lvl w:ilvl="0">
      <w:start w:val="1"/>
      <w:numFmt w:val="decimal"/>
      <w:pStyle w:val="FERCparanumber"/>
      <w:lvlText w:val="%1."/>
      <w:lvlJc w:val="left"/>
      <w:pPr>
        <w:tabs>
          <w:tab w:val="num" w:pos="720"/>
        </w:tabs>
        <w:ind w:left="0" w:firstLine="0"/>
      </w:pPr>
      <w:rPr>
        <w:b w:val="0"/>
        <w:bCs/>
        <w:specVanish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3"/>
  </w:num>
  <w:num w:numId="13">
    <w:abstractNumId w:val="14"/>
  </w:num>
  <w:num w:numId="14">
    <w:abstractNumId w:val="24"/>
  </w:num>
  <w:num w:numId="15">
    <w:abstractNumId w:val="20"/>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0"/>
  </w:num>
  <w:num w:numId="19">
    <w:abstractNumId w:val="15"/>
  </w:num>
  <w:num w:numId="20">
    <w:abstractNumId w:val="13"/>
  </w:num>
  <w:num w:numId="21">
    <w:abstractNumId w:val="27"/>
  </w:num>
  <w:num w:numId="22">
    <w:abstractNumId w:val="17"/>
  </w:num>
  <w:num w:numId="23">
    <w:abstractNumId w:val="18"/>
  </w:num>
  <w:num w:numId="24">
    <w:abstractNumId w:val="25"/>
  </w:num>
  <w:num w:numId="25">
    <w:abstractNumId w:val="22"/>
  </w:num>
  <w:num w:numId="26">
    <w:abstractNumId w:val="11"/>
  </w:num>
  <w:num w:numId="27">
    <w:abstractNumId w:val="16"/>
  </w:num>
  <w:num w:numId="28">
    <w:abstractNumId w:val="21"/>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removePersonalInformation/>
  <w:removeDateAndTime/>
  <w:doNotTrackMoves/>
  <w:defaultTabStop w:val="720"/>
  <w:characterSpacingControl w:val="doNotCompress"/>
  <w:footnotePr>
    <w:footnote w:id="0"/>
    <w:footnote w:id="1"/>
    <w:footnote w:id="2"/>
  </w:footnotePr>
  <w:endnotePr>
    <w:endnote w:id="0"/>
    <w:endnote w:id="1"/>
    <w:endnote w:id="2"/>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73BCD"/>
    <w:rsid w:val="000004E0"/>
    <w:rsid w:val="00001764"/>
    <w:rsid w:val="000023C5"/>
    <w:rsid w:val="00002E48"/>
    <w:rsid w:val="00002E6E"/>
    <w:rsid w:val="00003340"/>
    <w:rsid w:val="00003519"/>
    <w:rsid w:val="00003D4F"/>
    <w:rsid w:val="00003FDA"/>
    <w:rsid w:val="00005311"/>
    <w:rsid w:val="00005950"/>
    <w:rsid w:val="0000731D"/>
    <w:rsid w:val="00007F2D"/>
    <w:rsid w:val="00010CE9"/>
    <w:rsid w:val="00010F16"/>
    <w:rsid w:val="00010FA6"/>
    <w:rsid w:val="000118C8"/>
    <w:rsid w:val="00011A52"/>
    <w:rsid w:val="0001240A"/>
    <w:rsid w:val="00012606"/>
    <w:rsid w:val="00013468"/>
    <w:rsid w:val="000143AA"/>
    <w:rsid w:val="00014570"/>
    <w:rsid w:val="000159F1"/>
    <w:rsid w:val="00016239"/>
    <w:rsid w:val="0001643D"/>
    <w:rsid w:val="00017A44"/>
    <w:rsid w:val="0002042F"/>
    <w:rsid w:val="0002273D"/>
    <w:rsid w:val="00022955"/>
    <w:rsid w:val="00022A33"/>
    <w:rsid w:val="00023076"/>
    <w:rsid w:val="0002355F"/>
    <w:rsid w:val="00023BF6"/>
    <w:rsid w:val="000244BF"/>
    <w:rsid w:val="000248DA"/>
    <w:rsid w:val="00026058"/>
    <w:rsid w:val="00026815"/>
    <w:rsid w:val="00026E23"/>
    <w:rsid w:val="0002764B"/>
    <w:rsid w:val="00030AB3"/>
    <w:rsid w:val="00030ADA"/>
    <w:rsid w:val="0003116A"/>
    <w:rsid w:val="0003119C"/>
    <w:rsid w:val="0003295D"/>
    <w:rsid w:val="00032D2B"/>
    <w:rsid w:val="0003382F"/>
    <w:rsid w:val="00033CD1"/>
    <w:rsid w:val="00035894"/>
    <w:rsid w:val="00036A96"/>
    <w:rsid w:val="00040523"/>
    <w:rsid w:val="00040E97"/>
    <w:rsid w:val="00041CB3"/>
    <w:rsid w:val="000428C4"/>
    <w:rsid w:val="00042E65"/>
    <w:rsid w:val="000436CA"/>
    <w:rsid w:val="00043C01"/>
    <w:rsid w:val="00044E7D"/>
    <w:rsid w:val="00045926"/>
    <w:rsid w:val="00045B06"/>
    <w:rsid w:val="0004624A"/>
    <w:rsid w:val="0004630D"/>
    <w:rsid w:val="00047EB2"/>
    <w:rsid w:val="0005012D"/>
    <w:rsid w:val="000501D0"/>
    <w:rsid w:val="0005135D"/>
    <w:rsid w:val="00051CD5"/>
    <w:rsid w:val="00054C98"/>
    <w:rsid w:val="000550DC"/>
    <w:rsid w:val="00055F5F"/>
    <w:rsid w:val="000563AA"/>
    <w:rsid w:val="000576D9"/>
    <w:rsid w:val="00057F92"/>
    <w:rsid w:val="0006117F"/>
    <w:rsid w:val="0006208C"/>
    <w:rsid w:val="00062732"/>
    <w:rsid w:val="000646F0"/>
    <w:rsid w:val="00064E4D"/>
    <w:rsid w:val="000671B5"/>
    <w:rsid w:val="00070567"/>
    <w:rsid w:val="00070857"/>
    <w:rsid w:val="00071852"/>
    <w:rsid w:val="00072E88"/>
    <w:rsid w:val="0007318A"/>
    <w:rsid w:val="0007377C"/>
    <w:rsid w:val="000743CD"/>
    <w:rsid w:val="000749C3"/>
    <w:rsid w:val="00075E94"/>
    <w:rsid w:val="0007605F"/>
    <w:rsid w:val="0007636C"/>
    <w:rsid w:val="000771DA"/>
    <w:rsid w:val="000774FC"/>
    <w:rsid w:val="000812E7"/>
    <w:rsid w:val="00081D92"/>
    <w:rsid w:val="000837A2"/>
    <w:rsid w:val="0008478C"/>
    <w:rsid w:val="00084A31"/>
    <w:rsid w:val="00084B41"/>
    <w:rsid w:val="000856FD"/>
    <w:rsid w:val="00086D98"/>
    <w:rsid w:val="0008778D"/>
    <w:rsid w:val="000905C8"/>
    <w:rsid w:val="000912B8"/>
    <w:rsid w:val="00091A25"/>
    <w:rsid w:val="00092499"/>
    <w:rsid w:val="000924C8"/>
    <w:rsid w:val="00092634"/>
    <w:rsid w:val="00092720"/>
    <w:rsid w:val="00092998"/>
    <w:rsid w:val="00093CDA"/>
    <w:rsid w:val="000966F4"/>
    <w:rsid w:val="00097C05"/>
    <w:rsid w:val="00097D4E"/>
    <w:rsid w:val="000A0009"/>
    <w:rsid w:val="000A04A1"/>
    <w:rsid w:val="000A07D9"/>
    <w:rsid w:val="000A089F"/>
    <w:rsid w:val="000A0D2B"/>
    <w:rsid w:val="000A3880"/>
    <w:rsid w:val="000A3B39"/>
    <w:rsid w:val="000A3D2F"/>
    <w:rsid w:val="000A404F"/>
    <w:rsid w:val="000A477E"/>
    <w:rsid w:val="000A5701"/>
    <w:rsid w:val="000A6790"/>
    <w:rsid w:val="000A6835"/>
    <w:rsid w:val="000A6B64"/>
    <w:rsid w:val="000A6C08"/>
    <w:rsid w:val="000A6C97"/>
    <w:rsid w:val="000A75FD"/>
    <w:rsid w:val="000A7E0D"/>
    <w:rsid w:val="000A7ECA"/>
    <w:rsid w:val="000B05C1"/>
    <w:rsid w:val="000B1627"/>
    <w:rsid w:val="000B1FAC"/>
    <w:rsid w:val="000B2755"/>
    <w:rsid w:val="000B4124"/>
    <w:rsid w:val="000B41F6"/>
    <w:rsid w:val="000B4376"/>
    <w:rsid w:val="000B46C5"/>
    <w:rsid w:val="000B4E1D"/>
    <w:rsid w:val="000B4F95"/>
    <w:rsid w:val="000B6AD1"/>
    <w:rsid w:val="000B7926"/>
    <w:rsid w:val="000B7E62"/>
    <w:rsid w:val="000C0253"/>
    <w:rsid w:val="000C113E"/>
    <w:rsid w:val="000C187F"/>
    <w:rsid w:val="000C1FCA"/>
    <w:rsid w:val="000C22A6"/>
    <w:rsid w:val="000C251B"/>
    <w:rsid w:val="000C2CF0"/>
    <w:rsid w:val="000C32D8"/>
    <w:rsid w:val="000C386E"/>
    <w:rsid w:val="000C3C6E"/>
    <w:rsid w:val="000C46A5"/>
    <w:rsid w:val="000C4A0B"/>
    <w:rsid w:val="000C58DE"/>
    <w:rsid w:val="000C671F"/>
    <w:rsid w:val="000C6869"/>
    <w:rsid w:val="000D0704"/>
    <w:rsid w:val="000D0EE6"/>
    <w:rsid w:val="000D1028"/>
    <w:rsid w:val="000D118D"/>
    <w:rsid w:val="000D1D4B"/>
    <w:rsid w:val="000D1E63"/>
    <w:rsid w:val="000D1FB6"/>
    <w:rsid w:val="000D37A8"/>
    <w:rsid w:val="000D47BB"/>
    <w:rsid w:val="000D4FD4"/>
    <w:rsid w:val="000D5736"/>
    <w:rsid w:val="000D6243"/>
    <w:rsid w:val="000D6EA6"/>
    <w:rsid w:val="000D724A"/>
    <w:rsid w:val="000D739B"/>
    <w:rsid w:val="000D7DD4"/>
    <w:rsid w:val="000D7E4E"/>
    <w:rsid w:val="000D7E96"/>
    <w:rsid w:val="000E00D8"/>
    <w:rsid w:val="000E065C"/>
    <w:rsid w:val="000E0672"/>
    <w:rsid w:val="000E0857"/>
    <w:rsid w:val="000E0FB3"/>
    <w:rsid w:val="000E1256"/>
    <w:rsid w:val="000E2605"/>
    <w:rsid w:val="000E2BFA"/>
    <w:rsid w:val="000E4390"/>
    <w:rsid w:val="000E4FE3"/>
    <w:rsid w:val="000E50AF"/>
    <w:rsid w:val="000E5A99"/>
    <w:rsid w:val="000F0F53"/>
    <w:rsid w:val="000F1087"/>
    <w:rsid w:val="000F2DC1"/>
    <w:rsid w:val="000F372C"/>
    <w:rsid w:val="000F439C"/>
    <w:rsid w:val="000F5592"/>
    <w:rsid w:val="000F564B"/>
    <w:rsid w:val="000F5D44"/>
    <w:rsid w:val="000F603B"/>
    <w:rsid w:val="000F6403"/>
    <w:rsid w:val="000F6829"/>
    <w:rsid w:val="000F6C7F"/>
    <w:rsid w:val="000F6CDA"/>
    <w:rsid w:val="000F7250"/>
    <w:rsid w:val="000F7AAA"/>
    <w:rsid w:val="00100287"/>
    <w:rsid w:val="00100E1B"/>
    <w:rsid w:val="00101107"/>
    <w:rsid w:val="001019CE"/>
    <w:rsid w:val="00102594"/>
    <w:rsid w:val="00102736"/>
    <w:rsid w:val="00102824"/>
    <w:rsid w:val="0010290F"/>
    <w:rsid w:val="00102A9E"/>
    <w:rsid w:val="00104727"/>
    <w:rsid w:val="00104F76"/>
    <w:rsid w:val="001050AE"/>
    <w:rsid w:val="001055A2"/>
    <w:rsid w:val="00105AEF"/>
    <w:rsid w:val="00105DC2"/>
    <w:rsid w:val="001073E3"/>
    <w:rsid w:val="001074FF"/>
    <w:rsid w:val="001077AA"/>
    <w:rsid w:val="00110651"/>
    <w:rsid w:val="00111681"/>
    <w:rsid w:val="00113679"/>
    <w:rsid w:val="00113A80"/>
    <w:rsid w:val="00114F4D"/>
    <w:rsid w:val="00115CE6"/>
    <w:rsid w:val="00116C48"/>
    <w:rsid w:val="001176E6"/>
    <w:rsid w:val="0012028B"/>
    <w:rsid w:val="00120603"/>
    <w:rsid w:val="001208A2"/>
    <w:rsid w:val="001209EF"/>
    <w:rsid w:val="00120A00"/>
    <w:rsid w:val="00120F4C"/>
    <w:rsid w:val="001216C6"/>
    <w:rsid w:val="00122440"/>
    <w:rsid w:val="001228CB"/>
    <w:rsid w:val="001236E4"/>
    <w:rsid w:val="00123E63"/>
    <w:rsid w:val="00124216"/>
    <w:rsid w:val="00124C66"/>
    <w:rsid w:val="001250CA"/>
    <w:rsid w:val="0012713F"/>
    <w:rsid w:val="00127478"/>
    <w:rsid w:val="001275AA"/>
    <w:rsid w:val="001279B9"/>
    <w:rsid w:val="00127F4A"/>
    <w:rsid w:val="00130CCE"/>
    <w:rsid w:val="00131862"/>
    <w:rsid w:val="00132D57"/>
    <w:rsid w:val="00133BF2"/>
    <w:rsid w:val="00133DAF"/>
    <w:rsid w:val="00134AC5"/>
    <w:rsid w:val="001353E2"/>
    <w:rsid w:val="00135CFB"/>
    <w:rsid w:val="001368AE"/>
    <w:rsid w:val="00137713"/>
    <w:rsid w:val="001378F2"/>
    <w:rsid w:val="001417B9"/>
    <w:rsid w:val="00141E82"/>
    <w:rsid w:val="001421AA"/>
    <w:rsid w:val="00142F10"/>
    <w:rsid w:val="001434E0"/>
    <w:rsid w:val="00144E57"/>
    <w:rsid w:val="001458C2"/>
    <w:rsid w:val="00146074"/>
    <w:rsid w:val="00146A50"/>
    <w:rsid w:val="0014730D"/>
    <w:rsid w:val="00147915"/>
    <w:rsid w:val="00147D85"/>
    <w:rsid w:val="001510A9"/>
    <w:rsid w:val="001512A7"/>
    <w:rsid w:val="001520D4"/>
    <w:rsid w:val="0015285F"/>
    <w:rsid w:val="001549DE"/>
    <w:rsid w:val="00154C7A"/>
    <w:rsid w:val="00154F5C"/>
    <w:rsid w:val="001558EF"/>
    <w:rsid w:val="00156A82"/>
    <w:rsid w:val="00156C36"/>
    <w:rsid w:val="00156D88"/>
    <w:rsid w:val="001576C3"/>
    <w:rsid w:val="00157B3F"/>
    <w:rsid w:val="0016180E"/>
    <w:rsid w:val="00162B1B"/>
    <w:rsid w:val="001636D1"/>
    <w:rsid w:val="001637F8"/>
    <w:rsid w:val="0016394A"/>
    <w:rsid w:val="00163D90"/>
    <w:rsid w:val="0016493F"/>
    <w:rsid w:val="0016531B"/>
    <w:rsid w:val="00165321"/>
    <w:rsid w:val="00166159"/>
    <w:rsid w:val="00166AE7"/>
    <w:rsid w:val="00167C28"/>
    <w:rsid w:val="00167C3A"/>
    <w:rsid w:val="00171275"/>
    <w:rsid w:val="00171F75"/>
    <w:rsid w:val="00172B96"/>
    <w:rsid w:val="00172CE7"/>
    <w:rsid w:val="00174509"/>
    <w:rsid w:val="00174826"/>
    <w:rsid w:val="00175855"/>
    <w:rsid w:val="00175944"/>
    <w:rsid w:val="00175B0F"/>
    <w:rsid w:val="00175ECA"/>
    <w:rsid w:val="0017696A"/>
    <w:rsid w:val="00176B5E"/>
    <w:rsid w:val="0017701D"/>
    <w:rsid w:val="00177BD0"/>
    <w:rsid w:val="00180065"/>
    <w:rsid w:val="0018041F"/>
    <w:rsid w:val="00180C3D"/>
    <w:rsid w:val="001819C2"/>
    <w:rsid w:val="00182383"/>
    <w:rsid w:val="00183148"/>
    <w:rsid w:val="00183CDF"/>
    <w:rsid w:val="00184C70"/>
    <w:rsid w:val="00185732"/>
    <w:rsid w:val="00185DCA"/>
    <w:rsid w:val="0018758C"/>
    <w:rsid w:val="00187955"/>
    <w:rsid w:val="00190B61"/>
    <w:rsid w:val="00191617"/>
    <w:rsid w:val="00192918"/>
    <w:rsid w:val="0019292E"/>
    <w:rsid w:val="00193184"/>
    <w:rsid w:val="00193BE4"/>
    <w:rsid w:val="001943CF"/>
    <w:rsid w:val="00195863"/>
    <w:rsid w:val="001960DD"/>
    <w:rsid w:val="0019631E"/>
    <w:rsid w:val="00196A1B"/>
    <w:rsid w:val="001A056A"/>
    <w:rsid w:val="001A1005"/>
    <w:rsid w:val="001A19B2"/>
    <w:rsid w:val="001A208A"/>
    <w:rsid w:val="001A21AA"/>
    <w:rsid w:val="001A2A73"/>
    <w:rsid w:val="001A2AC2"/>
    <w:rsid w:val="001A2AF1"/>
    <w:rsid w:val="001A2D38"/>
    <w:rsid w:val="001A2FF3"/>
    <w:rsid w:val="001A33D6"/>
    <w:rsid w:val="001A4A1F"/>
    <w:rsid w:val="001A563A"/>
    <w:rsid w:val="001A5B34"/>
    <w:rsid w:val="001A706C"/>
    <w:rsid w:val="001A7902"/>
    <w:rsid w:val="001B042B"/>
    <w:rsid w:val="001B18FC"/>
    <w:rsid w:val="001B1933"/>
    <w:rsid w:val="001B1FE9"/>
    <w:rsid w:val="001B2C6D"/>
    <w:rsid w:val="001B2DF9"/>
    <w:rsid w:val="001B362D"/>
    <w:rsid w:val="001B369A"/>
    <w:rsid w:val="001B41AC"/>
    <w:rsid w:val="001B4FB2"/>
    <w:rsid w:val="001B5CA1"/>
    <w:rsid w:val="001B71D4"/>
    <w:rsid w:val="001B7633"/>
    <w:rsid w:val="001C0482"/>
    <w:rsid w:val="001C1039"/>
    <w:rsid w:val="001C16AB"/>
    <w:rsid w:val="001C1AC2"/>
    <w:rsid w:val="001C2563"/>
    <w:rsid w:val="001C2849"/>
    <w:rsid w:val="001C2FBB"/>
    <w:rsid w:val="001C44F5"/>
    <w:rsid w:val="001C479F"/>
    <w:rsid w:val="001C492A"/>
    <w:rsid w:val="001C4BA0"/>
    <w:rsid w:val="001C5B65"/>
    <w:rsid w:val="001C7B59"/>
    <w:rsid w:val="001C7BBE"/>
    <w:rsid w:val="001D03B7"/>
    <w:rsid w:val="001D264B"/>
    <w:rsid w:val="001D2683"/>
    <w:rsid w:val="001D27A5"/>
    <w:rsid w:val="001D28C9"/>
    <w:rsid w:val="001D328F"/>
    <w:rsid w:val="001D3B0D"/>
    <w:rsid w:val="001D47FB"/>
    <w:rsid w:val="001D4D78"/>
    <w:rsid w:val="001D5344"/>
    <w:rsid w:val="001D5656"/>
    <w:rsid w:val="001D6077"/>
    <w:rsid w:val="001D6C28"/>
    <w:rsid w:val="001D6CEE"/>
    <w:rsid w:val="001D75CE"/>
    <w:rsid w:val="001D7927"/>
    <w:rsid w:val="001D7A6D"/>
    <w:rsid w:val="001D7AA5"/>
    <w:rsid w:val="001E0602"/>
    <w:rsid w:val="001E1ABA"/>
    <w:rsid w:val="001E1E97"/>
    <w:rsid w:val="001E31A4"/>
    <w:rsid w:val="001E4C6C"/>
    <w:rsid w:val="001E59F9"/>
    <w:rsid w:val="001E5F52"/>
    <w:rsid w:val="001E7433"/>
    <w:rsid w:val="001E787B"/>
    <w:rsid w:val="001E7A8F"/>
    <w:rsid w:val="001F03C7"/>
    <w:rsid w:val="001F09C5"/>
    <w:rsid w:val="001F1E1F"/>
    <w:rsid w:val="001F26F1"/>
    <w:rsid w:val="001F3134"/>
    <w:rsid w:val="001F3A71"/>
    <w:rsid w:val="001F3C0E"/>
    <w:rsid w:val="001F4FF6"/>
    <w:rsid w:val="001F51A0"/>
    <w:rsid w:val="001F5229"/>
    <w:rsid w:val="001F5CC6"/>
    <w:rsid w:val="001F5E19"/>
    <w:rsid w:val="001F6905"/>
    <w:rsid w:val="001F79E3"/>
    <w:rsid w:val="00202BC3"/>
    <w:rsid w:val="00203911"/>
    <w:rsid w:val="00203A37"/>
    <w:rsid w:val="00203BF7"/>
    <w:rsid w:val="00204792"/>
    <w:rsid w:val="00205C28"/>
    <w:rsid w:val="00206604"/>
    <w:rsid w:val="0020717D"/>
    <w:rsid w:val="002072CF"/>
    <w:rsid w:val="00207D24"/>
    <w:rsid w:val="0021043D"/>
    <w:rsid w:val="00210445"/>
    <w:rsid w:val="00210EE2"/>
    <w:rsid w:val="00211765"/>
    <w:rsid w:val="00211B6A"/>
    <w:rsid w:val="00212523"/>
    <w:rsid w:val="002136E7"/>
    <w:rsid w:val="0021424F"/>
    <w:rsid w:val="00216949"/>
    <w:rsid w:val="002178F3"/>
    <w:rsid w:val="00220176"/>
    <w:rsid w:val="002206DB"/>
    <w:rsid w:val="00220A23"/>
    <w:rsid w:val="002216E4"/>
    <w:rsid w:val="0022182D"/>
    <w:rsid w:val="00221B62"/>
    <w:rsid w:val="00221E61"/>
    <w:rsid w:val="0022308D"/>
    <w:rsid w:val="0022323F"/>
    <w:rsid w:val="00224430"/>
    <w:rsid w:val="00224859"/>
    <w:rsid w:val="00225A12"/>
    <w:rsid w:val="002261B3"/>
    <w:rsid w:val="00226840"/>
    <w:rsid w:val="00230343"/>
    <w:rsid w:val="0023038A"/>
    <w:rsid w:val="002308BB"/>
    <w:rsid w:val="00230FD2"/>
    <w:rsid w:val="002318B6"/>
    <w:rsid w:val="00231EB6"/>
    <w:rsid w:val="00232A01"/>
    <w:rsid w:val="0023396B"/>
    <w:rsid w:val="00233CEF"/>
    <w:rsid w:val="00233FD0"/>
    <w:rsid w:val="00234C48"/>
    <w:rsid w:val="002350B1"/>
    <w:rsid w:val="002352B0"/>
    <w:rsid w:val="002354E4"/>
    <w:rsid w:val="00235CA8"/>
    <w:rsid w:val="002360F3"/>
    <w:rsid w:val="002362B0"/>
    <w:rsid w:val="002364E7"/>
    <w:rsid w:val="00236D1D"/>
    <w:rsid w:val="002370E6"/>
    <w:rsid w:val="002378BB"/>
    <w:rsid w:val="00240493"/>
    <w:rsid w:val="002416EC"/>
    <w:rsid w:val="002428E9"/>
    <w:rsid w:val="00243942"/>
    <w:rsid w:val="002447EC"/>
    <w:rsid w:val="00244BFF"/>
    <w:rsid w:val="002464E8"/>
    <w:rsid w:val="002466EF"/>
    <w:rsid w:val="0024710C"/>
    <w:rsid w:val="002473F9"/>
    <w:rsid w:val="0025009A"/>
    <w:rsid w:val="0025026B"/>
    <w:rsid w:val="002504FC"/>
    <w:rsid w:val="00250E7C"/>
    <w:rsid w:val="002510B6"/>
    <w:rsid w:val="00253776"/>
    <w:rsid w:val="00253F9B"/>
    <w:rsid w:val="00255417"/>
    <w:rsid w:val="0025546D"/>
    <w:rsid w:val="0025647A"/>
    <w:rsid w:val="002567A7"/>
    <w:rsid w:val="0025756A"/>
    <w:rsid w:val="002576B7"/>
    <w:rsid w:val="00257746"/>
    <w:rsid w:val="00257856"/>
    <w:rsid w:val="00257989"/>
    <w:rsid w:val="00257A18"/>
    <w:rsid w:val="00260517"/>
    <w:rsid w:val="00260CFD"/>
    <w:rsid w:val="00261025"/>
    <w:rsid w:val="002615B0"/>
    <w:rsid w:val="00261726"/>
    <w:rsid w:val="0026291B"/>
    <w:rsid w:val="00262B65"/>
    <w:rsid w:val="00262EA4"/>
    <w:rsid w:val="00262FED"/>
    <w:rsid w:val="002642A8"/>
    <w:rsid w:val="00265873"/>
    <w:rsid w:val="00266C81"/>
    <w:rsid w:val="00267328"/>
    <w:rsid w:val="00270185"/>
    <w:rsid w:val="002709C4"/>
    <w:rsid w:val="00270B51"/>
    <w:rsid w:val="00272E0F"/>
    <w:rsid w:val="00272E54"/>
    <w:rsid w:val="00273521"/>
    <w:rsid w:val="00273CF6"/>
    <w:rsid w:val="0027442F"/>
    <w:rsid w:val="00274963"/>
    <w:rsid w:val="002752DC"/>
    <w:rsid w:val="002758D3"/>
    <w:rsid w:val="00276162"/>
    <w:rsid w:val="00276606"/>
    <w:rsid w:val="0027706C"/>
    <w:rsid w:val="00277152"/>
    <w:rsid w:val="00280E38"/>
    <w:rsid w:val="00280EF7"/>
    <w:rsid w:val="002817CE"/>
    <w:rsid w:val="00281CA6"/>
    <w:rsid w:val="00283AA6"/>
    <w:rsid w:val="0028432C"/>
    <w:rsid w:val="00284569"/>
    <w:rsid w:val="00284808"/>
    <w:rsid w:val="00284E46"/>
    <w:rsid w:val="00284E8F"/>
    <w:rsid w:val="00285486"/>
    <w:rsid w:val="002857E2"/>
    <w:rsid w:val="00286A4B"/>
    <w:rsid w:val="002870A9"/>
    <w:rsid w:val="002878BE"/>
    <w:rsid w:val="00290724"/>
    <w:rsid w:val="00290ABD"/>
    <w:rsid w:val="00291C6F"/>
    <w:rsid w:val="00292DAB"/>
    <w:rsid w:val="00293A2F"/>
    <w:rsid w:val="00293AF0"/>
    <w:rsid w:val="00293DBB"/>
    <w:rsid w:val="00293E05"/>
    <w:rsid w:val="0029547A"/>
    <w:rsid w:val="0029602B"/>
    <w:rsid w:val="00296193"/>
    <w:rsid w:val="002A0619"/>
    <w:rsid w:val="002A0B4A"/>
    <w:rsid w:val="002A1C07"/>
    <w:rsid w:val="002A3166"/>
    <w:rsid w:val="002A3222"/>
    <w:rsid w:val="002A348F"/>
    <w:rsid w:val="002A34C1"/>
    <w:rsid w:val="002A3740"/>
    <w:rsid w:val="002A3A73"/>
    <w:rsid w:val="002A5C43"/>
    <w:rsid w:val="002A68D0"/>
    <w:rsid w:val="002A729E"/>
    <w:rsid w:val="002A7FB5"/>
    <w:rsid w:val="002B19BD"/>
    <w:rsid w:val="002B1C52"/>
    <w:rsid w:val="002B1CD3"/>
    <w:rsid w:val="002B2065"/>
    <w:rsid w:val="002B233F"/>
    <w:rsid w:val="002B25A6"/>
    <w:rsid w:val="002B262D"/>
    <w:rsid w:val="002B35F2"/>
    <w:rsid w:val="002B3F5D"/>
    <w:rsid w:val="002B5C14"/>
    <w:rsid w:val="002B6125"/>
    <w:rsid w:val="002B613D"/>
    <w:rsid w:val="002B61CC"/>
    <w:rsid w:val="002B7E47"/>
    <w:rsid w:val="002C05BF"/>
    <w:rsid w:val="002C132A"/>
    <w:rsid w:val="002C1BC4"/>
    <w:rsid w:val="002C3C8C"/>
    <w:rsid w:val="002C4010"/>
    <w:rsid w:val="002C4568"/>
    <w:rsid w:val="002C48C1"/>
    <w:rsid w:val="002C57E5"/>
    <w:rsid w:val="002C5EE8"/>
    <w:rsid w:val="002C75F8"/>
    <w:rsid w:val="002C7704"/>
    <w:rsid w:val="002C7F13"/>
    <w:rsid w:val="002D0B51"/>
    <w:rsid w:val="002D0F82"/>
    <w:rsid w:val="002D1528"/>
    <w:rsid w:val="002D206A"/>
    <w:rsid w:val="002D2BD3"/>
    <w:rsid w:val="002D358E"/>
    <w:rsid w:val="002D402D"/>
    <w:rsid w:val="002D4073"/>
    <w:rsid w:val="002D5CB1"/>
    <w:rsid w:val="002D65B3"/>
    <w:rsid w:val="002D6689"/>
    <w:rsid w:val="002D7D6B"/>
    <w:rsid w:val="002E05AA"/>
    <w:rsid w:val="002E1515"/>
    <w:rsid w:val="002E1DD3"/>
    <w:rsid w:val="002E2247"/>
    <w:rsid w:val="002E276B"/>
    <w:rsid w:val="002E3843"/>
    <w:rsid w:val="002E3A78"/>
    <w:rsid w:val="002E3F95"/>
    <w:rsid w:val="002E4433"/>
    <w:rsid w:val="002E4E8A"/>
    <w:rsid w:val="002E5004"/>
    <w:rsid w:val="002E6802"/>
    <w:rsid w:val="002E6BCA"/>
    <w:rsid w:val="002E74C5"/>
    <w:rsid w:val="002E7F34"/>
    <w:rsid w:val="002F08DF"/>
    <w:rsid w:val="002F23A5"/>
    <w:rsid w:val="002F250D"/>
    <w:rsid w:val="002F2606"/>
    <w:rsid w:val="002F3006"/>
    <w:rsid w:val="002F447C"/>
    <w:rsid w:val="002F458B"/>
    <w:rsid w:val="002F47D8"/>
    <w:rsid w:val="002F4854"/>
    <w:rsid w:val="002F52A9"/>
    <w:rsid w:val="002F544E"/>
    <w:rsid w:val="002F5935"/>
    <w:rsid w:val="002F6925"/>
    <w:rsid w:val="002F7ED3"/>
    <w:rsid w:val="00301D68"/>
    <w:rsid w:val="00302204"/>
    <w:rsid w:val="003031DA"/>
    <w:rsid w:val="00303300"/>
    <w:rsid w:val="003033B2"/>
    <w:rsid w:val="00303A27"/>
    <w:rsid w:val="00304875"/>
    <w:rsid w:val="00305E87"/>
    <w:rsid w:val="0030621F"/>
    <w:rsid w:val="00306507"/>
    <w:rsid w:val="00306A2A"/>
    <w:rsid w:val="00306CE2"/>
    <w:rsid w:val="003070C8"/>
    <w:rsid w:val="00310769"/>
    <w:rsid w:val="0031149B"/>
    <w:rsid w:val="00311896"/>
    <w:rsid w:val="00312001"/>
    <w:rsid w:val="00312651"/>
    <w:rsid w:val="0031272F"/>
    <w:rsid w:val="00313634"/>
    <w:rsid w:val="00313BED"/>
    <w:rsid w:val="003151AB"/>
    <w:rsid w:val="00317315"/>
    <w:rsid w:val="00317367"/>
    <w:rsid w:val="00317601"/>
    <w:rsid w:val="00317A49"/>
    <w:rsid w:val="00320520"/>
    <w:rsid w:val="0032055D"/>
    <w:rsid w:val="00320B4A"/>
    <w:rsid w:val="00320C5B"/>
    <w:rsid w:val="00321442"/>
    <w:rsid w:val="00321D3F"/>
    <w:rsid w:val="00322F05"/>
    <w:rsid w:val="00323434"/>
    <w:rsid w:val="00324F79"/>
    <w:rsid w:val="0032518D"/>
    <w:rsid w:val="003256A5"/>
    <w:rsid w:val="00327401"/>
    <w:rsid w:val="003275CF"/>
    <w:rsid w:val="003279CB"/>
    <w:rsid w:val="00330AC7"/>
    <w:rsid w:val="00330DE1"/>
    <w:rsid w:val="0033108E"/>
    <w:rsid w:val="0033149D"/>
    <w:rsid w:val="00331940"/>
    <w:rsid w:val="00333135"/>
    <w:rsid w:val="00334697"/>
    <w:rsid w:val="003346EB"/>
    <w:rsid w:val="003352FF"/>
    <w:rsid w:val="00335933"/>
    <w:rsid w:val="003362B9"/>
    <w:rsid w:val="00337062"/>
    <w:rsid w:val="003370E4"/>
    <w:rsid w:val="00340323"/>
    <w:rsid w:val="00340960"/>
    <w:rsid w:val="003412F1"/>
    <w:rsid w:val="00342523"/>
    <w:rsid w:val="003430AD"/>
    <w:rsid w:val="003437BD"/>
    <w:rsid w:val="00343A33"/>
    <w:rsid w:val="00343D67"/>
    <w:rsid w:val="0034405B"/>
    <w:rsid w:val="00344D33"/>
    <w:rsid w:val="003458C2"/>
    <w:rsid w:val="00345EA1"/>
    <w:rsid w:val="00347475"/>
    <w:rsid w:val="00347774"/>
    <w:rsid w:val="003478CF"/>
    <w:rsid w:val="00347B2C"/>
    <w:rsid w:val="003509F4"/>
    <w:rsid w:val="00350E98"/>
    <w:rsid w:val="00350F8B"/>
    <w:rsid w:val="00350FC8"/>
    <w:rsid w:val="003520AD"/>
    <w:rsid w:val="00352CB0"/>
    <w:rsid w:val="003537B4"/>
    <w:rsid w:val="003541C6"/>
    <w:rsid w:val="00355191"/>
    <w:rsid w:val="00355EDE"/>
    <w:rsid w:val="00356733"/>
    <w:rsid w:val="00357063"/>
    <w:rsid w:val="00357B0C"/>
    <w:rsid w:val="00360784"/>
    <w:rsid w:val="003608E7"/>
    <w:rsid w:val="00360AA1"/>
    <w:rsid w:val="00360F5F"/>
    <w:rsid w:val="00361896"/>
    <w:rsid w:val="0036246B"/>
    <w:rsid w:val="00363E43"/>
    <w:rsid w:val="0036453C"/>
    <w:rsid w:val="00364E6F"/>
    <w:rsid w:val="00364EF4"/>
    <w:rsid w:val="0036500A"/>
    <w:rsid w:val="00365B66"/>
    <w:rsid w:val="003670F0"/>
    <w:rsid w:val="003703E3"/>
    <w:rsid w:val="00370B96"/>
    <w:rsid w:val="003710BC"/>
    <w:rsid w:val="00371514"/>
    <w:rsid w:val="00371635"/>
    <w:rsid w:val="00374532"/>
    <w:rsid w:val="00374868"/>
    <w:rsid w:val="00374F43"/>
    <w:rsid w:val="0037576D"/>
    <w:rsid w:val="00375DF4"/>
    <w:rsid w:val="003760F4"/>
    <w:rsid w:val="00376313"/>
    <w:rsid w:val="003763C3"/>
    <w:rsid w:val="00377623"/>
    <w:rsid w:val="00380366"/>
    <w:rsid w:val="003825A1"/>
    <w:rsid w:val="00382625"/>
    <w:rsid w:val="0038274A"/>
    <w:rsid w:val="00383004"/>
    <w:rsid w:val="003830CE"/>
    <w:rsid w:val="00383171"/>
    <w:rsid w:val="00383958"/>
    <w:rsid w:val="00385E2D"/>
    <w:rsid w:val="0038653B"/>
    <w:rsid w:val="003867E5"/>
    <w:rsid w:val="00387448"/>
    <w:rsid w:val="00387CB9"/>
    <w:rsid w:val="00390902"/>
    <w:rsid w:val="00391492"/>
    <w:rsid w:val="0039262E"/>
    <w:rsid w:val="00392CFA"/>
    <w:rsid w:val="003937F3"/>
    <w:rsid w:val="00394740"/>
    <w:rsid w:val="00394EE6"/>
    <w:rsid w:val="00394F71"/>
    <w:rsid w:val="00395B17"/>
    <w:rsid w:val="0039678F"/>
    <w:rsid w:val="003A0715"/>
    <w:rsid w:val="003A1553"/>
    <w:rsid w:val="003A15D6"/>
    <w:rsid w:val="003A171B"/>
    <w:rsid w:val="003A28E7"/>
    <w:rsid w:val="003A313F"/>
    <w:rsid w:val="003A5145"/>
    <w:rsid w:val="003A5894"/>
    <w:rsid w:val="003A6FB3"/>
    <w:rsid w:val="003B0A45"/>
    <w:rsid w:val="003B0E89"/>
    <w:rsid w:val="003B1E1C"/>
    <w:rsid w:val="003B2408"/>
    <w:rsid w:val="003B2445"/>
    <w:rsid w:val="003B280B"/>
    <w:rsid w:val="003B396A"/>
    <w:rsid w:val="003B3CD8"/>
    <w:rsid w:val="003B4D9C"/>
    <w:rsid w:val="003B6766"/>
    <w:rsid w:val="003B6A5F"/>
    <w:rsid w:val="003B6CD5"/>
    <w:rsid w:val="003B7E9A"/>
    <w:rsid w:val="003B7F05"/>
    <w:rsid w:val="003C1CD6"/>
    <w:rsid w:val="003C20EE"/>
    <w:rsid w:val="003C27FC"/>
    <w:rsid w:val="003C3A1E"/>
    <w:rsid w:val="003C4786"/>
    <w:rsid w:val="003C4AE3"/>
    <w:rsid w:val="003C4B41"/>
    <w:rsid w:val="003C4FE7"/>
    <w:rsid w:val="003C505B"/>
    <w:rsid w:val="003C550B"/>
    <w:rsid w:val="003C61B6"/>
    <w:rsid w:val="003C6F0F"/>
    <w:rsid w:val="003C6FB4"/>
    <w:rsid w:val="003C71CF"/>
    <w:rsid w:val="003C729D"/>
    <w:rsid w:val="003C789D"/>
    <w:rsid w:val="003D0863"/>
    <w:rsid w:val="003D12D4"/>
    <w:rsid w:val="003D33F9"/>
    <w:rsid w:val="003D3AEB"/>
    <w:rsid w:val="003D4158"/>
    <w:rsid w:val="003D4A56"/>
    <w:rsid w:val="003D5827"/>
    <w:rsid w:val="003D606D"/>
    <w:rsid w:val="003D6552"/>
    <w:rsid w:val="003D6FCB"/>
    <w:rsid w:val="003D7B2C"/>
    <w:rsid w:val="003E16DC"/>
    <w:rsid w:val="003E178E"/>
    <w:rsid w:val="003E1917"/>
    <w:rsid w:val="003E259A"/>
    <w:rsid w:val="003E2B5C"/>
    <w:rsid w:val="003E5211"/>
    <w:rsid w:val="003E57B1"/>
    <w:rsid w:val="003E647A"/>
    <w:rsid w:val="003E6BE3"/>
    <w:rsid w:val="003F03C1"/>
    <w:rsid w:val="003F0458"/>
    <w:rsid w:val="003F0558"/>
    <w:rsid w:val="003F170A"/>
    <w:rsid w:val="003F1CB7"/>
    <w:rsid w:val="003F31D2"/>
    <w:rsid w:val="003F3716"/>
    <w:rsid w:val="003F3DC0"/>
    <w:rsid w:val="003F4845"/>
    <w:rsid w:val="003F4DBE"/>
    <w:rsid w:val="003F557E"/>
    <w:rsid w:val="003F5B46"/>
    <w:rsid w:val="003F668B"/>
    <w:rsid w:val="003F6C19"/>
    <w:rsid w:val="003F6FCF"/>
    <w:rsid w:val="003F7535"/>
    <w:rsid w:val="003F7CC5"/>
    <w:rsid w:val="00400570"/>
    <w:rsid w:val="00400A47"/>
    <w:rsid w:val="00400BF3"/>
    <w:rsid w:val="00400D68"/>
    <w:rsid w:val="00400ED7"/>
    <w:rsid w:val="00401A63"/>
    <w:rsid w:val="00403AEB"/>
    <w:rsid w:val="00404EC5"/>
    <w:rsid w:val="00405E9D"/>
    <w:rsid w:val="004067AD"/>
    <w:rsid w:val="00407EE0"/>
    <w:rsid w:val="00410A70"/>
    <w:rsid w:val="0041119E"/>
    <w:rsid w:val="00411692"/>
    <w:rsid w:val="0041198D"/>
    <w:rsid w:val="00411C02"/>
    <w:rsid w:val="00412401"/>
    <w:rsid w:val="00414806"/>
    <w:rsid w:val="00414D75"/>
    <w:rsid w:val="00415312"/>
    <w:rsid w:val="00416D9A"/>
    <w:rsid w:val="00420A1F"/>
    <w:rsid w:val="00420E0B"/>
    <w:rsid w:val="00421EA7"/>
    <w:rsid w:val="00422B56"/>
    <w:rsid w:val="00424766"/>
    <w:rsid w:val="00424B78"/>
    <w:rsid w:val="004253F8"/>
    <w:rsid w:val="004255D8"/>
    <w:rsid w:val="0042568E"/>
    <w:rsid w:val="0042581B"/>
    <w:rsid w:val="004259C6"/>
    <w:rsid w:val="00426036"/>
    <w:rsid w:val="0042651B"/>
    <w:rsid w:val="00427580"/>
    <w:rsid w:val="00427675"/>
    <w:rsid w:val="00427A49"/>
    <w:rsid w:val="00427A6F"/>
    <w:rsid w:val="00427C88"/>
    <w:rsid w:val="004314C1"/>
    <w:rsid w:val="00431D54"/>
    <w:rsid w:val="004335E8"/>
    <w:rsid w:val="00433746"/>
    <w:rsid w:val="0043404D"/>
    <w:rsid w:val="00434527"/>
    <w:rsid w:val="004346CD"/>
    <w:rsid w:val="00434F2C"/>
    <w:rsid w:val="0043529A"/>
    <w:rsid w:val="004359C6"/>
    <w:rsid w:val="00436A3E"/>
    <w:rsid w:val="00436E66"/>
    <w:rsid w:val="0044004D"/>
    <w:rsid w:val="004402DE"/>
    <w:rsid w:val="00440487"/>
    <w:rsid w:val="004406AF"/>
    <w:rsid w:val="00440D78"/>
    <w:rsid w:val="00441A00"/>
    <w:rsid w:val="00441A2A"/>
    <w:rsid w:val="004420F6"/>
    <w:rsid w:val="0044224E"/>
    <w:rsid w:val="00442DD8"/>
    <w:rsid w:val="00443355"/>
    <w:rsid w:val="0044359A"/>
    <w:rsid w:val="004436CF"/>
    <w:rsid w:val="00444F65"/>
    <w:rsid w:val="00445109"/>
    <w:rsid w:val="004452FC"/>
    <w:rsid w:val="004459DE"/>
    <w:rsid w:val="00446720"/>
    <w:rsid w:val="004476C6"/>
    <w:rsid w:val="00447B2B"/>
    <w:rsid w:val="00447D19"/>
    <w:rsid w:val="0045130C"/>
    <w:rsid w:val="0045140A"/>
    <w:rsid w:val="004526AD"/>
    <w:rsid w:val="00453578"/>
    <w:rsid w:val="004536B7"/>
    <w:rsid w:val="00453F52"/>
    <w:rsid w:val="004542EC"/>
    <w:rsid w:val="004546EB"/>
    <w:rsid w:val="00454916"/>
    <w:rsid w:val="00454A58"/>
    <w:rsid w:val="00455214"/>
    <w:rsid w:val="00456136"/>
    <w:rsid w:val="00456D5A"/>
    <w:rsid w:val="00457919"/>
    <w:rsid w:val="00457F81"/>
    <w:rsid w:val="004607DD"/>
    <w:rsid w:val="00460877"/>
    <w:rsid w:val="004609F8"/>
    <w:rsid w:val="0046133D"/>
    <w:rsid w:val="00463206"/>
    <w:rsid w:val="00464328"/>
    <w:rsid w:val="00464939"/>
    <w:rsid w:val="00465106"/>
    <w:rsid w:val="00465154"/>
    <w:rsid w:val="00465292"/>
    <w:rsid w:val="00465912"/>
    <w:rsid w:val="00465F5A"/>
    <w:rsid w:val="0046638A"/>
    <w:rsid w:val="0046690E"/>
    <w:rsid w:val="0046742A"/>
    <w:rsid w:val="0047077B"/>
    <w:rsid w:val="00471F10"/>
    <w:rsid w:val="004720C8"/>
    <w:rsid w:val="00472549"/>
    <w:rsid w:val="00472C9B"/>
    <w:rsid w:val="00473A5E"/>
    <w:rsid w:val="00473BCD"/>
    <w:rsid w:val="004758A9"/>
    <w:rsid w:val="00475F17"/>
    <w:rsid w:val="00476273"/>
    <w:rsid w:val="00477399"/>
    <w:rsid w:val="00477BD4"/>
    <w:rsid w:val="0048020B"/>
    <w:rsid w:val="004809AC"/>
    <w:rsid w:val="0048128B"/>
    <w:rsid w:val="004850A5"/>
    <w:rsid w:val="00485F92"/>
    <w:rsid w:val="004864DA"/>
    <w:rsid w:val="004872BC"/>
    <w:rsid w:val="004874A4"/>
    <w:rsid w:val="00487B76"/>
    <w:rsid w:val="00487BD9"/>
    <w:rsid w:val="00487D48"/>
    <w:rsid w:val="00487F47"/>
    <w:rsid w:val="00491D5D"/>
    <w:rsid w:val="00492818"/>
    <w:rsid w:val="00493772"/>
    <w:rsid w:val="00494355"/>
    <w:rsid w:val="00494945"/>
    <w:rsid w:val="00495AE0"/>
    <w:rsid w:val="00495B7D"/>
    <w:rsid w:val="00495E07"/>
    <w:rsid w:val="00496D50"/>
    <w:rsid w:val="00496DDC"/>
    <w:rsid w:val="00497AC1"/>
    <w:rsid w:val="00497F70"/>
    <w:rsid w:val="004A03E5"/>
    <w:rsid w:val="004A095F"/>
    <w:rsid w:val="004A174C"/>
    <w:rsid w:val="004A3921"/>
    <w:rsid w:val="004A503D"/>
    <w:rsid w:val="004A5D38"/>
    <w:rsid w:val="004A77B2"/>
    <w:rsid w:val="004A77EB"/>
    <w:rsid w:val="004A78D2"/>
    <w:rsid w:val="004B07DA"/>
    <w:rsid w:val="004B141F"/>
    <w:rsid w:val="004B1A34"/>
    <w:rsid w:val="004B31DA"/>
    <w:rsid w:val="004B3CD3"/>
    <w:rsid w:val="004B4A8D"/>
    <w:rsid w:val="004B5594"/>
    <w:rsid w:val="004B57BB"/>
    <w:rsid w:val="004B6094"/>
    <w:rsid w:val="004B61A3"/>
    <w:rsid w:val="004B65F1"/>
    <w:rsid w:val="004B73BA"/>
    <w:rsid w:val="004B7A44"/>
    <w:rsid w:val="004C036A"/>
    <w:rsid w:val="004C06F3"/>
    <w:rsid w:val="004C0E28"/>
    <w:rsid w:val="004C190E"/>
    <w:rsid w:val="004C25C2"/>
    <w:rsid w:val="004C3217"/>
    <w:rsid w:val="004C456B"/>
    <w:rsid w:val="004C4D5F"/>
    <w:rsid w:val="004C5ADE"/>
    <w:rsid w:val="004C5B58"/>
    <w:rsid w:val="004C5DC0"/>
    <w:rsid w:val="004C6B54"/>
    <w:rsid w:val="004C6CE9"/>
    <w:rsid w:val="004C6F73"/>
    <w:rsid w:val="004C720E"/>
    <w:rsid w:val="004C727A"/>
    <w:rsid w:val="004D05F3"/>
    <w:rsid w:val="004D0AB0"/>
    <w:rsid w:val="004D150E"/>
    <w:rsid w:val="004D21D9"/>
    <w:rsid w:val="004D238B"/>
    <w:rsid w:val="004D2B85"/>
    <w:rsid w:val="004D2C41"/>
    <w:rsid w:val="004D3040"/>
    <w:rsid w:val="004D340A"/>
    <w:rsid w:val="004D35E8"/>
    <w:rsid w:val="004D4FBA"/>
    <w:rsid w:val="004D55AF"/>
    <w:rsid w:val="004D5F73"/>
    <w:rsid w:val="004D614C"/>
    <w:rsid w:val="004D6D56"/>
    <w:rsid w:val="004D7AF7"/>
    <w:rsid w:val="004E1DAE"/>
    <w:rsid w:val="004E25A6"/>
    <w:rsid w:val="004E32BA"/>
    <w:rsid w:val="004E4D1B"/>
    <w:rsid w:val="004E5543"/>
    <w:rsid w:val="004E7C2F"/>
    <w:rsid w:val="004E7D16"/>
    <w:rsid w:val="004F0769"/>
    <w:rsid w:val="004F0D50"/>
    <w:rsid w:val="004F13B8"/>
    <w:rsid w:val="004F264E"/>
    <w:rsid w:val="004F273D"/>
    <w:rsid w:val="004F5759"/>
    <w:rsid w:val="004F5FDD"/>
    <w:rsid w:val="004F6475"/>
    <w:rsid w:val="004F6B34"/>
    <w:rsid w:val="004F7405"/>
    <w:rsid w:val="004F7DDE"/>
    <w:rsid w:val="0050001C"/>
    <w:rsid w:val="00501E30"/>
    <w:rsid w:val="00502730"/>
    <w:rsid w:val="00502D63"/>
    <w:rsid w:val="00502EA7"/>
    <w:rsid w:val="00503FB2"/>
    <w:rsid w:val="00504773"/>
    <w:rsid w:val="005047DF"/>
    <w:rsid w:val="00506C22"/>
    <w:rsid w:val="00511473"/>
    <w:rsid w:val="005125AD"/>
    <w:rsid w:val="0051333F"/>
    <w:rsid w:val="00513C59"/>
    <w:rsid w:val="00513E14"/>
    <w:rsid w:val="005154C1"/>
    <w:rsid w:val="005162AB"/>
    <w:rsid w:val="0051638E"/>
    <w:rsid w:val="005165A1"/>
    <w:rsid w:val="00517B84"/>
    <w:rsid w:val="00517BDC"/>
    <w:rsid w:val="00517FE3"/>
    <w:rsid w:val="005200A1"/>
    <w:rsid w:val="00521122"/>
    <w:rsid w:val="00521688"/>
    <w:rsid w:val="00521CA4"/>
    <w:rsid w:val="0052291E"/>
    <w:rsid w:val="0052351B"/>
    <w:rsid w:val="005236B7"/>
    <w:rsid w:val="00525C0A"/>
    <w:rsid w:val="005267C3"/>
    <w:rsid w:val="00527627"/>
    <w:rsid w:val="005277AA"/>
    <w:rsid w:val="00530128"/>
    <w:rsid w:val="005317B6"/>
    <w:rsid w:val="0053214E"/>
    <w:rsid w:val="005322C2"/>
    <w:rsid w:val="005331FE"/>
    <w:rsid w:val="005343F9"/>
    <w:rsid w:val="00534CD1"/>
    <w:rsid w:val="005376B6"/>
    <w:rsid w:val="005377BD"/>
    <w:rsid w:val="00537ECC"/>
    <w:rsid w:val="00540D94"/>
    <w:rsid w:val="00541146"/>
    <w:rsid w:val="00541362"/>
    <w:rsid w:val="00542814"/>
    <w:rsid w:val="0054384E"/>
    <w:rsid w:val="00544DC1"/>
    <w:rsid w:val="00545213"/>
    <w:rsid w:val="00545CC2"/>
    <w:rsid w:val="00546238"/>
    <w:rsid w:val="00546731"/>
    <w:rsid w:val="00546A63"/>
    <w:rsid w:val="00547D3F"/>
    <w:rsid w:val="005504DA"/>
    <w:rsid w:val="00550ECF"/>
    <w:rsid w:val="00551C56"/>
    <w:rsid w:val="00552271"/>
    <w:rsid w:val="00552A11"/>
    <w:rsid w:val="00553F8E"/>
    <w:rsid w:val="00554BBA"/>
    <w:rsid w:val="00556503"/>
    <w:rsid w:val="005577D9"/>
    <w:rsid w:val="00561DA8"/>
    <w:rsid w:val="00562CB2"/>
    <w:rsid w:val="005639AD"/>
    <w:rsid w:val="00563E4F"/>
    <w:rsid w:val="005648EF"/>
    <w:rsid w:val="00565DC6"/>
    <w:rsid w:val="00566AD7"/>
    <w:rsid w:val="00566C30"/>
    <w:rsid w:val="00566F15"/>
    <w:rsid w:val="00567A20"/>
    <w:rsid w:val="00567CA0"/>
    <w:rsid w:val="0057078C"/>
    <w:rsid w:val="00571051"/>
    <w:rsid w:val="00571BA6"/>
    <w:rsid w:val="00571D6D"/>
    <w:rsid w:val="00571EB9"/>
    <w:rsid w:val="00572409"/>
    <w:rsid w:val="005728F5"/>
    <w:rsid w:val="00572F46"/>
    <w:rsid w:val="00573489"/>
    <w:rsid w:val="00574A02"/>
    <w:rsid w:val="00574BAD"/>
    <w:rsid w:val="00575659"/>
    <w:rsid w:val="00576607"/>
    <w:rsid w:val="00576A54"/>
    <w:rsid w:val="00576E4C"/>
    <w:rsid w:val="00577004"/>
    <w:rsid w:val="005778FE"/>
    <w:rsid w:val="00577AB0"/>
    <w:rsid w:val="00577DC6"/>
    <w:rsid w:val="00580262"/>
    <w:rsid w:val="00580D30"/>
    <w:rsid w:val="00580DDB"/>
    <w:rsid w:val="00581331"/>
    <w:rsid w:val="0058138F"/>
    <w:rsid w:val="005816F4"/>
    <w:rsid w:val="005817CA"/>
    <w:rsid w:val="00581BDF"/>
    <w:rsid w:val="00583257"/>
    <w:rsid w:val="005847E4"/>
    <w:rsid w:val="00584CBE"/>
    <w:rsid w:val="0058514A"/>
    <w:rsid w:val="00585174"/>
    <w:rsid w:val="00586316"/>
    <w:rsid w:val="005864D3"/>
    <w:rsid w:val="0058656D"/>
    <w:rsid w:val="0058702A"/>
    <w:rsid w:val="005871B2"/>
    <w:rsid w:val="00587222"/>
    <w:rsid w:val="00587B48"/>
    <w:rsid w:val="0059038C"/>
    <w:rsid w:val="00591F6D"/>
    <w:rsid w:val="005921E2"/>
    <w:rsid w:val="00592455"/>
    <w:rsid w:val="00594005"/>
    <w:rsid w:val="00594449"/>
    <w:rsid w:val="00594E87"/>
    <w:rsid w:val="005950E5"/>
    <w:rsid w:val="00595875"/>
    <w:rsid w:val="005958C2"/>
    <w:rsid w:val="005960A5"/>
    <w:rsid w:val="0059634F"/>
    <w:rsid w:val="00596424"/>
    <w:rsid w:val="005966FE"/>
    <w:rsid w:val="00596962"/>
    <w:rsid w:val="0059723C"/>
    <w:rsid w:val="00597309"/>
    <w:rsid w:val="005A0ADE"/>
    <w:rsid w:val="005A1772"/>
    <w:rsid w:val="005A1D95"/>
    <w:rsid w:val="005A4CD3"/>
    <w:rsid w:val="005A5437"/>
    <w:rsid w:val="005A5FC0"/>
    <w:rsid w:val="005A6F7C"/>
    <w:rsid w:val="005B132F"/>
    <w:rsid w:val="005B15EB"/>
    <w:rsid w:val="005B18B2"/>
    <w:rsid w:val="005B2AB3"/>
    <w:rsid w:val="005B31DC"/>
    <w:rsid w:val="005B327F"/>
    <w:rsid w:val="005B353C"/>
    <w:rsid w:val="005B361B"/>
    <w:rsid w:val="005B38E7"/>
    <w:rsid w:val="005B40A6"/>
    <w:rsid w:val="005B4177"/>
    <w:rsid w:val="005B47A5"/>
    <w:rsid w:val="005B6F4F"/>
    <w:rsid w:val="005B7668"/>
    <w:rsid w:val="005B77EE"/>
    <w:rsid w:val="005C0116"/>
    <w:rsid w:val="005C0180"/>
    <w:rsid w:val="005C01B7"/>
    <w:rsid w:val="005C04FB"/>
    <w:rsid w:val="005C085D"/>
    <w:rsid w:val="005C0E0C"/>
    <w:rsid w:val="005C1775"/>
    <w:rsid w:val="005C17E6"/>
    <w:rsid w:val="005C49A6"/>
    <w:rsid w:val="005C4C44"/>
    <w:rsid w:val="005C5B10"/>
    <w:rsid w:val="005C5B8D"/>
    <w:rsid w:val="005C6706"/>
    <w:rsid w:val="005D07AA"/>
    <w:rsid w:val="005D286B"/>
    <w:rsid w:val="005D2A79"/>
    <w:rsid w:val="005D2C68"/>
    <w:rsid w:val="005D2C97"/>
    <w:rsid w:val="005D3004"/>
    <w:rsid w:val="005D3D39"/>
    <w:rsid w:val="005D4370"/>
    <w:rsid w:val="005D604C"/>
    <w:rsid w:val="005D679B"/>
    <w:rsid w:val="005D746C"/>
    <w:rsid w:val="005D76F5"/>
    <w:rsid w:val="005D7849"/>
    <w:rsid w:val="005D787E"/>
    <w:rsid w:val="005D7C39"/>
    <w:rsid w:val="005E0E29"/>
    <w:rsid w:val="005E13DF"/>
    <w:rsid w:val="005E1888"/>
    <w:rsid w:val="005E194B"/>
    <w:rsid w:val="005E1CB0"/>
    <w:rsid w:val="005E2A1D"/>
    <w:rsid w:val="005E387D"/>
    <w:rsid w:val="005E3B75"/>
    <w:rsid w:val="005E3D15"/>
    <w:rsid w:val="005E432E"/>
    <w:rsid w:val="005E4740"/>
    <w:rsid w:val="005E4874"/>
    <w:rsid w:val="005E4C65"/>
    <w:rsid w:val="005E5D7D"/>
    <w:rsid w:val="005E5F46"/>
    <w:rsid w:val="005E64BA"/>
    <w:rsid w:val="005E6B35"/>
    <w:rsid w:val="005E6F50"/>
    <w:rsid w:val="005F104D"/>
    <w:rsid w:val="005F1774"/>
    <w:rsid w:val="005F224D"/>
    <w:rsid w:val="005F27F0"/>
    <w:rsid w:val="005F2946"/>
    <w:rsid w:val="005F29CB"/>
    <w:rsid w:val="005F322C"/>
    <w:rsid w:val="005F34C6"/>
    <w:rsid w:val="005F4318"/>
    <w:rsid w:val="005F4F8E"/>
    <w:rsid w:val="005F54A4"/>
    <w:rsid w:val="005F55E1"/>
    <w:rsid w:val="005F5F0A"/>
    <w:rsid w:val="005F6B45"/>
    <w:rsid w:val="005F71D1"/>
    <w:rsid w:val="005F7FD0"/>
    <w:rsid w:val="0060035F"/>
    <w:rsid w:val="00601D98"/>
    <w:rsid w:val="0060218B"/>
    <w:rsid w:val="00602240"/>
    <w:rsid w:val="006023F6"/>
    <w:rsid w:val="00602680"/>
    <w:rsid w:val="006031F5"/>
    <w:rsid w:val="0060417B"/>
    <w:rsid w:val="00604F7D"/>
    <w:rsid w:val="0060549C"/>
    <w:rsid w:val="00605F3D"/>
    <w:rsid w:val="00607205"/>
    <w:rsid w:val="006074E4"/>
    <w:rsid w:val="00607F47"/>
    <w:rsid w:val="00610151"/>
    <w:rsid w:val="00610328"/>
    <w:rsid w:val="00610681"/>
    <w:rsid w:val="006112D1"/>
    <w:rsid w:val="006112FA"/>
    <w:rsid w:val="00611FEA"/>
    <w:rsid w:val="00612782"/>
    <w:rsid w:val="00612A52"/>
    <w:rsid w:val="006131F8"/>
    <w:rsid w:val="00613C85"/>
    <w:rsid w:val="00613EB3"/>
    <w:rsid w:val="0061668E"/>
    <w:rsid w:val="00616A37"/>
    <w:rsid w:val="00616BD7"/>
    <w:rsid w:val="006177F8"/>
    <w:rsid w:val="00617DA0"/>
    <w:rsid w:val="00620205"/>
    <w:rsid w:val="0062082A"/>
    <w:rsid w:val="0062215E"/>
    <w:rsid w:val="006224A8"/>
    <w:rsid w:val="00622D42"/>
    <w:rsid w:val="00622F63"/>
    <w:rsid w:val="00623402"/>
    <w:rsid w:val="006239D1"/>
    <w:rsid w:val="0062450C"/>
    <w:rsid w:val="00624716"/>
    <w:rsid w:val="00624B34"/>
    <w:rsid w:val="00624B51"/>
    <w:rsid w:val="00624DF4"/>
    <w:rsid w:val="00624ED3"/>
    <w:rsid w:val="0062596F"/>
    <w:rsid w:val="00625B93"/>
    <w:rsid w:val="00626AD6"/>
    <w:rsid w:val="00626B2C"/>
    <w:rsid w:val="00627305"/>
    <w:rsid w:val="0062751D"/>
    <w:rsid w:val="006276CA"/>
    <w:rsid w:val="006300B6"/>
    <w:rsid w:val="006308E9"/>
    <w:rsid w:val="006310E4"/>
    <w:rsid w:val="00631592"/>
    <w:rsid w:val="006329A5"/>
    <w:rsid w:val="00633563"/>
    <w:rsid w:val="006335F0"/>
    <w:rsid w:val="00633A06"/>
    <w:rsid w:val="00633E61"/>
    <w:rsid w:val="0063415A"/>
    <w:rsid w:val="00634743"/>
    <w:rsid w:val="0063493B"/>
    <w:rsid w:val="006349BF"/>
    <w:rsid w:val="00634A34"/>
    <w:rsid w:val="00635434"/>
    <w:rsid w:val="006359C2"/>
    <w:rsid w:val="00635A56"/>
    <w:rsid w:val="00636271"/>
    <w:rsid w:val="00636C96"/>
    <w:rsid w:val="006378CC"/>
    <w:rsid w:val="00637A35"/>
    <w:rsid w:val="00640FFF"/>
    <w:rsid w:val="00642777"/>
    <w:rsid w:val="00642FBC"/>
    <w:rsid w:val="0064370F"/>
    <w:rsid w:val="00643C5A"/>
    <w:rsid w:val="006460D7"/>
    <w:rsid w:val="00647D98"/>
    <w:rsid w:val="006502FA"/>
    <w:rsid w:val="00650813"/>
    <w:rsid w:val="00651EF8"/>
    <w:rsid w:val="0065325C"/>
    <w:rsid w:val="0065377D"/>
    <w:rsid w:val="00653D8D"/>
    <w:rsid w:val="00655A79"/>
    <w:rsid w:val="0065627F"/>
    <w:rsid w:val="006572E4"/>
    <w:rsid w:val="00657BEC"/>
    <w:rsid w:val="00657C4C"/>
    <w:rsid w:val="00660892"/>
    <w:rsid w:val="00660D55"/>
    <w:rsid w:val="0066244A"/>
    <w:rsid w:val="006628BD"/>
    <w:rsid w:val="00662B39"/>
    <w:rsid w:val="00662BC9"/>
    <w:rsid w:val="00663138"/>
    <w:rsid w:val="00663CED"/>
    <w:rsid w:val="0066441A"/>
    <w:rsid w:val="006646BB"/>
    <w:rsid w:val="00665392"/>
    <w:rsid w:val="00665F45"/>
    <w:rsid w:val="00666249"/>
    <w:rsid w:val="00667B22"/>
    <w:rsid w:val="00667EE2"/>
    <w:rsid w:val="00667FD6"/>
    <w:rsid w:val="00670678"/>
    <w:rsid w:val="006710C1"/>
    <w:rsid w:val="006711E7"/>
    <w:rsid w:val="00672119"/>
    <w:rsid w:val="00672344"/>
    <w:rsid w:val="00672A99"/>
    <w:rsid w:val="0067304E"/>
    <w:rsid w:val="0067396C"/>
    <w:rsid w:val="006745E5"/>
    <w:rsid w:val="00675D0A"/>
    <w:rsid w:val="0067643E"/>
    <w:rsid w:val="00676B69"/>
    <w:rsid w:val="00677A0E"/>
    <w:rsid w:val="00677A29"/>
    <w:rsid w:val="0068095D"/>
    <w:rsid w:val="00680DA6"/>
    <w:rsid w:val="00681181"/>
    <w:rsid w:val="00682099"/>
    <w:rsid w:val="00682652"/>
    <w:rsid w:val="0068285D"/>
    <w:rsid w:val="006836D1"/>
    <w:rsid w:val="0068390D"/>
    <w:rsid w:val="006849ED"/>
    <w:rsid w:val="006857C6"/>
    <w:rsid w:val="00685A22"/>
    <w:rsid w:val="00685CA7"/>
    <w:rsid w:val="00686648"/>
    <w:rsid w:val="00687319"/>
    <w:rsid w:val="00687437"/>
    <w:rsid w:val="00690EC6"/>
    <w:rsid w:val="00691DD2"/>
    <w:rsid w:val="00692315"/>
    <w:rsid w:val="0069376A"/>
    <w:rsid w:val="00693D30"/>
    <w:rsid w:val="00693F4D"/>
    <w:rsid w:val="0069447D"/>
    <w:rsid w:val="00694EED"/>
    <w:rsid w:val="00694F3D"/>
    <w:rsid w:val="00696DBD"/>
    <w:rsid w:val="006A007D"/>
    <w:rsid w:val="006A00C5"/>
    <w:rsid w:val="006A0E2F"/>
    <w:rsid w:val="006A13A1"/>
    <w:rsid w:val="006A18B6"/>
    <w:rsid w:val="006A1EDC"/>
    <w:rsid w:val="006A1EF0"/>
    <w:rsid w:val="006A4342"/>
    <w:rsid w:val="006A4CF1"/>
    <w:rsid w:val="006A5AC3"/>
    <w:rsid w:val="006A5B0F"/>
    <w:rsid w:val="006A5ED6"/>
    <w:rsid w:val="006A5FF3"/>
    <w:rsid w:val="006A712C"/>
    <w:rsid w:val="006A78AD"/>
    <w:rsid w:val="006A7E90"/>
    <w:rsid w:val="006B0012"/>
    <w:rsid w:val="006B0384"/>
    <w:rsid w:val="006B0677"/>
    <w:rsid w:val="006B1340"/>
    <w:rsid w:val="006B20EE"/>
    <w:rsid w:val="006B2F17"/>
    <w:rsid w:val="006B3287"/>
    <w:rsid w:val="006B3649"/>
    <w:rsid w:val="006B4826"/>
    <w:rsid w:val="006B5B8D"/>
    <w:rsid w:val="006B6428"/>
    <w:rsid w:val="006B716B"/>
    <w:rsid w:val="006B7674"/>
    <w:rsid w:val="006B78F1"/>
    <w:rsid w:val="006C11DC"/>
    <w:rsid w:val="006C1614"/>
    <w:rsid w:val="006C1D8C"/>
    <w:rsid w:val="006C2686"/>
    <w:rsid w:val="006C2FA1"/>
    <w:rsid w:val="006C32C2"/>
    <w:rsid w:val="006C440B"/>
    <w:rsid w:val="006C49E5"/>
    <w:rsid w:val="006C51D5"/>
    <w:rsid w:val="006C726E"/>
    <w:rsid w:val="006D1E49"/>
    <w:rsid w:val="006D2553"/>
    <w:rsid w:val="006D38F6"/>
    <w:rsid w:val="006D432E"/>
    <w:rsid w:val="006D5B0E"/>
    <w:rsid w:val="006D5C77"/>
    <w:rsid w:val="006D64B0"/>
    <w:rsid w:val="006D6981"/>
    <w:rsid w:val="006D7ABF"/>
    <w:rsid w:val="006D7F55"/>
    <w:rsid w:val="006E043C"/>
    <w:rsid w:val="006E1508"/>
    <w:rsid w:val="006E156B"/>
    <w:rsid w:val="006E1CF4"/>
    <w:rsid w:val="006E21D5"/>
    <w:rsid w:val="006E3C19"/>
    <w:rsid w:val="006E4894"/>
    <w:rsid w:val="006E49E3"/>
    <w:rsid w:val="006E5000"/>
    <w:rsid w:val="006E5BA6"/>
    <w:rsid w:val="006E6044"/>
    <w:rsid w:val="006E6E89"/>
    <w:rsid w:val="006E78F3"/>
    <w:rsid w:val="006F0AFA"/>
    <w:rsid w:val="006F1989"/>
    <w:rsid w:val="006F1B52"/>
    <w:rsid w:val="006F1C1C"/>
    <w:rsid w:val="006F1EB2"/>
    <w:rsid w:val="006F27A6"/>
    <w:rsid w:val="006F39A4"/>
    <w:rsid w:val="006F3F04"/>
    <w:rsid w:val="006F42DE"/>
    <w:rsid w:val="006F441B"/>
    <w:rsid w:val="006F53A1"/>
    <w:rsid w:val="006F58A9"/>
    <w:rsid w:val="006F61D2"/>
    <w:rsid w:val="006F6386"/>
    <w:rsid w:val="006F6494"/>
    <w:rsid w:val="006F7010"/>
    <w:rsid w:val="006F7B13"/>
    <w:rsid w:val="006F7BEA"/>
    <w:rsid w:val="00700497"/>
    <w:rsid w:val="007007DD"/>
    <w:rsid w:val="00703569"/>
    <w:rsid w:val="00705B33"/>
    <w:rsid w:val="0070615E"/>
    <w:rsid w:val="0070619A"/>
    <w:rsid w:val="00706C4B"/>
    <w:rsid w:val="00706DCE"/>
    <w:rsid w:val="007074EE"/>
    <w:rsid w:val="00707EC6"/>
    <w:rsid w:val="00710A58"/>
    <w:rsid w:val="007116AC"/>
    <w:rsid w:val="0071209F"/>
    <w:rsid w:val="00712391"/>
    <w:rsid w:val="007124A2"/>
    <w:rsid w:val="007133ED"/>
    <w:rsid w:val="007134D6"/>
    <w:rsid w:val="00713C6F"/>
    <w:rsid w:val="00714DAB"/>
    <w:rsid w:val="00714EC6"/>
    <w:rsid w:val="00715448"/>
    <w:rsid w:val="00716420"/>
    <w:rsid w:val="00717B25"/>
    <w:rsid w:val="007225B3"/>
    <w:rsid w:val="0072303F"/>
    <w:rsid w:val="007230D6"/>
    <w:rsid w:val="00723DAD"/>
    <w:rsid w:val="00723E4B"/>
    <w:rsid w:val="00724553"/>
    <w:rsid w:val="00724BBB"/>
    <w:rsid w:val="00724C09"/>
    <w:rsid w:val="0072563F"/>
    <w:rsid w:val="00726523"/>
    <w:rsid w:val="007271D1"/>
    <w:rsid w:val="00731F68"/>
    <w:rsid w:val="00732BED"/>
    <w:rsid w:val="00732CFA"/>
    <w:rsid w:val="00732E2C"/>
    <w:rsid w:val="00733398"/>
    <w:rsid w:val="007336BE"/>
    <w:rsid w:val="00734468"/>
    <w:rsid w:val="00734798"/>
    <w:rsid w:val="00735ECF"/>
    <w:rsid w:val="007368A2"/>
    <w:rsid w:val="00736DE9"/>
    <w:rsid w:val="00737963"/>
    <w:rsid w:val="00737ABA"/>
    <w:rsid w:val="00740202"/>
    <w:rsid w:val="00740BEB"/>
    <w:rsid w:val="00742439"/>
    <w:rsid w:val="00743A10"/>
    <w:rsid w:val="00744B75"/>
    <w:rsid w:val="0074644F"/>
    <w:rsid w:val="007465A9"/>
    <w:rsid w:val="00746D54"/>
    <w:rsid w:val="00747648"/>
    <w:rsid w:val="0075137A"/>
    <w:rsid w:val="0075224E"/>
    <w:rsid w:val="00753CCB"/>
    <w:rsid w:val="00753F1A"/>
    <w:rsid w:val="0075426F"/>
    <w:rsid w:val="007548D8"/>
    <w:rsid w:val="00754A0D"/>
    <w:rsid w:val="00754A4F"/>
    <w:rsid w:val="00754C22"/>
    <w:rsid w:val="007552C1"/>
    <w:rsid w:val="00755BE1"/>
    <w:rsid w:val="00756044"/>
    <w:rsid w:val="007562E2"/>
    <w:rsid w:val="0075665E"/>
    <w:rsid w:val="007577C2"/>
    <w:rsid w:val="0076064B"/>
    <w:rsid w:val="0076186C"/>
    <w:rsid w:val="00761ECC"/>
    <w:rsid w:val="00762E7E"/>
    <w:rsid w:val="00762F2B"/>
    <w:rsid w:val="0076328E"/>
    <w:rsid w:val="00763A93"/>
    <w:rsid w:val="00764DB3"/>
    <w:rsid w:val="00764E53"/>
    <w:rsid w:val="0076518D"/>
    <w:rsid w:val="00765533"/>
    <w:rsid w:val="0076561E"/>
    <w:rsid w:val="007661B0"/>
    <w:rsid w:val="0076672C"/>
    <w:rsid w:val="00766EF1"/>
    <w:rsid w:val="00766FBA"/>
    <w:rsid w:val="007702A7"/>
    <w:rsid w:val="007722B4"/>
    <w:rsid w:val="007725D2"/>
    <w:rsid w:val="00773353"/>
    <w:rsid w:val="00773BD8"/>
    <w:rsid w:val="007747FB"/>
    <w:rsid w:val="00780256"/>
    <w:rsid w:val="00780A45"/>
    <w:rsid w:val="007811A8"/>
    <w:rsid w:val="00782CE4"/>
    <w:rsid w:val="00783842"/>
    <w:rsid w:val="007838A9"/>
    <w:rsid w:val="00786335"/>
    <w:rsid w:val="007864F0"/>
    <w:rsid w:val="0078670D"/>
    <w:rsid w:val="007876E3"/>
    <w:rsid w:val="0078778E"/>
    <w:rsid w:val="00792192"/>
    <w:rsid w:val="007928AD"/>
    <w:rsid w:val="007928E1"/>
    <w:rsid w:val="00794724"/>
    <w:rsid w:val="007948D2"/>
    <w:rsid w:val="00794D9B"/>
    <w:rsid w:val="00795432"/>
    <w:rsid w:val="00797245"/>
    <w:rsid w:val="007974AF"/>
    <w:rsid w:val="007A0174"/>
    <w:rsid w:val="007A01CB"/>
    <w:rsid w:val="007A0BB2"/>
    <w:rsid w:val="007A1A57"/>
    <w:rsid w:val="007A1FA1"/>
    <w:rsid w:val="007A2DD6"/>
    <w:rsid w:val="007A3DC0"/>
    <w:rsid w:val="007A4468"/>
    <w:rsid w:val="007A503D"/>
    <w:rsid w:val="007A5131"/>
    <w:rsid w:val="007A780A"/>
    <w:rsid w:val="007B1E9F"/>
    <w:rsid w:val="007B3505"/>
    <w:rsid w:val="007B3628"/>
    <w:rsid w:val="007B3E65"/>
    <w:rsid w:val="007B4019"/>
    <w:rsid w:val="007B60E7"/>
    <w:rsid w:val="007B6668"/>
    <w:rsid w:val="007B66A0"/>
    <w:rsid w:val="007B6E4E"/>
    <w:rsid w:val="007B71E9"/>
    <w:rsid w:val="007B7532"/>
    <w:rsid w:val="007C1702"/>
    <w:rsid w:val="007C1C51"/>
    <w:rsid w:val="007C1C75"/>
    <w:rsid w:val="007C2255"/>
    <w:rsid w:val="007C41D1"/>
    <w:rsid w:val="007C48C7"/>
    <w:rsid w:val="007C52A9"/>
    <w:rsid w:val="007C69D6"/>
    <w:rsid w:val="007C7A92"/>
    <w:rsid w:val="007D0C64"/>
    <w:rsid w:val="007D101C"/>
    <w:rsid w:val="007D1372"/>
    <w:rsid w:val="007D2566"/>
    <w:rsid w:val="007D2CEB"/>
    <w:rsid w:val="007D3019"/>
    <w:rsid w:val="007D3591"/>
    <w:rsid w:val="007D5C9F"/>
    <w:rsid w:val="007D5E3A"/>
    <w:rsid w:val="007D6683"/>
    <w:rsid w:val="007D67CB"/>
    <w:rsid w:val="007D7BB3"/>
    <w:rsid w:val="007E116D"/>
    <w:rsid w:val="007E13CE"/>
    <w:rsid w:val="007E13FB"/>
    <w:rsid w:val="007E344C"/>
    <w:rsid w:val="007E3507"/>
    <w:rsid w:val="007E6167"/>
    <w:rsid w:val="007E74C5"/>
    <w:rsid w:val="007F000C"/>
    <w:rsid w:val="007F0599"/>
    <w:rsid w:val="007F095E"/>
    <w:rsid w:val="007F0E34"/>
    <w:rsid w:val="007F1948"/>
    <w:rsid w:val="007F20DC"/>
    <w:rsid w:val="007F258B"/>
    <w:rsid w:val="007F32C6"/>
    <w:rsid w:val="007F6368"/>
    <w:rsid w:val="007F75D6"/>
    <w:rsid w:val="007F7B7F"/>
    <w:rsid w:val="00800F54"/>
    <w:rsid w:val="0080292F"/>
    <w:rsid w:val="008043DE"/>
    <w:rsid w:val="00804738"/>
    <w:rsid w:val="0080498D"/>
    <w:rsid w:val="008049CE"/>
    <w:rsid w:val="008052AB"/>
    <w:rsid w:val="008057D3"/>
    <w:rsid w:val="00805CF8"/>
    <w:rsid w:val="0080606A"/>
    <w:rsid w:val="008065F0"/>
    <w:rsid w:val="008068BC"/>
    <w:rsid w:val="00806E8A"/>
    <w:rsid w:val="00806F01"/>
    <w:rsid w:val="00807C2F"/>
    <w:rsid w:val="00810A98"/>
    <w:rsid w:val="00810B67"/>
    <w:rsid w:val="00810FCC"/>
    <w:rsid w:val="008129C6"/>
    <w:rsid w:val="00812E0A"/>
    <w:rsid w:val="00813314"/>
    <w:rsid w:val="00813464"/>
    <w:rsid w:val="0081352B"/>
    <w:rsid w:val="00813AE9"/>
    <w:rsid w:val="008140C1"/>
    <w:rsid w:val="00814514"/>
    <w:rsid w:val="00814801"/>
    <w:rsid w:val="00815D46"/>
    <w:rsid w:val="008174D4"/>
    <w:rsid w:val="00817D6E"/>
    <w:rsid w:val="0082031E"/>
    <w:rsid w:val="008208CF"/>
    <w:rsid w:val="00820A3C"/>
    <w:rsid w:val="00820C0E"/>
    <w:rsid w:val="00820D5F"/>
    <w:rsid w:val="00822044"/>
    <w:rsid w:val="008226D4"/>
    <w:rsid w:val="008232EF"/>
    <w:rsid w:val="00823635"/>
    <w:rsid w:val="008237E2"/>
    <w:rsid w:val="0082488A"/>
    <w:rsid w:val="0082517A"/>
    <w:rsid w:val="008255E4"/>
    <w:rsid w:val="008256E2"/>
    <w:rsid w:val="00826B09"/>
    <w:rsid w:val="00826EA9"/>
    <w:rsid w:val="00827735"/>
    <w:rsid w:val="00827BAD"/>
    <w:rsid w:val="00830639"/>
    <w:rsid w:val="008309C9"/>
    <w:rsid w:val="00830BC7"/>
    <w:rsid w:val="00830F57"/>
    <w:rsid w:val="00831C9F"/>
    <w:rsid w:val="00831D00"/>
    <w:rsid w:val="008327CF"/>
    <w:rsid w:val="00832B18"/>
    <w:rsid w:val="00832F6C"/>
    <w:rsid w:val="008332BA"/>
    <w:rsid w:val="008335E3"/>
    <w:rsid w:val="00834550"/>
    <w:rsid w:val="0083467C"/>
    <w:rsid w:val="00834C68"/>
    <w:rsid w:val="00834DCB"/>
    <w:rsid w:val="00834E9F"/>
    <w:rsid w:val="008350D7"/>
    <w:rsid w:val="00836673"/>
    <w:rsid w:val="008366CA"/>
    <w:rsid w:val="008405BD"/>
    <w:rsid w:val="00840C01"/>
    <w:rsid w:val="00840C42"/>
    <w:rsid w:val="0084167C"/>
    <w:rsid w:val="00842942"/>
    <w:rsid w:val="008431A6"/>
    <w:rsid w:val="00843C22"/>
    <w:rsid w:val="00844A99"/>
    <w:rsid w:val="00844F10"/>
    <w:rsid w:val="00844F81"/>
    <w:rsid w:val="00845186"/>
    <w:rsid w:val="008451FA"/>
    <w:rsid w:val="00845BBC"/>
    <w:rsid w:val="0084622E"/>
    <w:rsid w:val="00847898"/>
    <w:rsid w:val="00847F2B"/>
    <w:rsid w:val="00847FE2"/>
    <w:rsid w:val="00850048"/>
    <w:rsid w:val="008502BD"/>
    <w:rsid w:val="00850BF9"/>
    <w:rsid w:val="00850C1E"/>
    <w:rsid w:val="008513D8"/>
    <w:rsid w:val="0085273D"/>
    <w:rsid w:val="00852C25"/>
    <w:rsid w:val="00852D21"/>
    <w:rsid w:val="00852E1E"/>
    <w:rsid w:val="00853058"/>
    <w:rsid w:val="00855362"/>
    <w:rsid w:val="00855D43"/>
    <w:rsid w:val="008561D7"/>
    <w:rsid w:val="008566F0"/>
    <w:rsid w:val="00857823"/>
    <w:rsid w:val="008607B4"/>
    <w:rsid w:val="0086080D"/>
    <w:rsid w:val="00860B22"/>
    <w:rsid w:val="00861074"/>
    <w:rsid w:val="0086316D"/>
    <w:rsid w:val="008636FC"/>
    <w:rsid w:val="00863DB6"/>
    <w:rsid w:val="00864B32"/>
    <w:rsid w:val="00864E3E"/>
    <w:rsid w:val="00865B86"/>
    <w:rsid w:val="008666B4"/>
    <w:rsid w:val="008668CE"/>
    <w:rsid w:val="00866EB3"/>
    <w:rsid w:val="00867F28"/>
    <w:rsid w:val="0087014A"/>
    <w:rsid w:val="00870368"/>
    <w:rsid w:val="00870A9A"/>
    <w:rsid w:val="00871159"/>
    <w:rsid w:val="00871164"/>
    <w:rsid w:val="0087341A"/>
    <w:rsid w:val="00873B95"/>
    <w:rsid w:val="00873BC6"/>
    <w:rsid w:val="00873E1E"/>
    <w:rsid w:val="00873E91"/>
    <w:rsid w:val="00874660"/>
    <w:rsid w:val="00874FB1"/>
    <w:rsid w:val="00875C00"/>
    <w:rsid w:val="00875C91"/>
    <w:rsid w:val="00876139"/>
    <w:rsid w:val="008771F4"/>
    <w:rsid w:val="00877E4C"/>
    <w:rsid w:val="00880902"/>
    <w:rsid w:val="00881E3C"/>
    <w:rsid w:val="00881F96"/>
    <w:rsid w:val="00882DC5"/>
    <w:rsid w:val="0088366C"/>
    <w:rsid w:val="00883F42"/>
    <w:rsid w:val="008856CE"/>
    <w:rsid w:val="00885A02"/>
    <w:rsid w:val="008862FA"/>
    <w:rsid w:val="008867FA"/>
    <w:rsid w:val="0088682F"/>
    <w:rsid w:val="0088740E"/>
    <w:rsid w:val="008903A5"/>
    <w:rsid w:val="00891361"/>
    <w:rsid w:val="008916BC"/>
    <w:rsid w:val="00892A4E"/>
    <w:rsid w:val="00893641"/>
    <w:rsid w:val="00893D43"/>
    <w:rsid w:val="0089433C"/>
    <w:rsid w:val="0089453B"/>
    <w:rsid w:val="00894732"/>
    <w:rsid w:val="00894A27"/>
    <w:rsid w:val="00894F01"/>
    <w:rsid w:val="00895798"/>
    <w:rsid w:val="00895ABD"/>
    <w:rsid w:val="008969F3"/>
    <w:rsid w:val="00896A10"/>
    <w:rsid w:val="00896A4C"/>
    <w:rsid w:val="00896EBA"/>
    <w:rsid w:val="00897008"/>
    <w:rsid w:val="0089787B"/>
    <w:rsid w:val="0089797F"/>
    <w:rsid w:val="008A1462"/>
    <w:rsid w:val="008A14EF"/>
    <w:rsid w:val="008A23C9"/>
    <w:rsid w:val="008A2B6D"/>
    <w:rsid w:val="008A32E9"/>
    <w:rsid w:val="008A39F8"/>
    <w:rsid w:val="008A6792"/>
    <w:rsid w:val="008A692E"/>
    <w:rsid w:val="008A6CD4"/>
    <w:rsid w:val="008A73A6"/>
    <w:rsid w:val="008B0B3A"/>
    <w:rsid w:val="008B32A9"/>
    <w:rsid w:val="008B6C9F"/>
    <w:rsid w:val="008C0083"/>
    <w:rsid w:val="008C047B"/>
    <w:rsid w:val="008C0D8C"/>
    <w:rsid w:val="008C18BC"/>
    <w:rsid w:val="008C1BFB"/>
    <w:rsid w:val="008C2EDB"/>
    <w:rsid w:val="008C2F40"/>
    <w:rsid w:val="008C3719"/>
    <w:rsid w:val="008C4AFA"/>
    <w:rsid w:val="008C500B"/>
    <w:rsid w:val="008C59D8"/>
    <w:rsid w:val="008C68E8"/>
    <w:rsid w:val="008C698C"/>
    <w:rsid w:val="008C6C9A"/>
    <w:rsid w:val="008C701E"/>
    <w:rsid w:val="008C74F5"/>
    <w:rsid w:val="008C7D3E"/>
    <w:rsid w:val="008D00A5"/>
    <w:rsid w:val="008D04A8"/>
    <w:rsid w:val="008D09D2"/>
    <w:rsid w:val="008D0D6F"/>
    <w:rsid w:val="008D1349"/>
    <w:rsid w:val="008D147A"/>
    <w:rsid w:val="008D1B64"/>
    <w:rsid w:val="008D2383"/>
    <w:rsid w:val="008D338E"/>
    <w:rsid w:val="008D4162"/>
    <w:rsid w:val="008D4E54"/>
    <w:rsid w:val="008D5CE5"/>
    <w:rsid w:val="008D69B2"/>
    <w:rsid w:val="008D6A10"/>
    <w:rsid w:val="008D6A27"/>
    <w:rsid w:val="008E024D"/>
    <w:rsid w:val="008E0852"/>
    <w:rsid w:val="008E23B0"/>
    <w:rsid w:val="008E293E"/>
    <w:rsid w:val="008E2B83"/>
    <w:rsid w:val="008E467E"/>
    <w:rsid w:val="008E4C89"/>
    <w:rsid w:val="008E51AF"/>
    <w:rsid w:val="008E548A"/>
    <w:rsid w:val="008E74A2"/>
    <w:rsid w:val="008F02BA"/>
    <w:rsid w:val="008F11D5"/>
    <w:rsid w:val="008F1AFC"/>
    <w:rsid w:val="008F27C4"/>
    <w:rsid w:val="008F4B82"/>
    <w:rsid w:val="008F704D"/>
    <w:rsid w:val="008F793E"/>
    <w:rsid w:val="0090037E"/>
    <w:rsid w:val="009006A6"/>
    <w:rsid w:val="00900C82"/>
    <w:rsid w:val="00900E71"/>
    <w:rsid w:val="00900E9D"/>
    <w:rsid w:val="00900EEE"/>
    <w:rsid w:val="00901141"/>
    <w:rsid w:val="009016D7"/>
    <w:rsid w:val="009037CB"/>
    <w:rsid w:val="00903AC3"/>
    <w:rsid w:val="00903D01"/>
    <w:rsid w:val="0090412E"/>
    <w:rsid w:val="00904389"/>
    <w:rsid w:val="00904536"/>
    <w:rsid w:val="0090478A"/>
    <w:rsid w:val="0090576A"/>
    <w:rsid w:val="00905B9C"/>
    <w:rsid w:val="0090678D"/>
    <w:rsid w:val="0090799B"/>
    <w:rsid w:val="009102A7"/>
    <w:rsid w:val="00911D86"/>
    <w:rsid w:val="00912CBA"/>
    <w:rsid w:val="00912EB4"/>
    <w:rsid w:val="009139B8"/>
    <w:rsid w:val="009144B5"/>
    <w:rsid w:val="009146F6"/>
    <w:rsid w:val="00915568"/>
    <w:rsid w:val="00915591"/>
    <w:rsid w:val="00915863"/>
    <w:rsid w:val="00915938"/>
    <w:rsid w:val="00916E80"/>
    <w:rsid w:val="00916ED7"/>
    <w:rsid w:val="00917451"/>
    <w:rsid w:val="00917762"/>
    <w:rsid w:val="00917833"/>
    <w:rsid w:val="0092044C"/>
    <w:rsid w:val="00921551"/>
    <w:rsid w:val="0092166A"/>
    <w:rsid w:val="0092171E"/>
    <w:rsid w:val="00921AEC"/>
    <w:rsid w:val="00921BCE"/>
    <w:rsid w:val="00922E70"/>
    <w:rsid w:val="0092495F"/>
    <w:rsid w:val="00925BDC"/>
    <w:rsid w:val="00925CF7"/>
    <w:rsid w:val="00925DED"/>
    <w:rsid w:val="00925E1C"/>
    <w:rsid w:val="00925E45"/>
    <w:rsid w:val="00926C0D"/>
    <w:rsid w:val="00926E69"/>
    <w:rsid w:val="0092736B"/>
    <w:rsid w:val="0093018B"/>
    <w:rsid w:val="00930EF7"/>
    <w:rsid w:val="0093125C"/>
    <w:rsid w:val="00931659"/>
    <w:rsid w:val="009317B8"/>
    <w:rsid w:val="00931AAA"/>
    <w:rsid w:val="00933B0C"/>
    <w:rsid w:val="0093472B"/>
    <w:rsid w:val="00935C86"/>
    <w:rsid w:val="00935EE8"/>
    <w:rsid w:val="009360D6"/>
    <w:rsid w:val="00936282"/>
    <w:rsid w:val="00936510"/>
    <w:rsid w:val="0093651A"/>
    <w:rsid w:val="009365EE"/>
    <w:rsid w:val="00936CCF"/>
    <w:rsid w:val="0094006E"/>
    <w:rsid w:val="00941336"/>
    <w:rsid w:val="00941D48"/>
    <w:rsid w:val="009423C2"/>
    <w:rsid w:val="009431AE"/>
    <w:rsid w:val="00943543"/>
    <w:rsid w:val="0094433A"/>
    <w:rsid w:val="00944737"/>
    <w:rsid w:val="009449B5"/>
    <w:rsid w:val="00945476"/>
    <w:rsid w:val="00945E92"/>
    <w:rsid w:val="009466EE"/>
    <w:rsid w:val="0094698E"/>
    <w:rsid w:val="00946C07"/>
    <w:rsid w:val="00946E3B"/>
    <w:rsid w:val="009476DA"/>
    <w:rsid w:val="009536FB"/>
    <w:rsid w:val="00954015"/>
    <w:rsid w:val="009551FA"/>
    <w:rsid w:val="00957141"/>
    <w:rsid w:val="009575E1"/>
    <w:rsid w:val="009602C4"/>
    <w:rsid w:val="0096081B"/>
    <w:rsid w:val="00960BC7"/>
    <w:rsid w:val="009612FD"/>
    <w:rsid w:val="0096140F"/>
    <w:rsid w:val="00961575"/>
    <w:rsid w:val="009617BE"/>
    <w:rsid w:val="00962129"/>
    <w:rsid w:val="00962969"/>
    <w:rsid w:val="00962EC1"/>
    <w:rsid w:val="009632C9"/>
    <w:rsid w:val="00963705"/>
    <w:rsid w:val="00964625"/>
    <w:rsid w:val="00964E96"/>
    <w:rsid w:val="009651EB"/>
    <w:rsid w:val="009667EE"/>
    <w:rsid w:val="00967492"/>
    <w:rsid w:val="00967B96"/>
    <w:rsid w:val="00967FA0"/>
    <w:rsid w:val="00971252"/>
    <w:rsid w:val="009720B6"/>
    <w:rsid w:val="0097316B"/>
    <w:rsid w:val="0097354A"/>
    <w:rsid w:val="00973596"/>
    <w:rsid w:val="00973812"/>
    <w:rsid w:val="009738AB"/>
    <w:rsid w:val="00974190"/>
    <w:rsid w:val="009746EA"/>
    <w:rsid w:val="00974FAA"/>
    <w:rsid w:val="00975CC5"/>
    <w:rsid w:val="00975DA5"/>
    <w:rsid w:val="00975E3F"/>
    <w:rsid w:val="00976B98"/>
    <w:rsid w:val="00977184"/>
    <w:rsid w:val="0097718F"/>
    <w:rsid w:val="009800D2"/>
    <w:rsid w:val="0098028F"/>
    <w:rsid w:val="009802C9"/>
    <w:rsid w:val="009823A6"/>
    <w:rsid w:val="00982791"/>
    <w:rsid w:val="00982FA1"/>
    <w:rsid w:val="00983AF2"/>
    <w:rsid w:val="00984A28"/>
    <w:rsid w:val="00985ABF"/>
    <w:rsid w:val="00986200"/>
    <w:rsid w:val="009863F8"/>
    <w:rsid w:val="00986BCA"/>
    <w:rsid w:val="00990316"/>
    <w:rsid w:val="00990AA8"/>
    <w:rsid w:val="00991685"/>
    <w:rsid w:val="00992099"/>
    <w:rsid w:val="009927FA"/>
    <w:rsid w:val="009931A6"/>
    <w:rsid w:val="00993ECC"/>
    <w:rsid w:val="00994811"/>
    <w:rsid w:val="0099547F"/>
    <w:rsid w:val="0099581C"/>
    <w:rsid w:val="00995EB6"/>
    <w:rsid w:val="009960E9"/>
    <w:rsid w:val="009967F2"/>
    <w:rsid w:val="00996D12"/>
    <w:rsid w:val="00997790"/>
    <w:rsid w:val="009A0788"/>
    <w:rsid w:val="009A0F43"/>
    <w:rsid w:val="009A1B91"/>
    <w:rsid w:val="009A2024"/>
    <w:rsid w:val="009A2169"/>
    <w:rsid w:val="009A2ADA"/>
    <w:rsid w:val="009A3C9A"/>
    <w:rsid w:val="009A428E"/>
    <w:rsid w:val="009A56B8"/>
    <w:rsid w:val="009A66D0"/>
    <w:rsid w:val="009A6E90"/>
    <w:rsid w:val="009A6FF6"/>
    <w:rsid w:val="009B00E4"/>
    <w:rsid w:val="009B01FC"/>
    <w:rsid w:val="009B173A"/>
    <w:rsid w:val="009B1BFE"/>
    <w:rsid w:val="009B1CD1"/>
    <w:rsid w:val="009B2594"/>
    <w:rsid w:val="009B4B15"/>
    <w:rsid w:val="009B505C"/>
    <w:rsid w:val="009B5AF4"/>
    <w:rsid w:val="009B7367"/>
    <w:rsid w:val="009C08D8"/>
    <w:rsid w:val="009C0C0D"/>
    <w:rsid w:val="009C2679"/>
    <w:rsid w:val="009C3F36"/>
    <w:rsid w:val="009C43D1"/>
    <w:rsid w:val="009C4EF0"/>
    <w:rsid w:val="009C4F55"/>
    <w:rsid w:val="009C5237"/>
    <w:rsid w:val="009C6D4F"/>
    <w:rsid w:val="009C74B8"/>
    <w:rsid w:val="009D0628"/>
    <w:rsid w:val="009D097B"/>
    <w:rsid w:val="009D0D56"/>
    <w:rsid w:val="009D2FCA"/>
    <w:rsid w:val="009D327B"/>
    <w:rsid w:val="009D34DA"/>
    <w:rsid w:val="009D39F4"/>
    <w:rsid w:val="009D3C4B"/>
    <w:rsid w:val="009D3EF0"/>
    <w:rsid w:val="009D3F76"/>
    <w:rsid w:val="009D4A3C"/>
    <w:rsid w:val="009D531A"/>
    <w:rsid w:val="009D5478"/>
    <w:rsid w:val="009D788C"/>
    <w:rsid w:val="009E0EA2"/>
    <w:rsid w:val="009E1931"/>
    <w:rsid w:val="009E214D"/>
    <w:rsid w:val="009E23DD"/>
    <w:rsid w:val="009E28EC"/>
    <w:rsid w:val="009E2FFF"/>
    <w:rsid w:val="009E315A"/>
    <w:rsid w:val="009E4841"/>
    <w:rsid w:val="009E551B"/>
    <w:rsid w:val="009E78E7"/>
    <w:rsid w:val="009E7983"/>
    <w:rsid w:val="009E7A29"/>
    <w:rsid w:val="009F23D3"/>
    <w:rsid w:val="009F2E31"/>
    <w:rsid w:val="009F38C1"/>
    <w:rsid w:val="009F3F1F"/>
    <w:rsid w:val="009F4342"/>
    <w:rsid w:val="009F4FB3"/>
    <w:rsid w:val="009F5F40"/>
    <w:rsid w:val="009F6D5D"/>
    <w:rsid w:val="009F71D1"/>
    <w:rsid w:val="009F799B"/>
    <w:rsid w:val="009F7F5A"/>
    <w:rsid w:val="00A00DD6"/>
    <w:rsid w:val="00A017BA"/>
    <w:rsid w:val="00A01EFD"/>
    <w:rsid w:val="00A026DF"/>
    <w:rsid w:val="00A03A5F"/>
    <w:rsid w:val="00A04100"/>
    <w:rsid w:val="00A0453C"/>
    <w:rsid w:val="00A0480C"/>
    <w:rsid w:val="00A048FD"/>
    <w:rsid w:val="00A0557C"/>
    <w:rsid w:val="00A058F6"/>
    <w:rsid w:val="00A066DE"/>
    <w:rsid w:val="00A06F48"/>
    <w:rsid w:val="00A074C6"/>
    <w:rsid w:val="00A075C8"/>
    <w:rsid w:val="00A10B65"/>
    <w:rsid w:val="00A12746"/>
    <w:rsid w:val="00A13153"/>
    <w:rsid w:val="00A13F68"/>
    <w:rsid w:val="00A141E5"/>
    <w:rsid w:val="00A1428A"/>
    <w:rsid w:val="00A14AB0"/>
    <w:rsid w:val="00A15581"/>
    <w:rsid w:val="00A156F5"/>
    <w:rsid w:val="00A1593F"/>
    <w:rsid w:val="00A15B57"/>
    <w:rsid w:val="00A15D7B"/>
    <w:rsid w:val="00A16FBE"/>
    <w:rsid w:val="00A175BB"/>
    <w:rsid w:val="00A202CD"/>
    <w:rsid w:val="00A2057C"/>
    <w:rsid w:val="00A206FA"/>
    <w:rsid w:val="00A2123E"/>
    <w:rsid w:val="00A21F92"/>
    <w:rsid w:val="00A242C5"/>
    <w:rsid w:val="00A2536F"/>
    <w:rsid w:val="00A25551"/>
    <w:rsid w:val="00A25670"/>
    <w:rsid w:val="00A25895"/>
    <w:rsid w:val="00A2604A"/>
    <w:rsid w:val="00A263F4"/>
    <w:rsid w:val="00A26AF6"/>
    <w:rsid w:val="00A304BC"/>
    <w:rsid w:val="00A30585"/>
    <w:rsid w:val="00A30728"/>
    <w:rsid w:val="00A30AF9"/>
    <w:rsid w:val="00A30DB3"/>
    <w:rsid w:val="00A3140B"/>
    <w:rsid w:val="00A31AEE"/>
    <w:rsid w:val="00A32043"/>
    <w:rsid w:val="00A34099"/>
    <w:rsid w:val="00A344A6"/>
    <w:rsid w:val="00A34953"/>
    <w:rsid w:val="00A34D53"/>
    <w:rsid w:val="00A3580F"/>
    <w:rsid w:val="00A35AA9"/>
    <w:rsid w:val="00A35FD2"/>
    <w:rsid w:val="00A36CFC"/>
    <w:rsid w:val="00A3717D"/>
    <w:rsid w:val="00A403E9"/>
    <w:rsid w:val="00A406DC"/>
    <w:rsid w:val="00A40F3E"/>
    <w:rsid w:val="00A41119"/>
    <w:rsid w:val="00A41CB3"/>
    <w:rsid w:val="00A429C2"/>
    <w:rsid w:val="00A4347E"/>
    <w:rsid w:val="00A4381E"/>
    <w:rsid w:val="00A45E9E"/>
    <w:rsid w:val="00A4630E"/>
    <w:rsid w:val="00A47DE3"/>
    <w:rsid w:val="00A50322"/>
    <w:rsid w:val="00A50506"/>
    <w:rsid w:val="00A517DB"/>
    <w:rsid w:val="00A5227A"/>
    <w:rsid w:val="00A52B6D"/>
    <w:rsid w:val="00A52D54"/>
    <w:rsid w:val="00A538CF"/>
    <w:rsid w:val="00A54D8F"/>
    <w:rsid w:val="00A55126"/>
    <w:rsid w:val="00A55A52"/>
    <w:rsid w:val="00A55B11"/>
    <w:rsid w:val="00A55DE0"/>
    <w:rsid w:val="00A5699B"/>
    <w:rsid w:val="00A57308"/>
    <w:rsid w:val="00A57D42"/>
    <w:rsid w:val="00A60BBB"/>
    <w:rsid w:val="00A60C83"/>
    <w:rsid w:val="00A610A1"/>
    <w:rsid w:val="00A62748"/>
    <w:rsid w:val="00A62974"/>
    <w:rsid w:val="00A6353C"/>
    <w:rsid w:val="00A63A99"/>
    <w:rsid w:val="00A65763"/>
    <w:rsid w:val="00A65BAF"/>
    <w:rsid w:val="00A65C18"/>
    <w:rsid w:val="00A65F1E"/>
    <w:rsid w:val="00A66DE2"/>
    <w:rsid w:val="00A67C5B"/>
    <w:rsid w:val="00A67D59"/>
    <w:rsid w:val="00A71060"/>
    <w:rsid w:val="00A723F2"/>
    <w:rsid w:val="00A72A52"/>
    <w:rsid w:val="00A72AB3"/>
    <w:rsid w:val="00A72DB9"/>
    <w:rsid w:val="00A737FE"/>
    <w:rsid w:val="00A739AD"/>
    <w:rsid w:val="00A743BF"/>
    <w:rsid w:val="00A74F70"/>
    <w:rsid w:val="00A756A6"/>
    <w:rsid w:val="00A75701"/>
    <w:rsid w:val="00A758F6"/>
    <w:rsid w:val="00A75972"/>
    <w:rsid w:val="00A77F4E"/>
    <w:rsid w:val="00A80715"/>
    <w:rsid w:val="00A80762"/>
    <w:rsid w:val="00A80964"/>
    <w:rsid w:val="00A82D1C"/>
    <w:rsid w:val="00A83111"/>
    <w:rsid w:val="00A8314D"/>
    <w:rsid w:val="00A84047"/>
    <w:rsid w:val="00A84541"/>
    <w:rsid w:val="00A855AA"/>
    <w:rsid w:val="00A85616"/>
    <w:rsid w:val="00A85982"/>
    <w:rsid w:val="00A86FB4"/>
    <w:rsid w:val="00A8724B"/>
    <w:rsid w:val="00A9000A"/>
    <w:rsid w:val="00A90123"/>
    <w:rsid w:val="00A928BC"/>
    <w:rsid w:val="00A934C1"/>
    <w:rsid w:val="00A94328"/>
    <w:rsid w:val="00A94402"/>
    <w:rsid w:val="00A95169"/>
    <w:rsid w:val="00A958F1"/>
    <w:rsid w:val="00A97095"/>
    <w:rsid w:val="00A972FF"/>
    <w:rsid w:val="00A975F9"/>
    <w:rsid w:val="00A97AC9"/>
    <w:rsid w:val="00A97EC0"/>
    <w:rsid w:val="00AA015C"/>
    <w:rsid w:val="00AA0DE9"/>
    <w:rsid w:val="00AA13EC"/>
    <w:rsid w:val="00AA22FC"/>
    <w:rsid w:val="00AA243C"/>
    <w:rsid w:val="00AA496D"/>
    <w:rsid w:val="00AA5291"/>
    <w:rsid w:val="00AA6504"/>
    <w:rsid w:val="00AA75CE"/>
    <w:rsid w:val="00AB045F"/>
    <w:rsid w:val="00AB0683"/>
    <w:rsid w:val="00AB0989"/>
    <w:rsid w:val="00AB1082"/>
    <w:rsid w:val="00AB1647"/>
    <w:rsid w:val="00AB179B"/>
    <w:rsid w:val="00AB197C"/>
    <w:rsid w:val="00AB199E"/>
    <w:rsid w:val="00AB2826"/>
    <w:rsid w:val="00AB2DA9"/>
    <w:rsid w:val="00AB41A7"/>
    <w:rsid w:val="00AB4409"/>
    <w:rsid w:val="00AB47C1"/>
    <w:rsid w:val="00AB5052"/>
    <w:rsid w:val="00AB5560"/>
    <w:rsid w:val="00AB5D1D"/>
    <w:rsid w:val="00AB5D62"/>
    <w:rsid w:val="00AB64DB"/>
    <w:rsid w:val="00AC011B"/>
    <w:rsid w:val="00AC0157"/>
    <w:rsid w:val="00AC0198"/>
    <w:rsid w:val="00AC09C6"/>
    <w:rsid w:val="00AC15F9"/>
    <w:rsid w:val="00AC2A84"/>
    <w:rsid w:val="00AC2F1A"/>
    <w:rsid w:val="00AC3060"/>
    <w:rsid w:val="00AC355D"/>
    <w:rsid w:val="00AC387E"/>
    <w:rsid w:val="00AC4FB9"/>
    <w:rsid w:val="00AC54AD"/>
    <w:rsid w:val="00AC5617"/>
    <w:rsid w:val="00AC58FC"/>
    <w:rsid w:val="00AC716C"/>
    <w:rsid w:val="00AC7D76"/>
    <w:rsid w:val="00AD0BC4"/>
    <w:rsid w:val="00AD14A5"/>
    <w:rsid w:val="00AD2335"/>
    <w:rsid w:val="00AD2E90"/>
    <w:rsid w:val="00AD48BE"/>
    <w:rsid w:val="00AD4A4C"/>
    <w:rsid w:val="00AD5AB9"/>
    <w:rsid w:val="00AD5E69"/>
    <w:rsid w:val="00AD5F15"/>
    <w:rsid w:val="00AD616D"/>
    <w:rsid w:val="00AD7AA1"/>
    <w:rsid w:val="00AD7DCB"/>
    <w:rsid w:val="00AE0119"/>
    <w:rsid w:val="00AE0CB2"/>
    <w:rsid w:val="00AE0F06"/>
    <w:rsid w:val="00AE141B"/>
    <w:rsid w:val="00AE16EC"/>
    <w:rsid w:val="00AE1CFD"/>
    <w:rsid w:val="00AE25F5"/>
    <w:rsid w:val="00AE2673"/>
    <w:rsid w:val="00AE3328"/>
    <w:rsid w:val="00AE41A1"/>
    <w:rsid w:val="00AE440D"/>
    <w:rsid w:val="00AE4CE5"/>
    <w:rsid w:val="00AE4EAA"/>
    <w:rsid w:val="00AE54ED"/>
    <w:rsid w:val="00AE67BD"/>
    <w:rsid w:val="00AE6D4E"/>
    <w:rsid w:val="00AE71F2"/>
    <w:rsid w:val="00AE741D"/>
    <w:rsid w:val="00AE789C"/>
    <w:rsid w:val="00AE7B86"/>
    <w:rsid w:val="00AE7EA7"/>
    <w:rsid w:val="00AF021C"/>
    <w:rsid w:val="00AF1EEF"/>
    <w:rsid w:val="00AF2305"/>
    <w:rsid w:val="00AF2755"/>
    <w:rsid w:val="00AF2A93"/>
    <w:rsid w:val="00AF46AA"/>
    <w:rsid w:val="00AF4C26"/>
    <w:rsid w:val="00AF57CB"/>
    <w:rsid w:val="00AF5D98"/>
    <w:rsid w:val="00AF6174"/>
    <w:rsid w:val="00AF6747"/>
    <w:rsid w:val="00AF7307"/>
    <w:rsid w:val="00AF7357"/>
    <w:rsid w:val="00AF7965"/>
    <w:rsid w:val="00B00805"/>
    <w:rsid w:val="00B01030"/>
    <w:rsid w:val="00B01154"/>
    <w:rsid w:val="00B01620"/>
    <w:rsid w:val="00B01BFA"/>
    <w:rsid w:val="00B021C7"/>
    <w:rsid w:val="00B02BE6"/>
    <w:rsid w:val="00B03A57"/>
    <w:rsid w:val="00B044C6"/>
    <w:rsid w:val="00B04561"/>
    <w:rsid w:val="00B04D55"/>
    <w:rsid w:val="00B0541C"/>
    <w:rsid w:val="00B05898"/>
    <w:rsid w:val="00B05C87"/>
    <w:rsid w:val="00B0615F"/>
    <w:rsid w:val="00B065ED"/>
    <w:rsid w:val="00B06CE1"/>
    <w:rsid w:val="00B06DBA"/>
    <w:rsid w:val="00B0758B"/>
    <w:rsid w:val="00B1007B"/>
    <w:rsid w:val="00B10B5B"/>
    <w:rsid w:val="00B10BCC"/>
    <w:rsid w:val="00B11EB2"/>
    <w:rsid w:val="00B11FF2"/>
    <w:rsid w:val="00B121AB"/>
    <w:rsid w:val="00B13340"/>
    <w:rsid w:val="00B1376F"/>
    <w:rsid w:val="00B14EBB"/>
    <w:rsid w:val="00B15580"/>
    <w:rsid w:val="00B15794"/>
    <w:rsid w:val="00B15D60"/>
    <w:rsid w:val="00B20604"/>
    <w:rsid w:val="00B208BB"/>
    <w:rsid w:val="00B21793"/>
    <w:rsid w:val="00B2222C"/>
    <w:rsid w:val="00B22459"/>
    <w:rsid w:val="00B2289F"/>
    <w:rsid w:val="00B22D58"/>
    <w:rsid w:val="00B23026"/>
    <w:rsid w:val="00B236AC"/>
    <w:rsid w:val="00B237F4"/>
    <w:rsid w:val="00B246D7"/>
    <w:rsid w:val="00B26221"/>
    <w:rsid w:val="00B27A34"/>
    <w:rsid w:val="00B27C96"/>
    <w:rsid w:val="00B27CBE"/>
    <w:rsid w:val="00B27E1B"/>
    <w:rsid w:val="00B302B8"/>
    <w:rsid w:val="00B30E83"/>
    <w:rsid w:val="00B32055"/>
    <w:rsid w:val="00B32E1A"/>
    <w:rsid w:val="00B32EB2"/>
    <w:rsid w:val="00B337B1"/>
    <w:rsid w:val="00B33CF8"/>
    <w:rsid w:val="00B34D38"/>
    <w:rsid w:val="00B34F63"/>
    <w:rsid w:val="00B34FED"/>
    <w:rsid w:val="00B35670"/>
    <w:rsid w:val="00B358C3"/>
    <w:rsid w:val="00B3630B"/>
    <w:rsid w:val="00B369A8"/>
    <w:rsid w:val="00B36A4D"/>
    <w:rsid w:val="00B36E00"/>
    <w:rsid w:val="00B378A3"/>
    <w:rsid w:val="00B4012B"/>
    <w:rsid w:val="00B40EDB"/>
    <w:rsid w:val="00B41C3D"/>
    <w:rsid w:val="00B42346"/>
    <w:rsid w:val="00B42BFD"/>
    <w:rsid w:val="00B43126"/>
    <w:rsid w:val="00B447CB"/>
    <w:rsid w:val="00B45805"/>
    <w:rsid w:val="00B45808"/>
    <w:rsid w:val="00B45F30"/>
    <w:rsid w:val="00B46537"/>
    <w:rsid w:val="00B46B97"/>
    <w:rsid w:val="00B46EDA"/>
    <w:rsid w:val="00B47E0D"/>
    <w:rsid w:val="00B5023A"/>
    <w:rsid w:val="00B50723"/>
    <w:rsid w:val="00B50736"/>
    <w:rsid w:val="00B50A59"/>
    <w:rsid w:val="00B50B53"/>
    <w:rsid w:val="00B51E80"/>
    <w:rsid w:val="00B51FC3"/>
    <w:rsid w:val="00B5275C"/>
    <w:rsid w:val="00B53968"/>
    <w:rsid w:val="00B53A21"/>
    <w:rsid w:val="00B53B49"/>
    <w:rsid w:val="00B542AF"/>
    <w:rsid w:val="00B548FA"/>
    <w:rsid w:val="00B54A0A"/>
    <w:rsid w:val="00B55FB1"/>
    <w:rsid w:val="00B56FF3"/>
    <w:rsid w:val="00B570F7"/>
    <w:rsid w:val="00B57663"/>
    <w:rsid w:val="00B57AFD"/>
    <w:rsid w:val="00B57EA9"/>
    <w:rsid w:val="00B60313"/>
    <w:rsid w:val="00B60B3F"/>
    <w:rsid w:val="00B6155B"/>
    <w:rsid w:val="00B615B0"/>
    <w:rsid w:val="00B615BA"/>
    <w:rsid w:val="00B62802"/>
    <w:rsid w:val="00B6300F"/>
    <w:rsid w:val="00B641F8"/>
    <w:rsid w:val="00B64399"/>
    <w:rsid w:val="00B64575"/>
    <w:rsid w:val="00B65231"/>
    <w:rsid w:val="00B662C5"/>
    <w:rsid w:val="00B6654C"/>
    <w:rsid w:val="00B67213"/>
    <w:rsid w:val="00B67513"/>
    <w:rsid w:val="00B67D79"/>
    <w:rsid w:val="00B7034D"/>
    <w:rsid w:val="00B70648"/>
    <w:rsid w:val="00B706C4"/>
    <w:rsid w:val="00B7228A"/>
    <w:rsid w:val="00B72C53"/>
    <w:rsid w:val="00B72C69"/>
    <w:rsid w:val="00B72E06"/>
    <w:rsid w:val="00B7337C"/>
    <w:rsid w:val="00B73DA5"/>
    <w:rsid w:val="00B7431F"/>
    <w:rsid w:val="00B74A95"/>
    <w:rsid w:val="00B74F15"/>
    <w:rsid w:val="00B7521C"/>
    <w:rsid w:val="00B756ED"/>
    <w:rsid w:val="00B759E6"/>
    <w:rsid w:val="00B75CDF"/>
    <w:rsid w:val="00B75E29"/>
    <w:rsid w:val="00B76083"/>
    <w:rsid w:val="00B76295"/>
    <w:rsid w:val="00B7662E"/>
    <w:rsid w:val="00B77134"/>
    <w:rsid w:val="00B8012F"/>
    <w:rsid w:val="00B82086"/>
    <w:rsid w:val="00B826F5"/>
    <w:rsid w:val="00B831EF"/>
    <w:rsid w:val="00B83E2F"/>
    <w:rsid w:val="00B83E66"/>
    <w:rsid w:val="00B86619"/>
    <w:rsid w:val="00B86D45"/>
    <w:rsid w:val="00B86E4B"/>
    <w:rsid w:val="00B872D1"/>
    <w:rsid w:val="00B87D04"/>
    <w:rsid w:val="00B87EE5"/>
    <w:rsid w:val="00B91263"/>
    <w:rsid w:val="00B924F0"/>
    <w:rsid w:val="00B927E5"/>
    <w:rsid w:val="00B927E8"/>
    <w:rsid w:val="00B93A63"/>
    <w:rsid w:val="00B9415F"/>
    <w:rsid w:val="00B94FEC"/>
    <w:rsid w:val="00B955E7"/>
    <w:rsid w:val="00B969EB"/>
    <w:rsid w:val="00B97108"/>
    <w:rsid w:val="00B975F3"/>
    <w:rsid w:val="00BA030E"/>
    <w:rsid w:val="00BA1BB2"/>
    <w:rsid w:val="00BA1CC6"/>
    <w:rsid w:val="00BA1E11"/>
    <w:rsid w:val="00BA1F85"/>
    <w:rsid w:val="00BA1FB6"/>
    <w:rsid w:val="00BA36ED"/>
    <w:rsid w:val="00BA3734"/>
    <w:rsid w:val="00BA381F"/>
    <w:rsid w:val="00BA3CA5"/>
    <w:rsid w:val="00BA3F15"/>
    <w:rsid w:val="00BA46AF"/>
    <w:rsid w:val="00BA68D9"/>
    <w:rsid w:val="00BA6C4A"/>
    <w:rsid w:val="00BB0218"/>
    <w:rsid w:val="00BB185B"/>
    <w:rsid w:val="00BB36BF"/>
    <w:rsid w:val="00BB37A3"/>
    <w:rsid w:val="00BB3B42"/>
    <w:rsid w:val="00BB4D6E"/>
    <w:rsid w:val="00BB57BB"/>
    <w:rsid w:val="00BB69A5"/>
    <w:rsid w:val="00BC0EFB"/>
    <w:rsid w:val="00BC21EE"/>
    <w:rsid w:val="00BC243B"/>
    <w:rsid w:val="00BC3554"/>
    <w:rsid w:val="00BC3D81"/>
    <w:rsid w:val="00BC50E1"/>
    <w:rsid w:val="00BC550A"/>
    <w:rsid w:val="00BC65D8"/>
    <w:rsid w:val="00BC70A3"/>
    <w:rsid w:val="00BD03B3"/>
    <w:rsid w:val="00BD05FF"/>
    <w:rsid w:val="00BD1415"/>
    <w:rsid w:val="00BD2EE4"/>
    <w:rsid w:val="00BD3102"/>
    <w:rsid w:val="00BD316B"/>
    <w:rsid w:val="00BD3B56"/>
    <w:rsid w:val="00BD42BF"/>
    <w:rsid w:val="00BD4653"/>
    <w:rsid w:val="00BD560B"/>
    <w:rsid w:val="00BD5F10"/>
    <w:rsid w:val="00BD63C3"/>
    <w:rsid w:val="00BD6475"/>
    <w:rsid w:val="00BD71EF"/>
    <w:rsid w:val="00BE0581"/>
    <w:rsid w:val="00BE2206"/>
    <w:rsid w:val="00BE2499"/>
    <w:rsid w:val="00BE2B66"/>
    <w:rsid w:val="00BE53FB"/>
    <w:rsid w:val="00BE5C95"/>
    <w:rsid w:val="00BE6145"/>
    <w:rsid w:val="00BE6596"/>
    <w:rsid w:val="00BE6721"/>
    <w:rsid w:val="00BE6FC2"/>
    <w:rsid w:val="00BE7A89"/>
    <w:rsid w:val="00BF0271"/>
    <w:rsid w:val="00BF06DD"/>
    <w:rsid w:val="00BF0B96"/>
    <w:rsid w:val="00BF1124"/>
    <w:rsid w:val="00BF12C4"/>
    <w:rsid w:val="00BF2C0E"/>
    <w:rsid w:val="00BF3E4C"/>
    <w:rsid w:val="00BF3EAA"/>
    <w:rsid w:val="00BF59F5"/>
    <w:rsid w:val="00BF5DF4"/>
    <w:rsid w:val="00BF5E81"/>
    <w:rsid w:val="00BF65CA"/>
    <w:rsid w:val="00BF79BE"/>
    <w:rsid w:val="00C00152"/>
    <w:rsid w:val="00C01123"/>
    <w:rsid w:val="00C011CE"/>
    <w:rsid w:val="00C02A56"/>
    <w:rsid w:val="00C033C7"/>
    <w:rsid w:val="00C03A44"/>
    <w:rsid w:val="00C04868"/>
    <w:rsid w:val="00C04CF2"/>
    <w:rsid w:val="00C04DF0"/>
    <w:rsid w:val="00C063BF"/>
    <w:rsid w:val="00C0753B"/>
    <w:rsid w:val="00C10BB4"/>
    <w:rsid w:val="00C1108D"/>
    <w:rsid w:val="00C1110D"/>
    <w:rsid w:val="00C115D6"/>
    <w:rsid w:val="00C11A50"/>
    <w:rsid w:val="00C12069"/>
    <w:rsid w:val="00C126CB"/>
    <w:rsid w:val="00C127B1"/>
    <w:rsid w:val="00C134B7"/>
    <w:rsid w:val="00C15C15"/>
    <w:rsid w:val="00C15E87"/>
    <w:rsid w:val="00C16502"/>
    <w:rsid w:val="00C16D17"/>
    <w:rsid w:val="00C16D33"/>
    <w:rsid w:val="00C170D0"/>
    <w:rsid w:val="00C175D0"/>
    <w:rsid w:val="00C2096B"/>
    <w:rsid w:val="00C209CD"/>
    <w:rsid w:val="00C21A8D"/>
    <w:rsid w:val="00C21BE7"/>
    <w:rsid w:val="00C21C38"/>
    <w:rsid w:val="00C21E2C"/>
    <w:rsid w:val="00C22BF6"/>
    <w:rsid w:val="00C22D8B"/>
    <w:rsid w:val="00C23571"/>
    <w:rsid w:val="00C243B0"/>
    <w:rsid w:val="00C24417"/>
    <w:rsid w:val="00C24DB0"/>
    <w:rsid w:val="00C2581A"/>
    <w:rsid w:val="00C25878"/>
    <w:rsid w:val="00C261C7"/>
    <w:rsid w:val="00C26239"/>
    <w:rsid w:val="00C269FB"/>
    <w:rsid w:val="00C26B1C"/>
    <w:rsid w:val="00C274AA"/>
    <w:rsid w:val="00C27605"/>
    <w:rsid w:val="00C3094A"/>
    <w:rsid w:val="00C31906"/>
    <w:rsid w:val="00C328C1"/>
    <w:rsid w:val="00C328D4"/>
    <w:rsid w:val="00C32965"/>
    <w:rsid w:val="00C32D50"/>
    <w:rsid w:val="00C332B3"/>
    <w:rsid w:val="00C332E5"/>
    <w:rsid w:val="00C33440"/>
    <w:rsid w:val="00C33AB3"/>
    <w:rsid w:val="00C34220"/>
    <w:rsid w:val="00C3426D"/>
    <w:rsid w:val="00C34E91"/>
    <w:rsid w:val="00C35D46"/>
    <w:rsid w:val="00C35F9F"/>
    <w:rsid w:val="00C3664A"/>
    <w:rsid w:val="00C36917"/>
    <w:rsid w:val="00C369AD"/>
    <w:rsid w:val="00C369CF"/>
    <w:rsid w:val="00C36E4D"/>
    <w:rsid w:val="00C406B7"/>
    <w:rsid w:val="00C409F5"/>
    <w:rsid w:val="00C40B3C"/>
    <w:rsid w:val="00C42F38"/>
    <w:rsid w:val="00C4363A"/>
    <w:rsid w:val="00C446A9"/>
    <w:rsid w:val="00C44ADA"/>
    <w:rsid w:val="00C45218"/>
    <w:rsid w:val="00C46060"/>
    <w:rsid w:val="00C46407"/>
    <w:rsid w:val="00C4765F"/>
    <w:rsid w:val="00C500BD"/>
    <w:rsid w:val="00C50711"/>
    <w:rsid w:val="00C51623"/>
    <w:rsid w:val="00C5195B"/>
    <w:rsid w:val="00C523C6"/>
    <w:rsid w:val="00C525BA"/>
    <w:rsid w:val="00C5293B"/>
    <w:rsid w:val="00C529E0"/>
    <w:rsid w:val="00C53065"/>
    <w:rsid w:val="00C53688"/>
    <w:rsid w:val="00C54204"/>
    <w:rsid w:val="00C555F7"/>
    <w:rsid w:val="00C55BDD"/>
    <w:rsid w:val="00C55EF8"/>
    <w:rsid w:val="00C56446"/>
    <w:rsid w:val="00C56599"/>
    <w:rsid w:val="00C56D44"/>
    <w:rsid w:val="00C60085"/>
    <w:rsid w:val="00C601C2"/>
    <w:rsid w:val="00C60863"/>
    <w:rsid w:val="00C6285D"/>
    <w:rsid w:val="00C639E3"/>
    <w:rsid w:val="00C640E3"/>
    <w:rsid w:val="00C646AA"/>
    <w:rsid w:val="00C65894"/>
    <w:rsid w:val="00C65BCC"/>
    <w:rsid w:val="00C70563"/>
    <w:rsid w:val="00C70C24"/>
    <w:rsid w:val="00C7105B"/>
    <w:rsid w:val="00C71292"/>
    <w:rsid w:val="00C71484"/>
    <w:rsid w:val="00C716CA"/>
    <w:rsid w:val="00C72305"/>
    <w:rsid w:val="00C723F7"/>
    <w:rsid w:val="00C735A7"/>
    <w:rsid w:val="00C74306"/>
    <w:rsid w:val="00C75214"/>
    <w:rsid w:val="00C7556D"/>
    <w:rsid w:val="00C757E4"/>
    <w:rsid w:val="00C75DE6"/>
    <w:rsid w:val="00C76FAC"/>
    <w:rsid w:val="00C80733"/>
    <w:rsid w:val="00C811D2"/>
    <w:rsid w:val="00C81B8E"/>
    <w:rsid w:val="00C82117"/>
    <w:rsid w:val="00C82610"/>
    <w:rsid w:val="00C848E9"/>
    <w:rsid w:val="00C84E99"/>
    <w:rsid w:val="00C8566F"/>
    <w:rsid w:val="00C859AE"/>
    <w:rsid w:val="00C85CA7"/>
    <w:rsid w:val="00C85EFC"/>
    <w:rsid w:val="00C87C43"/>
    <w:rsid w:val="00C90B14"/>
    <w:rsid w:val="00C912EA"/>
    <w:rsid w:val="00C915CD"/>
    <w:rsid w:val="00C91654"/>
    <w:rsid w:val="00C91856"/>
    <w:rsid w:val="00C922B2"/>
    <w:rsid w:val="00C927A1"/>
    <w:rsid w:val="00C92EA5"/>
    <w:rsid w:val="00C93894"/>
    <w:rsid w:val="00C93B0E"/>
    <w:rsid w:val="00C964C0"/>
    <w:rsid w:val="00C96A99"/>
    <w:rsid w:val="00C976B0"/>
    <w:rsid w:val="00C979D0"/>
    <w:rsid w:val="00C97CA0"/>
    <w:rsid w:val="00CA128F"/>
    <w:rsid w:val="00CA168B"/>
    <w:rsid w:val="00CA17FB"/>
    <w:rsid w:val="00CA1994"/>
    <w:rsid w:val="00CA1DFC"/>
    <w:rsid w:val="00CA2FCF"/>
    <w:rsid w:val="00CA410E"/>
    <w:rsid w:val="00CA447E"/>
    <w:rsid w:val="00CA5B73"/>
    <w:rsid w:val="00CA706D"/>
    <w:rsid w:val="00CA7071"/>
    <w:rsid w:val="00CA72E0"/>
    <w:rsid w:val="00CA787C"/>
    <w:rsid w:val="00CA78EA"/>
    <w:rsid w:val="00CA7B69"/>
    <w:rsid w:val="00CB0CDF"/>
    <w:rsid w:val="00CB0FE7"/>
    <w:rsid w:val="00CB1A81"/>
    <w:rsid w:val="00CB1DDE"/>
    <w:rsid w:val="00CB27FD"/>
    <w:rsid w:val="00CB2FD6"/>
    <w:rsid w:val="00CB3471"/>
    <w:rsid w:val="00CB501A"/>
    <w:rsid w:val="00CB528D"/>
    <w:rsid w:val="00CB555B"/>
    <w:rsid w:val="00CB5596"/>
    <w:rsid w:val="00CB635C"/>
    <w:rsid w:val="00CB7321"/>
    <w:rsid w:val="00CB759B"/>
    <w:rsid w:val="00CB7E0A"/>
    <w:rsid w:val="00CC060F"/>
    <w:rsid w:val="00CC181D"/>
    <w:rsid w:val="00CC1D83"/>
    <w:rsid w:val="00CC1FEE"/>
    <w:rsid w:val="00CC2B9F"/>
    <w:rsid w:val="00CC3027"/>
    <w:rsid w:val="00CC421B"/>
    <w:rsid w:val="00CC4411"/>
    <w:rsid w:val="00CC4920"/>
    <w:rsid w:val="00CC4BF8"/>
    <w:rsid w:val="00CC64CA"/>
    <w:rsid w:val="00CC6EB7"/>
    <w:rsid w:val="00CC7F2D"/>
    <w:rsid w:val="00CC7F87"/>
    <w:rsid w:val="00CD04FA"/>
    <w:rsid w:val="00CD0B38"/>
    <w:rsid w:val="00CD0DE5"/>
    <w:rsid w:val="00CD1BC6"/>
    <w:rsid w:val="00CD1F19"/>
    <w:rsid w:val="00CD27EE"/>
    <w:rsid w:val="00CD34B7"/>
    <w:rsid w:val="00CD421E"/>
    <w:rsid w:val="00CD52F0"/>
    <w:rsid w:val="00CD5C28"/>
    <w:rsid w:val="00CD679C"/>
    <w:rsid w:val="00CE0197"/>
    <w:rsid w:val="00CE10BD"/>
    <w:rsid w:val="00CE189D"/>
    <w:rsid w:val="00CE1B4D"/>
    <w:rsid w:val="00CE1F17"/>
    <w:rsid w:val="00CE3984"/>
    <w:rsid w:val="00CE59A1"/>
    <w:rsid w:val="00CE5B90"/>
    <w:rsid w:val="00CE5E20"/>
    <w:rsid w:val="00CE7A81"/>
    <w:rsid w:val="00CE7F13"/>
    <w:rsid w:val="00CF0080"/>
    <w:rsid w:val="00CF061A"/>
    <w:rsid w:val="00CF164D"/>
    <w:rsid w:val="00CF1E98"/>
    <w:rsid w:val="00CF1F07"/>
    <w:rsid w:val="00CF2060"/>
    <w:rsid w:val="00CF24A3"/>
    <w:rsid w:val="00CF26BF"/>
    <w:rsid w:val="00CF2DD8"/>
    <w:rsid w:val="00CF2DE0"/>
    <w:rsid w:val="00CF3FB2"/>
    <w:rsid w:val="00CF443F"/>
    <w:rsid w:val="00CF4874"/>
    <w:rsid w:val="00CF56BD"/>
    <w:rsid w:val="00CF57B3"/>
    <w:rsid w:val="00CF60DB"/>
    <w:rsid w:val="00CF66A7"/>
    <w:rsid w:val="00CF740D"/>
    <w:rsid w:val="00CF7DC2"/>
    <w:rsid w:val="00D004BE"/>
    <w:rsid w:val="00D00DBC"/>
    <w:rsid w:val="00D01C8A"/>
    <w:rsid w:val="00D03586"/>
    <w:rsid w:val="00D03A14"/>
    <w:rsid w:val="00D03B28"/>
    <w:rsid w:val="00D04173"/>
    <w:rsid w:val="00D04EE3"/>
    <w:rsid w:val="00D04FE9"/>
    <w:rsid w:val="00D054DF"/>
    <w:rsid w:val="00D05726"/>
    <w:rsid w:val="00D07121"/>
    <w:rsid w:val="00D075C6"/>
    <w:rsid w:val="00D0782E"/>
    <w:rsid w:val="00D0798F"/>
    <w:rsid w:val="00D07C6A"/>
    <w:rsid w:val="00D1075D"/>
    <w:rsid w:val="00D109B2"/>
    <w:rsid w:val="00D11A9D"/>
    <w:rsid w:val="00D11CBB"/>
    <w:rsid w:val="00D11DC3"/>
    <w:rsid w:val="00D11E4F"/>
    <w:rsid w:val="00D11E6E"/>
    <w:rsid w:val="00D123FE"/>
    <w:rsid w:val="00D12D40"/>
    <w:rsid w:val="00D13B9C"/>
    <w:rsid w:val="00D13E97"/>
    <w:rsid w:val="00D141E4"/>
    <w:rsid w:val="00D145AD"/>
    <w:rsid w:val="00D14FB9"/>
    <w:rsid w:val="00D1500D"/>
    <w:rsid w:val="00D150D4"/>
    <w:rsid w:val="00D15FB4"/>
    <w:rsid w:val="00D160C5"/>
    <w:rsid w:val="00D17059"/>
    <w:rsid w:val="00D171A3"/>
    <w:rsid w:val="00D20DB9"/>
    <w:rsid w:val="00D20F08"/>
    <w:rsid w:val="00D213E9"/>
    <w:rsid w:val="00D215CF"/>
    <w:rsid w:val="00D22EC1"/>
    <w:rsid w:val="00D23BE1"/>
    <w:rsid w:val="00D23FB6"/>
    <w:rsid w:val="00D2517F"/>
    <w:rsid w:val="00D256B6"/>
    <w:rsid w:val="00D25F84"/>
    <w:rsid w:val="00D26013"/>
    <w:rsid w:val="00D26B4D"/>
    <w:rsid w:val="00D30E72"/>
    <w:rsid w:val="00D314A6"/>
    <w:rsid w:val="00D31ABC"/>
    <w:rsid w:val="00D32579"/>
    <w:rsid w:val="00D326E3"/>
    <w:rsid w:val="00D336E3"/>
    <w:rsid w:val="00D33B6C"/>
    <w:rsid w:val="00D33FC7"/>
    <w:rsid w:val="00D3454C"/>
    <w:rsid w:val="00D34B74"/>
    <w:rsid w:val="00D34FE7"/>
    <w:rsid w:val="00D35AB9"/>
    <w:rsid w:val="00D36E24"/>
    <w:rsid w:val="00D37D0A"/>
    <w:rsid w:val="00D37F45"/>
    <w:rsid w:val="00D40DA8"/>
    <w:rsid w:val="00D4105E"/>
    <w:rsid w:val="00D42E24"/>
    <w:rsid w:val="00D43C88"/>
    <w:rsid w:val="00D45A02"/>
    <w:rsid w:val="00D46107"/>
    <w:rsid w:val="00D46454"/>
    <w:rsid w:val="00D50854"/>
    <w:rsid w:val="00D50899"/>
    <w:rsid w:val="00D51742"/>
    <w:rsid w:val="00D51DE5"/>
    <w:rsid w:val="00D51EDF"/>
    <w:rsid w:val="00D5208A"/>
    <w:rsid w:val="00D535BB"/>
    <w:rsid w:val="00D54158"/>
    <w:rsid w:val="00D541EA"/>
    <w:rsid w:val="00D549FD"/>
    <w:rsid w:val="00D56241"/>
    <w:rsid w:val="00D56437"/>
    <w:rsid w:val="00D5688B"/>
    <w:rsid w:val="00D603BC"/>
    <w:rsid w:val="00D6073A"/>
    <w:rsid w:val="00D60DAA"/>
    <w:rsid w:val="00D62166"/>
    <w:rsid w:val="00D62438"/>
    <w:rsid w:val="00D635F3"/>
    <w:rsid w:val="00D63D53"/>
    <w:rsid w:val="00D65202"/>
    <w:rsid w:val="00D661B0"/>
    <w:rsid w:val="00D66A7A"/>
    <w:rsid w:val="00D66DE3"/>
    <w:rsid w:val="00D70171"/>
    <w:rsid w:val="00D719C6"/>
    <w:rsid w:val="00D72181"/>
    <w:rsid w:val="00D72EE3"/>
    <w:rsid w:val="00D7396F"/>
    <w:rsid w:val="00D73C8C"/>
    <w:rsid w:val="00D7473F"/>
    <w:rsid w:val="00D74AB1"/>
    <w:rsid w:val="00D74D51"/>
    <w:rsid w:val="00D7523E"/>
    <w:rsid w:val="00D764F8"/>
    <w:rsid w:val="00D76A33"/>
    <w:rsid w:val="00D81AF1"/>
    <w:rsid w:val="00D8266A"/>
    <w:rsid w:val="00D83596"/>
    <w:rsid w:val="00D837A3"/>
    <w:rsid w:val="00D8423F"/>
    <w:rsid w:val="00D8435D"/>
    <w:rsid w:val="00D843D7"/>
    <w:rsid w:val="00D8468E"/>
    <w:rsid w:val="00D84E4B"/>
    <w:rsid w:val="00D85723"/>
    <w:rsid w:val="00D86D96"/>
    <w:rsid w:val="00D873D4"/>
    <w:rsid w:val="00D87C20"/>
    <w:rsid w:val="00D90073"/>
    <w:rsid w:val="00D90345"/>
    <w:rsid w:val="00D903B7"/>
    <w:rsid w:val="00D906AD"/>
    <w:rsid w:val="00D906CB"/>
    <w:rsid w:val="00D909BD"/>
    <w:rsid w:val="00D91360"/>
    <w:rsid w:val="00D91681"/>
    <w:rsid w:val="00D92A4E"/>
    <w:rsid w:val="00D950F1"/>
    <w:rsid w:val="00D95303"/>
    <w:rsid w:val="00D958D0"/>
    <w:rsid w:val="00D95BB2"/>
    <w:rsid w:val="00D95CDA"/>
    <w:rsid w:val="00D966B7"/>
    <w:rsid w:val="00D97D5E"/>
    <w:rsid w:val="00DA0078"/>
    <w:rsid w:val="00DA025A"/>
    <w:rsid w:val="00DA06CF"/>
    <w:rsid w:val="00DA0941"/>
    <w:rsid w:val="00DA168A"/>
    <w:rsid w:val="00DA1A41"/>
    <w:rsid w:val="00DA4017"/>
    <w:rsid w:val="00DA5B94"/>
    <w:rsid w:val="00DA72DC"/>
    <w:rsid w:val="00DB0606"/>
    <w:rsid w:val="00DB16ED"/>
    <w:rsid w:val="00DB2AFA"/>
    <w:rsid w:val="00DB2B95"/>
    <w:rsid w:val="00DB2C69"/>
    <w:rsid w:val="00DB3563"/>
    <w:rsid w:val="00DB3C46"/>
    <w:rsid w:val="00DB408B"/>
    <w:rsid w:val="00DB50AA"/>
    <w:rsid w:val="00DB5C76"/>
    <w:rsid w:val="00DB61C6"/>
    <w:rsid w:val="00DB63D2"/>
    <w:rsid w:val="00DB72DE"/>
    <w:rsid w:val="00DC0068"/>
    <w:rsid w:val="00DC0159"/>
    <w:rsid w:val="00DC0445"/>
    <w:rsid w:val="00DC0500"/>
    <w:rsid w:val="00DC1119"/>
    <w:rsid w:val="00DC1560"/>
    <w:rsid w:val="00DC2247"/>
    <w:rsid w:val="00DC23AF"/>
    <w:rsid w:val="00DC3116"/>
    <w:rsid w:val="00DC336C"/>
    <w:rsid w:val="00DC427B"/>
    <w:rsid w:val="00DC4436"/>
    <w:rsid w:val="00DC5090"/>
    <w:rsid w:val="00DC5BD3"/>
    <w:rsid w:val="00DD00C9"/>
    <w:rsid w:val="00DD0D55"/>
    <w:rsid w:val="00DD0EF4"/>
    <w:rsid w:val="00DD0F86"/>
    <w:rsid w:val="00DD11E2"/>
    <w:rsid w:val="00DD127A"/>
    <w:rsid w:val="00DD1675"/>
    <w:rsid w:val="00DD1854"/>
    <w:rsid w:val="00DD1916"/>
    <w:rsid w:val="00DD2B27"/>
    <w:rsid w:val="00DD2F32"/>
    <w:rsid w:val="00DD2FE0"/>
    <w:rsid w:val="00DD46EB"/>
    <w:rsid w:val="00DD49F5"/>
    <w:rsid w:val="00DD69DD"/>
    <w:rsid w:val="00DD6D90"/>
    <w:rsid w:val="00DD776A"/>
    <w:rsid w:val="00DE0884"/>
    <w:rsid w:val="00DE1270"/>
    <w:rsid w:val="00DE1C02"/>
    <w:rsid w:val="00DE261E"/>
    <w:rsid w:val="00DE26A4"/>
    <w:rsid w:val="00DE297D"/>
    <w:rsid w:val="00DE34B1"/>
    <w:rsid w:val="00DE35DB"/>
    <w:rsid w:val="00DE3C28"/>
    <w:rsid w:val="00DE4674"/>
    <w:rsid w:val="00DE4EF4"/>
    <w:rsid w:val="00DE512F"/>
    <w:rsid w:val="00DE5734"/>
    <w:rsid w:val="00DE67D0"/>
    <w:rsid w:val="00DE6D8A"/>
    <w:rsid w:val="00DE7144"/>
    <w:rsid w:val="00DE79BC"/>
    <w:rsid w:val="00DE7BE4"/>
    <w:rsid w:val="00DF2086"/>
    <w:rsid w:val="00DF2196"/>
    <w:rsid w:val="00DF3260"/>
    <w:rsid w:val="00DF3569"/>
    <w:rsid w:val="00DF3593"/>
    <w:rsid w:val="00DF3F39"/>
    <w:rsid w:val="00DF4182"/>
    <w:rsid w:val="00DF4D59"/>
    <w:rsid w:val="00DF5275"/>
    <w:rsid w:val="00DF52DB"/>
    <w:rsid w:val="00DF553B"/>
    <w:rsid w:val="00DF676C"/>
    <w:rsid w:val="00DF6844"/>
    <w:rsid w:val="00E0101A"/>
    <w:rsid w:val="00E01507"/>
    <w:rsid w:val="00E015AA"/>
    <w:rsid w:val="00E01F87"/>
    <w:rsid w:val="00E0278D"/>
    <w:rsid w:val="00E027CA"/>
    <w:rsid w:val="00E02E23"/>
    <w:rsid w:val="00E035BF"/>
    <w:rsid w:val="00E049D8"/>
    <w:rsid w:val="00E04D6D"/>
    <w:rsid w:val="00E053E5"/>
    <w:rsid w:val="00E0559D"/>
    <w:rsid w:val="00E10958"/>
    <w:rsid w:val="00E116D4"/>
    <w:rsid w:val="00E11848"/>
    <w:rsid w:val="00E132EC"/>
    <w:rsid w:val="00E13805"/>
    <w:rsid w:val="00E14D79"/>
    <w:rsid w:val="00E15FBA"/>
    <w:rsid w:val="00E1655A"/>
    <w:rsid w:val="00E172E8"/>
    <w:rsid w:val="00E17CF8"/>
    <w:rsid w:val="00E17F28"/>
    <w:rsid w:val="00E20DFD"/>
    <w:rsid w:val="00E216A6"/>
    <w:rsid w:val="00E21D12"/>
    <w:rsid w:val="00E21E4B"/>
    <w:rsid w:val="00E22647"/>
    <w:rsid w:val="00E22E6C"/>
    <w:rsid w:val="00E22E81"/>
    <w:rsid w:val="00E22F5A"/>
    <w:rsid w:val="00E23ADF"/>
    <w:rsid w:val="00E245C3"/>
    <w:rsid w:val="00E256BD"/>
    <w:rsid w:val="00E2594B"/>
    <w:rsid w:val="00E25CCA"/>
    <w:rsid w:val="00E26985"/>
    <w:rsid w:val="00E2749E"/>
    <w:rsid w:val="00E30943"/>
    <w:rsid w:val="00E30C5D"/>
    <w:rsid w:val="00E30EB4"/>
    <w:rsid w:val="00E31B44"/>
    <w:rsid w:val="00E31B4C"/>
    <w:rsid w:val="00E332F7"/>
    <w:rsid w:val="00E334B0"/>
    <w:rsid w:val="00E357E9"/>
    <w:rsid w:val="00E35B18"/>
    <w:rsid w:val="00E36033"/>
    <w:rsid w:val="00E36252"/>
    <w:rsid w:val="00E367C0"/>
    <w:rsid w:val="00E36F1C"/>
    <w:rsid w:val="00E36F79"/>
    <w:rsid w:val="00E3703B"/>
    <w:rsid w:val="00E374E0"/>
    <w:rsid w:val="00E374E1"/>
    <w:rsid w:val="00E377F0"/>
    <w:rsid w:val="00E37DA1"/>
    <w:rsid w:val="00E41AF5"/>
    <w:rsid w:val="00E434A9"/>
    <w:rsid w:val="00E44680"/>
    <w:rsid w:val="00E44726"/>
    <w:rsid w:val="00E44ACB"/>
    <w:rsid w:val="00E44F1B"/>
    <w:rsid w:val="00E458CE"/>
    <w:rsid w:val="00E45CBD"/>
    <w:rsid w:val="00E46027"/>
    <w:rsid w:val="00E462EA"/>
    <w:rsid w:val="00E47430"/>
    <w:rsid w:val="00E4775F"/>
    <w:rsid w:val="00E501FB"/>
    <w:rsid w:val="00E50484"/>
    <w:rsid w:val="00E50F54"/>
    <w:rsid w:val="00E518FB"/>
    <w:rsid w:val="00E523F8"/>
    <w:rsid w:val="00E53726"/>
    <w:rsid w:val="00E607F9"/>
    <w:rsid w:val="00E609C5"/>
    <w:rsid w:val="00E61A3D"/>
    <w:rsid w:val="00E6233B"/>
    <w:rsid w:val="00E62CEB"/>
    <w:rsid w:val="00E62F6E"/>
    <w:rsid w:val="00E639FD"/>
    <w:rsid w:val="00E64BD1"/>
    <w:rsid w:val="00E653F5"/>
    <w:rsid w:val="00E65B5D"/>
    <w:rsid w:val="00E67984"/>
    <w:rsid w:val="00E67EDD"/>
    <w:rsid w:val="00E708C7"/>
    <w:rsid w:val="00E709A6"/>
    <w:rsid w:val="00E70EE2"/>
    <w:rsid w:val="00E70F48"/>
    <w:rsid w:val="00E72275"/>
    <w:rsid w:val="00E7342D"/>
    <w:rsid w:val="00E73E9D"/>
    <w:rsid w:val="00E74149"/>
    <w:rsid w:val="00E75369"/>
    <w:rsid w:val="00E75A9B"/>
    <w:rsid w:val="00E76534"/>
    <w:rsid w:val="00E76706"/>
    <w:rsid w:val="00E7684A"/>
    <w:rsid w:val="00E769A3"/>
    <w:rsid w:val="00E77859"/>
    <w:rsid w:val="00E814AC"/>
    <w:rsid w:val="00E81C52"/>
    <w:rsid w:val="00E82246"/>
    <w:rsid w:val="00E82A7A"/>
    <w:rsid w:val="00E8333E"/>
    <w:rsid w:val="00E83CA1"/>
    <w:rsid w:val="00E83CF3"/>
    <w:rsid w:val="00E84050"/>
    <w:rsid w:val="00E8473E"/>
    <w:rsid w:val="00E84F5E"/>
    <w:rsid w:val="00E850A9"/>
    <w:rsid w:val="00E852C4"/>
    <w:rsid w:val="00E85D1C"/>
    <w:rsid w:val="00E86089"/>
    <w:rsid w:val="00E8647A"/>
    <w:rsid w:val="00E867B4"/>
    <w:rsid w:val="00E86B10"/>
    <w:rsid w:val="00E874B4"/>
    <w:rsid w:val="00E87C9E"/>
    <w:rsid w:val="00E87F29"/>
    <w:rsid w:val="00E90E74"/>
    <w:rsid w:val="00E911EB"/>
    <w:rsid w:val="00E913AE"/>
    <w:rsid w:val="00E917E1"/>
    <w:rsid w:val="00E92057"/>
    <w:rsid w:val="00E9222E"/>
    <w:rsid w:val="00E9253B"/>
    <w:rsid w:val="00E92C22"/>
    <w:rsid w:val="00E92EA3"/>
    <w:rsid w:val="00E92F00"/>
    <w:rsid w:val="00E93770"/>
    <w:rsid w:val="00E93779"/>
    <w:rsid w:val="00E93DC4"/>
    <w:rsid w:val="00E94DB0"/>
    <w:rsid w:val="00E94FA0"/>
    <w:rsid w:val="00E950E7"/>
    <w:rsid w:val="00E959FD"/>
    <w:rsid w:val="00E9674F"/>
    <w:rsid w:val="00E9758C"/>
    <w:rsid w:val="00E97592"/>
    <w:rsid w:val="00E976CE"/>
    <w:rsid w:val="00E97715"/>
    <w:rsid w:val="00E9796B"/>
    <w:rsid w:val="00E97F4A"/>
    <w:rsid w:val="00EA01D1"/>
    <w:rsid w:val="00EA0600"/>
    <w:rsid w:val="00EA0BC6"/>
    <w:rsid w:val="00EA0D10"/>
    <w:rsid w:val="00EA1AC9"/>
    <w:rsid w:val="00EA266C"/>
    <w:rsid w:val="00EA2942"/>
    <w:rsid w:val="00EA2A81"/>
    <w:rsid w:val="00EA2AC3"/>
    <w:rsid w:val="00EA2E13"/>
    <w:rsid w:val="00EA35D6"/>
    <w:rsid w:val="00EA4187"/>
    <w:rsid w:val="00EA4F9C"/>
    <w:rsid w:val="00EA516F"/>
    <w:rsid w:val="00EA52DE"/>
    <w:rsid w:val="00EA5A43"/>
    <w:rsid w:val="00EA6F17"/>
    <w:rsid w:val="00EA7477"/>
    <w:rsid w:val="00EA77F3"/>
    <w:rsid w:val="00EB029A"/>
    <w:rsid w:val="00EB0419"/>
    <w:rsid w:val="00EB0A9E"/>
    <w:rsid w:val="00EB16AD"/>
    <w:rsid w:val="00EB1D7A"/>
    <w:rsid w:val="00EB2EC9"/>
    <w:rsid w:val="00EB384C"/>
    <w:rsid w:val="00EB4EFC"/>
    <w:rsid w:val="00EB55FB"/>
    <w:rsid w:val="00EB5D6A"/>
    <w:rsid w:val="00EB6662"/>
    <w:rsid w:val="00EB6C3C"/>
    <w:rsid w:val="00EB7D18"/>
    <w:rsid w:val="00EB7DA0"/>
    <w:rsid w:val="00EC02A2"/>
    <w:rsid w:val="00EC2E35"/>
    <w:rsid w:val="00EC2E5E"/>
    <w:rsid w:val="00EC3F55"/>
    <w:rsid w:val="00EC435F"/>
    <w:rsid w:val="00EC4A7F"/>
    <w:rsid w:val="00EC5395"/>
    <w:rsid w:val="00EC53C5"/>
    <w:rsid w:val="00EC5D8C"/>
    <w:rsid w:val="00EC68C3"/>
    <w:rsid w:val="00EC7679"/>
    <w:rsid w:val="00ED0125"/>
    <w:rsid w:val="00ED2F98"/>
    <w:rsid w:val="00ED3E24"/>
    <w:rsid w:val="00ED488F"/>
    <w:rsid w:val="00ED536A"/>
    <w:rsid w:val="00ED7872"/>
    <w:rsid w:val="00EE00AB"/>
    <w:rsid w:val="00EE021B"/>
    <w:rsid w:val="00EE19F1"/>
    <w:rsid w:val="00EE3459"/>
    <w:rsid w:val="00EE3C60"/>
    <w:rsid w:val="00EE50EC"/>
    <w:rsid w:val="00EE5181"/>
    <w:rsid w:val="00EE6015"/>
    <w:rsid w:val="00EE6B73"/>
    <w:rsid w:val="00EE6CAA"/>
    <w:rsid w:val="00EE6D98"/>
    <w:rsid w:val="00EE79C9"/>
    <w:rsid w:val="00EF0270"/>
    <w:rsid w:val="00EF0359"/>
    <w:rsid w:val="00EF0713"/>
    <w:rsid w:val="00EF0C28"/>
    <w:rsid w:val="00EF155F"/>
    <w:rsid w:val="00EF2D89"/>
    <w:rsid w:val="00EF3A19"/>
    <w:rsid w:val="00EF59F9"/>
    <w:rsid w:val="00EF6AA7"/>
    <w:rsid w:val="00EF6B3B"/>
    <w:rsid w:val="00EF6E86"/>
    <w:rsid w:val="00EF708A"/>
    <w:rsid w:val="00F0000F"/>
    <w:rsid w:val="00F004FA"/>
    <w:rsid w:val="00F00AF7"/>
    <w:rsid w:val="00F01066"/>
    <w:rsid w:val="00F0169D"/>
    <w:rsid w:val="00F01B47"/>
    <w:rsid w:val="00F02104"/>
    <w:rsid w:val="00F0226A"/>
    <w:rsid w:val="00F02495"/>
    <w:rsid w:val="00F02AF7"/>
    <w:rsid w:val="00F02E25"/>
    <w:rsid w:val="00F033E6"/>
    <w:rsid w:val="00F0398E"/>
    <w:rsid w:val="00F04F20"/>
    <w:rsid w:val="00F059D4"/>
    <w:rsid w:val="00F05AB1"/>
    <w:rsid w:val="00F05F35"/>
    <w:rsid w:val="00F05F9A"/>
    <w:rsid w:val="00F06C70"/>
    <w:rsid w:val="00F06E30"/>
    <w:rsid w:val="00F073FB"/>
    <w:rsid w:val="00F07694"/>
    <w:rsid w:val="00F07BDD"/>
    <w:rsid w:val="00F10A43"/>
    <w:rsid w:val="00F11944"/>
    <w:rsid w:val="00F12025"/>
    <w:rsid w:val="00F12783"/>
    <w:rsid w:val="00F12D19"/>
    <w:rsid w:val="00F12DDF"/>
    <w:rsid w:val="00F12F31"/>
    <w:rsid w:val="00F12FD5"/>
    <w:rsid w:val="00F138A4"/>
    <w:rsid w:val="00F1412A"/>
    <w:rsid w:val="00F1588F"/>
    <w:rsid w:val="00F167A5"/>
    <w:rsid w:val="00F16AE8"/>
    <w:rsid w:val="00F171EE"/>
    <w:rsid w:val="00F176C5"/>
    <w:rsid w:val="00F17CC8"/>
    <w:rsid w:val="00F220F8"/>
    <w:rsid w:val="00F2417D"/>
    <w:rsid w:val="00F274CB"/>
    <w:rsid w:val="00F2797B"/>
    <w:rsid w:val="00F27A88"/>
    <w:rsid w:val="00F30858"/>
    <w:rsid w:val="00F3090C"/>
    <w:rsid w:val="00F312CD"/>
    <w:rsid w:val="00F32743"/>
    <w:rsid w:val="00F329DA"/>
    <w:rsid w:val="00F32A57"/>
    <w:rsid w:val="00F32BE6"/>
    <w:rsid w:val="00F3369D"/>
    <w:rsid w:val="00F3385A"/>
    <w:rsid w:val="00F33922"/>
    <w:rsid w:val="00F33D65"/>
    <w:rsid w:val="00F33FF8"/>
    <w:rsid w:val="00F35185"/>
    <w:rsid w:val="00F35479"/>
    <w:rsid w:val="00F36E4A"/>
    <w:rsid w:val="00F37E5D"/>
    <w:rsid w:val="00F41D91"/>
    <w:rsid w:val="00F42328"/>
    <w:rsid w:val="00F42671"/>
    <w:rsid w:val="00F42D87"/>
    <w:rsid w:val="00F42E31"/>
    <w:rsid w:val="00F432BA"/>
    <w:rsid w:val="00F43380"/>
    <w:rsid w:val="00F43495"/>
    <w:rsid w:val="00F44A59"/>
    <w:rsid w:val="00F45055"/>
    <w:rsid w:val="00F453FA"/>
    <w:rsid w:val="00F45B92"/>
    <w:rsid w:val="00F50CB0"/>
    <w:rsid w:val="00F54657"/>
    <w:rsid w:val="00F55A9A"/>
    <w:rsid w:val="00F56C7C"/>
    <w:rsid w:val="00F56DC0"/>
    <w:rsid w:val="00F577CC"/>
    <w:rsid w:val="00F60452"/>
    <w:rsid w:val="00F609E1"/>
    <w:rsid w:val="00F6112D"/>
    <w:rsid w:val="00F612C8"/>
    <w:rsid w:val="00F61DE6"/>
    <w:rsid w:val="00F61DF0"/>
    <w:rsid w:val="00F62A7D"/>
    <w:rsid w:val="00F650B5"/>
    <w:rsid w:val="00F661F4"/>
    <w:rsid w:val="00F66FE7"/>
    <w:rsid w:val="00F67E19"/>
    <w:rsid w:val="00F7000C"/>
    <w:rsid w:val="00F704ED"/>
    <w:rsid w:val="00F70C6A"/>
    <w:rsid w:val="00F71008"/>
    <w:rsid w:val="00F7192D"/>
    <w:rsid w:val="00F71B12"/>
    <w:rsid w:val="00F71B96"/>
    <w:rsid w:val="00F71BCC"/>
    <w:rsid w:val="00F72930"/>
    <w:rsid w:val="00F72AC2"/>
    <w:rsid w:val="00F75823"/>
    <w:rsid w:val="00F75C27"/>
    <w:rsid w:val="00F769F0"/>
    <w:rsid w:val="00F76BFC"/>
    <w:rsid w:val="00F77DC4"/>
    <w:rsid w:val="00F81978"/>
    <w:rsid w:val="00F81980"/>
    <w:rsid w:val="00F83793"/>
    <w:rsid w:val="00F83AAB"/>
    <w:rsid w:val="00F83BF7"/>
    <w:rsid w:val="00F841CF"/>
    <w:rsid w:val="00F84A29"/>
    <w:rsid w:val="00F84E77"/>
    <w:rsid w:val="00F87155"/>
    <w:rsid w:val="00F90465"/>
    <w:rsid w:val="00F90580"/>
    <w:rsid w:val="00F90EAE"/>
    <w:rsid w:val="00F90FAA"/>
    <w:rsid w:val="00F913C1"/>
    <w:rsid w:val="00F91475"/>
    <w:rsid w:val="00F9355D"/>
    <w:rsid w:val="00F93DD0"/>
    <w:rsid w:val="00F9481C"/>
    <w:rsid w:val="00F94A7A"/>
    <w:rsid w:val="00F95A43"/>
    <w:rsid w:val="00F97F6A"/>
    <w:rsid w:val="00FA1134"/>
    <w:rsid w:val="00FA2089"/>
    <w:rsid w:val="00FA218C"/>
    <w:rsid w:val="00FA344A"/>
    <w:rsid w:val="00FA5090"/>
    <w:rsid w:val="00FA537F"/>
    <w:rsid w:val="00FA5A84"/>
    <w:rsid w:val="00FA6CBC"/>
    <w:rsid w:val="00FA72A2"/>
    <w:rsid w:val="00FA78EA"/>
    <w:rsid w:val="00FB08AA"/>
    <w:rsid w:val="00FB13C8"/>
    <w:rsid w:val="00FB18A6"/>
    <w:rsid w:val="00FB1E4D"/>
    <w:rsid w:val="00FB2139"/>
    <w:rsid w:val="00FB22CD"/>
    <w:rsid w:val="00FB3482"/>
    <w:rsid w:val="00FB3BC4"/>
    <w:rsid w:val="00FB48D4"/>
    <w:rsid w:val="00FB4DF1"/>
    <w:rsid w:val="00FB55B7"/>
    <w:rsid w:val="00FB5C89"/>
    <w:rsid w:val="00FB6413"/>
    <w:rsid w:val="00FB65C9"/>
    <w:rsid w:val="00FB6CA2"/>
    <w:rsid w:val="00FB7ABF"/>
    <w:rsid w:val="00FC0871"/>
    <w:rsid w:val="00FC0C9D"/>
    <w:rsid w:val="00FC0EAE"/>
    <w:rsid w:val="00FC1228"/>
    <w:rsid w:val="00FC13CF"/>
    <w:rsid w:val="00FC1677"/>
    <w:rsid w:val="00FC1767"/>
    <w:rsid w:val="00FC2012"/>
    <w:rsid w:val="00FC2080"/>
    <w:rsid w:val="00FC27B2"/>
    <w:rsid w:val="00FC2BFD"/>
    <w:rsid w:val="00FC351C"/>
    <w:rsid w:val="00FC5116"/>
    <w:rsid w:val="00FC5373"/>
    <w:rsid w:val="00FC5DDF"/>
    <w:rsid w:val="00FC5F09"/>
    <w:rsid w:val="00FC730F"/>
    <w:rsid w:val="00FC775A"/>
    <w:rsid w:val="00FC7B15"/>
    <w:rsid w:val="00FD0E88"/>
    <w:rsid w:val="00FD25F5"/>
    <w:rsid w:val="00FD3D3B"/>
    <w:rsid w:val="00FD4046"/>
    <w:rsid w:val="00FD4AE3"/>
    <w:rsid w:val="00FD4CA8"/>
    <w:rsid w:val="00FD7781"/>
    <w:rsid w:val="00FE04C3"/>
    <w:rsid w:val="00FE28F8"/>
    <w:rsid w:val="00FE2AA9"/>
    <w:rsid w:val="00FE3267"/>
    <w:rsid w:val="00FE3D7C"/>
    <w:rsid w:val="00FE4811"/>
    <w:rsid w:val="00FE519C"/>
    <w:rsid w:val="00FE5692"/>
    <w:rsid w:val="00FE57C2"/>
    <w:rsid w:val="00FE58E6"/>
    <w:rsid w:val="00FE5B5F"/>
    <w:rsid w:val="00FE60D3"/>
    <w:rsid w:val="00FE60FB"/>
    <w:rsid w:val="00FE64E8"/>
    <w:rsid w:val="00FE6D4B"/>
    <w:rsid w:val="00FE6F1A"/>
    <w:rsid w:val="00FE7342"/>
    <w:rsid w:val="00FE76D0"/>
    <w:rsid w:val="00FE7A29"/>
    <w:rsid w:val="00FE7EF4"/>
    <w:rsid w:val="00FF00BE"/>
    <w:rsid w:val="00FF1925"/>
    <w:rsid w:val="00FF32A1"/>
    <w:rsid w:val="00FF3A56"/>
    <w:rsid w:val="00FF3CE1"/>
    <w:rsid w:val="00FF41BA"/>
    <w:rsid w:val="00FF4E89"/>
    <w:rsid w:val="00FF5B66"/>
    <w:rsid w:val="00FF60E9"/>
    <w:rsid w:val="00FF669F"/>
    <w:rsid w:val="00FF68A4"/>
    <w:rsid w:val="00FF6B18"/>
    <w:rsid w:val="00FF7C0A"/>
    <w:rsid w:val="00FF7CC8"/>
    <w:rsid w:val="00FF7EB9"/>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pPr>
    <w:rPr>
      <w:rFonts w:ascii="Times New Roman" w:hAnsi="Times New Roman" w:cs="Times New Roman"/>
      <w:sz w:val="26"/>
      <w:szCs w:val="22"/>
      <w:lang w:val="en-US" w:eastAsia="en-US" w:bidi="ar-SA"/>
    </w:rPr>
  </w:style>
  <w:style w:type="paragraph" w:styleId="Heading1">
    <w:name w:val="heading 1"/>
    <w:basedOn w:val="Normal"/>
    <w:next w:val="FERCparanumber"/>
    <w:link w:val="Heading1Char"/>
    <w:qFormat/>
    <w:rsid w:val="00473BCD"/>
    <w:pPr>
      <w:keepNext/>
      <w:keepLines/>
      <w:widowControl/>
      <w:numPr>
        <w:numId w:val="15"/>
      </w:numPr>
      <w:spacing w:after="260"/>
      <w:outlineLvl w:val="0"/>
    </w:pPr>
    <w:rPr>
      <w:rFonts w:eastAsia="MS Gothic"/>
      <w:b/>
      <w:kern w:val="32"/>
      <w:szCs w:val="32"/>
      <w:u w:val="single"/>
    </w:rPr>
  </w:style>
  <w:style w:type="paragraph" w:styleId="Heading2">
    <w:name w:val="heading 2"/>
    <w:basedOn w:val="Normal"/>
    <w:next w:val="FERCparanumber"/>
    <w:link w:val="Heading2Char"/>
    <w:unhideWhenUsed/>
    <w:qFormat/>
    <w:rsid w:val="00473BCD"/>
    <w:pPr>
      <w:keepNext/>
      <w:keepLines/>
      <w:widowControl/>
      <w:numPr>
        <w:ilvl w:val="1"/>
        <w:numId w:val="15"/>
      </w:numPr>
      <w:spacing w:after="260"/>
      <w:outlineLvl w:val="1"/>
    </w:pPr>
    <w:rPr>
      <w:rFonts w:eastAsia="MS Gothic"/>
      <w:b/>
      <w:kern w:val="32"/>
      <w:szCs w:val="26"/>
      <w:u w:val="single"/>
    </w:rPr>
  </w:style>
  <w:style w:type="paragraph" w:styleId="Heading3">
    <w:name w:val="heading 3"/>
    <w:basedOn w:val="Normal"/>
    <w:next w:val="FERCparanumber"/>
    <w:unhideWhenUsed/>
    <w:qFormat/>
    <w:rsid w:val="00473BCD"/>
    <w:pPr>
      <w:keepNext/>
      <w:keepLines/>
      <w:widowControl/>
      <w:numPr>
        <w:ilvl w:val="2"/>
        <w:numId w:val="15"/>
      </w:numPr>
      <w:spacing w:after="260"/>
      <w:outlineLvl w:val="2"/>
    </w:pPr>
    <w:rPr>
      <w:rFonts w:eastAsia="MS Gothic"/>
      <w:b/>
      <w:kern w:val="32"/>
      <w:szCs w:val="24"/>
      <w:u w:val="single"/>
    </w:rPr>
  </w:style>
  <w:style w:type="paragraph" w:styleId="Heading4">
    <w:name w:val="heading 4"/>
    <w:basedOn w:val="Normal"/>
    <w:next w:val="FERCparanumber"/>
    <w:unhideWhenUsed/>
    <w:qFormat/>
    <w:rsid w:val="00473BCD"/>
    <w:pPr>
      <w:keepNext/>
      <w:keepLines/>
      <w:widowControl/>
      <w:numPr>
        <w:ilvl w:val="3"/>
        <w:numId w:val="15"/>
      </w:numPr>
      <w:tabs>
        <w:tab w:val="num" w:pos="2880"/>
        <w:tab w:val="clear" w:pos="4320"/>
      </w:tabs>
      <w:spacing w:after="260"/>
      <w:ind w:left="2880"/>
      <w:outlineLvl w:val="3"/>
    </w:pPr>
    <w:rPr>
      <w:rFonts w:eastAsia="MS Gothic"/>
      <w:b/>
      <w:iCs/>
      <w:kern w:val="32"/>
      <w:u w:val="single"/>
    </w:rPr>
  </w:style>
  <w:style w:type="paragraph" w:styleId="Heading5">
    <w:name w:val="heading 5"/>
    <w:basedOn w:val="Normal"/>
    <w:next w:val="FERCparanumber"/>
    <w:uiPriority w:val="9"/>
    <w:unhideWhenUsed/>
    <w:qFormat/>
    <w:rsid w:val="00473BCD"/>
    <w:pPr>
      <w:keepNext/>
      <w:keepLines/>
      <w:widowControl/>
      <w:numPr>
        <w:ilvl w:val="4"/>
        <w:numId w:val="15"/>
      </w:numPr>
      <w:spacing w:after="260"/>
      <w:outlineLvl w:val="4"/>
    </w:pPr>
    <w:rPr>
      <w:rFonts w:eastAsia="MS Gothic"/>
      <w:b/>
      <w:kern w:val="32"/>
      <w:u w:val="single"/>
    </w:rPr>
  </w:style>
  <w:style w:type="paragraph" w:styleId="Heading6">
    <w:name w:val="heading 6"/>
    <w:basedOn w:val="Normal"/>
    <w:next w:val="FERCparanumber"/>
    <w:uiPriority w:val="9"/>
    <w:semiHidden/>
    <w:unhideWhenUsed/>
    <w:qFormat/>
    <w:rsid w:val="00473BCD"/>
    <w:pPr>
      <w:keepNext/>
      <w:keepLines/>
      <w:widowControl/>
      <w:numPr>
        <w:ilvl w:val="5"/>
        <w:numId w:val="15"/>
      </w:numPr>
      <w:spacing w:after="260"/>
      <w:outlineLvl w:val="5"/>
    </w:pPr>
    <w:rPr>
      <w:rFonts w:eastAsia="MS Gothic"/>
      <w:b/>
      <w:kern w:val="32"/>
      <w:u w:val="single"/>
    </w:rPr>
  </w:style>
  <w:style w:type="paragraph" w:styleId="Heading7">
    <w:name w:val="heading 7"/>
    <w:basedOn w:val="Normal"/>
    <w:next w:val="FERCparanumber"/>
    <w:uiPriority w:val="9"/>
    <w:semiHidden/>
    <w:unhideWhenUsed/>
    <w:qFormat/>
    <w:rsid w:val="00473BCD"/>
    <w:pPr>
      <w:keepNext/>
      <w:keepLines/>
      <w:widowControl/>
      <w:numPr>
        <w:ilvl w:val="6"/>
        <w:numId w:val="15"/>
      </w:numPr>
      <w:spacing w:after="260"/>
      <w:outlineLvl w:val="6"/>
    </w:pPr>
    <w:rPr>
      <w:rFonts w:eastAsia="MS Gothic"/>
      <w:b/>
      <w:iCs/>
      <w:kern w:val="32"/>
      <w:u w:val="single"/>
    </w:rPr>
  </w:style>
  <w:style w:type="paragraph" w:styleId="Heading8">
    <w:name w:val="heading 8"/>
    <w:basedOn w:val="Normal"/>
    <w:next w:val="FERCparanumber"/>
    <w:uiPriority w:val="9"/>
    <w:semiHidden/>
    <w:unhideWhenUsed/>
    <w:qFormat/>
    <w:rsid w:val="00473BCD"/>
    <w:pPr>
      <w:keepNext/>
      <w:keepLines/>
      <w:widowControl/>
      <w:numPr>
        <w:ilvl w:val="7"/>
        <w:numId w:val="15"/>
      </w:numPr>
      <w:spacing w:after="260"/>
      <w:outlineLvl w:val="7"/>
    </w:pPr>
    <w:rPr>
      <w:rFonts w:eastAsia="MS Gothic"/>
      <w:b/>
      <w:kern w:val="32"/>
      <w:szCs w:val="21"/>
      <w:u w:val="single"/>
    </w:rPr>
  </w:style>
  <w:style w:type="paragraph" w:styleId="Heading9">
    <w:name w:val="heading 9"/>
    <w:basedOn w:val="Normal"/>
    <w:next w:val="FERCparanumber"/>
    <w:uiPriority w:val="9"/>
    <w:semiHidden/>
    <w:unhideWhenUsed/>
    <w:qFormat/>
    <w:rsid w:val="00473BCD"/>
    <w:pPr>
      <w:keepNext/>
      <w:keepLines/>
      <w:widowControl/>
      <w:numPr>
        <w:ilvl w:val="8"/>
        <w:numId w:val="15"/>
      </w:numPr>
      <w:spacing w:after="260"/>
      <w:outlineLvl w:val="8"/>
    </w:pPr>
    <w:rPr>
      <w:rFonts w:eastAsia="MS Gothic"/>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MS Mincho"/>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MS Gothic" w:hAnsi="Calibri Light" w:cs="Times New Roman"/>
      <w:sz w:val="24"/>
      <w:szCs w:val="24"/>
    </w:rPr>
  </w:style>
  <w:style w:type="paragraph" w:styleId="EnvelopeReturn">
    <w:name w:val="envelope return"/>
    <w:basedOn w:val="Normal"/>
    <w:uiPriority w:val="99"/>
    <w:semiHidden/>
    <w:unhideWhenUsed/>
    <w:rsid w:val="00CE7F13"/>
    <w:rPr>
      <w:rFonts w:ascii="Calibri Light" w:eastAsia="MS Gothic"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MS Gothic"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cs="Consolas"/>
      <w:lang w:val="en-US" w:eastAsia="en-US" w:bidi="ar-SA"/>
    </w:rPr>
  </w:style>
  <w:style w:type="character" w:customStyle="1" w:styleId="MacroTextChar">
    <w:name w:val="Macro Text Char"/>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MS Gothic" w:hAnsi="Calibri Light" w:cs="Times New Roman"/>
      <w:sz w:val="24"/>
      <w:szCs w:val="24"/>
    </w:rPr>
  </w:style>
  <w:style w:type="character" w:customStyle="1" w:styleId="MessageHeaderChar">
    <w:name w:val="Message Header Char"/>
    <w:link w:val="MessageHeader"/>
    <w:uiPriority w:val="99"/>
    <w:semiHidden/>
    <w:rsid w:val="00CE7F13"/>
    <w:rPr>
      <w:rFonts w:ascii="Calibri Light" w:eastAsia="MS Gothic" w:hAnsi="Calibri Light" w:cs="Times New Roman"/>
      <w:sz w:val="24"/>
      <w:szCs w:val="24"/>
      <w:shd w:val="pct20" w:color="auto" w:fill="auto"/>
    </w:rPr>
  </w:style>
  <w:style w:type="paragraph" w:styleId="NoSpacing">
    <w:name w:val="No Spacing"/>
    <w:uiPriority w:val="3"/>
    <w:qFormat/>
    <w:rsid w:val="00CE7F13"/>
    <w:rPr>
      <w:sz w:val="22"/>
      <w:szCs w:val="22"/>
      <w:lang w:val="en-US" w:eastAsia="en-US" w:bidi="ar-SA"/>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MS Mincho"/>
      <w:color w:val="5A5A5A"/>
      <w:spacing w:val="15"/>
    </w:rPr>
  </w:style>
  <w:style w:type="character" w:customStyle="1" w:styleId="SubtitleChar">
    <w:name w:val="Subtitle Char"/>
    <w:link w:val="Subtitle"/>
    <w:uiPriority w:val="11"/>
    <w:rsid w:val="00CE7F13"/>
    <w:rPr>
      <w:rFonts w:eastAsia="MS Mincho"/>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MS Gothic" w:hAnsi="Calibri Light" w:cs="Times New Roman"/>
      <w:spacing w:val="-10"/>
      <w:kern w:val="28"/>
      <w:sz w:val="56"/>
      <w:szCs w:val="56"/>
    </w:rPr>
  </w:style>
  <w:style w:type="character" w:customStyle="1" w:styleId="TitleChar">
    <w:name w:val="Title Char"/>
    <w:link w:val="Title"/>
    <w:uiPriority w:val="10"/>
    <w:rsid w:val="00CE7F13"/>
    <w:rPr>
      <w:rFonts w:ascii="Calibri Light" w:eastAsia="MS Gothic"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MS Gothic"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6"/>
      </w:numPr>
      <w:spacing w:after="260"/>
    </w:pPr>
  </w:style>
  <w:style w:type="character" w:customStyle="1" w:styleId="FERCparanumberChar">
    <w:name w:val="FERC paranumber Char"/>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8020B"/>
    <w:rPr>
      <w:color w:val="0563C1"/>
      <w:u w:val="single"/>
    </w:rPr>
  </w:style>
  <w:style w:type="character" w:customStyle="1" w:styleId="Heading1Char">
    <w:name w:val="Heading 1 Char"/>
    <w:link w:val="Heading1"/>
    <w:uiPriority w:val="9"/>
    <w:rsid w:val="00EB5D6A"/>
    <w:rPr>
      <w:rFonts w:ascii="Times New Roman" w:eastAsia="MS Gothic" w:hAnsi="Times New Roman" w:cs="Times New Roman"/>
      <w:b/>
      <w:kern w:val="32"/>
      <w:sz w:val="26"/>
      <w:szCs w:val="32"/>
      <w:u w:val="single"/>
    </w:rPr>
  </w:style>
  <w:style w:type="character" w:customStyle="1" w:styleId="Heading2Char">
    <w:name w:val="Heading 2 Char"/>
    <w:link w:val="Heading2"/>
    <w:uiPriority w:val="9"/>
    <w:rsid w:val="00EB5D6A"/>
    <w:rPr>
      <w:rFonts w:ascii="Times New Roman" w:eastAsia="MS Gothic" w:hAnsi="Times New Roman" w:cs="Times New Roman"/>
      <w:b/>
      <w:kern w:val="32"/>
      <w:sz w:val="26"/>
      <w:szCs w:val="26"/>
      <w:u w:val="single"/>
    </w:rPr>
  </w:style>
  <w:style w:type="paragraph" w:styleId="FootnoteText">
    <w:name w:val="footnote text"/>
    <w:aliases w:val="Footnote Text Char Char,fn Char Char,Footnote Text Char1 Char1 Char,Footnote Text Char Char Char1 Char,Footnote Text Char1 Char Char Char,Footnote Text Char Char Char Char Char,Footnote Text Char Char1,ft,fn,fn Char,f,c,Footnote Text Char1"/>
    <w:basedOn w:val="Normal"/>
    <w:link w:val="FootnoteTextChar"/>
    <w:uiPriority w:val="99"/>
    <w:unhideWhenUsed/>
    <w:qFormat/>
    <w:rsid w:val="00DD46EB"/>
    <w:pPr>
      <w:spacing w:after="260"/>
      <w:ind w:firstLine="720"/>
    </w:pPr>
    <w:rPr>
      <w:szCs w:val="20"/>
    </w:rPr>
  </w:style>
  <w:style w:type="character" w:styleId="FootnoteReference">
    <w:name w:val="footnote reference"/>
    <w:aliases w:val="o,fr,Style 17,Style 13,Style 12,Style 15,Style 9,o1,fr1,o2,fr2,o3,fr3,Style 18,(NECG) Footnote Reference,Style 20,Style 7,Style 8,Style 28,Style 19,Styl,Style 11,Style 16,Footnote Reference (EIS),fnr,Footnote reference (EA),Style 30,."/>
    <w:uiPriority w:val="99"/>
    <w:unhideWhenUsed/>
    <w:qFormat/>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uiPriority w:val="99"/>
    <w:semiHidden/>
    <w:unhideWhenUsed/>
    <w:rsid w:val="00407EE0"/>
    <w:rPr>
      <w:sz w:val="16"/>
      <w:szCs w:val="16"/>
    </w:rPr>
  </w:style>
  <w:style w:type="character" w:customStyle="1" w:styleId="UnresolvedMention">
    <w:name w:val="Unresolved Mention"/>
    <w:uiPriority w:val="99"/>
    <w:semiHidden/>
    <w:unhideWhenUsed/>
    <w:rsid w:val="00C32965"/>
    <w:rPr>
      <w:color w:val="605E5C"/>
      <w:shd w:val="clear" w:color="auto" w:fill="E1DFDD"/>
    </w:rPr>
  </w:style>
  <w:style w:type="paragraph" w:styleId="Revision">
    <w:name w:val="Revision"/>
    <w:hidden/>
    <w:uiPriority w:val="99"/>
    <w:semiHidden/>
    <w:rsid w:val="00D25F84"/>
    <w:rPr>
      <w:rFonts w:ascii="Times New Roman" w:hAnsi="Times New Roman" w:cs="Times New Roman"/>
      <w:sz w:val="26"/>
      <w:szCs w:val="22"/>
      <w:lang w:val="en-US" w:eastAsia="en-US" w:bidi="ar-SA"/>
    </w:rPr>
  </w:style>
  <w:style w:type="character" w:customStyle="1" w:styleId="FootnoteTextChar">
    <w:name w:val="Footnote Text Char"/>
    <w:aliases w:val="Footnote Text Char Char Char,fn Char Char Char,Footnote Text Char1 Char1 Char Char,Footnote Text Char Char Char1 Char Char,Footnote Text Char1 Char Char Char Char,Footnote Text Char Char Char Char Char Char,ft Char,fn Char1,f Char"/>
    <w:link w:val="FootnoteText"/>
    <w:uiPriority w:val="99"/>
    <w:rsid w:val="007722B4"/>
    <w:rPr>
      <w:rFonts w:ascii="Times New Roman" w:hAnsi="Times New Roman" w:cs="Times New Roman"/>
      <w:sz w:val="26"/>
      <w:szCs w:val="20"/>
    </w:rPr>
  </w:style>
  <w:style w:type="character" w:customStyle="1" w:styleId="Mention">
    <w:name w:val="Mention"/>
    <w:uiPriority w:val="99"/>
    <w:unhideWhenUsed/>
    <w:rsid w:val="00C25878"/>
    <w:rPr>
      <w:color w:val="2B579A"/>
      <w:shd w:val="clear" w:color="auto" w:fill="E1DFDD"/>
    </w:rPr>
  </w:style>
</w:styles>
</file>

<file path=word/webSettings.xml><?xml version="1.0" encoding="utf-8"?>
<w:webSettings xmlns:r="http://schemas.openxmlformats.org/officeDocument/2006/relationships" xmlns:w="http://schemas.openxmlformats.org/wordprocessingml/2006/main">
  <w:relyOnVML/>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7EC66C-221B-4B8F-93EE-C3F8823DA4EF}">
  <ds:schemaRefs>
    <ds:schemaRef ds:uri="Microsoft.SharePoint.Taxonomy.ContentTypeSync"/>
  </ds:schemaRefs>
</ds:datastoreItem>
</file>

<file path=customXml/itemProps2.xml><?xml version="1.0" encoding="utf-8"?>
<ds:datastoreItem xmlns:ds="http://schemas.openxmlformats.org/officeDocument/2006/customXml" ds:itemID="{13D11000-B4B3-46B6-9722-0F05D3A1C85A}">
  <ds:schemaRefs>
    <ds:schemaRef ds:uri="http://schemas.openxmlformats.org/officeDocument/2006/bibliography"/>
  </ds:schemaRefs>
</ds:datastoreItem>
</file>

<file path=customXml/itemProps3.xml><?xml version="1.0" encoding="utf-8"?>
<ds:datastoreItem xmlns:ds="http://schemas.openxmlformats.org/officeDocument/2006/customXml" ds:itemID="{BE481D0F-B38D-4E21-AB0F-D5B25A451CA8}">
  <ds:schemaRefs>
    <ds:schemaRef ds:uri="http://schemas.microsoft.com/office/2006/metadata/properties"/>
    <ds:schemaRef ds:uri="http://schemas.microsoft.com/office/infopath/2007/PartnerControls"/>
    <ds:schemaRef ds:uri="5e8733a2-e908-454b-85cf-c9d17e1d0943"/>
  </ds:schemaRefs>
</ds:datastoreItem>
</file>

<file path=customXml/itemProps4.xml><?xml version="1.0" encoding="utf-8"?>
<ds:datastoreItem xmlns:ds="http://schemas.openxmlformats.org/officeDocument/2006/customXml" ds:itemID="{09EAC61F-9EF6-4F33-B888-732BBFDB2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C92033-F5CC-49D7-AA61-037181A026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5786</Words>
  <Characters>32986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2024-08-02T21:00:00Z</dcterms:created>
  <dcterms:modified xsi:type="dcterms:W3CDTF">2024-08-02T21:00:00Z</dcterms:modified>
</cp:coreProperties>
</file>