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CF5A2A">
      <w:pPr>
        <w:jc w:val="center"/>
      </w:pPr>
      <w:r w:rsidR="004A314B">
        <w:t>188 FERC ¶ 61,001</w:t>
      </w:r>
    </w:p>
    <w:p w:rsidR="002E6525" w:rsidRPr="00CD0B38" w:rsidP="00013A37">
      <w:pPr>
        <w:jc w:val="center"/>
      </w:pPr>
      <w:r>
        <w:rPr>
          <w:b/>
        </w:rPr>
        <w:fldChar w:fldCharType="begin"/>
      </w:r>
      <w:r>
        <w:rPr>
          <w:b/>
        </w:rPr>
        <w:instrText xml:space="preserve"> MACROBUTTON  AcceptAllChangesInDoc </w:instrText>
      </w:r>
      <w:r>
        <w:rPr>
          <w:b/>
        </w:rPr>
        <w:fldChar w:fldCharType="end"/>
      </w:r>
      <w:r w:rsidRPr="00CD0B38">
        <w:t>UNITED STATES OF AMERICA</w:t>
      </w:r>
    </w:p>
    <w:p w:rsidR="002E6525" w:rsidRPr="00CD0B38" w:rsidP="00BE591B">
      <w:pPr>
        <w:jc w:val="center"/>
      </w:pPr>
      <w:r w:rsidRPr="00CD0B38">
        <w:t>FEDERAL ENERGY REGULATORY COMMISSION</w:t>
      </w:r>
    </w:p>
    <w:p w:rsidR="002E6525" w:rsidRPr="00CD0B38" w:rsidP="00BE591B"/>
    <w:p w:rsidR="002E6525" w:rsidRPr="00013A37" w:rsidP="00013A37">
      <w:pPr>
        <w:widowControl/>
      </w:pPr>
      <w:r w:rsidRPr="00013A37" w:rsidR="00013A37">
        <w:t>Before Commissioners:  Willie L. Phillips, Chairman;</w:t>
      </w:r>
    </w:p>
    <w:p w:rsidR="00013A37" w:rsidRPr="00013A37" w:rsidP="00013A37">
      <w:pPr>
        <w:widowControl/>
      </w:pPr>
      <w:r w:rsidRPr="00013A37">
        <w:t xml:space="preserve">                                        Mark C. Christie</w:t>
      </w:r>
      <w:r>
        <w:t xml:space="preserve"> and </w:t>
      </w:r>
      <w:r w:rsidRPr="00013A37">
        <w:t>David Rosner</w:t>
      </w:r>
      <w:r>
        <w:t>.</w:t>
      </w:r>
      <w:r w:rsidRPr="00013A37">
        <w:t xml:space="preserve"> </w:t>
      </w:r>
    </w:p>
    <w:p w:rsidR="00013A37" w:rsidRPr="00CD0B38" w:rsidP="00013A37">
      <w:pPr>
        <w:widowControl/>
      </w:pPr>
      <w:r w:rsidRPr="00013A37">
        <w:t xml:space="preserve">                                        </w:t>
      </w:r>
    </w:p>
    <w:tbl>
      <w:tblPr>
        <w:tblStyle w:val="TableNormal"/>
        <w:tblW w:w="9540" w:type="dxa"/>
        <w:tblCellMar>
          <w:left w:w="0" w:type="dxa"/>
          <w:right w:w="0" w:type="dxa"/>
        </w:tblCellMar>
        <w:tblLook w:val="01E0"/>
      </w:tblPr>
      <w:tblGrid>
        <w:gridCol w:w="5915"/>
        <w:gridCol w:w="1645"/>
        <w:gridCol w:w="1980"/>
      </w:tblGrid>
      <w:tr w:rsidTr="000955B5">
        <w:tblPrEx>
          <w:tblW w:w="9540" w:type="dxa"/>
          <w:tblCellMar>
            <w:left w:w="0" w:type="dxa"/>
            <w:right w:w="0" w:type="dxa"/>
          </w:tblCellMar>
          <w:tblLook w:val="01E0"/>
        </w:tblPrEx>
        <w:tc>
          <w:tcPr>
            <w:tcW w:w="5915" w:type="dxa"/>
            <w:shd w:val="clear" w:color="auto" w:fill="auto"/>
          </w:tcPr>
          <w:p w:rsidR="008D3072" w:rsidRPr="000955B5" w:rsidP="000955B5">
            <w:pPr>
              <w:widowControl/>
              <w:rPr>
                <w:rFonts w:cs="Arial"/>
              </w:rPr>
            </w:pPr>
            <w:r w:rsidRPr="000955B5" w:rsidR="002E6525">
              <w:rPr>
                <w:rFonts w:cs="Arial"/>
              </w:rPr>
              <w:t xml:space="preserve">Rochester Gas and Electric Corporation </w:t>
            </w:r>
          </w:p>
          <w:p w:rsidR="00EA6DB4" w:rsidRPr="000955B5" w:rsidP="000955B5">
            <w:pPr>
              <w:widowControl/>
              <w:rPr>
                <w:rFonts w:cs="Arial"/>
              </w:rPr>
            </w:pPr>
            <w:r w:rsidRPr="000955B5">
              <w:rPr>
                <w:rFonts w:cs="Arial"/>
              </w:rPr>
              <w:t>New York Independent System Operator, Inc.</w:t>
            </w:r>
          </w:p>
          <w:p w:rsidR="00EA6DB4" w:rsidRPr="000955B5" w:rsidP="000955B5">
            <w:pPr>
              <w:widowControl/>
              <w:rPr>
                <w:rFonts w:cs="Arial"/>
              </w:rPr>
            </w:pPr>
          </w:p>
          <w:p w:rsidR="002E6525" w:rsidRPr="000955B5" w:rsidP="000955B5">
            <w:pPr>
              <w:widowControl/>
              <w:rPr>
                <w:rFonts w:cs="Arial"/>
              </w:rPr>
            </w:pPr>
            <w:r w:rsidRPr="000955B5">
              <w:rPr>
                <w:rFonts w:cs="Arial"/>
              </w:rPr>
              <w:t xml:space="preserve">New York State Electric &amp; Gas Corporation </w:t>
            </w:r>
          </w:p>
          <w:p w:rsidR="00EF7EE7" w:rsidRPr="000955B5" w:rsidP="000955B5">
            <w:pPr>
              <w:widowControl/>
              <w:rPr>
                <w:rFonts w:cs="Arial"/>
              </w:rPr>
            </w:pPr>
            <w:r w:rsidRPr="000955B5">
              <w:rPr>
                <w:rFonts w:cs="Arial"/>
              </w:rPr>
              <w:t>New York Independent System Operator, Inc.</w:t>
            </w:r>
          </w:p>
        </w:tc>
        <w:tc>
          <w:tcPr>
            <w:tcW w:w="1645" w:type="dxa"/>
            <w:shd w:val="clear" w:color="auto" w:fill="auto"/>
          </w:tcPr>
          <w:p w:rsidR="002E6525" w:rsidRPr="000955B5" w:rsidP="000955B5">
            <w:pPr>
              <w:widowControl/>
              <w:jc w:val="right"/>
              <w:rPr>
                <w:rFonts w:cs="Arial"/>
              </w:rPr>
            </w:pPr>
            <w:r w:rsidRPr="000955B5">
              <w:rPr>
                <w:rFonts w:cs="Arial"/>
              </w:rPr>
              <w:t>Docket Nos.</w:t>
            </w:r>
          </w:p>
        </w:tc>
        <w:tc>
          <w:tcPr>
            <w:tcW w:w="1980" w:type="dxa"/>
            <w:shd w:val="clear" w:color="auto" w:fill="auto"/>
            <w:tcMar>
              <w:left w:w="144" w:type="dxa"/>
            </w:tcMar>
          </w:tcPr>
          <w:p w:rsidR="002E6525" w:rsidRPr="000955B5" w:rsidP="000955B5">
            <w:pPr>
              <w:widowControl/>
              <w:ind w:hanging="60"/>
              <w:rPr>
                <w:rFonts w:cs="Arial"/>
              </w:rPr>
            </w:pPr>
            <w:r w:rsidRPr="000955B5">
              <w:rPr>
                <w:rFonts w:cs="Arial"/>
              </w:rPr>
              <w:t>ER24-1967-000</w:t>
            </w:r>
          </w:p>
          <w:p w:rsidR="00EA6DB4" w:rsidRPr="000955B5" w:rsidP="000955B5">
            <w:pPr>
              <w:widowControl/>
              <w:rPr>
                <w:rFonts w:cs="Arial"/>
              </w:rPr>
            </w:pPr>
          </w:p>
          <w:p w:rsidR="00EA6DB4" w:rsidRPr="000955B5" w:rsidP="000955B5">
            <w:pPr>
              <w:widowControl/>
              <w:rPr>
                <w:rFonts w:cs="Arial"/>
              </w:rPr>
            </w:pPr>
          </w:p>
          <w:p w:rsidR="002E6525" w:rsidRPr="000955B5" w:rsidP="000955B5">
            <w:pPr>
              <w:widowControl/>
              <w:ind w:hanging="60"/>
              <w:rPr>
                <w:rFonts w:cs="Arial"/>
              </w:rPr>
            </w:pPr>
            <w:r w:rsidRPr="000955B5">
              <w:rPr>
                <w:rFonts w:cs="Arial"/>
              </w:rPr>
              <w:t>ER24-1968-000</w:t>
            </w:r>
          </w:p>
          <w:p w:rsidR="004D3BC5" w:rsidRPr="000955B5" w:rsidP="000955B5">
            <w:pPr>
              <w:widowControl/>
              <w:ind w:hanging="60"/>
              <w:rPr>
                <w:rFonts w:cs="Arial"/>
              </w:rPr>
            </w:pPr>
            <w:r w:rsidRPr="000955B5">
              <w:rPr>
                <w:rFonts w:cs="Arial"/>
              </w:rPr>
              <w:t>(not consolidated)</w:t>
            </w:r>
          </w:p>
        </w:tc>
      </w:tr>
    </w:tbl>
    <w:p w:rsidR="002E6525" w:rsidRPr="00CD0B38" w:rsidP="00D461CA">
      <w:pPr>
        <w:jc w:val="center"/>
      </w:pPr>
    </w:p>
    <w:p w:rsidR="00013A37" w:rsidP="00D461CA">
      <w:pPr>
        <w:jc w:val="center"/>
      </w:pPr>
      <w:r w:rsidR="00C17DF9">
        <w:t>ORDER ON TRANSMISSION RATE INCENTIVES</w:t>
      </w:r>
    </w:p>
    <w:p w:rsidR="002E6525" w:rsidRPr="00CD0B38" w:rsidP="00D461CA">
      <w:pPr>
        <w:jc w:val="center"/>
      </w:pPr>
      <w:r w:rsidR="00C17DF9">
        <w:t xml:space="preserve">  </w:t>
      </w:r>
    </w:p>
    <w:p w:rsidR="002E6525" w:rsidP="00013A37">
      <w:pPr>
        <w:widowControl/>
        <w:jc w:val="center"/>
      </w:pPr>
      <w:r w:rsidRPr="00013A37" w:rsidR="00013A37">
        <w:t>(Issued July 5, 2024)</w:t>
      </w:r>
    </w:p>
    <w:p w:rsidR="00013A37" w:rsidRPr="00013A37" w:rsidP="00013A37">
      <w:pPr>
        <w:widowControl/>
      </w:pPr>
    </w:p>
    <w:p w:rsidR="00651D4D" w:rsidRPr="00651D4D" w:rsidP="00934D47">
      <w:pPr>
        <w:pStyle w:val="FERCparanumber"/>
      </w:pPr>
      <w:bookmarkStart w:id="0" w:name="_Hlk107557849"/>
      <w:r w:rsidRPr="00C17DF9" w:rsidR="00C17DF9">
        <w:t xml:space="preserve">On </w:t>
      </w:r>
      <w:r w:rsidR="00C17DF9">
        <w:t>May 8</w:t>
      </w:r>
      <w:r w:rsidRPr="00C17DF9" w:rsidR="00C17DF9">
        <w:t>, 202</w:t>
      </w:r>
      <w:r w:rsidR="00C17DF9">
        <w:t>4</w:t>
      </w:r>
      <w:r w:rsidRPr="00C17DF9" w:rsidR="00C17DF9">
        <w:t xml:space="preserve">, </w:t>
      </w:r>
      <w:bookmarkEnd w:id="0"/>
      <w:r w:rsidRPr="00C17DF9" w:rsidR="00C17DF9">
        <w:t>pursuant to sections 205 and 219 of the Federal Power Act (FPA),</w:t>
      </w:r>
      <w:r>
        <w:rPr>
          <w:b/>
          <w:vertAlign w:val="superscript"/>
        </w:rPr>
        <w:footnoteReference w:id="3"/>
      </w:r>
      <w:r w:rsidRPr="00C17DF9" w:rsidR="00C17DF9">
        <w:t xml:space="preserve"> </w:t>
      </w:r>
      <w:r w:rsidR="00FA3DD8">
        <w:t>section</w:t>
      </w:r>
      <w:r w:rsidRPr="00C17DF9" w:rsidR="00C17DF9">
        <w:t xml:space="preserve"> 35</w:t>
      </w:r>
      <w:r w:rsidR="00FA3DD8">
        <w:t>.35(d)</w:t>
      </w:r>
      <w:r w:rsidRPr="00C17DF9" w:rsidR="00C17DF9">
        <w:t xml:space="preserve"> of the Commission’s regulations,</w:t>
      </w:r>
      <w:r>
        <w:rPr>
          <w:b/>
          <w:vertAlign w:val="superscript"/>
        </w:rPr>
        <w:footnoteReference w:id="4"/>
      </w:r>
      <w:r w:rsidRPr="00C17DF9" w:rsidR="00C17DF9">
        <w:t xml:space="preserve"> Order No. 679,</w:t>
      </w:r>
      <w:r>
        <w:rPr>
          <w:b/>
          <w:vertAlign w:val="superscript"/>
        </w:rPr>
        <w:footnoteReference w:id="5"/>
      </w:r>
      <w:r w:rsidR="00D36F97">
        <w:t xml:space="preserve"> and </w:t>
      </w:r>
      <w:r w:rsidR="00960838">
        <w:t xml:space="preserve">the Commission’s </w:t>
      </w:r>
      <w:r w:rsidR="00A83880">
        <w:t>November 15</w:t>
      </w:r>
      <w:r w:rsidR="004F0C92">
        <w:t>, 2012 policy statement on transmission incentives,</w:t>
      </w:r>
      <w:r>
        <w:rPr>
          <w:rStyle w:val="FootnoteReference"/>
        </w:rPr>
        <w:footnoteReference w:id="6"/>
      </w:r>
      <w:r w:rsidRPr="00C17DF9" w:rsidR="00C17DF9">
        <w:t xml:space="preserve"> </w:t>
      </w:r>
      <w:bookmarkStart w:id="1" w:name="_Hlk107557890"/>
      <w:r w:rsidRPr="00C17DF9" w:rsidR="00C17DF9">
        <w:t>New York Independent System Operator, Inc. (NYISO) filed a reques</w:t>
      </w:r>
      <w:r w:rsidR="00E73344">
        <w:t>t</w:t>
      </w:r>
      <w:r w:rsidR="00A417C6">
        <w:t>,</w:t>
      </w:r>
      <w:r w:rsidRPr="00C17DF9" w:rsidR="00C17DF9">
        <w:t xml:space="preserve"> on behalf of </w:t>
      </w:r>
      <w:r w:rsidR="00D42A26">
        <w:t>Rochester Gas &amp; Electric</w:t>
      </w:r>
      <w:r w:rsidRPr="00C17DF9" w:rsidR="00C17DF9">
        <w:t xml:space="preserve"> Corporation (</w:t>
      </w:r>
      <w:r w:rsidR="00D42A26">
        <w:t xml:space="preserve">RG&amp;E) </w:t>
      </w:r>
      <w:r w:rsidR="00F3599D">
        <w:t>in Docket No. ER24</w:t>
      </w:r>
      <w:r w:rsidR="00E925B5">
        <w:t>-19</w:t>
      </w:r>
      <w:r w:rsidR="00BC690F">
        <w:t>67-000</w:t>
      </w:r>
      <w:r w:rsidR="00F3599D">
        <w:t xml:space="preserve"> </w:t>
      </w:r>
      <w:r w:rsidR="00D42A26">
        <w:t>and New York State Electric &amp; Gas Corporation (NYSEG)</w:t>
      </w:r>
      <w:r w:rsidR="00BC690F">
        <w:t xml:space="preserve"> in Docket No. </w:t>
      </w:r>
      <w:bookmarkEnd w:id="1"/>
      <w:r w:rsidR="00BC690F">
        <w:t>ER24-1968-000</w:t>
      </w:r>
      <w:r w:rsidR="002C4F4A">
        <w:t>,</w:t>
      </w:r>
      <w:r w:rsidR="00B04BEC">
        <w:t xml:space="preserve"> </w:t>
      </w:r>
      <w:r w:rsidR="00F75490">
        <w:t xml:space="preserve">for </w:t>
      </w:r>
      <w:r w:rsidR="00A54B47">
        <w:t xml:space="preserve">authorization to use certain transmission incentives </w:t>
      </w:r>
      <w:r w:rsidR="00601191">
        <w:t xml:space="preserve">for </w:t>
      </w:r>
      <w:r w:rsidR="00D538DF">
        <w:t>multiple</w:t>
      </w:r>
      <w:r w:rsidR="000E573E">
        <w:t xml:space="preserve"> transmission projects</w:t>
      </w:r>
      <w:r w:rsidR="00A54B47">
        <w:t>.</w:t>
      </w:r>
      <w:r>
        <w:rPr>
          <w:rStyle w:val="FootnoteReference"/>
        </w:rPr>
        <w:footnoteReference w:id="7"/>
      </w:r>
      <w:r w:rsidRPr="00C17DF9" w:rsidR="00C17DF9">
        <w:t xml:space="preserve"> </w:t>
      </w:r>
      <w:r w:rsidR="00E73789">
        <w:t xml:space="preserve"> Specifically</w:t>
      </w:r>
      <w:r w:rsidR="00DC34D7">
        <w:t xml:space="preserve">, </w:t>
      </w:r>
      <w:r w:rsidR="005A3865">
        <w:t>RG&amp;E and NYSEG (together, Applicants)</w:t>
      </w:r>
      <w:r w:rsidR="00DC34D7">
        <w:t xml:space="preserve"> </w:t>
      </w:r>
      <w:r w:rsidR="00E13A00">
        <w:t>re</w:t>
      </w:r>
      <w:r w:rsidR="00436ED0">
        <w:t>quest</w:t>
      </w:r>
      <w:r w:rsidR="00DC3CA3">
        <w:t xml:space="preserve"> the following transmission rate incentives</w:t>
      </w:r>
      <w:r w:rsidRPr="00C17DF9" w:rsidR="00C17DF9">
        <w:t xml:space="preserve">:  (1) </w:t>
      </w:r>
      <w:r w:rsidR="006920AF">
        <w:t>to</w:t>
      </w:r>
      <w:r w:rsidRPr="00C17DF9" w:rsidR="00C17DF9">
        <w:t xml:space="preserve"> </w:t>
      </w:r>
      <w:r w:rsidR="001A556C">
        <w:t xml:space="preserve">include 100% of prudently incurred Construction Work in Progress (CWIP) in rate base </w:t>
      </w:r>
      <w:r w:rsidR="00E664D4">
        <w:t xml:space="preserve">(CWIP Incentive) </w:t>
      </w:r>
      <w:r w:rsidR="001A556C">
        <w:t xml:space="preserve">for </w:t>
      </w:r>
      <w:r w:rsidR="004E762A">
        <w:t>transmission projects that</w:t>
      </w:r>
      <w:r w:rsidR="00B22D00">
        <w:t xml:space="preserve"> Applicants </w:t>
      </w:r>
      <w:r w:rsidR="004E762A">
        <w:t xml:space="preserve">are developing </w:t>
      </w:r>
      <w:r w:rsidR="007A78AF">
        <w:t>pursuant to New York State’s efforts to increase transmission system “headroom” to support renewable energy development (</w:t>
      </w:r>
      <w:r w:rsidRPr="007A78AF" w:rsidR="001A556C">
        <w:t>Phase 2 Projects</w:t>
      </w:r>
      <w:r w:rsidR="007A78AF">
        <w:t>)</w:t>
      </w:r>
      <w:r w:rsidR="001A556C">
        <w:t xml:space="preserve"> </w:t>
      </w:r>
      <w:r w:rsidR="0090350B">
        <w:t xml:space="preserve">and </w:t>
      </w:r>
      <w:r w:rsidR="00E73344">
        <w:t xml:space="preserve">(2) </w:t>
      </w:r>
      <w:r w:rsidRPr="00C17DF9" w:rsidR="00C17DF9">
        <w:t xml:space="preserve">to </w:t>
      </w:r>
      <w:r w:rsidR="0090350B">
        <w:t>recover 100% of prudently incurred costs associated with their investment in the Phase 2 Proje</w:t>
      </w:r>
      <w:r w:rsidR="00B82DDF">
        <w:t>cts if such projects are abandoned or cancelled for reasons beyond the control of the Applicants (Abandoned Plant Incentive)</w:t>
      </w:r>
      <w:r w:rsidR="00A04468">
        <w:t xml:space="preserve">.  </w:t>
      </w:r>
      <w:r w:rsidR="00710E69">
        <w:t>NYISO also filed</w:t>
      </w:r>
      <w:r w:rsidR="00800164">
        <w:t>, on Applicants</w:t>
      </w:r>
      <w:r w:rsidR="00BE770B">
        <w:t>’ behalf,</w:t>
      </w:r>
      <w:r w:rsidR="00710E69">
        <w:t xml:space="preserve"> corresponding</w:t>
      </w:r>
      <w:r w:rsidR="00643C7A">
        <w:t xml:space="preserve"> revisions </w:t>
      </w:r>
      <w:r w:rsidR="000F14EC">
        <w:t>to</w:t>
      </w:r>
      <w:r w:rsidR="00643C7A">
        <w:t xml:space="preserve"> </w:t>
      </w:r>
      <w:r w:rsidR="007A266D">
        <w:t>RG&amp;E’s</w:t>
      </w:r>
      <w:r w:rsidR="0095580D">
        <w:t xml:space="preserve"> and NYSEG’s</w:t>
      </w:r>
      <w:r w:rsidRPr="00934D47" w:rsidR="00AF3017">
        <w:t xml:space="preserve"> respective formula rates</w:t>
      </w:r>
      <w:r w:rsidR="00AF3017">
        <w:t xml:space="preserve"> under the NYISO Open Access Transmission Tariff (</w:t>
      </w:r>
      <w:r w:rsidR="000760FE">
        <w:t>Tariff</w:t>
      </w:r>
      <w:r w:rsidR="00AF3017">
        <w:t>)</w:t>
      </w:r>
      <w:r w:rsidR="00F24F39">
        <w:t>.</w:t>
      </w:r>
      <w:r>
        <w:rPr>
          <w:rStyle w:val="FootnoteReference"/>
        </w:rPr>
        <w:footnoteReference w:id="8"/>
      </w:r>
      <w:r w:rsidR="00F24F39">
        <w:t xml:space="preserve"> </w:t>
      </w:r>
      <w:r w:rsidR="00710E69">
        <w:t xml:space="preserve"> </w:t>
      </w:r>
      <w:r w:rsidR="00934D47">
        <w:t xml:space="preserve">As discussed below, we conditionally grant Applicants’ requests for the Phase 2 Projects that are subject to subsequent permitting approval by the New York </w:t>
      </w:r>
      <w:r w:rsidR="00554535">
        <w:t>State</w:t>
      </w:r>
      <w:r w:rsidR="00934D47">
        <w:t xml:space="preserve"> Public Service Commission (New York Commission) under Article VII of New Yo</w:t>
      </w:r>
      <w:r w:rsidR="008D78DF">
        <w:t>r</w:t>
      </w:r>
      <w:r w:rsidR="00934D47">
        <w:t>k State’s Public Service Law (Article VII Approval)</w:t>
      </w:r>
      <w:r w:rsidR="00557855">
        <w:t>,</w:t>
      </w:r>
      <w:r>
        <w:rPr>
          <w:rStyle w:val="FootnoteReference"/>
        </w:rPr>
        <w:footnoteReference w:id="9"/>
      </w:r>
      <w:r w:rsidR="00557855">
        <w:t xml:space="preserve"> effective July 8, 2024,</w:t>
      </w:r>
      <w:r w:rsidR="00934D47">
        <w:t xml:space="preserve"> </w:t>
      </w:r>
      <w:r w:rsidR="00C76184">
        <w:t>as requested,</w:t>
      </w:r>
      <w:r w:rsidR="00934D47">
        <w:t xml:space="preserve"> and</w:t>
      </w:r>
      <w:r w:rsidRPr="0049335C" w:rsidR="00934D47">
        <w:t xml:space="preserve"> </w:t>
      </w:r>
      <w:r w:rsidR="00934D47">
        <w:t xml:space="preserve">deny </w:t>
      </w:r>
      <w:r w:rsidRPr="00934D47" w:rsidR="00934D47">
        <w:t xml:space="preserve">Applicants’ requests for the Phase 2 Projects that are not subject to subsequent Article VII Approval.  We also conditionally accept RG&amp;E’s and NYSEG’s proposed </w:t>
      </w:r>
      <w:r w:rsidR="000760FE">
        <w:t>T</w:t>
      </w:r>
      <w:r w:rsidRPr="00934D47" w:rsidR="00934D47">
        <w:t>ariff revisions to their respective formula rates, effective July 8, 2024</w:t>
      </w:r>
      <w:r w:rsidR="00FE5A4A">
        <w:t>, as requested</w:t>
      </w:r>
      <w:r w:rsidR="00177DB2">
        <w:t xml:space="preserve">, subject to the New York Commission </w:t>
      </w:r>
      <w:r w:rsidRPr="00FA2960" w:rsidR="00747AB2">
        <w:t>issuing Article VII Approval for the relevant Phase 2 Projects</w:t>
      </w:r>
      <w:r w:rsidRPr="005D26FF" w:rsidR="00747AB2">
        <w:t xml:space="preserve"> </w:t>
      </w:r>
      <w:r w:rsidR="00747AB2">
        <w:t>and Commission acceptance of Applicants’ compliance filing(s)</w:t>
      </w:r>
      <w:r w:rsidR="00856AB0">
        <w:t xml:space="preserve">, </w:t>
      </w:r>
      <w:r w:rsidR="00177DB2">
        <w:t xml:space="preserve">and subject to the outcome of </w:t>
      </w:r>
      <w:r w:rsidR="002445FE">
        <w:t xml:space="preserve">the </w:t>
      </w:r>
      <w:r w:rsidR="00177DB2">
        <w:t>ongoing</w:t>
      </w:r>
      <w:r w:rsidR="002445FE">
        <w:t xml:space="preserve"> proceeding</w:t>
      </w:r>
      <w:r w:rsidR="002F15BE">
        <w:t>s</w:t>
      </w:r>
      <w:r w:rsidR="002445FE">
        <w:t xml:space="preserve"> in Docket No</w:t>
      </w:r>
      <w:r w:rsidR="00E30DE2">
        <w:t>s</w:t>
      </w:r>
      <w:r w:rsidR="002445FE">
        <w:t xml:space="preserve">. </w:t>
      </w:r>
      <w:r w:rsidR="00E30DE2">
        <w:t>ER23-1816 and ER23-1817</w:t>
      </w:r>
      <w:r w:rsidR="004702E8">
        <w:t>, as discussed below</w:t>
      </w:r>
      <w:r w:rsidRPr="00934D47" w:rsidR="00934D47">
        <w:t>.</w:t>
      </w:r>
    </w:p>
    <w:p w:rsidR="000950FB" w:rsidRPr="00810D4B" w:rsidP="0071441F">
      <w:pPr>
        <w:pStyle w:val="Heading1"/>
        <w:tabs>
          <w:tab w:val="clear" w:pos="720"/>
          <w:tab w:val="num" w:pos="1440"/>
        </w:tabs>
      </w:pPr>
      <w:r w:rsidRPr="00651D4D" w:rsidR="00651D4D">
        <w:t>Background</w:t>
      </w:r>
      <w:r w:rsidR="0071085B">
        <w:rPr>
          <w:bCs/>
        </w:rPr>
        <w:t xml:space="preserve"> </w:t>
      </w:r>
    </w:p>
    <w:p w:rsidR="00810D4B" w:rsidP="00D461CA">
      <w:pPr>
        <w:pStyle w:val="Heading2"/>
        <w:tabs>
          <w:tab w:val="clear" w:pos="1440"/>
          <w:tab w:val="num" w:pos="2160"/>
        </w:tabs>
      </w:pPr>
      <w:r w:rsidR="00B22D00">
        <w:rPr>
          <w:bCs/>
        </w:rPr>
        <w:t>Applicants</w:t>
      </w:r>
    </w:p>
    <w:p w:rsidR="00810D4B" w:rsidP="00650DA0">
      <w:pPr>
        <w:pStyle w:val="FERCparanumber"/>
      </w:pPr>
      <w:r w:rsidR="00B22D00">
        <w:t xml:space="preserve">Applicants </w:t>
      </w:r>
      <w:r>
        <w:t xml:space="preserve">are each a </w:t>
      </w:r>
      <w:r w:rsidR="00B8615A">
        <w:t>wholly owned</w:t>
      </w:r>
      <w:r>
        <w:t xml:space="preserve"> subsidiary of Avangrid, Inc. (Avangrid).  NYSEG operates approximately 35,000 miles of electric distribution lines and 4,500 miles of electric transmission lines across more than 40% of upstate New York</w:t>
      </w:r>
      <w:r w:rsidR="00C3304D">
        <w:t>,</w:t>
      </w:r>
      <w:r w:rsidRPr="00C3304D" w:rsidR="00C3304D">
        <w:t xml:space="preserve"> </w:t>
      </w:r>
      <w:r w:rsidR="00C3304D">
        <w:t>serving approximately 907,000 electricity customers</w:t>
      </w:r>
      <w:r>
        <w:t>.</w:t>
      </w:r>
      <w:r>
        <w:rPr>
          <w:rStyle w:val="FootnoteReference"/>
        </w:rPr>
        <w:footnoteReference w:id="10"/>
      </w:r>
      <w:r>
        <w:t xml:space="preserve">  RG&amp;E operates approximately 8,900 miles of electric distribution lines and 1,100 miles of electric transmission lines</w:t>
      </w:r>
      <w:r w:rsidR="00C3304D">
        <w:t xml:space="preserve"> and</w:t>
      </w:r>
      <w:r>
        <w:t xml:space="preserve"> serves approximately 385,000 electricity customers in a nine-county region in New York surrounding the City of Rochester.  </w:t>
      </w:r>
    </w:p>
    <w:p w:rsidR="00272220" w:rsidP="00D461CA">
      <w:pPr>
        <w:pStyle w:val="Heading2"/>
        <w:tabs>
          <w:tab w:val="clear" w:pos="1440"/>
          <w:tab w:val="num" w:pos="2160"/>
        </w:tabs>
      </w:pPr>
      <w:r>
        <w:t>The Phase 2 Projects</w:t>
      </w:r>
    </w:p>
    <w:p w:rsidR="00D43D37" w:rsidP="00EA000E">
      <w:pPr>
        <w:pStyle w:val="FERCparanumber"/>
      </w:pPr>
      <w:bookmarkStart w:id="2" w:name="_Hlk167974748"/>
      <w:r w:rsidR="00B22D00">
        <w:t xml:space="preserve">Applicants </w:t>
      </w:r>
      <w:r>
        <w:t>state that the Phase 2 Projects include 33 local transmission projects</w:t>
      </w:r>
      <w:r w:rsidR="00160E9C">
        <w:t xml:space="preserve">, </w:t>
      </w:r>
      <w:r w:rsidRPr="0099395D" w:rsidR="00160E9C">
        <w:t xml:space="preserve">estimated </w:t>
      </w:r>
      <w:r w:rsidR="00EA000E">
        <w:t>at</w:t>
      </w:r>
      <w:r w:rsidR="00E92023">
        <w:t xml:space="preserve"> </w:t>
      </w:r>
      <w:r w:rsidRPr="0099395D" w:rsidR="00160E9C">
        <w:t>$157 million</w:t>
      </w:r>
      <w:r w:rsidR="00EA000E">
        <w:t xml:space="preserve"> in</w:t>
      </w:r>
      <w:r w:rsidRPr="0099395D" w:rsidR="00160E9C">
        <w:t xml:space="preserve"> investment by RG&amp;E</w:t>
      </w:r>
      <w:r w:rsidR="00EA000E">
        <w:t xml:space="preserve"> and </w:t>
      </w:r>
      <w:r w:rsidRPr="0099395D" w:rsidR="00EA000E">
        <w:t>$2.093 billion investment by NYSEG</w:t>
      </w:r>
      <w:r w:rsidR="00EA000E">
        <w:t>,</w:t>
      </w:r>
      <w:r>
        <w:t xml:space="preserve"> approved in the </w:t>
      </w:r>
      <w:r w:rsidR="001D755F">
        <w:t>New York Commission’s “</w:t>
      </w:r>
      <w:r w:rsidRPr="001D755F" w:rsidR="001D755F">
        <w:t>Order Approving Phase 2 Areas of Concern Transmission Upgrades</w:t>
      </w:r>
      <w:r w:rsidR="001D755F">
        <w:t>”</w:t>
      </w:r>
      <w:r w:rsidRPr="001D755F" w:rsidR="001D755F">
        <w:t xml:space="preserve"> </w:t>
      </w:r>
      <w:r w:rsidR="001D755F">
        <w:t>(</w:t>
      </w:r>
      <w:r>
        <w:t>Phase 2 Order</w:t>
      </w:r>
      <w:r w:rsidR="001D755F">
        <w:t>)</w:t>
      </w:r>
      <w:r>
        <w:t xml:space="preserve"> to support achi</w:t>
      </w:r>
      <w:r w:rsidR="004646F5">
        <w:t>evement of New York’s renewable energy policy goals while increasing reliability and reducing congestion.</w:t>
      </w:r>
      <w:r>
        <w:rPr>
          <w:rStyle w:val="FootnoteReference"/>
        </w:rPr>
        <w:footnoteReference w:id="11"/>
      </w:r>
      <w:r w:rsidR="004646F5">
        <w:t xml:space="preserve">  In total, </w:t>
      </w:r>
      <w:r w:rsidR="00B22D00">
        <w:t xml:space="preserve">Applicants </w:t>
      </w:r>
      <w:r w:rsidR="004646F5">
        <w:t>state that their Phase 2 Projects represent approximately 300 miles of transmission line rebuilds, as well as major upgrades or rebuilds of nine substations and minor upgrades of several others.</w:t>
      </w:r>
      <w:r>
        <w:rPr>
          <w:rStyle w:val="FootnoteReference"/>
        </w:rPr>
        <w:footnoteReference w:id="12"/>
      </w:r>
      <w:r w:rsidR="004646F5">
        <w:t xml:space="preserve">  </w:t>
      </w:r>
      <w:r w:rsidR="00E36E27">
        <w:t>Applicants</w:t>
      </w:r>
      <w:r w:rsidR="00F45F9A">
        <w:t xml:space="preserve"> state that the Phase 2 Projects </w:t>
      </w:r>
      <w:r w:rsidRPr="0099395D" w:rsidR="00F45F9A">
        <w:t xml:space="preserve">include several large projects with long development and construction schedules, all being developed simultaneously with </w:t>
      </w:r>
      <w:r w:rsidR="00F45F9A">
        <w:t>other</w:t>
      </w:r>
      <w:r w:rsidR="00C079A4">
        <w:t xml:space="preserve"> New York State public policy-driven</w:t>
      </w:r>
      <w:r w:rsidRPr="0099395D" w:rsidR="00F45F9A">
        <w:t xml:space="preserve"> transmission projects</w:t>
      </w:r>
      <w:r w:rsidR="00C079A4">
        <w:t>.</w:t>
      </w:r>
    </w:p>
    <w:p w:rsidR="00D16502" w:rsidP="001849FF">
      <w:pPr>
        <w:pStyle w:val="FERCparanumber"/>
      </w:pPr>
      <w:bookmarkEnd w:id="2"/>
      <w:r w:rsidR="00E36E27">
        <w:t>Applicants</w:t>
      </w:r>
      <w:r w:rsidR="00252A75">
        <w:t xml:space="preserve"> </w:t>
      </w:r>
      <w:r w:rsidRPr="00D149E9">
        <w:t>explain that the Phase 2 Projects are a</w:t>
      </w:r>
      <w:r w:rsidR="00F00AB3">
        <w:t xml:space="preserve"> product </w:t>
      </w:r>
      <w:r w:rsidRPr="00D149E9">
        <w:t>of the New York State Climate Leadership and Community Protection Act (CLCPA)</w:t>
      </w:r>
      <w:r w:rsidR="00CA5C8E">
        <w:t xml:space="preserve">, </w:t>
      </w:r>
      <w:r w:rsidRPr="00CA5C8E" w:rsidR="00CA5C8E">
        <w:t xml:space="preserve">which established certain renewable energy </w:t>
      </w:r>
      <w:r w:rsidR="00010A12">
        <w:t>requirements</w:t>
      </w:r>
      <w:r w:rsidRPr="00CA5C8E" w:rsidR="00CA5C8E">
        <w:t>,</w:t>
      </w:r>
      <w:r w:rsidRPr="00D149E9">
        <w:t xml:space="preserve"> and</w:t>
      </w:r>
      <w:r w:rsidR="00A33EB0">
        <w:t xml:space="preserve"> the</w:t>
      </w:r>
      <w:r w:rsidRPr="00D149E9">
        <w:t xml:space="preserve"> Accelerated Renewable Energy Growth and Community Benefit Act (AREGCBA), which establish</w:t>
      </w:r>
      <w:r w:rsidR="009D1739">
        <w:t>ed</w:t>
      </w:r>
      <w:r w:rsidRPr="00D149E9">
        <w:t xml:space="preserve"> new regulatory processes to facilitate </w:t>
      </w:r>
      <w:r w:rsidR="009D1739">
        <w:t xml:space="preserve">CLCPA </w:t>
      </w:r>
      <w:r w:rsidR="000B7C6F">
        <w:t>r</w:t>
      </w:r>
      <w:r w:rsidR="009D1739">
        <w:t>equirement</w:t>
      </w:r>
      <w:r w:rsidR="000B7C6F">
        <w:t>s</w:t>
      </w:r>
      <w:r w:rsidRPr="00D149E9">
        <w:t xml:space="preserve"> achievement.</w:t>
      </w:r>
      <w:r>
        <w:rPr>
          <w:b/>
          <w:vertAlign w:val="superscript"/>
        </w:rPr>
        <w:footnoteReference w:id="13"/>
      </w:r>
      <w:r>
        <w:t xml:space="preserve">  </w:t>
      </w:r>
      <w:r w:rsidR="00E36E27">
        <w:t>Applicants</w:t>
      </w:r>
      <w:r w:rsidR="00252A75">
        <w:t xml:space="preserve"> </w:t>
      </w:r>
      <w:r w:rsidRPr="00127403">
        <w:t xml:space="preserve">explain that AREGCBA directs the New York Commission to establish a distribution and local transmission capital plan for each utility in whose service territory the power grid study identified distribution upgrades and local transmission upgrades that the </w:t>
      </w:r>
      <w:r w:rsidRPr="00127403" w:rsidR="008F7D4C">
        <w:t xml:space="preserve">New York </w:t>
      </w:r>
      <w:r w:rsidR="00BC0E37">
        <w:t xml:space="preserve">Department of Public </w:t>
      </w:r>
      <w:r w:rsidR="00AC0323">
        <w:t>Service</w:t>
      </w:r>
      <w:r w:rsidRPr="00127403" w:rsidR="008F7D4C">
        <w:t xml:space="preserve"> </w:t>
      </w:r>
      <w:r w:rsidRPr="00127403">
        <w:t>determines are necessary or appropriate to achieve the CLCPA targets.</w:t>
      </w:r>
      <w:r>
        <w:rPr>
          <w:b/>
          <w:vertAlign w:val="superscript"/>
        </w:rPr>
        <w:footnoteReference w:id="14"/>
      </w:r>
    </w:p>
    <w:p w:rsidR="00D16502" w:rsidP="001849FF">
      <w:pPr>
        <w:pStyle w:val="FERCparanumber"/>
      </w:pPr>
      <w:r w:rsidR="00E36E27">
        <w:t>Applicants</w:t>
      </w:r>
      <w:r w:rsidR="00252A75">
        <w:t xml:space="preserve"> </w:t>
      </w:r>
      <w:r w:rsidRPr="007F2E1A">
        <w:t>state that the New York Commission initiated a process to establish this plan on May 14, 2020, directing the New York utilities to submit a comprehensive report identifying local transmission and distribution upgrades</w:t>
      </w:r>
      <w:r w:rsidR="0017265C">
        <w:t xml:space="preserve"> </w:t>
      </w:r>
      <w:r w:rsidRPr="00127403" w:rsidR="006F186E">
        <w:t>to achieve the CLCPA targets</w:t>
      </w:r>
      <w:r w:rsidRPr="007F2E1A">
        <w:t>.</w:t>
      </w:r>
      <w:r>
        <w:rPr>
          <w:b/>
          <w:bCs/>
          <w:vertAlign w:val="superscript"/>
        </w:rPr>
        <w:footnoteReference w:id="15"/>
      </w:r>
      <w:r w:rsidRPr="007F2E1A">
        <w:t xml:space="preserve">  According to </w:t>
      </w:r>
      <w:r w:rsidR="00E36E27">
        <w:t>Applicants</w:t>
      </w:r>
      <w:r w:rsidRPr="007F2E1A">
        <w:t>, the New York utilities recommended dividing local transmission projects into “Phase 1” projects already needed under existing planning criteria and “Phase 2” projects proposed primarily to increase transmission system headroom in support of renewable energy development.</w:t>
      </w:r>
      <w:r>
        <w:rPr>
          <w:b/>
          <w:bCs/>
          <w:vertAlign w:val="superscript"/>
        </w:rPr>
        <w:footnoteReference w:id="16"/>
      </w:r>
      <w:r>
        <w:t xml:space="preserve"> </w:t>
      </w:r>
    </w:p>
    <w:p w:rsidR="00D16502" w:rsidP="00D461CA">
      <w:pPr>
        <w:pStyle w:val="FERCparanumber"/>
      </w:pPr>
      <w:r w:rsidR="00E36E27">
        <w:t>Applicants</w:t>
      </w:r>
      <w:r w:rsidR="00252A75">
        <w:t xml:space="preserve"> </w:t>
      </w:r>
      <w:r w:rsidRPr="00F00295">
        <w:t>state that, on September 9, 2021, the New York Commission issued an order</w:t>
      </w:r>
      <w:r w:rsidR="0017265C">
        <w:t>:</w:t>
      </w:r>
      <w:r w:rsidRPr="00F00295">
        <w:t xml:space="preserve">  (1) identifying specific “Areas of Concern” in New York “characterized by the presence of existing renewable generation that is already experiencing curtailments and a strong level of developer interest that exceeds the capability of the local transmission system”; and (2) ordering NYSEG, RG&amp;E, Central Hudson Gas &amp; Electric Corporation (Central Hudson), and Niagara Mohawk Power Corporation (Niagara Mohawk) to</w:t>
      </w:r>
      <w:r w:rsidR="00252A75">
        <w:t xml:space="preserve"> “consult with Department of Public Service Staff regarding</w:t>
      </w:r>
      <w:r w:rsidRPr="00F00295">
        <w:t xml:space="preserve"> present</w:t>
      </w:r>
      <w:r w:rsidR="00252A75">
        <w:t>ation of</w:t>
      </w:r>
      <w:r w:rsidRPr="00F00295">
        <w:t xml:space="preserve"> a minimum of two options </w:t>
      </w:r>
      <w:r w:rsidR="00252A75">
        <w:t xml:space="preserve">for each Area of Concern that </w:t>
      </w:r>
      <w:r w:rsidRPr="00F00295">
        <w:t>identif</w:t>
      </w:r>
      <w:r w:rsidR="00252A75">
        <w:t>ies</w:t>
      </w:r>
      <w:r w:rsidRPr="00F00295">
        <w:t xml:space="preserve"> the most cost-effective upgrades on a dollar per megawatt basis</w:t>
      </w:r>
      <w:r w:rsidR="003230D1">
        <w:t xml:space="preserve"> </w:t>
      </w:r>
      <w:r w:rsidRPr="00F00295">
        <w:t>.</w:t>
      </w:r>
      <w:r w:rsidR="003230D1">
        <w:t xml:space="preserve"> . . </w:t>
      </w:r>
      <w:r w:rsidRPr="00F00295">
        <w:t>.</w:t>
      </w:r>
      <w:r w:rsidR="00996076">
        <w:t>”</w:t>
      </w:r>
      <w:r>
        <w:rPr>
          <w:b/>
          <w:bCs/>
          <w:vertAlign w:val="superscript"/>
        </w:rPr>
        <w:footnoteReference w:id="17"/>
      </w:r>
      <w:r w:rsidRPr="00F00295">
        <w:t xml:space="preserve">  </w:t>
      </w:r>
      <w:r w:rsidR="00E36E27">
        <w:t>Applicants</w:t>
      </w:r>
      <w:r w:rsidR="00AA1291">
        <w:t>, along with Central Hudson and Niagara Mohawk,</w:t>
      </w:r>
      <w:r w:rsidRPr="00F00295">
        <w:t xml:space="preserve"> submitted a joint petition for approval of Phase 2 local transmission projects on March 8, 2022.</w:t>
      </w:r>
      <w:r>
        <w:t xml:space="preserve">  </w:t>
      </w:r>
      <w:r w:rsidR="0017265C">
        <w:t>T</w:t>
      </w:r>
      <w:r w:rsidRPr="00BC6FD1">
        <w:t>he New York Commission issued the Phase 2 Order approving</w:t>
      </w:r>
      <w:r w:rsidR="00AA1291">
        <w:t xml:space="preserve"> </w:t>
      </w:r>
      <w:r w:rsidR="00E36E27">
        <w:t>Applicants’</w:t>
      </w:r>
      <w:r w:rsidR="00AA1291">
        <w:t xml:space="preserve"> Phase 2 </w:t>
      </w:r>
      <w:r w:rsidRPr="00BC6FD1">
        <w:t>Projects</w:t>
      </w:r>
      <w:r w:rsidR="0010264B">
        <w:t xml:space="preserve">, </w:t>
      </w:r>
      <w:r w:rsidR="000001F4">
        <w:t xml:space="preserve">including </w:t>
      </w:r>
      <w:r w:rsidR="00BB2DDC">
        <w:t>a Technical Assessment appendix,</w:t>
      </w:r>
      <w:r w:rsidRPr="00BC6FD1">
        <w:t xml:space="preserve"> on February 16, 2023.</w:t>
      </w:r>
      <w:r>
        <w:rPr>
          <w:b/>
          <w:bCs/>
          <w:vertAlign w:val="superscript"/>
        </w:rPr>
        <w:footnoteReference w:id="18"/>
      </w:r>
      <w:r w:rsidRPr="00BC6FD1">
        <w:t xml:space="preserve">  </w:t>
      </w:r>
    </w:p>
    <w:p w:rsidR="00D43D37" w:rsidP="00D461CA">
      <w:pPr>
        <w:pStyle w:val="FERCparanumber"/>
      </w:pPr>
      <w:r w:rsidR="00E36E27">
        <w:t>Applicants</w:t>
      </w:r>
      <w:r>
        <w:t xml:space="preserve"> also explain that, on June 17, 2022, RG&amp;E, NYSEG, Central Hudson, Niagara Mohawk, Consolidated Edison Company of New York, Inc.</w:t>
      </w:r>
      <w:r w:rsidR="004277E6">
        <w:t xml:space="preserve"> (Con Ed)</w:t>
      </w:r>
      <w:r>
        <w:t xml:space="preserve">, and Orange and Rockland Utilities, Inc. </w:t>
      </w:r>
      <w:r w:rsidR="00F11F8D">
        <w:t xml:space="preserve">(Orange and Rockland) </w:t>
      </w:r>
      <w:r>
        <w:t xml:space="preserve">entered into the </w:t>
      </w:r>
      <w:r w:rsidRPr="00D43D37">
        <w:t>“Cost Sharing and Recovery Agreement” (CSRA) participant funding agreement</w:t>
      </w:r>
      <w:r w:rsidRPr="00D43D37">
        <w:rPr>
          <w:rFonts w:eastAsia="Times New Roman"/>
          <w:szCs w:val="24"/>
        </w:rPr>
        <w:t xml:space="preserve"> </w:t>
      </w:r>
      <w:r w:rsidRPr="00D43D37">
        <w:t>for local transmission upgrades selected by the New York Commission to meet CLCPA mandates</w:t>
      </w:r>
      <w:r>
        <w:t xml:space="preserve">, which the Commission </w:t>
      </w:r>
      <w:r w:rsidR="0039103B">
        <w:t>accepted</w:t>
      </w:r>
      <w:r>
        <w:t xml:space="preserve"> on August 19, 2022</w:t>
      </w:r>
      <w:r w:rsidRPr="00D43D37">
        <w:t>.</w:t>
      </w:r>
      <w:r>
        <w:rPr>
          <w:b/>
          <w:vertAlign w:val="superscript"/>
        </w:rPr>
        <w:footnoteReference w:id="19"/>
      </w:r>
      <w:r>
        <w:t xml:space="preserve">  </w:t>
      </w:r>
      <w:r w:rsidR="00E36E27">
        <w:t>Applicants</w:t>
      </w:r>
      <w:r>
        <w:t xml:space="preserve"> state that section 3.3. of the CSRA requires approval from the New York Commission and the Commission for parties to use the CWIP Incentive.  </w:t>
      </w:r>
      <w:r w:rsidR="00E36E27">
        <w:t>Applicants</w:t>
      </w:r>
      <w:r>
        <w:t xml:space="preserve"> state that the New York Commission authorized </w:t>
      </w:r>
      <w:r w:rsidR="00E36E27">
        <w:t>them</w:t>
      </w:r>
      <w:r>
        <w:t xml:space="preserve"> to request CWIP Incentive authorization from the Commission on April 19, 2024.</w:t>
      </w:r>
      <w:r>
        <w:rPr>
          <w:rStyle w:val="FootnoteReference"/>
        </w:rPr>
        <w:footnoteReference w:id="20"/>
      </w:r>
    </w:p>
    <w:p w:rsidR="00516380" w:rsidP="00D461CA">
      <w:pPr>
        <w:pStyle w:val="FERCparanumber"/>
      </w:pPr>
      <w:r>
        <w:t xml:space="preserve">Applicants </w:t>
      </w:r>
      <w:r w:rsidR="003E0179">
        <w:t>state that</w:t>
      </w:r>
      <w:r w:rsidR="00282B4F">
        <w:t>, on their behalf,</w:t>
      </w:r>
      <w:r w:rsidR="003E0179">
        <w:t xml:space="preserve"> </w:t>
      </w:r>
      <w:r w:rsidR="00121768">
        <w:t>NYISO filed</w:t>
      </w:r>
      <w:r w:rsidR="00391571">
        <w:t xml:space="preserve"> </w:t>
      </w:r>
      <w:r w:rsidR="00895433">
        <w:t>proposed formula rates</w:t>
      </w:r>
      <w:r w:rsidR="00391571">
        <w:t xml:space="preserve"> </w:t>
      </w:r>
      <w:r w:rsidR="00895433">
        <w:t xml:space="preserve">with the Commission for </w:t>
      </w:r>
      <w:r w:rsidR="007D6854">
        <w:t>Applicants’</w:t>
      </w:r>
      <w:r w:rsidR="00895433">
        <w:t xml:space="preserve"> Phase 2 Projects on May 3, 2023, which the Commission accepted subject to </w:t>
      </w:r>
      <w:r w:rsidR="00BD7653">
        <w:t xml:space="preserve">further </w:t>
      </w:r>
      <w:r w:rsidR="00895433">
        <w:t xml:space="preserve">compliance and </w:t>
      </w:r>
      <w:r w:rsidR="00BD7653">
        <w:t>suspended</w:t>
      </w:r>
      <w:r w:rsidR="00827A0C">
        <w:t xml:space="preserve"> for a nominal period subject to refund and the outcome of hearing and settlement judge procedures</w:t>
      </w:r>
      <w:r w:rsidR="00895433">
        <w:t xml:space="preserve"> on December 4, 2023.</w:t>
      </w:r>
      <w:r>
        <w:rPr>
          <w:rStyle w:val="FootnoteReference"/>
        </w:rPr>
        <w:footnoteReference w:id="21"/>
      </w:r>
    </w:p>
    <w:p w:rsidR="00810D4B" w:rsidP="00D461CA">
      <w:pPr>
        <w:pStyle w:val="Heading1"/>
        <w:rPr>
          <w:bCs/>
          <w:u w:val="none"/>
        </w:rPr>
      </w:pPr>
      <w:r w:rsidR="00E36E27">
        <w:t xml:space="preserve">Applicants’ </w:t>
      </w:r>
      <w:r w:rsidR="008F6E33">
        <w:t>Filings</w:t>
      </w:r>
      <w:r w:rsidR="00C84B59">
        <w:rPr>
          <w:u w:val="none"/>
        </w:rPr>
        <w:t xml:space="preserve"> </w:t>
      </w:r>
    </w:p>
    <w:p w:rsidR="00C16736" w:rsidRPr="00C16736" w:rsidP="00D461CA">
      <w:pPr>
        <w:pStyle w:val="FERCparanumber"/>
      </w:pPr>
      <w:r w:rsidR="00E36E27">
        <w:t>Applicants</w:t>
      </w:r>
      <w:r w:rsidR="000521BB">
        <w:t xml:space="preserve"> request that the Commis</w:t>
      </w:r>
      <w:r w:rsidR="0090592A">
        <w:t xml:space="preserve">sion </w:t>
      </w:r>
      <w:r w:rsidR="002D1DB8">
        <w:t>issue an order</w:t>
      </w:r>
      <w:r w:rsidR="0072358C">
        <w:t xml:space="preserve"> </w:t>
      </w:r>
      <w:r w:rsidR="00396869">
        <w:t>authorizing</w:t>
      </w:r>
      <w:r w:rsidR="000A4916">
        <w:t xml:space="preserve"> the </w:t>
      </w:r>
      <w:r>
        <w:t xml:space="preserve">CWIP </w:t>
      </w:r>
      <w:r w:rsidR="000A4916">
        <w:t xml:space="preserve">Incentive </w:t>
      </w:r>
      <w:r>
        <w:t xml:space="preserve">and </w:t>
      </w:r>
      <w:r w:rsidR="000A4916">
        <w:t xml:space="preserve">the </w:t>
      </w:r>
      <w:r>
        <w:t>Abandoned Plant Incentive</w:t>
      </w:r>
      <w:r w:rsidR="000A4916">
        <w:t xml:space="preserve"> for the</w:t>
      </w:r>
      <w:r w:rsidR="0072419A">
        <w:t>ir</w:t>
      </w:r>
      <w:r w:rsidR="000A4916">
        <w:t xml:space="preserve"> </w:t>
      </w:r>
      <w:r w:rsidR="0072419A">
        <w:t>33</w:t>
      </w:r>
      <w:r w:rsidR="000A4916">
        <w:t xml:space="preserve"> Phase 2 Projects</w:t>
      </w:r>
      <w:r>
        <w:rPr>
          <w:rStyle w:val="FootnoteReference"/>
        </w:rPr>
        <w:footnoteReference w:id="22"/>
      </w:r>
      <w:r w:rsidR="002646F6">
        <w:t xml:space="preserve"> </w:t>
      </w:r>
      <w:r w:rsidR="009A6BD3">
        <w:t>and</w:t>
      </w:r>
      <w:r w:rsidR="000A4916">
        <w:t xml:space="preserve"> </w:t>
      </w:r>
      <w:r w:rsidR="005F7F4E">
        <w:t>accepting the proposed formula rate template changes</w:t>
      </w:r>
      <w:r w:rsidR="00A214C8">
        <w:t xml:space="preserve"> to implement the re</w:t>
      </w:r>
      <w:r w:rsidR="00DD0A97">
        <w:t>quested incentives</w:t>
      </w:r>
      <w:r>
        <w:t xml:space="preserve"> </w:t>
      </w:r>
      <w:r w:rsidRPr="00134A47">
        <w:t>authorization</w:t>
      </w:r>
      <w:r w:rsidR="00467C92">
        <w:t>s,</w:t>
      </w:r>
      <w:r w:rsidRPr="00134A47">
        <w:t xml:space="preserve"> </w:t>
      </w:r>
      <w:r>
        <w:t>effective July 8, 2024</w:t>
      </w:r>
      <w:r w:rsidR="00F677B7">
        <w:t>.</w:t>
      </w:r>
      <w:r>
        <w:rPr>
          <w:rStyle w:val="FootnoteReference"/>
        </w:rPr>
        <w:footnoteReference w:id="23"/>
      </w:r>
      <w:r w:rsidR="00F677B7">
        <w:t xml:space="preserve">  </w:t>
      </w:r>
      <w:r w:rsidR="00E36E27">
        <w:t>Applicants</w:t>
      </w:r>
      <w:r w:rsidR="00F677B7">
        <w:t xml:space="preserve"> state that </w:t>
      </w:r>
      <w:r w:rsidR="005E7804">
        <w:t>such an order will allow them</w:t>
      </w:r>
      <w:r w:rsidR="000248AD">
        <w:t xml:space="preserve"> to implemen</w:t>
      </w:r>
      <w:r w:rsidR="005E7804">
        <w:t xml:space="preserve">t </w:t>
      </w:r>
      <w:r w:rsidR="000248AD">
        <w:t xml:space="preserve">the necessary </w:t>
      </w:r>
      <w:r w:rsidR="007A3F1D">
        <w:t>T</w:t>
      </w:r>
      <w:r w:rsidR="00AC0FE8">
        <w:t>ariff revisions for the January 1, 2025 recovery period</w:t>
      </w:r>
      <w:r>
        <w:t>.</w:t>
      </w:r>
      <w:r w:rsidR="004F596E">
        <w:t xml:space="preserve">  </w:t>
      </w:r>
    </w:p>
    <w:p w:rsidR="00403A2C" w:rsidP="0071441F">
      <w:pPr>
        <w:pStyle w:val="Heading1"/>
      </w:pPr>
      <w:r>
        <w:t>Notices of Filings</w:t>
      </w:r>
    </w:p>
    <w:p w:rsidR="00201993" w:rsidP="00F51736">
      <w:pPr>
        <w:pStyle w:val="FERCparanumber"/>
      </w:pPr>
      <w:r w:rsidRPr="00701C85" w:rsidR="00701C85">
        <w:t>Notice</w:t>
      </w:r>
      <w:r w:rsidR="00573A26">
        <w:t>s</w:t>
      </w:r>
      <w:r w:rsidRPr="00701C85" w:rsidR="00701C85">
        <w:t xml:space="preserve"> of </w:t>
      </w:r>
      <w:r w:rsidR="004B40BE">
        <w:t>Applicants’</w:t>
      </w:r>
      <w:r w:rsidRPr="00701C85" w:rsidR="00701C85">
        <w:t xml:space="preserve"> filing</w:t>
      </w:r>
      <w:r w:rsidR="004B40BE">
        <w:t>s</w:t>
      </w:r>
      <w:r w:rsidR="00E6725D">
        <w:t xml:space="preserve"> </w:t>
      </w:r>
      <w:r w:rsidRPr="00701C85" w:rsidR="00701C85">
        <w:t>w</w:t>
      </w:r>
      <w:r w:rsidR="00A51B54">
        <w:t>ere</w:t>
      </w:r>
      <w:r w:rsidRPr="00701C85" w:rsidR="00701C85">
        <w:t xml:space="preserve"> published in the </w:t>
      </w:r>
      <w:r w:rsidRPr="00701C85" w:rsidR="00701C85">
        <w:rPr>
          <w:i/>
          <w:iCs/>
        </w:rPr>
        <w:t>Federal Register</w:t>
      </w:r>
      <w:r w:rsidRPr="00701C85" w:rsidR="00701C85">
        <w:t>, 8</w:t>
      </w:r>
      <w:r w:rsidR="00DF2A58">
        <w:t>9</w:t>
      </w:r>
      <w:r w:rsidRPr="00701C85" w:rsidR="00701C85">
        <w:t xml:space="preserve"> Fed. Reg. </w:t>
      </w:r>
      <w:r w:rsidR="00AF44F7">
        <w:t>42,</w:t>
      </w:r>
      <w:r w:rsidR="004849F7">
        <w:t>466</w:t>
      </w:r>
      <w:r w:rsidRPr="00701C85" w:rsidR="00701C85">
        <w:t xml:space="preserve"> (M</w:t>
      </w:r>
      <w:r w:rsidR="007F55DC">
        <w:t>ay</w:t>
      </w:r>
      <w:r w:rsidR="00944BF0">
        <w:t xml:space="preserve"> </w:t>
      </w:r>
      <w:r w:rsidR="0047027E">
        <w:t>15</w:t>
      </w:r>
      <w:r w:rsidRPr="00701C85" w:rsidR="00701C85">
        <w:t>, 202</w:t>
      </w:r>
      <w:r w:rsidR="00A51B54">
        <w:t>4</w:t>
      </w:r>
      <w:r w:rsidRPr="00701C85" w:rsidR="00701C85">
        <w:t xml:space="preserve">) with interventions and protests due on or before </w:t>
      </w:r>
      <w:r w:rsidR="002F32D7">
        <w:t>May 29</w:t>
      </w:r>
      <w:r w:rsidRPr="00701C85" w:rsidR="00701C85">
        <w:t>, 202</w:t>
      </w:r>
      <w:r w:rsidR="002F32D7">
        <w:t>4</w:t>
      </w:r>
      <w:r w:rsidRPr="00701C85" w:rsidR="00701C85">
        <w:t>.</w:t>
      </w:r>
      <w:r w:rsidR="00701C85">
        <w:t xml:space="preserve">  </w:t>
      </w:r>
      <w:r w:rsidRPr="00A01C46" w:rsidR="004B40BE">
        <w:t>Con Ed</w:t>
      </w:r>
      <w:r w:rsidRPr="00A01C46" w:rsidR="0014190B">
        <w:t xml:space="preserve"> </w:t>
      </w:r>
      <w:r w:rsidRPr="00A01C46" w:rsidR="008C5DF9">
        <w:t>and Orange and Rockland</w:t>
      </w:r>
      <w:r w:rsidRPr="00A01C46" w:rsidR="0014190B">
        <w:t xml:space="preserve"> </w:t>
      </w:r>
      <w:r w:rsidRPr="00A01C46" w:rsidR="008C5DF9">
        <w:rPr>
          <w:bCs/>
        </w:rPr>
        <w:t>filed timely motions to intervene</w:t>
      </w:r>
      <w:r w:rsidRPr="00A01C46" w:rsidR="009169B1">
        <w:t xml:space="preserve"> in both dockets</w:t>
      </w:r>
      <w:r w:rsidRPr="00A01C46" w:rsidR="00232B53">
        <w:t>.</w:t>
      </w:r>
      <w:r w:rsidR="00363CEC">
        <w:t xml:space="preserve"> </w:t>
      </w:r>
      <w:r w:rsidR="007E449D">
        <w:t xml:space="preserve"> </w:t>
      </w:r>
      <w:r w:rsidR="0072419A">
        <w:t>No protests</w:t>
      </w:r>
      <w:r w:rsidR="00CE3C6B">
        <w:t xml:space="preserve"> or comments</w:t>
      </w:r>
      <w:r w:rsidR="0072419A">
        <w:t xml:space="preserve"> were filed.</w:t>
      </w:r>
    </w:p>
    <w:p w:rsidR="000950FB" w:rsidRPr="00651D4D" w:rsidP="00D461CA">
      <w:pPr>
        <w:pStyle w:val="Heading1"/>
      </w:pPr>
      <w:r w:rsidR="00391B6C">
        <w:t>Discussion</w:t>
      </w:r>
    </w:p>
    <w:p w:rsidR="00411C1E" w:rsidP="00D461CA">
      <w:pPr>
        <w:pStyle w:val="Heading2"/>
      </w:pPr>
      <w:r w:rsidR="00367CC5">
        <w:t>Procedural Matters</w:t>
      </w:r>
      <w:r w:rsidR="00105724">
        <w:t xml:space="preserve"> </w:t>
      </w:r>
    </w:p>
    <w:p w:rsidR="00367CC5" w:rsidP="00D461CA">
      <w:pPr>
        <w:pStyle w:val="FERCparanumber"/>
      </w:pPr>
      <w:r w:rsidRPr="00075B09" w:rsidR="0000793C">
        <w:t xml:space="preserve">Pursuant to Rule 214 of the Commission’s Rules of Practice and Procedure, </w:t>
      </w:r>
      <w:r w:rsidR="00B979C8">
        <w:t xml:space="preserve">        </w:t>
      </w:r>
      <w:r w:rsidRPr="00075B09" w:rsidR="0000793C">
        <w:t>18 C.F.R. § 385.214 (202</w:t>
      </w:r>
      <w:r w:rsidR="0000793C">
        <w:t>3</w:t>
      </w:r>
      <w:r w:rsidRPr="00075B09" w:rsidR="0000793C">
        <w:t xml:space="preserve">), the timely, unopposed motions to intervene serve to </w:t>
      </w:r>
      <w:r w:rsidR="00B979C8">
        <w:t xml:space="preserve">      </w:t>
      </w:r>
      <w:r w:rsidRPr="00075B09" w:rsidR="0000793C">
        <w:t xml:space="preserve">make the entities that filed them parties to </w:t>
      </w:r>
      <w:r w:rsidRPr="007E77A3" w:rsidR="007E77A3">
        <w:t>the proceedings in which they were filed</w:t>
      </w:r>
      <w:r w:rsidRPr="00075B09" w:rsidR="0000793C">
        <w:t xml:space="preserve">.  </w:t>
      </w:r>
    </w:p>
    <w:p w:rsidR="00953095" w:rsidP="00953095">
      <w:pPr>
        <w:pStyle w:val="Heading2"/>
      </w:pPr>
      <w:r w:rsidR="00241289">
        <w:t xml:space="preserve">Substantive Matters  </w:t>
      </w:r>
    </w:p>
    <w:p w:rsidR="00953095" w:rsidRPr="00144853" w:rsidP="0038387C">
      <w:pPr>
        <w:pStyle w:val="FERCparanumber"/>
      </w:pPr>
      <w:r w:rsidR="00A330A0">
        <w:t>As discussed below, w</w:t>
      </w:r>
      <w:r w:rsidR="00F7483A">
        <w:t>e find that Applicants have not demonstrated that the Phase 2 Projects satisfy the requirements of FPA section 219 and Order No. 679.  However, we grant</w:t>
      </w:r>
      <w:r w:rsidRPr="0077027E" w:rsidR="00F7483A">
        <w:t xml:space="preserve"> the </w:t>
      </w:r>
      <w:r w:rsidR="00F7483A">
        <w:t>requested incentives for the Phase 2 Projects that are subject to</w:t>
      </w:r>
      <w:r w:rsidRPr="0077027E" w:rsidR="00F7483A">
        <w:t xml:space="preserve"> Article VII </w:t>
      </w:r>
      <w:r w:rsidR="00F7483A">
        <w:t>A</w:t>
      </w:r>
      <w:r w:rsidRPr="0077027E" w:rsidR="00F7483A">
        <w:t>pproval</w:t>
      </w:r>
      <w:r w:rsidR="00F7483A">
        <w:t xml:space="preserve">, </w:t>
      </w:r>
      <w:r w:rsidR="0072349B">
        <w:t xml:space="preserve">effective July 8, 2024, as requested, </w:t>
      </w:r>
      <w:r w:rsidR="00F7483A">
        <w:t xml:space="preserve">conditioned upon the New York Commission </w:t>
      </w:r>
      <w:r w:rsidRPr="00FA2960" w:rsidR="00F7483A">
        <w:t>issuing Article VII Approval for th</w:t>
      </w:r>
      <w:r w:rsidR="00F7483A">
        <w:t xml:space="preserve">ose projects that </w:t>
      </w:r>
      <w:r w:rsidRPr="0077027E" w:rsidR="00F7483A">
        <w:t>addresses reliability and</w:t>
      </w:r>
      <w:r w:rsidR="00332255">
        <w:t>/or</w:t>
      </w:r>
      <w:r w:rsidRPr="0077027E" w:rsidR="00F7483A">
        <w:t xml:space="preserve"> congestion</w:t>
      </w:r>
      <w:r w:rsidRPr="0067286D" w:rsidR="0067286D">
        <w:t xml:space="preserve"> </w:t>
      </w:r>
      <w:r w:rsidR="00955C34">
        <w:t>in a manner contemplated by FPA section 219</w:t>
      </w:r>
      <w:r w:rsidR="00783EC7">
        <w:t xml:space="preserve">—i.e., </w:t>
      </w:r>
      <w:r w:rsidR="00EA0FC9">
        <w:t xml:space="preserve">that </w:t>
      </w:r>
      <w:r w:rsidR="00A6032F">
        <w:t>determines</w:t>
      </w:r>
      <w:r w:rsidR="00EA0FC9">
        <w:t xml:space="preserve"> that</w:t>
      </w:r>
      <w:r w:rsidR="009A5800">
        <w:t xml:space="preserve"> each </w:t>
      </w:r>
      <w:r w:rsidR="00336FC4">
        <w:t>proposed project</w:t>
      </w:r>
      <w:r w:rsidRPr="00EA0FC9" w:rsidR="00EA0FC9">
        <w:t xml:space="preserve"> </w:t>
      </w:r>
      <w:r w:rsidRPr="006B36F6" w:rsidR="00EA0FC9">
        <w:t>ensure</w:t>
      </w:r>
      <w:r w:rsidR="00A6032F">
        <w:t>s</w:t>
      </w:r>
      <w:r w:rsidRPr="006B36F6" w:rsidR="00EA0FC9">
        <w:t xml:space="preserve"> reliability </w:t>
      </w:r>
      <w:r w:rsidR="00A74CC6">
        <w:t>and/</w:t>
      </w:r>
      <w:r w:rsidRPr="006B36F6" w:rsidR="00EA0FC9">
        <w:t>or reduce</w:t>
      </w:r>
      <w:r w:rsidR="00A6032F">
        <w:t>s</w:t>
      </w:r>
      <w:r w:rsidRPr="006B36F6" w:rsidR="00EA0FC9">
        <w:t xml:space="preserve"> the cost of delivered power by reducing transmission</w:t>
      </w:r>
      <w:r w:rsidR="00EA0FC9">
        <w:t xml:space="preserve"> </w:t>
      </w:r>
      <w:r w:rsidRPr="006B36F6" w:rsidR="00EA0FC9">
        <w:t>congestion</w:t>
      </w:r>
      <w:r w:rsidR="00336FC4">
        <w:t>—</w:t>
      </w:r>
      <w:r w:rsidR="0067286D">
        <w:t xml:space="preserve">and Commission </w:t>
      </w:r>
      <w:r w:rsidR="007E67FC">
        <w:t>acceptance</w:t>
      </w:r>
      <w:r w:rsidR="0067286D">
        <w:t xml:space="preserve"> of Applicants’ compliance filing</w:t>
      </w:r>
      <w:r w:rsidR="00A53023">
        <w:t>(s)</w:t>
      </w:r>
      <w:r w:rsidR="00F7483A">
        <w:t>.</w:t>
      </w:r>
      <w:r>
        <w:rPr>
          <w:rStyle w:val="FootnoteReference"/>
        </w:rPr>
        <w:footnoteReference w:id="24"/>
      </w:r>
      <w:r w:rsidR="00F7483A">
        <w:t xml:space="preserve">  For the remaining Phase 2 Projects, we deny </w:t>
      </w:r>
      <w:r w:rsidRPr="00FA2960" w:rsidR="00967852">
        <w:t>without prejudice</w:t>
      </w:r>
      <w:r w:rsidR="00967852">
        <w:t xml:space="preserve"> </w:t>
      </w:r>
      <w:r w:rsidR="00F7483A">
        <w:t>Applicants’</w:t>
      </w:r>
      <w:r w:rsidRPr="00FA2960" w:rsidR="00F7483A">
        <w:t xml:space="preserve"> requests for the CWIP and Abandoned Plant Incentives</w:t>
      </w:r>
      <w:r w:rsidR="00F7483A">
        <w:t>.</w:t>
      </w:r>
      <w:r>
        <w:rPr>
          <w:rStyle w:val="FootnoteReference"/>
        </w:rPr>
        <w:footnoteReference w:id="25"/>
      </w:r>
      <w:r w:rsidR="00F7483A">
        <w:t xml:space="preserve">  </w:t>
      </w:r>
      <w:r w:rsidR="00190DDD">
        <w:t xml:space="preserve">We also accept Applicants’ proposed </w:t>
      </w:r>
      <w:r w:rsidR="00EB2AA5">
        <w:t xml:space="preserve">formula rate </w:t>
      </w:r>
      <w:r w:rsidR="007A3F1D">
        <w:t>T</w:t>
      </w:r>
      <w:r w:rsidR="00190DDD">
        <w:t xml:space="preserve">ariff revisions, </w:t>
      </w:r>
      <w:r w:rsidRPr="00FA2960" w:rsidR="00190DDD">
        <w:t xml:space="preserve">effective </w:t>
      </w:r>
      <w:r w:rsidR="00190DDD">
        <w:t>July 8, 2024</w:t>
      </w:r>
      <w:r w:rsidRPr="00FA2960" w:rsidR="00190DDD">
        <w:t>, conditioned upon the New York Commission issuing Article VII Approval for the relevant Phase 2 Projects</w:t>
      </w:r>
      <w:r w:rsidR="00A16387">
        <w:t xml:space="preserve"> and Commission </w:t>
      </w:r>
      <w:r w:rsidR="00493061">
        <w:t>acceptance</w:t>
      </w:r>
      <w:r w:rsidR="00A16387">
        <w:t xml:space="preserve"> of Applicants’ compliance filing</w:t>
      </w:r>
      <w:r w:rsidR="00F90D26">
        <w:t>(s)</w:t>
      </w:r>
      <w:r w:rsidR="00000859">
        <w:t>,</w:t>
      </w:r>
      <w:r w:rsidR="006C5369">
        <w:t xml:space="preserve"> and subject to the outcome of the ongoing proceedings in Docket Nos. ER23-1816 and ER23-1817</w:t>
      </w:r>
      <w:r w:rsidRPr="00FA2960" w:rsidR="00190DDD">
        <w:t>.</w:t>
      </w:r>
    </w:p>
    <w:p w:rsidR="00241289" w:rsidP="00D461CA">
      <w:pPr>
        <w:pStyle w:val="Heading3"/>
      </w:pPr>
      <w:r>
        <w:t>Section 219 Requirement</w:t>
      </w:r>
    </w:p>
    <w:p w:rsidR="009273E3" w:rsidP="00D461CA">
      <w:pPr>
        <w:pStyle w:val="FERCparanumber"/>
      </w:pPr>
      <w:bookmarkStart w:id="3" w:name="_Hlk91746773"/>
      <w:r w:rsidRPr="006B36F6">
        <w:t xml:space="preserve">In </w:t>
      </w:r>
      <w:bookmarkStart w:id="4" w:name="_Hlk91746756"/>
      <w:r w:rsidRPr="006B36F6">
        <w:t xml:space="preserve">the Energy Policy Act of 2005, Congress added section 219 to the FPA, directing the Commission to establish, by rule, incentive-based rate treatments to promote capital investment in </w:t>
      </w:r>
      <w:r>
        <w:t xml:space="preserve">certain </w:t>
      </w:r>
      <w:r w:rsidRPr="006B36F6">
        <w:t>transmission infrastructure.</w:t>
      </w:r>
      <w:r>
        <w:rPr>
          <w:rStyle w:val="FootnoteReference"/>
        </w:rPr>
        <w:footnoteReference w:id="26"/>
      </w:r>
      <w:r w:rsidRPr="006B36F6">
        <w:t xml:space="preserve">  The Commission subsequently issued Order No. 679, establishing the processes by which a public utility may seek transmission rate incentives pursuant to </w:t>
      </w:r>
      <w:r>
        <w:t xml:space="preserve">FPA </w:t>
      </w:r>
      <w:r w:rsidRPr="006B36F6">
        <w:t xml:space="preserve">section 219.  </w:t>
      </w:r>
      <w:r>
        <w:t>Additionally, i</w:t>
      </w:r>
      <w:r w:rsidRPr="006B36F6">
        <w:t xml:space="preserve">n November 2012, the Commission issued a policy statement providing guidance regarding its evaluation of applications for transmission rate incentives under </w:t>
      </w:r>
      <w:r>
        <w:t xml:space="preserve">FPA </w:t>
      </w:r>
      <w:r w:rsidRPr="006B36F6">
        <w:t>section 219 and Order No. 679.</w:t>
      </w:r>
      <w:r>
        <w:rPr>
          <w:rStyle w:val="FootnoteReference"/>
        </w:rPr>
        <w:footnoteReference w:id="27"/>
      </w:r>
      <w:r w:rsidRPr="006B36F6">
        <w:t xml:space="preserve">  </w:t>
      </w:r>
      <w:bookmarkEnd w:id="3"/>
      <w:bookmarkEnd w:id="4"/>
    </w:p>
    <w:p w:rsidR="009273E3" w:rsidP="00D461CA">
      <w:pPr>
        <w:pStyle w:val="FERCparanumber"/>
      </w:pPr>
      <w:r w:rsidRPr="006B36F6">
        <w:t>Pursuant to Order No. 679, an applicant may seek to obtain incentive rate</w:t>
      </w:r>
      <w:r>
        <w:t xml:space="preserve"> </w:t>
      </w:r>
      <w:r w:rsidRPr="006B36F6">
        <w:t>treatment for transmission infrastructure investment</w:t>
      </w:r>
      <w:r w:rsidR="00312E16">
        <w:t>s</w:t>
      </w:r>
      <w:r w:rsidRPr="006B36F6">
        <w:t xml:space="preserve"> that </w:t>
      </w:r>
      <w:r w:rsidRPr="006B36F6" w:rsidR="00312E16">
        <w:t>satisf</w:t>
      </w:r>
      <w:r w:rsidR="00312E16">
        <w:t>y</w:t>
      </w:r>
      <w:r w:rsidRPr="006B36F6" w:rsidR="00312E16">
        <w:t xml:space="preserve"> </w:t>
      </w:r>
      <w:r w:rsidRPr="006B36F6">
        <w:t>the requirements of</w:t>
      </w:r>
      <w:r>
        <w:t xml:space="preserve"> FPA </w:t>
      </w:r>
      <w:r w:rsidRPr="006B36F6">
        <w:t>section 219, i.e., the applicant must show that “the facilities for which it seeks incentives</w:t>
      </w:r>
      <w:r>
        <w:t xml:space="preserve"> </w:t>
      </w:r>
      <w:r w:rsidRPr="006B36F6">
        <w:t>either ensure reliability or reduce the cost of delivered power by reducing transmission</w:t>
      </w:r>
      <w:r>
        <w:t xml:space="preserve"> </w:t>
      </w:r>
      <w:r w:rsidRPr="006B36F6">
        <w:t>congestion</w:t>
      </w:r>
      <w:r>
        <w:t>.</w:t>
      </w:r>
      <w:r w:rsidRPr="006B36F6">
        <w:t>”</w:t>
      </w:r>
      <w:r>
        <w:rPr>
          <w:rStyle w:val="FootnoteReference"/>
        </w:rPr>
        <w:footnoteReference w:id="28"/>
      </w:r>
      <w:r w:rsidRPr="006B36F6">
        <w:t xml:space="preserve"> </w:t>
      </w:r>
      <w:r>
        <w:t xml:space="preserve"> Order No. 679</w:t>
      </w:r>
      <w:r w:rsidRPr="00AC2360">
        <w:t xml:space="preserve"> established </w:t>
      </w:r>
      <w:r>
        <w:t>a</w:t>
      </w:r>
      <w:r w:rsidRPr="00AC2360">
        <w:t xml:space="preserve"> process for an applicant to demonstrate </w:t>
      </w:r>
      <w:r w:rsidR="00B979C8">
        <w:t xml:space="preserve">    </w:t>
      </w:r>
      <w:r w:rsidRPr="00AC2360">
        <w:t xml:space="preserve">that it meets this standard, including a </w:t>
      </w:r>
      <w:r w:rsidRPr="0037753F">
        <w:t>rebuttable presumption</w:t>
      </w:r>
      <w:r w:rsidRPr="00AC2360">
        <w:t xml:space="preserve"> that the standard is met if:</w:t>
      </w:r>
      <w:r>
        <w:t xml:space="preserve"> </w:t>
      </w:r>
      <w:r w:rsidRPr="00AC2360">
        <w:t xml:space="preserve"> </w:t>
      </w:r>
      <w:r w:rsidRPr="00DE1747">
        <w:t xml:space="preserve">(1) the transmission project </w:t>
      </w:r>
      <w:r>
        <w:t>“</w:t>
      </w:r>
      <w:r w:rsidRPr="00DE1747">
        <w:t>result</w:t>
      </w:r>
      <w:r>
        <w:t>[</w:t>
      </w:r>
      <w:r w:rsidRPr="00DE1747">
        <w:t>s</w:t>
      </w:r>
      <w:r>
        <w:t>]</w:t>
      </w:r>
      <w:r w:rsidRPr="00DE1747">
        <w:t xml:space="preserve"> from a fair and open regional planning process </w:t>
      </w:r>
      <w:r w:rsidR="00B979C8">
        <w:t xml:space="preserve">  </w:t>
      </w:r>
      <w:r w:rsidRPr="00DE1747">
        <w:t xml:space="preserve">that considers and evaluates projects for reliability </w:t>
      </w:r>
      <w:r>
        <w:t>and/</w:t>
      </w:r>
      <w:r w:rsidRPr="00DE1747">
        <w:t>or congestion and is found to be acceptable to the Commission</w:t>
      </w:r>
      <w:r>
        <w:t>”</w:t>
      </w:r>
      <w:r w:rsidRPr="00DE1747">
        <w:t xml:space="preserve">; or (2) </w:t>
      </w:r>
      <w:r>
        <w:t>“</w:t>
      </w:r>
      <w:r w:rsidRPr="00DE1747">
        <w:t>a project has received construction approval from an appropriate state commission or state siting authority.</w:t>
      </w:r>
      <w:r>
        <w:t>”</w:t>
      </w:r>
      <w:r>
        <w:rPr>
          <w:rStyle w:val="FootnoteReference"/>
          <w:szCs w:val="26"/>
        </w:rPr>
        <w:footnoteReference w:id="29"/>
      </w:r>
      <w:r w:rsidRPr="00AC2360">
        <w:t xml:space="preserve"> </w:t>
      </w:r>
      <w:r>
        <w:t xml:space="preserve"> </w:t>
      </w:r>
      <w:r w:rsidRPr="00F61BB5">
        <w:t>The Commission also stated that “</w:t>
      </w:r>
      <w:r>
        <w:t>[</w:t>
      </w:r>
      <w:r w:rsidRPr="00F61BB5">
        <w:t>o</w:t>
      </w:r>
      <w:r>
        <w:t>]</w:t>
      </w:r>
      <w:r w:rsidRPr="00F61BB5">
        <w:t>ther applicants not meeting these criteria may nonetheless demonstrate that their project is needed to maintain reliability or reduce congestion by presenting [to the Commission] a factual record that would support such finding</w:t>
      </w:r>
      <w:r>
        <w:t>s</w:t>
      </w:r>
      <w:r w:rsidRPr="00F61BB5">
        <w:t>.”</w:t>
      </w:r>
      <w:r>
        <w:rPr>
          <w:rStyle w:val="FootnoteReference"/>
          <w:szCs w:val="26"/>
        </w:rPr>
        <w:footnoteReference w:id="30"/>
      </w:r>
    </w:p>
    <w:p w:rsidR="00E86C48" w:rsidP="0043603A">
      <w:pPr>
        <w:pStyle w:val="Heading4"/>
      </w:pPr>
      <w:r w:rsidR="00E36E27">
        <w:t xml:space="preserve">Applicants’ </w:t>
      </w:r>
      <w:r w:rsidR="00355E56">
        <w:t>Requests</w:t>
      </w:r>
    </w:p>
    <w:p w:rsidR="00A447CE" w:rsidP="00A447CE">
      <w:pPr>
        <w:pStyle w:val="FERCparanumber"/>
      </w:pPr>
      <w:r w:rsidR="00E36E27">
        <w:t>Applicants</w:t>
      </w:r>
      <w:r>
        <w:t xml:space="preserve"> argue that the Phase 2 Projects </w:t>
      </w:r>
      <w:r w:rsidRPr="005B4ECF">
        <w:t>qualif</w:t>
      </w:r>
      <w:r>
        <w:t>y</w:t>
      </w:r>
      <w:r w:rsidRPr="005B4ECF">
        <w:t xml:space="preserve"> for a rebuttable presumption under Order No. 679 because </w:t>
      </w:r>
      <w:r>
        <w:t xml:space="preserve">they allege that the New York Commission </w:t>
      </w:r>
      <w:r w:rsidR="00CB3CF3">
        <w:t>“</w:t>
      </w:r>
      <w:r w:rsidRPr="00C0398B">
        <w:t xml:space="preserve">concluded that the projects were necessary to ensure reliability and reduce congestion when it approved </w:t>
      </w:r>
      <w:r w:rsidR="009238D1">
        <w:t>t</w:t>
      </w:r>
      <w:r w:rsidR="007F3953">
        <w:t>he</w:t>
      </w:r>
      <w:r w:rsidRPr="00C0398B">
        <w:t xml:space="preserve"> </w:t>
      </w:r>
      <w:r w:rsidR="00E36E27">
        <w:t>Applicants’</w:t>
      </w:r>
      <w:r w:rsidRPr="00C0398B">
        <w:t xml:space="preserve"> Phase 2 Project</w:t>
      </w:r>
      <w:r>
        <w:t>s.”</w:t>
      </w:r>
      <w:r>
        <w:rPr>
          <w:rStyle w:val="FootnoteReference"/>
        </w:rPr>
        <w:footnoteReference w:id="31"/>
      </w:r>
      <w:r>
        <w:t xml:space="preserve">  </w:t>
      </w:r>
      <w:r w:rsidR="00E36E27">
        <w:t>Applicants</w:t>
      </w:r>
      <w:r w:rsidR="005677E3">
        <w:t xml:space="preserve"> </w:t>
      </w:r>
      <w:r w:rsidR="00325134">
        <w:t>state that</w:t>
      </w:r>
      <w:r w:rsidR="00761075">
        <w:t xml:space="preserve">, through the Phase 2 Order, </w:t>
      </w:r>
      <w:r w:rsidR="00B979C8">
        <w:t xml:space="preserve">  </w:t>
      </w:r>
      <w:r w:rsidR="00761075">
        <w:t>the New York Commission approved the upg</w:t>
      </w:r>
      <w:r w:rsidR="009F2FA6">
        <w:t xml:space="preserve">rades needed to resolve curtailments in </w:t>
      </w:r>
      <w:r w:rsidR="00B979C8">
        <w:t xml:space="preserve">    </w:t>
      </w:r>
      <w:r w:rsidR="009F2FA6">
        <w:t>the Northern New York</w:t>
      </w:r>
      <w:r w:rsidR="0066010A">
        <w:t>,</w:t>
      </w:r>
      <w:r w:rsidR="009F2FA6">
        <w:t xml:space="preserve"> Capital</w:t>
      </w:r>
      <w:r w:rsidR="0066010A">
        <w:t>, and Southern Tier</w:t>
      </w:r>
      <w:r w:rsidR="009F2FA6">
        <w:t xml:space="preserve"> regions, </w:t>
      </w:r>
      <w:r w:rsidR="0066010A">
        <w:t>and in doing so expressly considered whether those projects would ensure reliability or reduce congestion.</w:t>
      </w:r>
      <w:r>
        <w:rPr>
          <w:rStyle w:val="FootnoteReference"/>
        </w:rPr>
        <w:footnoteReference w:id="32"/>
      </w:r>
      <w:r w:rsidR="009F2FA6">
        <w:t xml:space="preserve"> </w:t>
      </w:r>
      <w:r w:rsidR="001203A9">
        <w:t xml:space="preserve"> In addition, </w:t>
      </w:r>
      <w:r w:rsidR="00E36E27">
        <w:t>Applicants</w:t>
      </w:r>
      <w:r w:rsidR="001203A9">
        <w:t xml:space="preserve"> note that </w:t>
      </w:r>
      <w:r w:rsidR="00B62F36">
        <w:t xml:space="preserve">ensuring reliability and reducing congestion were among the fundamental objectives of the New York Commission’s process </w:t>
      </w:r>
      <w:r w:rsidR="00F50F3C">
        <w:t>that produced the Phase 2 Order.</w:t>
      </w:r>
      <w:r>
        <w:rPr>
          <w:rStyle w:val="FootnoteReference"/>
        </w:rPr>
        <w:footnoteReference w:id="33"/>
      </w:r>
      <w:r w:rsidR="00F50F3C">
        <w:t xml:space="preserve">  </w:t>
      </w:r>
      <w:r w:rsidR="00E36E27">
        <w:t>Applicants</w:t>
      </w:r>
      <w:r w:rsidR="00176284">
        <w:t xml:space="preserve"> also </w:t>
      </w:r>
      <w:r w:rsidR="007F1B98">
        <w:t>add that</w:t>
      </w:r>
      <w:r w:rsidR="00877ABF">
        <w:t xml:space="preserve">, given the advanced age of some of the facilities to be replaced in the Phase 2 Projects, the New York Commission found that </w:t>
      </w:r>
      <w:r w:rsidR="009A66B1">
        <w:t>“</w:t>
      </w:r>
      <w:r w:rsidRPr="009A66B1" w:rsidR="009A66B1">
        <w:t xml:space="preserve">the resulting replaced facilities will improve </w:t>
      </w:r>
      <w:r w:rsidRPr="00C500C4" w:rsidR="00C500C4">
        <w:t>both reliability and resiliency of the system</w:t>
      </w:r>
      <w:r w:rsidR="00155278">
        <w:t>.</w:t>
      </w:r>
      <w:r w:rsidR="00C500C4">
        <w:t>”</w:t>
      </w:r>
      <w:r>
        <w:rPr>
          <w:rStyle w:val="FootnoteReference"/>
        </w:rPr>
        <w:footnoteReference w:id="34"/>
      </w:r>
      <w:r w:rsidR="007F1B98">
        <w:t xml:space="preserve"> </w:t>
      </w:r>
      <w:r w:rsidR="00E208A4">
        <w:t xml:space="preserve"> </w:t>
      </w:r>
      <w:r w:rsidR="00556F70">
        <w:t>Therefore</w:t>
      </w:r>
      <w:r w:rsidR="009833BA">
        <w:t xml:space="preserve">, </w:t>
      </w:r>
      <w:r w:rsidR="00E36E27">
        <w:t>Applicants</w:t>
      </w:r>
      <w:r>
        <w:t xml:space="preserve"> argue that the Phase 2 Order satisfie</w:t>
      </w:r>
      <w:r w:rsidR="00055C95">
        <w:t>s</w:t>
      </w:r>
      <w:r>
        <w:t xml:space="preserve"> Order No. 679’s rebuttable presumption because “</w:t>
      </w:r>
      <w:r w:rsidRPr="00F54008">
        <w:t xml:space="preserve">reliability enhancement and curtailment reduction informed the </w:t>
      </w:r>
      <w:r>
        <w:t>[New York Commission’s]</w:t>
      </w:r>
      <w:r w:rsidRPr="00F54008">
        <w:t xml:space="preserve"> decision to approve the construction of </w:t>
      </w:r>
      <w:r w:rsidR="00D06384">
        <w:t xml:space="preserve">the </w:t>
      </w:r>
      <w:r w:rsidR="00E36E27">
        <w:t>Applicants’</w:t>
      </w:r>
      <w:r w:rsidRPr="00F54008">
        <w:t xml:space="preserve"> Phase 2 Projects.</w:t>
      </w:r>
      <w:r>
        <w:t>”</w:t>
      </w:r>
      <w:r>
        <w:rPr>
          <w:rStyle w:val="FootnoteReference"/>
        </w:rPr>
        <w:footnoteReference w:id="35"/>
      </w:r>
      <w:r w:rsidRPr="00F54008">
        <w:t xml:space="preserve"> </w:t>
      </w:r>
    </w:p>
    <w:p w:rsidR="00A447CE" w:rsidRPr="00F451F7" w:rsidP="00A447CE">
      <w:pPr>
        <w:pStyle w:val="FERCparanumber"/>
      </w:pPr>
      <w:r w:rsidR="00E36E27">
        <w:t>Applicants</w:t>
      </w:r>
      <w:r>
        <w:t xml:space="preserve"> </w:t>
      </w:r>
      <w:r w:rsidR="00F41EF0">
        <w:t>assert</w:t>
      </w:r>
      <w:r>
        <w:t xml:space="preserve"> that, while </w:t>
      </w:r>
      <w:r w:rsidR="00FB4107">
        <w:t>certain of their Phase 2 Projects are also subject to additional New Yo</w:t>
      </w:r>
      <w:r w:rsidR="008D78DF">
        <w:t>r</w:t>
      </w:r>
      <w:r w:rsidR="00FB4107">
        <w:t>k State permitting processes pursuant to Article VII</w:t>
      </w:r>
      <w:r w:rsidR="00F911A4">
        <w:t xml:space="preserve"> of New York State’s </w:t>
      </w:r>
      <w:r w:rsidR="00CE729C">
        <w:t>Public Service Law</w:t>
      </w:r>
      <w:r w:rsidR="008401AC">
        <w:t>,</w:t>
      </w:r>
      <w:r>
        <w:t xml:space="preserve"> the</w:t>
      </w:r>
      <w:r w:rsidRPr="00F451F7">
        <w:t xml:space="preserve"> Phase 2 Order conducted the reliability and congestion assessment relevant to the Commission’s FPA section 219 criteria.</w:t>
      </w:r>
      <w:r>
        <w:rPr>
          <w:b/>
          <w:bCs/>
          <w:vertAlign w:val="superscript"/>
        </w:rPr>
        <w:footnoteReference w:id="36"/>
      </w:r>
    </w:p>
    <w:p w:rsidR="00F24F9D" w:rsidRPr="00355E56" w:rsidP="002A074B">
      <w:pPr>
        <w:pStyle w:val="FERCparanumber"/>
      </w:pPr>
      <w:r w:rsidR="00E77153">
        <w:t xml:space="preserve">Moreover, </w:t>
      </w:r>
      <w:r w:rsidR="00E36E27">
        <w:t>Applicants</w:t>
      </w:r>
      <w:r w:rsidR="00A447CE">
        <w:t xml:space="preserve"> </w:t>
      </w:r>
      <w:r w:rsidR="00E77153">
        <w:t>maintain</w:t>
      </w:r>
      <w:r w:rsidR="00A447CE">
        <w:t xml:space="preserve"> that, </w:t>
      </w:r>
      <w:r w:rsidR="00E77153">
        <w:t>notwithstanding</w:t>
      </w:r>
      <w:r w:rsidR="00A447CE">
        <w:t xml:space="preserve"> the </w:t>
      </w:r>
      <w:r w:rsidR="00B47038">
        <w:t>rebuttable presumption</w:t>
      </w:r>
      <w:r w:rsidR="00A447CE">
        <w:t>, independent analyses demonstrate that the Phase 2 Projects ensure reliability and reduce the cost of delivered power by reducing congestion.</w:t>
      </w:r>
      <w:r>
        <w:rPr>
          <w:rStyle w:val="FootnoteReference"/>
        </w:rPr>
        <w:footnoteReference w:id="37"/>
      </w:r>
      <w:r w:rsidR="00A447CE">
        <w:t xml:space="preserve">  Specifically, </w:t>
      </w:r>
      <w:r w:rsidR="00E36E27">
        <w:t>Applicants</w:t>
      </w:r>
      <w:r w:rsidR="00A447CE">
        <w:t xml:space="preserve"> note that NYISO’s 2019 Congestion Assessment and Resource Integration Study (NYISO CARIS Study) identified </w:t>
      </w:r>
      <w:r w:rsidRPr="00317103" w:rsidR="00A447CE">
        <w:t>high levels of congestion, and associated curtailments of wind and solar generation,</w:t>
      </w:r>
      <w:r w:rsidR="00A447CE">
        <w:t xml:space="preserve"> in a scenario </w:t>
      </w:r>
      <w:r w:rsidRPr="00967DE9" w:rsidR="00A447CE">
        <w:t>assum</w:t>
      </w:r>
      <w:r w:rsidR="00A447CE">
        <w:t>ing</w:t>
      </w:r>
      <w:r w:rsidRPr="00967DE9" w:rsidR="00A447CE">
        <w:t xml:space="preserve"> renewables deployment align</w:t>
      </w:r>
      <w:r w:rsidR="00A447CE">
        <w:t>ed</w:t>
      </w:r>
      <w:r w:rsidRPr="00967DE9" w:rsidR="00A447CE">
        <w:t xml:space="preserve"> </w:t>
      </w:r>
      <w:r w:rsidR="00A447CE">
        <w:t>to</w:t>
      </w:r>
      <w:r w:rsidRPr="00967DE9" w:rsidR="00A447CE">
        <w:t xml:space="preserve"> CLCPA manda</w:t>
      </w:r>
      <w:r w:rsidR="00A447CE">
        <w:t>tes</w:t>
      </w:r>
      <w:r w:rsidRPr="00317103" w:rsidR="00A447CE">
        <w:t xml:space="preserve"> in the southern tier region of New York State where the Phase 2 Projects are s</w:t>
      </w:r>
      <w:r w:rsidR="00A447CE">
        <w:t>ited.</w:t>
      </w:r>
      <w:r>
        <w:rPr>
          <w:rStyle w:val="FootnoteReference"/>
        </w:rPr>
        <w:footnoteReference w:id="38"/>
      </w:r>
      <w:r w:rsidR="00A447CE">
        <w:t xml:space="preserve">  </w:t>
      </w:r>
      <w:r w:rsidR="00E36E27">
        <w:t>Applicants</w:t>
      </w:r>
      <w:r w:rsidR="004D162B">
        <w:t xml:space="preserve"> state that </w:t>
      </w:r>
      <w:r w:rsidR="00D77404">
        <w:t xml:space="preserve">the New York Commission directed the New York utilities to propose </w:t>
      </w:r>
      <w:r w:rsidR="0085049E">
        <w:t xml:space="preserve">cost-effective upgrades </w:t>
      </w:r>
      <w:r w:rsidR="007B2977">
        <w:t>to relieve congestion based on the NYISO CARIS Study findings</w:t>
      </w:r>
      <w:r w:rsidR="006F2CBB">
        <w:t xml:space="preserve">, and that the New York Commission found that </w:t>
      </w:r>
      <w:r w:rsidR="00E36E27">
        <w:t xml:space="preserve">Applicants’ </w:t>
      </w:r>
      <w:r w:rsidR="00580231">
        <w:t>Phase 2 Projects would “transform the Southern Tier Region from one that would experience significant curtailment risk to one that would experience virtually no curtailment risk.</w:t>
      </w:r>
      <w:r w:rsidR="008A0D3D">
        <w:t>”</w:t>
      </w:r>
      <w:r>
        <w:rPr>
          <w:rStyle w:val="FootnoteReference"/>
        </w:rPr>
        <w:footnoteReference w:id="39"/>
      </w:r>
      <w:r w:rsidR="007B2977">
        <w:t xml:space="preserve"> </w:t>
      </w:r>
      <w:r w:rsidR="00732669">
        <w:t xml:space="preserve"> Accordingly, </w:t>
      </w:r>
      <w:r w:rsidR="00E36E27">
        <w:t>Applicants</w:t>
      </w:r>
      <w:r w:rsidR="00732669">
        <w:t xml:space="preserve"> argue that their Phase 2 Projects </w:t>
      </w:r>
      <w:r w:rsidR="006877FE">
        <w:t>are being</w:t>
      </w:r>
      <w:r w:rsidR="00732669">
        <w:t xml:space="preserve"> developed with the express purpose of addressing congestion, increasing the deliverability of power, and reducing curtailment risk premiums as identified through NYISO’s economic planning process, and therefore satisfy FPA section 219’s requirements.</w:t>
      </w:r>
    </w:p>
    <w:p w:rsidR="00027BA6" w:rsidP="0043603A">
      <w:pPr>
        <w:pStyle w:val="Heading4"/>
      </w:pPr>
      <w:r w:rsidR="007D78FD">
        <w:t>Commission Determination</w:t>
      </w:r>
    </w:p>
    <w:p w:rsidR="000C016C" w:rsidRPr="00907832" w:rsidP="000C016C">
      <w:pPr>
        <w:pStyle w:val="FERCparanumber"/>
      </w:pPr>
      <w:r w:rsidR="00934D47">
        <w:t xml:space="preserve">We find that </w:t>
      </w:r>
      <w:r w:rsidRPr="000017AB">
        <w:t xml:space="preserve">the Phase 2 Projects </w:t>
      </w:r>
      <w:r w:rsidR="008152A4">
        <w:t xml:space="preserve">do not </w:t>
      </w:r>
      <w:r w:rsidRPr="000017AB">
        <w:t xml:space="preserve">qualify for the Order No. 679 rebuttable presumption </w:t>
      </w:r>
      <w:r w:rsidR="00EB776E">
        <w:t xml:space="preserve">because </w:t>
      </w:r>
      <w:r w:rsidRPr="000017AB">
        <w:t>they have neither been approved in a regional planning process nor received state construction approval through a process that considers and evaluates projects for reliability and/or congestion.  The Commission clarified in Order No. 679-A that its regulations “require each applicant seeking to invoke the rebuttable presumption to explain in its filing how the applicable process (regional planning or state approval) in fact considered whether the project ensures reliability or reduce</w:t>
      </w:r>
      <w:r w:rsidR="0032678D">
        <w:t>s</w:t>
      </w:r>
      <w:r w:rsidRPr="000017AB">
        <w:t xml:space="preserve"> congestion.”</w:t>
      </w:r>
      <w:r>
        <w:rPr>
          <w:b/>
          <w:vertAlign w:val="superscript"/>
        </w:rPr>
        <w:footnoteReference w:id="40"/>
      </w:r>
      <w:r w:rsidRPr="000017AB">
        <w:t xml:space="preserve">  Although Applicants argue that the New York Commission’s Phase 2 Order should qualify the Phase 2 Projects for the rebuttable presumption because “reliability enhancement and curtailment reduction informed the [New York Commission’s] decision to approve the construction of </w:t>
      </w:r>
      <w:r w:rsidR="0004648E">
        <w:t xml:space="preserve">the </w:t>
      </w:r>
      <w:r w:rsidRPr="000017AB">
        <w:t>Applicants’ Phase 2 Projects[,]”</w:t>
      </w:r>
      <w:r>
        <w:rPr>
          <w:b/>
          <w:vertAlign w:val="superscript"/>
        </w:rPr>
        <w:footnoteReference w:id="41"/>
      </w:r>
      <w:r w:rsidRPr="000017AB">
        <w:t xml:space="preserve"> we find that Applicants </w:t>
      </w:r>
      <w:r w:rsidR="00875C08">
        <w:t>have</w:t>
      </w:r>
      <w:r w:rsidRPr="000017AB">
        <w:t xml:space="preserve"> not demonstrate</w:t>
      </w:r>
      <w:r w:rsidR="00875C08">
        <w:t>d</w:t>
      </w:r>
      <w:r w:rsidRPr="000017AB">
        <w:t xml:space="preserve"> that this process considered whether the Phase 2 Projects ensure reliability </w:t>
      </w:r>
      <w:r w:rsidR="00966DA3">
        <w:t>and/</w:t>
      </w:r>
      <w:r w:rsidRPr="000017AB">
        <w:t xml:space="preserve">or reduce the cost of delivered power by reducing the cost of congestion as contemplated by </w:t>
      </w:r>
      <w:r w:rsidRPr="00907832">
        <w:t>FPA section 219 and Order No. 679.</w:t>
      </w:r>
      <w:r>
        <w:rPr>
          <w:rStyle w:val="FootnoteReference"/>
        </w:rPr>
        <w:footnoteReference w:id="42"/>
      </w:r>
      <w:r w:rsidRPr="00907832">
        <w:t xml:space="preserve">  </w:t>
      </w:r>
      <w:r w:rsidR="00F37B7D">
        <w:t>Although</w:t>
      </w:r>
      <w:r w:rsidR="00F37B7D">
        <w:t xml:space="preserve"> the</w:t>
      </w:r>
      <w:r w:rsidR="00285698">
        <w:t xml:space="preserve"> New York Commission ma</w:t>
      </w:r>
      <w:r w:rsidR="002E5B9D">
        <w:t>d</w:t>
      </w:r>
      <w:r w:rsidR="00285698">
        <w:t xml:space="preserve">e </w:t>
      </w:r>
      <w:r w:rsidR="00F37B7D">
        <w:t>some findings regarding reliability N-1 contingencies and generation curtailment levels</w:t>
      </w:r>
      <w:r w:rsidR="00285698">
        <w:t xml:space="preserve"> in the </w:t>
      </w:r>
      <w:r w:rsidR="00285698">
        <w:t>Phase 2 Order and Technical Assessment</w:t>
      </w:r>
      <w:r w:rsidR="00B462EA">
        <w:t xml:space="preserve"> appendix</w:t>
      </w:r>
      <w:r w:rsidR="00F37B7D">
        <w:t xml:space="preserve">, there are no specific findings on the reliability criteria or congestion costs savings on a </w:t>
      </w:r>
      <w:r w:rsidR="00A44517">
        <w:t>project</w:t>
      </w:r>
      <w:r w:rsidR="00A44517">
        <w:t>-</w:t>
      </w:r>
      <w:r w:rsidR="00F37B7D">
        <w:t>specific basis for each Phase 2 Project</w:t>
      </w:r>
      <w:r w:rsidR="00CA0228">
        <w:t xml:space="preserve"> on </w:t>
      </w:r>
      <w:r w:rsidR="003E252A">
        <w:t>which</w:t>
      </w:r>
      <w:r w:rsidR="00572CF8">
        <w:t xml:space="preserve"> we </w:t>
      </w:r>
      <w:r w:rsidR="00CA0228">
        <w:t xml:space="preserve">could </w:t>
      </w:r>
      <w:r w:rsidR="00572CF8">
        <w:t xml:space="preserve">rely to find that the process considered that each </w:t>
      </w:r>
      <w:r w:rsidR="00651BD3">
        <w:t xml:space="preserve">Phase 2 Project </w:t>
      </w:r>
      <w:r w:rsidRPr="000017AB" w:rsidR="00572CF8">
        <w:t>ensure</w:t>
      </w:r>
      <w:r w:rsidR="00651BD3">
        <w:t>s</w:t>
      </w:r>
      <w:r w:rsidRPr="000017AB" w:rsidR="00572CF8">
        <w:t xml:space="preserve"> reliability </w:t>
      </w:r>
      <w:r w:rsidR="00966DA3">
        <w:t>and/</w:t>
      </w:r>
      <w:r w:rsidRPr="000017AB" w:rsidR="00572CF8">
        <w:t>or reduce</w:t>
      </w:r>
      <w:r w:rsidR="00651BD3">
        <w:t>s</w:t>
      </w:r>
      <w:r w:rsidRPr="000017AB" w:rsidR="00572CF8">
        <w:t xml:space="preserve"> the cost of delivered power by reducing congestion</w:t>
      </w:r>
      <w:r w:rsidR="00F37B7D">
        <w:t>.</w:t>
      </w:r>
      <w:r>
        <w:rPr>
          <w:rStyle w:val="FootnoteReference"/>
        </w:rPr>
        <w:footnoteReference w:id="43"/>
      </w:r>
      <w:r w:rsidR="00285698">
        <w:t xml:space="preserve"> </w:t>
      </w:r>
      <w:r w:rsidR="006978A0">
        <w:t xml:space="preserve"> </w:t>
      </w:r>
    </w:p>
    <w:p w:rsidR="000C016C" w:rsidRPr="00907832" w:rsidP="000C016C">
      <w:pPr>
        <w:pStyle w:val="FERCparanumber"/>
      </w:pPr>
      <w:r w:rsidRPr="00907832">
        <w:t xml:space="preserve">Additionally, Applicants have </w:t>
      </w:r>
      <w:r w:rsidRPr="00907832">
        <w:t xml:space="preserve">not provided the Commission with the necessary evidentiary support to determine whether the </w:t>
      </w:r>
      <w:r w:rsidRPr="00907832">
        <w:t xml:space="preserve">Phase 2 Projects </w:t>
      </w:r>
      <w:r w:rsidRPr="00907832">
        <w:t xml:space="preserve">ensure reliability </w:t>
      </w:r>
      <w:r w:rsidR="00966DA3">
        <w:t>and/</w:t>
      </w:r>
      <w:r w:rsidRPr="00907832">
        <w:t xml:space="preserve">or reduce the </w:t>
      </w:r>
      <w:r w:rsidRPr="00907832">
        <w:t>cost</w:t>
      </w:r>
      <w:r w:rsidRPr="00907832">
        <w:t xml:space="preserve"> of delivered power by reducing congestion</w:t>
      </w:r>
      <w:r w:rsidRPr="00907832">
        <w:t xml:space="preserve"> as required </w:t>
      </w:r>
      <w:r w:rsidRPr="1C33AB2E">
        <w:t xml:space="preserve">by Order </w:t>
      </w:r>
      <w:r w:rsidRPr="1C33AB2E" w:rsidR="00D03EC8">
        <w:t>No. 679.</w:t>
      </w:r>
      <w:r w:rsidRPr="00907832">
        <w:t xml:space="preserve">  </w:t>
      </w:r>
      <w:r w:rsidR="00EB35EC">
        <w:t>The Phase 2 Order’s finding</w:t>
      </w:r>
      <w:r w:rsidRPr="00907832">
        <w:t xml:space="preserve"> </w:t>
      </w:r>
      <w:r w:rsidR="00870A93">
        <w:t>that</w:t>
      </w:r>
      <w:r w:rsidRPr="00907832">
        <w:t xml:space="preserve"> the Phase 2 Projects will increase transmission system headroom and </w:t>
      </w:r>
      <w:r w:rsidR="00EB35EC">
        <w:t xml:space="preserve">the NYISO CARIS Study’s </w:t>
      </w:r>
      <w:r w:rsidR="00C97532">
        <w:t>predicti</w:t>
      </w:r>
      <w:r w:rsidR="00EB35EC">
        <w:t>on of</w:t>
      </w:r>
      <w:r w:rsidRPr="00907832">
        <w:t xml:space="preserve"> congestion in the areas where the Phase 2 Projects will be sited </w:t>
      </w:r>
      <w:r w:rsidR="00572534">
        <w:t>are</w:t>
      </w:r>
      <w:r w:rsidRPr="00907832">
        <w:t xml:space="preserve"> insufficient to demonstrate that the Phase 2 Projects </w:t>
      </w:r>
      <w:r w:rsidR="008A6E7C">
        <w:t xml:space="preserve">specifically </w:t>
      </w:r>
      <w:r w:rsidRPr="00907832" w:rsidR="00572534">
        <w:t>will</w:t>
      </w:r>
      <w:r w:rsidRPr="00907832">
        <w:t xml:space="preserve"> reduce the cost of delivered power by reducing the cost of congestion.  </w:t>
      </w:r>
      <w:r w:rsidR="00D661B2">
        <w:t xml:space="preserve">Like </w:t>
      </w:r>
      <w:r w:rsidR="00374F99">
        <w:t xml:space="preserve">the Phase 2 Order </w:t>
      </w:r>
      <w:r w:rsidR="00D661B2">
        <w:t xml:space="preserve">and </w:t>
      </w:r>
      <w:r w:rsidR="00374F99">
        <w:t>Technical Assessment</w:t>
      </w:r>
      <w:r w:rsidR="00836AE6">
        <w:t xml:space="preserve"> appendix</w:t>
      </w:r>
      <w:r w:rsidR="00D661B2">
        <w:t>,</w:t>
      </w:r>
      <w:r>
        <w:rPr>
          <w:rStyle w:val="FootnoteReference"/>
        </w:rPr>
        <w:footnoteReference w:id="44"/>
      </w:r>
      <w:r w:rsidR="00D661B2">
        <w:t xml:space="preserve"> </w:t>
      </w:r>
      <w:r w:rsidR="00374F99">
        <w:t>the NYISO CARIS Study</w:t>
      </w:r>
      <w:r w:rsidRPr="00907832" w:rsidR="00374F99">
        <w:t xml:space="preserve"> </w:t>
      </w:r>
      <w:r w:rsidR="00374F99">
        <w:t xml:space="preserve">does not </w:t>
      </w:r>
      <w:r w:rsidR="00D661B2">
        <w:t>include</w:t>
      </w:r>
      <w:r w:rsidR="00D661B2">
        <w:t xml:space="preserve"> specific findings on the reliability criteria or congestion costs savings </w:t>
      </w:r>
      <w:r w:rsidR="000721DC">
        <w:br/>
      </w:r>
      <w:r w:rsidR="00D661B2">
        <w:t>on a project</w:t>
      </w:r>
      <w:r w:rsidR="00D661B2">
        <w:t>-</w:t>
      </w:r>
      <w:r w:rsidR="00D661B2">
        <w:t xml:space="preserve">specific basis for each of </w:t>
      </w:r>
      <w:r w:rsidR="00D661B2">
        <w:t xml:space="preserve">the </w:t>
      </w:r>
      <w:r w:rsidR="00D661B2">
        <w:t>Phase 2 Project</w:t>
      </w:r>
      <w:r w:rsidR="00D661B2">
        <w:t>s</w:t>
      </w:r>
      <w:r w:rsidR="0038073D">
        <w:t>;</w:t>
      </w:r>
      <w:r w:rsidRPr="00907832" w:rsidR="00374F99">
        <w:t xml:space="preserve"> </w:t>
      </w:r>
      <w:r w:rsidR="00374F99">
        <w:t>its</w:t>
      </w:r>
      <w:r w:rsidRPr="00907832" w:rsidR="00374F99">
        <w:t xml:space="preserve"> </w:t>
      </w:r>
      <w:r w:rsidR="00374F99">
        <w:t xml:space="preserve">analysis and findings </w:t>
      </w:r>
      <w:r w:rsidR="000721DC">
        <w:br/>
      </w:r>
      <w:r w:rsidR="00833C0C">
        <w:t>apply to</w:t>
      </w:r>
      <w:r w:rsidR="00374F99">
        <w:t xml:space="preserve"> region</w:t>
      </w:r>
      <w:r w:rsidR="00833C0C">
        <w:t>s</w:t>
      </w:r>
      <w:r w:rsidR="00374F99">
        <w:t>.</w:t>
      </w:r>
      <w:r w:rsidR="004E0D59">
        <w:t xml:space="preserve">  Although these </w:t>
      </w:r>
      <w:r w:rsidR="006C774B">
        <w:t xml:space="preserve">orders and reports show that the </w:t>
      </w:r>
      <w:r w:rsidR="005D26FF">
        <w:t>Phase 2 P</w:t>
      </w:r>
      <w:r w:rsidR="006C774B">
        <w:t>rojects</w:t>
      </w:r>
      <w:r w:rsidR="00C91015">
        <w:t xml:space="preserve"> generally</w:t>
      </w:r>
      <w:r w:rsidR="006C774B">
        <w:t xml:space="preserve"> will provide headroom to meet New York’s policy goals, this analysis </w:t>
      </w:r>
      <w:r w:rsidR="00634D05">
        <w:t>is insuffic</w:t>
      </w:r>
      <w:r w:rsidR="0027040E">
        <w:t xml:space="preserve">ient to </w:t>
      </w:r>
      <w:r w:rsidR="00B85386">
        <w:t>demonstrate that</w:t>
      </w:r>
      <w:r w:rsidRPr="000017AB" w:rsidR="00C877B0">
        <w:t xml:space="preserve"> the Phase 2 Projects ensure reliability </w:t>
      </w:r>
      <w:r w:rsidR="00966DA3">
        <w:t>and/</w:t>
      </w:r>
      <w:r w:rsidRPr="000017AB" w:rsidR="00C877B0">
        <w:t xml:space="preserve">or reduce </w:t>
      </w:r>
      <w:r w:rsidR="000721DC">
        <w:br/>
      </w:r>
      <w:r w:rsidRPr="000017AB" w:rsidR="00C877B0">
        <w:t xml:space="preserve">the cost of delivered power by reducing congestion as contemplated by </w:t>
      </w:r>
      <w:r w:rsidRPr="00907832" w:rsidR="00C877B0">
        <w:t>FPA section 219 and Order No. 679</w:t>
      </w:r>
      <w:r w:rsidR="009E019F">
        <w:t>.</w:t>
      </w:r>
      <w:r w:rsidRPr="00907832">
        <w:t xml:space="preserve">  </w:t>
      </w:r>
      <w:r w:rsidR="009E019F">
        <w:t>Similarly,</w:t>
      </w:r>
      <w:r w:rsidRPr="00907832">
        <w:t xml:space="preserve"> </w:t>
      </w:r>
      <w:r w:rsidR="006E4331">
        <w:t>Applicants’ otherwise unsup</w:t>
      </w:r>
      <w:r w:rsidR="00983F5D">
        <w:t>ported</w:t>
      </w:r>
      <w:r w:rsidRPr="00907832">
        <w:t xml:space="preserve"> statements that the </w:t>
      </w:r>
      <w:r w:rsidR="00983F5D">
        <w:t xml:space="preserve">Phase 2 </w:t>
      </w:r>
      <w:r w:rsidRPr="00907832">
        <w:t>Project</w:t>
      </w:r>
      <w:r w:rsidR="00983F5D">
        <w:t>s</w:t>
      </w:r>
      <w:r w:rsidRPr="00907832">
        <w:t xml:space="preserve"> will provide reliability and congestion benefits </w:t>
      </w:r>
      <w:r w:rsidR="00983F5D">
        <w:t>are likewise insufficient to</w:t>
      </w:r>
      <w:r w:rsidRPr="00907832">
        <w:t xml:space="preserve"> demonstrate that </w:t>
      </w:r>
      <w:r w:rsidR="00736CF6">
        <w:t>each Phase 2</w:t>
      </w:r>
      <w:r w:rsidRPr="00907832" w:rsidR="00736CF6">
        <w:t xml:space="preserve"> </w:t>
      </w:r>
      <w:r w:rsidRPr="00907832">
        <w:t>Project satisfies the FPA</w:t>
      </w:r>
      <w:r w:rsidR="0084754E">
        <w:t xml:space="preserve"> </w:t>
      </w:r>
      <w:r w:rsidRPr="00907832">
        <w:t>section 219 criteria.</w:t>
      </w:r>
      <w:r w:rsidRPr="00907832">
        <w:t xml:space="preserve">  </w:t>
      </w:r>
    </w:p>
    <w:p w:rsidR="000721DC" w:rsidP="000C016C">
      <w:pPr>
        <w:pStyle w:val="FERCparanumber"/>
      </w:pPr>
      <w:r w:rsidRPr="0077027E" w:rsidR="000C016C">
        <w:t xml:space="preserve">However, </w:t>
      </w:r>
      <w:r w:rsidR="00A901A2">
        <w:t xml:space="preserve">we </w:t>
      </w:r>
      <w:r w:rsidR="00F22747">
        <w:t>grant</w:t>
      </w:r>
      <w:r w:rsidRPr="0077027E" w:rsidR="00A901A2">
        <w:t xml:space="preserve"> the </w:t>
      </w:r>
      <w:r w:rsidR="00A901A2">
        <w:t>requested incentives for the Phase 2 Projects that are subject to</w:t>
      </w:r>
      <w:r w:rsidRPr="0077027E" w:rsidR="00A901A2">
        <w:t xml:space="preserve"> Article VII </w:t>
      </w:r>
      <w:r w:rsidR="00A901A2">
        <w:t>A</w:t>
      </w:r>
      <w:r w:rsidRPr="0077027E" w:rsidR="00A901A2">
        <w:t>pproval</w:t>
      </w:r>
      <w:r w:rsidR="00A901A2">
        <w:t xml:space="preserve">, conditioned upon the New York Commission </w:t>
      </w:r>
      <w:r w:rsidRPr="00FA2960" w:rsidR="00A901A2">
        <w:t>issuing Article VII Approval for th</w:t>
      </w:r>
      <w:r w:rsidR="00A901A2">
        <w:t xml:space="preserve">ose projects that </w:t>
      </w:r>
      <w:r w:rsidRPr="0077027E" w:rsidR="00A901A2">
        <w:t>addresses reliability and</w:t>
      </w:r>
      <w:r w:rsidR="001B3EF2">
        <w:t>/or</w:t>
      </w:r>
      <w:r w:rsidRPr="0077027E" w:rsidR="00A901A2">
        <w:t xml:space="preserve"> congestion</w:t>
      </w:r>
      <w:r w:rsidR="0018568F">
        <w:t xml:space="preserve"> </w:t>
      </w:r>
      <w:r w:rsidRPr="0077027E" w:rsidR="0018568F">
        <w:t xml:space="preserve">in </w:t>
      </w:r>
      <w:r>
        <w:br/>
      </w:r>
      <w:r w:rsidRPr="0077027E" w:rsidR="0018568F">
        <w:t>the manner contemplated by FPA section 219</w:t>
      </w:r>
      <w:r w:rsidR="00A901A2">
        <w:t>.  T</w:t>
      </w:r>
      <w:r w:rsidRPr="0077027E" w:rsidR="000C016C">
        <w:t xml:space="preserve">he Commission has previously found that it is appropriate to </w:t>
      </w:r>
      <w:r w:rsidR="00F56054">
        <w:t>grant</w:t>
      </w:r>
      <w:r w:rsidRPr="0077027E" w:rsidR="000C016C">
        <w:t xml:space="preserve"> </w:t>
      </w:r>
      <w:r w:rsidR="00BD12FA">
        <w:t xml:space="preserve">incentives to certain </w:t>
      </w:r>
      <w:r w:rsidRPr="0077027E" w:rsidR="000C016C">
        <w:t xml:space="preserve">projects that are still undergoing state approval </w:t>
      </w:r>
      <w:r w:rsidR="00F56054">
        <w:t>conditioned</w:t>
      </w:r>
      <w:r w:rsidRPr="0077027E" w:rsidR="000C016C">
        <w:t xml:space="preserve"> upon </w:t>
      </w:r>
      <w:r w:rsidR="00215918">
        <w:t xml:space="preserve">receipt of that </w:t>
      </w:r>
      <w:r w:rsidRPr="0077027E" w:rsidR="000C016C">
        <w:t>construction approval by the state commission or siting authority.</w:t>
      </w:r>
      <w:r>
        <w:rPr>
          <w:rStyle w:val="FootnoteReference"/>
        </w:rPr>
        <w:footnoteReference w:id="45"/>
      </w:r>
      <w:r w:rsidRPr="0077027E" w:rsidR="000C016C">
        <w:t xml:space="preserve">  In this case, s</w:t>
      </w:r>
      <w:r w:rsidR="00FD608B">
        <w:t>ome</w:t>
      </w:r>
      <w:r w:rsidRPr="0077027E" w:rsidR="000C016C">
        <w:t xml:space="preserve"> of the Phase 2 Projects are subject to additional New York </w:t>
      </w:r>
      <w:r w:rsidR="00896517">
        <w:t>S</w:t>
      </w:r>
      <w:r w:rsidRPr="0077027E" w:rsidR="000C016C">
        <w:t>tate permitting processes pursuant to Article VII of New York State’s Public</w:t>
      </w:r>
    </w:p>
    <w:p w:rsidR="000721DC">
      <w:pPr>
        <w:widowControl/>
        <w:spacing w:after="160" w:line="259" w:lineRule="auto"/>
      </w:pPr>
      <w:r>
        <w:br w:type="page"/>
      </w:r>
    </w:p>
    <w:p w:rsidR="000C016C" w:rsidP="000721DC">
      <w:pPr>
        <w:pStyle w:val="FERCparanumber"/>
        <w:numPr>
          <w:ilvl w:val="0"/>
          <w:numId w:val="0"/>
        </w:numPr>
      </w:pPr>
      <w:r w:rsidRPr="0077027E">
        <w:t>Service Law,</w:t>
      </w:r>
      <w:r>
        <w:rPr>
          <w:rStyle w:val="FootnoteReference"/>
        </w:rPr>
        <w:footnoteReference w:id="46"/>
      </w:r>
      <w:r w:rsidRPr="0077027E">
        <w:t xml:space="preserve"> which may be an appropriate basis for finding that the FPA section 219 criteria are met.</w:t>
      </w:r>
      <w:r>
        <w:rPr>
          <w:rStyle w:val="FootnoteReference"/>
        </w:rPr>
        <w:footnoteReference w:id="47"/>
      </w:r>
      <w:r w:rsidRPr="0077027E">
        <w:t xml:space="preserve">  Because the New York Commission Article VII </w:t>
      </w:r>
      <w:r w:rsidR="00F74E81">
        <w:t>Approval</w:t>
      </w:r>
      <w:r w:rsidRPr="0077027E">
        <w:t xml:space="preserve"> process may adequately consider</w:t>
      </w:r>
      <w:r w:rsidR="00DB1144">
        <w:t xml:space="preserve"> and evaluate</w:t>
      </w:r>
      <w:r w:rsidRPr="0077027E">
        <w:t xml:space="preserve"> the reliability </w:t>
      </w:r>
      <w:r w:rsidR="002645D2">
        <w:t>and/</w:t>
      </w:r>
      <w:r w:rsidR="003C5B44">
        <w:t>or</w:t>
      </w:r>
      <w:r w:rsidRPr="0077027E" w:rsidR="003C5B44">
        <w:t xml:space="preserve"> </w:t>
      </w:r>
      <w:r w:rsidRPr="0077027E">
        <w:t>congestion-relieving impacts of the</w:t>
      </w:r>
      <w:r w:rsidR="00AE3C62">
        <w:t>se</w:t>
      </w:r>
      <w:r w:rsidRPr="0077027E">
        <w:t xml:space="preserve"> Phase 2 Projects, </w:t>
      </w:r>
      <w:r w:rsidR="00312691">
        <w:t>they</w:t>
      </w:r>
      <w:r w:rsidR="00B21D8D">
        <w:t xml:space="preserve"> may </w:t>
      </w:r>
      <w:r w:rsidR="00312691">
        <w:t xml:space="preserve">satisfy </w:t>
      </w:r>
      <w:r w:rsidR="00D24E57">
        <w:t>the rebuttable presumptio</w:t>
      </w:r>
      <w:r w:rsidR="001773D6">
        <w:t>n</w:t>
      </w:r>
      <w:r w:rsidR="000A362C">
        <w:t>.  To the extent those Phase 2 Projects meet the rebuttable presumption</w:t>
      </w:r>
      <w:r w:rsidR="00A10AB0">
        <w:t xml:space="preserve">, </w:t>
      </w:r>
      <w:r w:rsidRPr="0077027E">
        <w:t xml:space="preserve">we </w:t>
      </w:r>
      <w:r w:rsidR="002A277C">
        <w:t>grant</w:t>
      </w:r>
      <w:r w:rsidRPr="0077027E" w:rsidR="002A277C">
        <w:t xml:space="preserve"> </w:t>
      </w:r>
      <w:r w:rsidRPr="0077027E">
        <w:t xml:space="preserve">the CWIP and Abandoned Plant Incentives, as discussed </w:t>
      </w:r>
      <w:r w:rsidR="00703348">
        <w:t>below</w:t>
      </w:r>
      <w:r w:rsidRPr="0077027E">
        <w:t xml:space="preserve">, conditioned upon the New York Commission issuing Article VII </w:t>
      </w:r>
      <w:r w:rsidR="00DC247F">
        <w:t>A</w:t>
      </w:r>
      <w:r w:rsidRPr="0077027E">
        <w:t>pproval for the relevant Phase 2 Projects that addresses reliability and</w:t>
      </w:r>
      <w:r w:rsidR="00FF2C24">
        <w:t>/or</w:t>
      </w:r>
      <w:r w:rsidRPr="0077027E">
        <w:t xml:space="preserve"> congestion in the manner contemplated by FPA section 219.  We direct Applicants to submit compliance filing</w:t>
      </w:r>
      <w:r w:rsidR="00554DC2">
        <w:t>(s)</w:t>
      </w:r>
      <w:r w:rsidRPr="0077027E">
        <w:t xml:space="preserve"> within 30 days of issuance of Article VII </w:t>
      </w:r>
      <w:r w:rsidR="00DC247F">
        <w:t>A</w:t>
      </w:r>
      <w:r w:rsidRPr="0077027E">
        <w:t xml:space="preserve">pproval for the relevant Phase 2 Projects by the New York Commission.  Applicants must demonstrate </w:t>
      </w:r>
      <w:r w:rsidR="000721DC">
        <w:br/>
      </w:r>
      <w:r w:rsidRPr="0077027E">
        <w:t>in their compliance filing</w:t>
      </w:r>
      <w:r w:rsidR="00FE4619">
        <w:t>(s)</w:t>
      </w:r>
      <w:r w:rsidRPr="0077027E">
        <w:t xml:space="preserve"> that the </w:t>
      </w:r>
      <w:r w:rsidR="00920434">
        <w:t xml:space="preserve">given </w:t>
      </w:r>
      <w:r w:rsidRPr="0077027E">
        <w:t xml:space="preserve">Article VII </w:t>
      </w:r>
      <w:r w:rsidR="00DC247F">
        <w:t>A</w:t>
      </w:r>
      <w:r w:rsidRPr="0077027E">
        <w:t xml:space="preserve">pproval process adequately considered and found that the relevant Phase 2 Projects will ensure reliability </w:t>
      </w:r>
      <w:r w:rsidR="00122610">
        <w:t>and/</w:t>
      </w:r>
      <w:r w:rsidRPr="0077027E">
        <w:t xml:space="preserve">or reduce the cost of delivered power by mitigating congestion consistent with Order </w:t>
      </w:r>
      <w:r w:rsidR="0039355C">
        <w:br/>
      </w:r>
      <w:r w:rsidRPr="0077027E">
        <w:t>No. 679-A.</w:t>
      </w:r>
      <w:r>
        <w:rPr>
          <w:rStyle w:val="FootnoteReference"/>
        </w:rPr>
        <w:footnoteReference w:id="48"/>
      </w:r>
      <w:r w:rsidRPr="0077027E">
        <w:t xml:space="preserve"> </w:t>
      </w:r>
    </w:p>
    <w:p w:rsidR="00F24F9D" w:rsidRPr="00853FF4" w:rsidP="0012035C">
      <w:pPr>
        <w:pStyle w:val="FERCparanumber"/>
      </w:pPr>
      <w:r w:rsidR="00AF4DA4">
        <w:t xml:space="preserve">Furthermore, because </w:t>
      </w:r>
      <w:r w:rsidR="00D530CF">
        <w:t>Applicants have not shown that the</w:t>
      </w:r>
      <w:r w:rsidR="00931AF9">
        <w:t xml:space="preserve"> Phase 2 Projects </w:t>
      </w:r>
      <w:r w:rsidR="0063376F">
        <w:t xml:space="preserve">that </w:t>
      </w:r>
      <w:r w:rsidR="0039355C">
        <w:br/>
      </w:r>
      <w:r w:rsidR="0063376F">
        <w:t xml:space="preserve">do not need </w:t>
      </w:r>
      <w:r w:rsidR="00CF6661">
        <w:t xml:space="preserve">an Article VII </w:t>
      </w:r>
      <w:r w:rsidR="00312691">
        <w:t xml:space="preserve">Approval </w:t>
      </w:r>
      <w:r w:rsidR="00931AF9">
        <w:t xml:space="preserve">meet the rebuttable presumption or </w:t>
      </w:r>
      <w:r w:rsidRPr="00907832" w:rsidR="00FD766C">
        <w:t>provided the Commission with the necessary evidentiary support to determine</w:t>
      </w:r>
      <w:r w:rsidRPr="00907832" w:rsidR="00FD766C">
        <w:t xml:space="preserve"> whether</w:t>
      </w:r>
      <w:r w:rsidRPr="00907832" w:rsidR="00FD766C">
        <w:t xml:space="preserve"> </w:t>
      </w:r>
      <w:r w:rsidR="00CF6661">
        <w:t xml:space="preserve">such </w:t>
      </w:r>
      <w:r w:rsidRPr="00907832" w:rsidR="00FD766C">
        <w:t xml:space="preserve">Phase 2 Projects </w:t>
      </w:r>
      <w:r w:rsidRPr="00907832" w:rsidR="00FD766C">
        <w:t xml:space="preserve">ensure reliability </w:t>
      </w:r>
      <w:r w:rsidR="00122610">
        <w:t>and/</w:t>
      </w:r>
      <w:r w:rsidRPr="00907832" w:rsidR="00FD766C">
        <w:t xml:space="preserve">or reduce the </w:t>
      </w:r>
      <w:r w:rsidRPr="00907832" w:rsidR="00FD766C">
        <w:t>cost</w:t>
      </w:r>
      <w:r w:rsidRPr="00907832" w:rsidR="00FD766C">
        <w:t xml:space="preserve"> of delivered power by reducing congestion</w:t>
      </w:r>
      <w:r w:rsidRPr="00907832" w:rsidR="00FD766C">
        <w:t xml:space="preserve"> as required </w:t>
      </w:r>
      <w:r w:rsidRPr="78321560" w:rsidR="00FD766C">
        <w:t>by Order No. 679</w:t>
      </w:r>
      <w:r w:rsidR="00414A5D">
        <w:rPr>
          <w:szCs w:val="26"/>
        </w:rPr>
        <w:t xml:space="preserve">, </w:t>
      </w:r>
      <w:r w:rsidR="00931AF9">
        <w:t>w</w:t>
      </w:r>
      <w:r w:rsidR="000C016C">
        <w:t xml:space="preserve">e </w:t>
      </w:r>
      <w:r w:rsidR="0091748C">
        <w:t>find</w:t>
      </w:r>
      <w:r w:rsidR="000C016C">
        <w:t xml:space="preserve"> </w:t>
      </w:r>
      <w:r w:rsidR="00233F71">
        <w:t xml:space="preserve">that </w:t>
      </w:r>
      <w:r w:rsidR="005130E9">
        <w:t>those Phase 2 Projects</w:t>
      </w:r>
      <w:r w:rsidR="000C016C">
        <w:t xml:space="preserve"> </w:t>
      </w:r>
      <w:r w:rsidR="0083381C">
        <w:t xml:space="preserve">are </w:t>
      </w:r>
      <w:r w:rsidR="00A370FA">
        <w:t xml:space="preserve">not </w:t>
      </w:r>
      <w:r w:rsidR="00C632EC">
        <w:t>eligible</w:t>
      </w:r>
      <w:r w:rsidR="0083381C">
        <w:t xml:space="preserve"> </w:t>
      </w:r>
      <w:r w:rsidR="00C632EC">
        <w:t>for incentives</w:t>
      </w:r>
      <w:r w:rsidR="00F42FEB">
        <w:t>.</w:t>
      </w:r>
      <w:r>
        <w:rPr>
          <w:rStyle w:val="FootnoteReference"/>
        </w:rPr>
        <w:footnoteReference w:id="49"/>
      </w:r>
      <w:r w:rsidR="00B721B3">
        <w:t xml:space="preserve">  This finding is</w:t>
      </w:r>
      <w:r w:rsidR="000C016C">
        <w:t xml:space="preserve"> without prejudice to Applicants making a subsequent filing demonstrating that the</w:t>
      </w:r>
      <w:r w:rsidR="001214AA">
        <w:t>se</w:t>
      </w:r>
      <w:r w:rsidR="000C016C">
        <w:t xml:space="preserve"> Phase 2 Projects satisfy the requirements </w:t>
      </w:r>
      <w:r w:rsidR="0039355C">
        <w:br/>
      </w:r>
      <w:r w:rsidR="000C016C">
        <w:t>of FPA section 219 or otherwise merit incentive rate treatment.</w:t>
      </w:r>
      <w:r>
        <w:rPr>
          <w:rStyle w:val="FootnoteReference"/>
        </w:rPr>
        <w:footnoteReference w:id="50"/>
      </w:r>
      <w:r w:rsidR="000C016C">
        <w:t xml:space="preserve">  </w:t>
      </w:r>
    </w:p>
    <w:p w:rsidR="00370475" w:rsidP="00CF3053">
      <w:pPr>
        <w:pStyle w:val="Heading3"/>
      </w:pPr>
      <w:r w:rsidR="00C334DC">
        <w:t>Order No. 679 Nexus Requirement</w:t>
      </w:r>
    </w:p>
    <w:p w:rsidR="00C334DC" w:rsidRPr="00C334DC" w:rsidP="00C334DC">
      <w:pPr>
        <w:pStyle w:val="FERCparanumber"/>
        <w:tabs>
          <w:tab w:val="num" w:pos="0"/>
          <w:tab w:val="clear" w:pos="720"/>
        </w:tabs>
        <w:rPr>
          <w:i/>
        </w:rPr>
      </w:pPr>
      <w:r w:rsidRPr="00AA0809">
        <w:t xml:space="preserve">In addition to satisfying the </w:t>
      </w:r>
      <w:r>
        <w:t xml:space="preserve">FPA </w:t>
      </w:r>
      <w:r w:rsidRPr="00AA0809">
        <w:t>section 219 requirement</w:t>
      </w:r>
      <w:r>
        <w:t xml:space="preserve"> </w:t>
      </w:r>
      <w:r w:rsidRPr="008034B3">
        <w:t>of ensuring reliability and/or reducing the cost of delivered power by reducing congestion</w:t>
      </w:r>
      <w:r w:rsidRPr="00AA0809">
        <w:t>, Order No. 679 requires</w:t>
      </w:r>
      <w:r>
        <w:t xml:space="preserve"> </w:t>
      </w:r>
      <w:r w:rsidRPr="00AA0809">
        <w:t>an applicant to demonstrate that there is a nexus between the incentive sought and the investment being made.</w:t>
      </w:r>
      <w:r>
        <w:rPr>
          <w:rStyle w:val="FootnoteReference"/>
        </w:rPr>
        <w:footnoteReference w:id="51"/>
      </w:r>
      <w:r w:rsidRPr="00AA0809">
        <w:t xml:space="preserve">  In Order No. 679-A, the Commission clarified that the nexus test is met when an applicant demonstrates that the total package of incentives requested is “tailored to address the demonstrable risks or challenges faced by the applicant.”</w:t>
      </w:r>
      <w:r>
        <w:rPr>
          <w:b/>
          <w:vertAlign w:val="superscript"/>
        </w:rPr>
        <w:footnoteReference w:id="52"/>
      </w:r>
      <w:r w:rsidRPr="00AA0809">
        <w:t xml:space="preserve">  Applicants must provide sufficient support to allow the Commission to evaluate each element of the package and the interrelationship of all elements of the package.</w:t>
      </w:r>
      <w:r>
        <w:rPr>
          <w:b/>
          <w:vertAlign w:val="superscript"/>
        </w:rPr>
        <w:footnoteReference w:id="53"/>
      </w:r>
      <w:r w:rsidRPr="00AA0809">
        <w:t xml:space="preserve">  The Commission noted that this nexus test is fact-specific and requires the Commission to review </w:t>
      </w:r>
      <w:r w:rsidRPr="00864B1B">
        <w:t xml:space="preserve">each </w:t>
      </w:r>
      <w:r w:rsidRPr="00114935">
        <w:t>application on a case-by-case basis.</w:t>
      </w:r>
      <w:r>
        <w:rPr>
          <w:b/>
          <w:vertAlign w:val="superscript"/>
        </w:rPr>
        <w:footnoteReference w:id="54"/>
      </w:r>
      <w:r w:rsidR="006955F4">
        <w:t xml:space="preserve">  </w:t>
      </w:r>
      <w:r w:rsidRPr="006955F4" w:rsidR="006955F4">
        <w:t>We address the nexus test for each incentive and for the total package of incentives requested</w:t>
      </w:r>
      <w:r w:rsidR="00055EAA">
        <w:t xml:space="preserve"> for the Phase 2 Projects that are subject to</w:t>
      </w:r>
      <w:r w:rsidRPr="0077027E" w:rsidR="00055EAA">
        <w:t xml:space="preserve"> Article VII </w:t>
      </w:r>
      <w:r w:rsidR="00055EAA">
        <w:t>A</w:t>
      </w:r>
      <w:r w:rsidRPr="0077027E" w:rsidR="00055EAA">
        <w:t>pproval</w:t>
      </w:r>
      <w:r w:rsidR="00765F3D">
        <w:t xml:space="preserve"> </w:t>
      </w:r>
      <w:r w:rsidRPr="006955F4" w:rsidR="00765F3D">
        <w:t>below</w:t>
      </w:r>
      <w:r w:rsidRPr="006955F4" w:rsidR="006955F4">
        <w:t>.</w:t>
      </w:r>
    </w:p>
    <w:p w:rsidR="005D337F" w:rsidP="00C334DC">
      <w:pPr>
        <w:pStyle w:val="Heading4"/>
      </w:pPr>
      <w:r w:rsidR="005247C9">
        <w:t>CWIP Incentive</w:t>
      </w:r>
    </w:p>
    <w:p w:rsidR="005D337F" w:rsidP="00C334DC">
      <w:pPr>
        <w:pStyle w:val="Heading5"/>
      </w:pPr>
      <w:r w:rsidR="00E36E27">
        <w:t xml:space="preserve">Applicants’ </w:t>
      </w:r>
      <w:r>
        <w:t>Requests</w:t>
      </w:r>
    </w:p>
    <w:p w:rsidR="00C84C94" w:rsidP="00BD2C21">
      <w:pPr>
        <w:pStyle w:val="FERCparanumber"/>
      </w:pPr>
      <w:r w:rsidR="00E36E27">
        <w:t>Applicants</w:t>
      </w:r>
      <w:r w:rsidR="001F5D19">
        <w:t xml:space="preserve"> assert that their CWIP Incentive request is tailored to mitigate the risks and challenges associated with the development of the Phase 2 Projects. </w:t>
      </w:r>
      <w:r w:rsidRPr="00457AE6" w:rsidR="001F5D19">
        <w:t xml:space="preserve"> </w:t>
      </w:r>
      <w:r w:rsidR="00E36E27">
        <w:t>Applicants</w:t>
      </w:r>
      <w:r w:rsidRPr="00457AE6" w:rsidR="00457AE6">
        <w:t xml:space="preserve"> claim that the magnitude of the necessary investment in </w:t>
      </w:r>
      <w:r w:rsidR="0016523B">
        <w:t>CLCPA</w:t>
      </w:r>
      <w:r w:rsidRPr="00457AE6" w:rsidR="00457AE6">
        <w:t xml:space="preserve">-related transmission over the next few years will exacerbate cash flow and credit metrics challenges, which, </w:t>
      </w:r>
      <w:r w:rsidR="0039355C">
        <w:br/>
      </w:r>
      <w:r w:rsidRPr="00457AE6" w:rsidR="00457AE6">
        <w:t>if left unchecked, will increase the cost of debt for customers.</w:t>
      </w:r>
      <w:r>
        <w:rPr>
          <w:rStyle w:val="FootnoteReference"/>
        </w:rPr>
        <w:footnoteReference w:id="55"/>
      </w:r>
      <w:r w:rsidR="001F5D19">
        <w:t xml:space="preserve"> </w:t>
      </w:r>
      <w:r w:rsidRPr="00457AE6" w:rsidR="00457AE6">
        <w:t xml:space="preserve"> </w:t>
      </w:r>
      <w:r w:rsidR="00E36E27">
        <w:t>Applicants</w:t>
      </w:r>
      <w:r w:rsidRPr="00457AE6" w:rsidR="00457AE6">
        <w:t xml:space="preserve"> note that, absent the requested CWIP Incentive, they anticipate </w:t>
      </w:r>
      <w:r w:rsidR="005B75D4">
        <w:t xml:space="preserve">having large </w:t>
      </w:r>
      <w:r w:rsidRPr="00457AE6" w:rsidR="00457AE6">
        <w:t>capital expenditures for plant additions that have not yet entered service, and thus are not generating any cash flow.</w:t>
      </w:r>
      <w:r w:rsidR="00A072DA">
        <w:t xml:space="preserve">  </w:t>
      </w:r>
      <w:r w:rsidR="00E36E27">
        <w:t>Applicants</w:t>
      </w:r>
      <w:r w:rsidR="009457B2">
        <w:t xml:space="preserve"> claim that capitaliz</w:t>
      </w:r>
      <w:r w:rsidR="00FC76BF">
        <w:t>ing</w:t>
      </w:r>
      <w:r w:rsidR="009457B2">
        <w:t xml:space="preserve"> these </w:t>
      </w:r>
      <w:r w:rsidR="00EC657A">
        <w:t xml:space="preserve">costs </w:t>
      </w:r>
      <w:r w:rsidR="00FC76BF">
        <w:t xml:space="preserve">through Allowance for Funds Used During Construction (AFUDC) </w:t>
      </w:r>
      <w:r w:rsidR="00745FC7">
        <w:t>will harm their cash flows and credit met</w:t>
      </w:r>
      <w:r w:rsidR="00F546CD">
        <w:t>rics, which are already under pressure</w:t>
      </w:r>
      <w:r w:rsidR="00744F26">
        <w:t xml:space="preserve">, putting </w:t>
      </w:r>
      <w:r w:rsidR="00E2507D">
        <w:t>their investment grade credit ratings at risk.</w:t>
      </w:r>
      <w:r>
        <w:rPr>
          <w:rStyle w:val="FootnoteReference"/>
        </w:rPr>
        <w:footnoteReference w:id="56"/>
      </w:r>
      <w:r w:rsidR="00E2507D">
        <w:t xml:space="preserve">  </w:t>
      </w:r>
    </w:p>
    <w:p w:rsidR="00201CE6" w:rsidRPr="007C47CF" w:rsidP="00201CE6">
      <w:pPr>
        <w:pStyle w:val="FERCparanumber"/>
      </w:pPr>
      <w:r w:rsidRPr="007C47CF">
        <w:t>Applicants assert that the Phase 2 Projects will require an unprecedented level of capital investment.</w:t>
      </w:r>
      <w:r>
        <w:rPr>
          <w:rStyle w:val="FootnoteReference"/>
        </w:rPr>
        <w:footnoteReference w:id="57"/>
      </w:r>
      <w:r w:rsidRPr="007C47CF">
        <w:t xml:space="preserve">  Applicants state that they project NYSEG to spend approximately $198 million through 2024, $154 million in 2025, and $247 million in 2026 on the Phase 2 Projects—compared to 5-year annual average transmission plant additions of around $102 million from 2019-2023.  Applicants add that the capital cost of NYSEG’s Phase 2 Projects alone is about 20% higher than its $1.8 billion total cost of all NYSEG transmission gross plant in service as of December 31, 2023.  Applicants state that they project RG&amp;E’s annual investment in </w:t>
      </w:r>
      <w:r w:rsidRPr="007C47CF" w:rsidR="00FE3BCE">
        <w:t xml:space="preserve">its </w:t>
      </w:r>
      <w:r w:rsidRPr="007C47CF">
        <w:t>Phase 2 Project to be approximately $5 million in 2024, $4 million in 2025, and $4 million in 2026, compared to 5-year annual average transmission plant additions of around $103 million from 2019-2023.</w:t>
      </w:r>
      <w:r>
        <w:rPr>
          <w:rStyle w:val="FootnoteReference"/>
        </w:rPr>
        <w:footnoteReference w:id="58"/>
      </w:r>
      <w:r w:rsidRPr="007C47CF">
        <w:t xml:space="preserve">  </w:t>
      </w:r>
    </w:p>
    <w:p w:rsidR="00C84C94" w:rsidP="005D337F">
      <w:pPr>
        <w:pStyle w:val="FERCparanumber"/>
      </w:pPr>
      <w:r w:rsidR="00443305">
        <w:t xml:space="preserve">According to </w:t>
      </w:r>
      <w:r w:rsidR="00E36E27">
        <w:t>Applicants</w:t>
      </w:r>
      <w:r w:rsidR="00443305">
        <w:t>, including 100% CWIP in rate base for the Phase 2 Projects would allow them to avoid buildup of large AFUDC balances and obtain favorable financing, both of which would lower rates, and avoid rate shock.</w:t>
      </w:r>
      <w:r>
        <w:rPr>
          <w:rStyle w:val="FootnoteReference"/>
        </w:rPr>
        <w:footnoteReference w:id="59"/>
      </w:r>
      <w:r w:rsidR="00443305">
        <w:t xml:space="preserve">  In total, </w:t>
      </w:r>
      <w:r w:rsidR="00E36E27">
        <w:t>Applicants</w:t>
      </w:r>
      <w:r w:rsidR="00443305">
        <w:t xml:space="preserve"> allege that recovering capital costs via CWIP instead of AFUDC would reduce capital costs by $15 million and $173 million</w:t>
      </w:r>
      <w:r w:rsidR="008E34E5">
        <w:t xml:space="preserve"> for RG&amp;E and NYSEG</w:t>
      </w:r>
      <w:r w:rsidR="00443305">
        <w:t>, respectively</w:t>
      </w:r>
      <w:r w:rsidR="008D78FA">
        <w:t xml:space="preserve">, and </w:t>
      </w:r>
      <w:r w:rsidR="00443305">
        <w:t>avoiding credit rating downgrades from their cash flow challenges could save $2.3-$10 million for the Phase 2 Projects (not to mention other investments).</w:t>
      </w:r>
    </w:p>
    <w:p w:rsidR="00C40435" w:rsidP="007925EB">
      <w:pPr>
        <w:pStyle w:val="FERCparanumber"/>
      </w:pPr>
      <w:r w:rsidR="00E36E27">
        <w:t>Applicants</w:t>
      </w:r>
      <w:r w:rsidR="009958B7">
        <w:t xml:space="preserve"> </w:t>
      </w:r>
      <w:r w:rsidR="00335D6E">
        <w:t>claim that their CWIP Incentive request is consistent with other transmission incentives authorized for similar transmission projects in New York</w:t>
      </w:r>
      <w:r w:rsidR="00BA133E">
        <w:t>—</w:t>
      </w:r>
      <w:r w:rsidR="00813F31">
        <w:t xml:space="preserve">including several that are </w:t>
      </w:r>
      <w:r w:rsidR="00483026">
        <w:t>relatively</w:t>
      </w:r>
      <w:r w:rsidR="00813F31">
        <w:t xml:space="preserve"> small compared to the </w:t>
      </w:r>
      <w:r w:rsidRPr="00483026" w:rsidR="00483026">
        <w:t>$2.093 billion of NYSEG investment and $157 million of RG&amp;E investment authorized in the Phase 2 Order</w:t>
      </w:r>
      <w:r w:rsidR="003E276D">
        <w:t>.</w:t>
      </w:r>
      <w:r>
        <w:rPr>
          <w:rStyle w:val="FootnoteReference"/>
        </w:rPr>
        <w:footnoteReference w:id="60"/>
      </w:r>
      <w:r w:rsidR="00306C40">
        <w:t xml:space="preserve">  </w:t>
      </w:r>
      <w:r w:rsidR="00E36E27">
        <w:t>Applicants</w:t>
      </w:r>
      <w:r w:rsidR="00306C40">
        <w:t xml:space="preserve"> also </w:t>
      </w:r>
      <w:r w:rsidR="005B67AB">
        <w:t>state</w:t>
      </w:r>
      <w:r w:rsidR="00306C40">
        <w:t xml:space="preserve"> that they </w:t>
      </w:r>
      <w:r w:rsidR="00C260FD">
        <w:t xml:space="preserve">will implement the requisite accounting controls to </w:t>
      </w:r>
      <w:r w:rsidR="00293E69">
        <w:t>pr</w:t>
      </w:r>
      <w:r w:rsidR="00347217">
        <w:t>event double recovery</w:t>
      </w:r>
      <w:r w:rsidR="00444176">
        <w:t xml:space="preserve"> </w:t>
      </w:r>
      <w:r w:rsidR="00A573C7">
        <w:t xml:space="preserve">and make the requisite annual filings with the Commission </w:t>
      </w:r>
      <w:r w:rsidR="00444176">
        <w:t xml:space="preserve">if </w:t>
      </w:r>
      <w:r w:rsidR="00A573C7">
        <w:t>their CWIP Incentive request is granted.</w:t>
      </w:r>
      <w:r>
        <w:rPr>
          <w:rStyle w:val="FootnoteReference"/>
        </w:rPr>
        <w:footnoteReference w:id="61"/>
      </w:r>
      <w:r w:rsidR="00214888">
        <w:t xml:space="preserve">  Specifically, </w:t>
      </w:r>
      <w:r>
        <w:t>Applicants state that</w:t>
      </w:r>
      <w:r w:rsidR="008250A2">
        <w:t xml:space="preserve"> they will tag the Phase 2 Projects with program codes that will prohibit </w:t>
      </w:r>
      <w:r w:rsidR="00256891">
        <w:t>the calculation of AFUDC on the capital assets</w:t>
      </w:r>
      <w:r w:rsidR="008315D0">
        <w:t xml:space="preserve">.  </w:t>
      </w:r>
      <w:r w:rsidR="00C90BA0">
        <w:t>A</w:t>
      </w:r>
      <w:r w:rsidR="00203604">
        <w:t>pplicants also state that</w:t>
      </w:r>
      <w:r>
        <w:t xml:space="preserve">, </w:t>
      </w:r>
      <w:r w:rsidR="00935CCF">
        <w:t xml:space="preserve">if the Commission grants their CWIP </w:t>
      </w:r>
      <w:r w:rsidR="007D2C96">
        <w:t>Incentive request</w:t>
      </w:r>
      <w:r w:rsidR="00103A3E">
        <w:t>,</w:t>
      </w:r>
      <w:r w:rsidR="007D2C96">
        <w:t xml:space="preserve"> they will each subm</w:t>
      </w:r>
      <w:r w:rsidR="00103A3E">
        <w:t>it</w:t>
      </w:r>
      <w:r w:rsidR="002A1C83">
        <w:t xml:space="preserve">, as required, a CWIP report as part of </w:t>
      </w:r>
      <w:r w:rsidR="0091119E">
        <w:t xml:space="preserve">each of their annual update processes established in </w:t>
      </w:r>
      <w:r w:rsidR="00EF1A96">
        <w:t>their respective formula rate implementation protocols</w:t>
      </w:r>
      <w:r w:rsidR="001A67F0">
        <w:t xml:space="preserve"> that will provide information regarding project construction and service statuses.</w:t>
      </w:r>
      <w:r>
        <w:rPr>
          <w:rStyle w:val="FootnoteReference"/>
        </w:rPr>
        <w:footnoteReference w:id="62"/>
      </w:r>
    </w:p>
    <w:p w:rsidR="00B4325F" w:rsidRPr="00B4325F" w:rsidP="00B4325F">
      <w:pPr>
        <w:pStyle w:val="FERCparanumber"/>
      </w:pPr>
      <w:r w:rsidR="000D0E9F">
        <w:t xml:space="preserve">Applicants request waiver of </w:t>
      </w:r>
      <w:r w:rsidR="004A4F9D">
        <w:t>certain filing requirements governing CWIP recovery under Order No. 679.  First, Applicants request waiver of section 35.13(</w:t>
      </w:r>
      <w:r w:rsidR="00C3631B">
        <w:t>h)(38)</w:t>
      </w:r>
      <w:r w:rsidR="0030104D">
        <w:t xml:space="preserve">, </w:t>
      </w:r>
      <w:r w:rsidRPr="0030104D" w:rsidR="0030104D">
        <w:t xml:space="preserve">which requires a CWIP Incentive applicant to submit a </w:t>
      </w:r>
      <w:r w:rsidR="003A125D">
        <w:t>“</w:t>
      </w:r>
      <w:r w:rsidRPr="0030104D" w:rsidR="0030104D">
        <w:t>Statement BM</w:t>
      </w:r>
      <w:r w:rsidR="003A125D">
        <w:t>”</w:t>
      </w:r>
      <w:r w:rsidRPr="0030104D" w:rsidR="0030104D">
        <w:t xml:space="preserve"> describing its program for providing reliable and economic power.</w:t>
      </w:r>
      <w:r>
        <w:rPr>
          <w:rStyle w:val="FootnoteReference"/>
        </w:rPr>
        <w:footnoteReference w:id="63"/>
      </w:r>
      <w:r w:rsidR="00C3631B">
        <w:t xml:space="preserve"> </w:t>
      </w:r>
      <w:r w:rsidR="004F7730">
        <w:t xml:space="preserve"> </w:t>
      </w:r>
      <w:r w:rsidR="00443BF8">
        <w:t xml:space="preserve">Applicants </w:t>
      </w:r>
      <w:r w:rsidR="00FF2C7D">
        <w:t xml:space="preserve">claim </w:t>
      </w:r>
      <w:r w:rsidRPr="00DA0412" w:rsidR="00DA0412">
        <w:t xml:space="preserve">that the Commission has previously found that this requirement is primarily designed for </w:t>
      </w:r>
      <w:r w:rsidR="004A35C5">
        <w:t xml:space="preserve">CWIP associated with </w:t>
      </w:r>
      <w:r w:rsidRPr="00DA0412" w:rsidR="00DA0412">
        <w:t>new generation</w:t>
      </w:r>
      <w:r w:rsidR="00792ECB">
        <w:t xml:space="preserve"> </w:t>
      </w:r>
      <w:r w:rsidRPr="00DA0412" w:rsidR="00DA0412">
        <w:t>and has waived the requirement for utilities with formula transmission rates.</w:t>
      </w:r>
      <w:r>
        <w:rPr>
          <w:rStyle w:val="FootnoteReference"/>
        </w:rPr>
        <w:footnoteReference w:id="64"/>
      </w:r>
      <w:r w:rsidRPr="00DA0412" w:rsidR="00DA0412">
        <w:t> </w:t>
      </w:r>
      <w:r w:rsidR="00194086">
        <w:t xml:space="preserve"> </w:t>
      </w:r>
      <w:r w:rsidRPr="00DA0412" w:rsidR="00DA0412">
        <w:t xml:space="preserve">Second, </w:t>
      </w:r>
      <w:r w:rsidR="0008224C">
        <w:t>Applicants</w:t>
      </w:r>
      <w:r w:rsidRPr="00DA0412" w:rsidR="00DA0412">
        <w:t xml:space="preserve"> request waiver of section</w:t>
      </w:r>
      <w:r w:rsidR="00360C8F">
        <w:t>s</w:t>
      </w:r>
      <w:r w:rsidRPr="00DA0412" w:rsidR="00DA0412">
        <w:t xml:space="preserve"> 35.25(c)(4) and (g) of the </w:t>
      </w:r>
      <w:r w:rsidR="00B6517E">
        <w:t xml:space="preserve">Commission’s </w:t>
      </w:r>
      <w:r w:rsidRPr="00DA0412" w:rsidR="00DA0412">
        <w:t>regulations, which require an applicant to provide certain information to help the Commission assess the anti-competitive impacts of the CWIP Incentive.</w:t>
      </w:r>
      <w:r>
        <w:rPr>
          <w:rStyle w:val="FootnoteReference"/>
        </w:rPr>
        <w:footnoteReference w:id="65"/>
      </w:r>
      <w:r w:rsidR="00A764F1">
        <w:t xml:space="preserve"> </w:t>
      </w:r>
      <w:r w:rsidRPr="00DA0412" w:rsidR="00DA0412">
        <w:t> </w:t>
      </w:r>
      <w:r w:rsidR="00A764F1">
        <w:t>Applicants</w:t>
      </w:r>
      <w:r w:rsidRPr="00DA0412" w:rsidR="00DA0412">
        <w:t xml:space="preserve"> argue that </w:t>
      </w:r>
      <w:r w:rsidR="00E41A0B">
        <w:t>the Commission should grant the requested waivers consisten</w:t>
      </w:r>
      <w:r w:rsidR="00C547C0">
        <w:t>t</w:t>
      </w:r>
      <w:r w:rsidR="00E41A0B">
        <w:t xml:space="preserve"> with its determination in Order No. 679 that</w:t>
      </w:r>
      <w:r w:rsidR="002C61BF">
        <w:t xml:space="preserve"> </w:t>
      </w:r>
      <w:r w:rsidRPr="00DA0412" w:rsidR="00DA0412">
        <w:t xml:space="preserve">such anti-competitive concerns are </w:t>
      </w:r>
      <w:r w:rsidR="00495E69">
        <w:t xml:space="preserve">less </w:t>
      </w:r>
      <w:r w:rsidR="004F5043">
        <w:t>significant</w:t>
      </w:r>
      <w:r w:rsidR="00495E69">
        <w:t xml:space="preserve"> </w:t>
      </w:r>
      <w:r w:rsidR="007E13C1">
        <w:t>in the transmission context</w:t>
      </w:r>
      <w:r w:rsidRPr="00DA0412" w:rsidR="00DA0412">
        <w:t>.</w:t>
      </w:r>
      <w:r>
        <w:rPr>
          <w:rStyle w:val="FootnoteReference"/>
        </w:rPr>
        <w:footnoteReference w:id="66"/>
      </w:r>
      <w:r w:rsidRPr="00DA0412" w:rsidR="00DA0412">
        <w:t> </w:t>
      </w:r>
    </w:p>
    <w:p w:rsidR="005D337F" w:rsidP="007C47CF">
      <w:pPr>
        <w:pStyle w:val="Heading5"/>
      </w:pPr>
      <w:r>
        <w:t>Commission Determination</w:t>
      </w:r>
    </w:p>
    <w:p w:rsidR="00294CD2" w:rsidRPr="00C37982" w:rsidP="00294CD2">
      <w:pPr>
        <w:pStyle w:val="FERCparanumber"/>
      </w:pPr>
      <w:r w:rsidRPr="00C37982">
        <w:t xml:space="preserve">We grant </w:t>
      </w:r>
      <w:r>
        <w:t>Applicants’</w:t>
      </w:r>
      <w:r w:rsidRPr="00C37982">
        <w:t xml:space="preserve"> request for the CWIP Incentive for the </w:t>
      </w:r>
      <w:r>
        <w:t xml:space="preserve">Phase 2 </w:t>
      </w:r>
      <w:r w:rsidRPr="00C37982">
        <w:t>Project</w:t>
      </w:r>
      <w:r>
        <w:t xml:space="preserve">s </w:t>
      </w:r>
      <w:r w:rsidR="00B979C8">
        <w:t xml:space="preserve">  </w:t>
      </w:r>
      <w:r>
        <w:t xml:space="preserve">that are </w:t>
      </w:r>
      <w:r w:rsidRPr="0077027E">
        <w:t xml:space="preserve">subject to additional Article VII </w:t>
      </w:r>
      <w:r w:rsidR="009C28AB">
        <w:t>A</w:t>
      </w:r>
      <w:r>
        <w:t>pproval</w:t>
      </w:r>
      <w:r w:rsidRPr="00C37982">
        <w:t xml:space="preserve">, </w:t>
      </w:r>
      <w:r w:rsidRPr="002C050A">
        <w:t xml:space="preserve">conditioned upon </w:t>
      </w:r>
      <w:r>
        <w:t xml:space="preserve">the New York Commission issuing Article VII </w:t>
      </w:r>
      <w:r w:rsidR="009C28AB">
        <w:t>A</w:t>
      </w:r>
      <w:r>
        <w:t xml:space="preserve">pproval that addresses reliability </w:t>
      </w:r>
      <w:r w:rsidR="00122610">
        <w:t>and/</w:t>
      </w:r>
      <w:r w:rsidR="009A217C">
        <w:t>or</w:t>
      </w:r>
      <w:r>
        <w:t xml:space="preserve"> congestion in the manner contemplated by FPA section 219 and Commission </w:t>
      </w:r>
      <w:r w:rsidR="00ED4D9F">
        <w:t xml:space="preserve">acceptance </w:t>
      </w:r>
      <w:r>
        <w:t>of Applicants’ compliance filing</w:t>
      </w:r>
      <w:r w:rsidR="004D10D9">
        <w:t>(s)</w:t>
      </w:r>
      <w:r>
        <w:t xml:space="preserve">, as discussed above, </w:t>
      </w:r>
      <w:r w:rsidRPr="00C37982">
        <w:t xml:space="preserve">effective </w:t>
      </w:r>
      <w:r>
        <w:t>July 8, 2024</w:t>
      </w:r>
      <w:r w:rsidRPr="00C37982">
        <w:t>.</w:t>
      </w:r>
      <w:r>
        <w:rPr>
          <w:rStyle w:val="FootnoteReference"/>
        </w:rPr>
        <w:footnoteReference w:id="67"/>
      </w:r>
      <w:r w:rsidRPr="00C37982">
        <w:t xml:space="preserve">  In Order No. 679, the Commission established a policy that allows utilities to include, where appropriate, 100% of prudently-incurred transmission-related CWIP in rate base.</w:t>
      </w:r>
      <w:r>
        <w:rPr>
          <w:rStyle w:val="FootnoteReference"/>
        </w:rPr>
        <w:footnoteReference w:id="68"/>
      </w:r>
      <w:r w:rsidRPr="00C37982">
        <w:t xml:space="preserve">  The Commission stated that this rate incentive treatment will advance the goals of FPA section 219 by providing up-front regulatory certainty, rate stability, and improved cash flow, reducing the pressure on an applicant’s finances caused by investing in transmission projects.  </w:t>
      </w:r>
    </w:p>
    <w:p w:rsidR="00294CD2" w:rsidRPr="00C37982" w:rsidP="00294CD2">
      <w:pPr>
        <w:pStyle w:val="FERCparanumber"/>
      </w:pPr>
      <w:r w:rsidRPr="00C37982">
        <w:t xml:space="preserve">We find that </w:t>
      </w:r>
      <w:r>
        <w:t xml:space="preserve">Applicants </w:t>
      </w:r>
      <w:r w:rsidRPr="00C37982">
        <w:t>ha</w:t>
      </w:r>
      <w:r>
        <w:t>ve</w:t>
      </w:r>
      <w:r w:rsidRPr="00C37982">
        <w:t xml:space="preserve"> shown a nexus between the proposed CWIP Incentive and </w:t>
      </w:r>
      <w:r>
        <w:t>their</w:t>
      </w:r>
      <w:r w:rsidRPr="00C37982">
        <w:t xml:space="preserve"> investment</w:t>
      </w:r>
      <w:r>
        <w:t>s</w:t>
      </w:r>
      <w:r w:rsidRPr="00C37982">
        <w:t xml:space="preserve"> in the </w:t>
      </w:r>
      <w:r>
        <w:t xml:space="preserve">Phase 2 </w:t>
      </w:r>
      <w:r w:rsidRPr="00C37982">
        <w:t>Project</w:t>
      </w:r>
      <w:r>
        <w:t>s</w:t>
      </w:r>
      <w:r w:rsidR="00EA2B27">
        <w:t xml:space="preserve"> that are subject to additional Article VII Approval</w:t>
      </w:r>
      <w:r w:rsidRPr="00C37982">
        <w:t xml:space="preserve">.  </w:t>
      </w:r>
      <w:r w:rsidRPr="00C84A18">
        <w:t xml:space="preserve">Applicants </w:t>
      </w:r>
      <w:r>
        <w:t xml:space="preserve">estimate </w:t>
      </w:r>
      <w:r w:rsidR="00A467A4">
        <w:t>that</w:t>
      </w:r>
      <w:r>
        <w:t xml:space="preserve"> their investment in the Phase 2 Projects will require capital expenditures of approximately </w:t>
      </w:r>
      <w:r w:rsidRPr="008378F1">
        <w:t xml:space="preserve">$157 million </w:t>
      </w:r>
      <w:r>
        <w:t>for</w:t>
      </w:r>
      <w:r w:rsidRPr="008378F1">
        <w:t xml:space="preserve"> RG&amp;E and $2.093 billion </w:t>
      </w:r>
      <w:r>
        <w:t>for</w:t>
      </w:r>
      <w:r w:rsidRPr="008378F1">
        <w:t xml:space="preserve"> NYSEG</w:t>
      </w:r>
      <w:r>
        <w:t xml:space="preserve">, with NYSEG’s </w:t>
      </w:r>
      <w:r w:rsidRPr="00C84A18">
        <w:t>capital cost</w:t>
      </w:r>
      <w:r>
        <w:t>s</w:t>
      </w:r>
      <w:r w:rsidRPr="00C84A18">
        <w:t xml:space="preserve"> about 20% higher than its total cost of all NYSEG transmission gross plant in service as of December 31, 2023.</w:t>
      </w:r>
      <w:r>
        <w:rPr>
          <w:rStyle w:val="FootnoteReference"/>
        </w:rPr>
        <w:footnoteReference w:id="69"/>
      </w:r>
      <w:r w:rsidRPr="00C84A18">
        <w:t xml:space="preserve">  </w:t>
      </w:r>
      <w:r w:rsidRPr="00293A9B">
        <w:t xml:space="preserve">Applicants </w:t>
      </w:r>
      <w:r>
        <w:t>demonstrate</w:t>
      </w:r>
      <w:r w:rsidRPr="00293A9B">
        <w:t xml:space="preserve"> </w:t>
      </w:r>
      <w:r>
        <w:t xml:space="preserve">that </w:t>
      </w:r>
      <w:r w:rsidRPr="007A0C31">
        <w:t xml:space="preserve">capitalizing these costs through AFUDC will harm </w:t>
      </w:r>
      <w:r w:rsidRPr="00293A9B">
        <w:t>their cash flows and credit metrics.</w:t>
      </w:r>
      <w:r>
        <w:rPr>
          <w:b/>
          <w:vertAlign w:val="superscript"/>
        </w:rPr>
        <w:footnoteReference w:id="70"/>
      </w:r>
      <w:r w:rsidRPr="00C37982">
        <w:t xml:space="preserve">  </w:t>
      </w:r>
      <w:r w:rsidR="00DC6507">
        <w:t xml:space="preserve">While we </w:t>
      </w:r>
      <w:r w:rsidR="00434B07">
        <w:t xml:space="preserve">are </w:t>
      </w:r>
      <w:r w:rsidR="002564B5">
        <w:t xml:space="preserve">conditionally </w:t>
      </w:r>
      <w:r w:rsidR="00434B07">
        <w:t>granting the CWIP Incentive for only the Phase 2 Projects</w:t>
      </w:r>
      <w:r w:rsidR="00627ECB">
        <w:t xml:space="preserve"> that are subject to additional Article VII Approval</w:t>
      </w:r>
      <w:r w:rsidR="00434B07">
        <w:t xml:space="preserve">, we </w:t>
      </w:r>
      <w:r w:rsidR="006475DA">
        <w:t>nevertheless</w:t>
      </w:r>
      <w:r w:rsidRPr="00C37982">
        <w:t xml:space="preserve"> </w:t>
      </w:r>
      <w:r w:rsidR="004A314B">
        <w:br/>
      </w:r>
      <w:r w:rsidRPr="00C37982">
        <w:t>find that granting the CWIP Incentive will help ease th</w:t>
      </w:r>
      <w:r w:rsidR="00466399">
        <w:t>e</w:t>
      </w:r>
      <w:r w:rsidRPr="00C37982">
        <w:t>s</w:t>
      </w:r>
      <w:r w:rsidR="00466399">
        <w:t>e</w:t>
      </w:r>
      <w:r w:rsidRPr="00C37982">
        <w:t xml:space="preserve"> risk</w:t>
      </w:r>
      <w:r w:rsidR="00466399">
        <w:t>s</w:t>
      </w:r>
      <w:r w:rsidRPr="00C37982">
        <w:t xml:space="preserve"> by providing upfront certainty, improved cash flow, and reduced interest expense as </w:t>
      </w:r>
      <w:r>
        <w:t>Applicants</w:t>
      </w:r>
      <w:r w:rsidRPr="00C37982">
        <w:t xml:space="preserve"> proceed with the</w:t>
      </w:r>
      <w:r w:rsidR="00627ECB">
        <w:t>se</w:t>
      </w:r>
      <w:r w:rsidRPr="00C37982">
        <w:t xml:space="preserve"> </w:t>
      </w:r>
      <w:r w:rsidR="00627ECB">
        <w:t>p</w:t>
      </w:r>
      <w:r>
        <w:t>rojects</w:t>
      </w:r>
      <w:r w:rsidRPr="00C37982">
        <w:t xml:space="preserve">.  </w:t>
      </w:r>
    </w:p>
    <w:p w:rsidR="00294CD2" w:rsidP="00E75C88">
      <w:pPr>
        <w:pStyle w:val="FERCparanumber"/>
      </w:pPr>
      <w:r w:rsidRPr="00C37982">
        <w:t xml:space="preserve">A utility with an approved CWIP Incentive must propose accounting procedures that ensure </w:t>
      </w:r>
      <w:r w:rsidR="00023B96">
        <w:t>that</w:t>
      </w:r>
      <w:r w:rsidRPr="00C37982">
        <w:t xml:space="preserve"> there is no duplicate recovery of CWIP and corresponding AFUDC capitalized as a result of different accounting or ratemaking treatments by state or local authorities.</w:t>
      </w:r>
      <w:r>
        <w:rPr>
          <w:rStyle w:val="FootnoteReference"/>
        </w:rPr>
        <w:footnoteReference w:id="71"/>
      </w:r>
      <w:r w:rsidRPr="00C37982">
        <w:t xml:space="preserve">  We find that </w:t>
      </w:r>
      <w:r>
        <w:t xml:space="preserve">Applicants’ </w:t>
      </w:r>
      <w:r w:rsidRPr="00C37982">
        <w:t xml:space="preserve">proposed accounting </w:t>
      </w:r>
      <w:r w:rsidRPr="00A74C80">
        <w:t xml:space="preserve">procedures (i.e., their use </w:t>
      </w:r>
      <w:r w:rsidR="00B979C8">
        <w:t xml:space="preserve">  </w:t>
      </w:r>
      <w:r w:rsidRPr="00A74C80">
        <w:t xml:space="preserve">of new program codes in their SAP accounting system to tag new capital orders for the Phase 2 Projects </w:t>
      </w:r>
      <w:r w:rsidR="006E2AC9">
        <w:t xml:space="preserve">for which the Commission grants the CWIP Incentive </w:t>
      </w:r>
      <w:r w:rsidRPr="00A74C80">
        <w:t>and prohibit the calculation of AFUDC on the capital assets</w:t>
      </w:r>
      <w:r w:rsidRPr="00C37982">
        <w:t>)</w:t>
      </w:r>
      <w:r w:rsidR="00421425">
        <w:t>,</w:t>
      </w:r>
      <w:r w:rsidRPr="00C37982">
        <w:t xml:space="preserve"> coupled with </w:t>
      </w:r>
      <w:r w:rsidR="006854E0">
        <w:t>their</w:t>
      </w:r>
      <w:r w:rsidRPr="00C37982">
        <w:t xml:space="preserve"> </w:t>
      </w:r>
      <w:r w:rsidRPr="00FB0108">
        <w:t>existing formula rate protocols</w:t>
      </w:r>
      <w:r w:rsidR="00421425">
        <w:t>,</w:t>
      </w:r>
      <w:r w:rsidRPr="00C37982">
        <w:t xml:space="preserve"> are adequate to ensure that there is no duplicate recovery of CWIP.  </w:t>
      </w:r>
    </w:p>
    <w:p w:rsidR="00153E2E" w:rsidP="00CB706A">
      <w:pPr>
        <w:pStyle w:val="FERCparanumber"/>
      </w:pPr>
      <w:r w:rsidRPr="00C37982" w:rsidR="008E6473">
        <w:t xml:space="preserve">Additionally, we grant </w:t>
      </w:r>
      <w:r w:rsidR="008E6473">
        <w:t>Applicants’</w:t>
      </w:r>
      <w:r w:rsidRPr="00C37982" w:rsidR="008E6473">
        <w:t xml:space="preserve"> request for waiver of</w:t>
      </w:r>
      <w:r w:rsidR="008E6473">
        <w:t xml:space="preserve"> </w:t>
      </w:r>
      <w:r w:rsidRPr="00C37982" w:rsidR="008E6473">
        <w:t>18 C.F.R. </w:t>
      </w:r>
      <w:r w:rsidRPr="0032079E" w:rsidR="008E6473">
        <w:t>§</w:t>
      </w:r>
      <w:r w:rsidRPr="00C37982" w:rsidR="008E6473">
        <w:t>§ 35.13(h)(38)</w:t>
      </w:r>
      <w:r w:rsidR="008E6473">
        <w:t xml:space="preserve">, </w:t>
      </w:r>
      <w:r w:rsidRPr="00C37982" w:rsidR="008E6473">
        <w:t xml:space="preserve">35.25(c)(4) </w:t>
      </w:r>
      <w:r w:rsidR="008E6473">
        <w:t xml:space="preserve">&amp; </w:t>
      </w:r>
      <w:r w:rsidRPr="00C37982" w:rsidR="008E6473">
        <w:t xml:space="preserve">(g).  We find that </w:t>
      </w:r>
      <w:r w:rsidR="0019642C">
        <w:t xml:space="preserve">the </w:t>
      </w:r>
      <w:r w:rsidR="00567334">
        <w:t xml:space="preserve">anti-competitive concerns raised in </w:t>
      </w:r>
      <w:r w:rsidR="0078375B">
        <w:t>sections 35.25(c)(4) and (g) are not pres</w:t>
      </w:r>
      <w:r w:rsidR="00D20106">
        <w:t xml:space="preserve">ent in this proceeding and therefore </w:t>
      </w:r>
      <w:r w:rsidR="00B979C8">
        <w:t xml:space="preserve">  </w:t>
      </w:r>
      <w:r w:rsidR="005F549B">
        <w:t xml:space="preserve">that waiver </w:t>
      </w:r>
      <w:r w:rsidR="00877519">
        <w:t>of these sections is reasonable.  With respect to the requirements of section 35.13(h)(38), we find that Applicants are similarly situated to utilities for whom the Commission has waived the requirement to file Statement BM under section 35.13(h)(38).</w:t>
      </w:r>
      <w:r w:rsidR="00877519">
        <w:t xml:space="preserve"> </w:t>
      </w:r>
    </w:p>
    <w:p w:rsidR="008E6473" w:rsidRPr="00294CD2" w:rsidP="00153E2E">
      <w:pPr>
        <w:pStyle w:val="FERCparanumber"/>
      </w:pPr>
      <w:r w:rsidR="00CB706A">
        <w:t xml:space="preserve">We deny the CWIP Incentive for those Phase 2 Projects that do not require an </w:t>
      </w:r>
      <w:r w:rsidRPr="0077027E" w:rsidR="00CB706A">
        <w:t xml:space="preserve">additional Article VII </w:t>
      </w:r>
      <w:r w:rsidR="00CB706A">
        <w:t>Approval without prejudice to Applicants making a future filing demonstrating that such Phase 2 Projects meet the rebuttable presumption</w:t>
      </w:r>
      <w:r w:rsidR="006E2AC9">
        <w:t>,</w:t>
      </w:r>
      <w:r w:rsidR="00CB706A">
        <w:t xml:space="preserve"> as discussed above.</w:t>
      </w:r>
      <w:r>
        <w:rPr>
          <w:rStyle w:val="FootnoteReference"/>
        </w:rPr>
        <w:footnoteReference w:id="72"/>
      </w:r>
    </w:p>
    <w:p w:rsidR="005247C9" w:rsidP="00C334DC">
      <w:pPr>
        <w:pStyle w:val="Heading4"/>
      </w:pPr>
      <w:r>
        <w:t>Abandoned Plant Incentive</w:t>
      </w:r>
    </w:p>
    <w:p w:rsidR="005247C9" w:rsidP="00C334DC">
      <w:pPr>
        <w:pStyle w:val="Heading5"/>
      </w:pPr>
      <w:r w:rsidR="00E36E27">
        <w:t>Applicants’</w:t>
      </w:r>
      <w:r>
        <w:t xml:space="preserve"> Requests</w:t>
      </w:r>
    </w:p>
    <w:p w:rsidR="005247C9" w:rsidRPr="00355E56" w:rsidP="005247C9">
      <w:pPr>
        <w:pStyle w:val="FERCparanumber"/>
      </w:pPr>
      <w:r w:rsidR="00E36E27">
        <w:t>Applicants</w:t>
      </w:r>
      <w:r w:rsidR="00003D3F">
        <w:t xml:space="preserve"> </w:t>
      </w:r>
      <w:r w:rsidR="005F59E3">
        <w:t xml:space="preserve">state that </w:t>
      </w:r>
      <w:r w:rsidR="009C32B0">
        <w:t xml:space="preserve">the Abandon Plant Incentive </w:t>
      </w:r>
      <w:r w:rsidR="00E937AE">
        <w:t>request is tailored to mitigate the regulatory risks associated with t</w:t>
      </w:r>
      <w:r w:rsidR="00746A39">
        <w:t xml:space="preserve">he investments of the Phase </w:t>
      </w:r>
      <w:r w:rsidR="00AD21B1">
        <w:t>2</w:t>
      </w:r>
      <w:r w:rsidR="006372F3">
        <w:t xml:space="preserve"> </w:t>
      </w:r>
      <w:r w:rsidR="000E3CB7">
        <w:t xml:space="preserve">Projects if those projects are abandoned for any reasons beyond </w:t>
      </w:r>
      <w:r w:rsidR="00E36E27">
        <w:t>Applicants’</w:t>
      </w:r>
      <w:r w:rsidR="00406E95">
        <w:t xml:space="preserve"> control.</w:t>
      </w:r>
      <w:r>
        <w:rPr>
          <w:rStyle w:val="FootnoteReference"/>
        </w:rPr>
        <w:footnoteReference w:id="73"/>
      </w:r>
      <w:r w:rsidR="00E467D1">
        <w:t xml:space="preserve">  </w:t>
      </w:r>
      <w:r w:rsidR="00E36E27">
        <w:t>Applicants</w:t>
      </w:r>
      <w:r w:rsidR="00E467D1">
        <w:t xml:space="preserve"> state that the Abandoned Plant Incentive is appropriate </w:t>
      </w:r>
      <w:r w:rsidR="00AD404E">
        <w:t>because these projects each independently face significant regulatory, permitting, procurement, project-on-p</w:t>
      </w:r>
      <w:r w:rsidR="00635E6F">
        <w:t>roject, and executi</w:t>
      </w:r>
      <w:r w:rsidR="002E018E">
        <w:t>on</w:t>
      </w:r>
      <w:r w:rsidR="00635E6F">
        <w:t xml:space="preserve"> risks that could result in the </w:t>
      </w:r>
      <w:r w:rsidR="005D26FF">
        <w:t>Phase 2 P</w:t>
      </w:r>
      <w:r w:rsidR="00635E6F">
        <w:t>rojects</w:t>
      </w:r>
      <w:r w:rsidR="000F3F0D">
        <w:t xml:space="preserve">’ cancellation for reasons beyond </w:t>
      </w:r>
      <w:r w:rsidR="00E36E27">
        <w:t xml:space="preserve">Applicants’ </w:t>
      </w:r>
      <w:r w:rsidR="000F3F0D">
        <w:t>control.</w:t>
      </w:r>
      <w:r>
        <w:rPr>
          <w:rStyle w:val="FootnoteReference"/>
        </w:rPr>
        <w:footnoteReference w:id="74"/>
      </w:r>
    </w:p>
    <w:p w:rsidR="00C84C94" w:rsidP="005247C9">
      <w:pPr>
        <w:pStyle w:val="FERCparanumber"/>
      </w:pPr>
      <w:r w:rsidR="00E36E27">
        <w:t xml:space="preserve">Applicants </w:t>
      </w:r>
      <w:r w:rsidR="00064609">
        <w:t>state that the Phase 2 Projects face</w:t>
      </w:r>
      <w:r w:rsidR="00285AF6">
        <w:t xml:space="preserve"> potential </w:t>
      </w:r>
      <w:r w:rsidR="00B61C00">
        <w:t>coordination and timing risks</w:t>
      </w:r>
      <w:r w:rsidR="00031AE1">
        <w:t xml:space="preserve">, specifically around </w:t>
      </w:r>
      <w:r w:rsidR="00237AB7">
        <w:t>outage scheduling and construction sequencing.</w:t>
      </w:r>
      <w:r>
        <w:rPr>
          <w:rStyle w:val="FootnoteReference"/>
        </w:rPr>
        <w:footnoteReference w:id="75"/>
      </w:r>
      <w:r w:rsidR="00237AB7">
        <w:t xml:space="preserve">  </w:t>
      </w:r>
      <w:r w:rsidR="00694BFE">
        <w:t xml:space="preserve">Applicants note </w:t>
      </w:r>
      <w:r w:rsidR="003B0C64">
        <w:t>that</w:t>
      </w:r>
      <w:r w:rsidR="00B17A98">
        <w:t xml:space="preserve"> </w:t>
      </w:r>
      <w:r w:rsidRPr="00B17A98" w:rsidR="00B17A98">
        <w:t>utility-scale construction projects are necessarily sequential, requiring careful planning around how outages and construction processes affect other resources.</w:t>
      </w:r>
      <w:r w:rsidR="00C25F13">
        <w:t xml:space="preserve"> </w:t>
      </w:r>
      <w:r w:rsidR="00FC315F">
        <w:t xml:space="preserve"> </w:t>
      </w:r>
      <w:r w:rsidR="00C25F13">
        <w:t xml:space="preserve">For that reason, </w:t>
      </w:r>
      <w:r w:rsidR="005655C4">
        <w:t xml:space="preserve">the </w:t>
      </w:r>
      <w:r w:rsidR="00724F49">
        <w:t xml:space="preserve">geographic density of the </w:t>
      </w:r>
      <w:r w:rsidR="00DE264F">
        <w:t>Phase 2 Projects</w:t>
      </w:r>
      <w:r w:rsidR="00724F49">
        <w:t xml:space="preserve">, </w:t>
      </w:r>
      <w:r w:rsidR="001C55D1">
        <w:t>and their</w:t>
      </w:r>
      <w:r w:rsidR="00DE264F">
        <w:t xml:space="preserve"> </w:t>
      </w:r>
      <w:r w:rsidR="00E52FB8">
        <w:t>proxim</w:t>
      </w:r>
      <w:r w:rsidR="003B4B2B">
        <w:t xml:space="preserve">ity to </w:t>
      </w:r>
      <w:r w:rsidR="00636DED">
        <w:t xml:space="preserve">areas </w:t>
      </w:r>
      <w:r w:rsidR="005C75E0">
        <w:t>of</w:t>
      </w:r>
      <w:r w:rsidR="00636DED">
        <w:t xml:space="preserve"> high</w:t>
      </w:r>
      <w:r w:rsidR="00636DED">
        <w:t xml:space="preserve"> </w:t>
      </w:r>
      <w:r w:rsidR="00636DED">
        <w:t xml:space="preserve">renewable generation development, </w:t>
      </w:r>
      <w:r w:rsidR="00227D41">
        <w:t>make avoiding impacts to other development activities challenging</w:t>
      </w:r>
      <w:r w:rsidR="00316603">
        <w:t>.</w:t>
      </w:r>
      <w:r>
        <w:rPr>
          <w:rStyle w:val="FootnoteReference"/>
        </w:rPr>
        <w:footnoteReference w:id="76"/>
      </w:r>
      <w:r w:rsidR="001D3DEB">
        <w:t xml:space="preserve">  </w:t>
      </w:r>
      <w:r w:rsidR="00E36E27">
        <w:t>Applicants</w:t>
      </w:r>
      <w:r w:rsidR="001D3DEB">
        <w:t xml:space="preserve"> </w:t>
      </w:r>
      <w:r w:rsidR="00216DFA">
        <w:t xml:space="preserve">also </w:t>
      </w:r>
      <w:r w:rsidR="001D3DEB">
        <w:t xml:space="preserve">claim that the </w:t>
      </w:r>
      <w:r w:rsidRPr="005528BA" w:rsidR="005528BA">
        <w:t xml:space="preserve">Abandoned Plant Incentive would protect </w:t>
      </w:r>
      <w:r w:rsidR="00E36E27">
        <w:t>Applicants</w:t>
      </w:r>
      <w:r w:rsidRPr="005528BA" w:rsidR="005528BA">
        <w:t xml:space="preserve"> from </w:t>
      </w:r>
      <w:r w:rsidR="00E878DE">
        <w:t xml:space="preserve">the </w:t>
      </w:r>
      <w:r w:rsidR="00216DFA">
        <w:t>risk</w:t>
      </w:r>
      <w:r w:rsidR="00E878DE">
        <w:t xml:space="preserve"> that their </w:t>
      </w:r>
      <w:r w:rsidR="00274134">
        <w:t xml:space="preserve">projects </w:t>
      </w:r>
      <w:r w:rsidR="00216DFA">
        <w:t>could be</w:t>
      </w:r>
      <w:r w:rsidR="00274134">
        <w:t xml:space="preserve"> abandoned </w:t>
      </w:r>
      <w:r w:rsidR="002F618D">
        <w:t xml:space="preserve">if </w:t>
      </w:r>
      <w:r w:rsidRPr="005528BA" w:rsidR="005528BA">
        <w:t xml:space="preserve">actual </w:t>
      </w:r>
      <w:r w:rsidR="002F618D">
        <w:t>renewable resource</w:t>
      </w:r>
      <w:r w:rsidRPr="005528BA" w:rsidR="005528BA">
        <w:t xml:space="preserve"> development</w:t>
      </w:r>
      <w:r w:rsidR="002F618D">
        <w:t xml:space="preserve"> is less than anticipated</w:t>
      </w:r>
      <w:r w:rsidR="00C45C2C">
        <w:t>.</w:t>
      </w:r>
    </w:p>
    <w:p w:rsidR="00936D1C" w:rsidP="005247C9">
      <w:pPr>
        <w:pStyle w:val="FERCparanumber"/>
      </w:pPr>
      <w:r w:rsidR="00D80A74">
        <w:t xml:space="preserve">In addition, </w:t>
      </w:r>
      <w:r w:rsidR="00E36E27">
        <w:t>Applicants</w:t>
      </w:r>
      <w:r w:rsidR="00D80A74">
        <w:t xml:space="preserve"> note </w:t>
      </w:r>
      <w:r w:rsidR="0020675C">
        <w:t xml:space="preserve">that the Phase 2 Projects </w:t>
      </w:r>
      <w:r w:rsidR="00670F69">
        <w:t>may face</w:t>
      </w:r>
      <w:r w:rsidR="00774CCE">
        <w:t xml:space="preserve"> </w:t>
      </w:r>
      <w:r w:rsidR="0020675C">
        <w:t xml:space="preserve">significant </w:t>
      </w:r>
      <w:r w:rsidR="00AF5E48">
        <w:t>supply chain</w:t>
      </w:r>
      <w:r w:rsidR="00F02491">
        <w:t>, labor,</w:t>
      </w:r>
      <w:r w:rsidR="00AF5E48">
        <w:t xml:space="preserve"> and procurement challenges</w:t>
      </w:r>
      <w:r w:rsidR="00356FC4">
        <w:t xml:space="preserve"> that have strained new development across </w:t>
      </w:r>
      <w:r w:rsidR="00B979C8">
        <w:t xml:space="preserve">   </w:t>
      </w:r>
      <w:r w:rsidR="00356FC4">
        <w:t>the energy sector</w:t>
      </w:r>
      <w:r w:rsidR="00AF5E48">
        <w:t xml:space="preserve">, exacerbated by the concentration of projects </w:t>
      </w:r>
      <w:r w:rsidR="00AA2565">
        <w:t>approved by</w:t>
      </w:r>
      <w:r w:rsidR="00AF5E48">
        <w:t xml:space="preserve"> the Phase 2 Order </w:t>
      </w:r>
      <w:r w:rsidR="0007499D">
        <w:t>on an expedited timeline in con</w:t>
      </w:r>
      <w:r w:rsidR="00C35AD8">
        <w:t>struction-crowded areas.</w:t>
      </w:r>
      <w:r>
        <w:rPr>
          <w:rStyle w:val="FootnoteReference"/>
        </w:rPr>
        <w:footnoteReference w:id="77"/>
      </w:r>
      <w:r w:rsidR="00576B0E">
        <w:t xml:space="preserve">  </w:t>
      </w:r>
      <w:r w:rsidR="00E36E27">
        <w:t>Applicants</w:t>
      </w:r>
      <w:r w:rsidR="00576B0E">
        <w:t xml:space="preserve"> also </w:t>
      </w:r>
      <w:r w:rsidR="0096389C">
        <w:t>stat</w:t>
      </w:r>
      <w:r w:rsidR="00E52669">
        <w:t>e that the Phase 2 Projects are subject to significant siting and permitting processes</w:t>
      </w:r>
      <w:r w:rsidR="00F75FED">
        <w:t xml:space="preserve"> from several federal and state entities, and that </w:t>
      </w:r>
      <w:r w:rsidR="00E36E27">
        <w:t>Applicants</w:t>
      </w:r>
      <w:r w:rsidR="00F75FED">
        <w:t xml:space="preserve"> will need to obtain new and expanded rights of way in certain areas</w:t>
      </w:r>
      <w:r w:rsidR="009D5C76">
        <w:t xml:space="preserve">, </w:t>
      </w:r>
      <w:r w:rsidR="003C482D">
        <w:t>involving extended negotiations with municipalities, landowners, and other stakeholders.</w:t>
      </w:r>
      <w:r>
        <w:rPr>
          <w:rStyle w:val="FootnoteReference"/>
        </w:rPr>
        <w:footnoteReference w:id="78"/>
      </w:r>
      <w:r w:rsidRPr="004F3CBD" w:rsidR="004F3CBD">
        <w:t xml:space="preserve"> </w:t>
      </w:r>
      <w:r w:rsidR="004F3CBD">
        <w:t xml:space="preserve"> </w:t>
      </w:r>
      <w:r w:rsidR="00E36E27">
        <w:t>Applicants</w:t>
      </w:r>
      <w:r w:rsidR="004F3CBD">
        <w:t xml:space="preserve"> also state that at least one of the Phase 2 Projects will involve parkland alienation</w:t>
      </w:r>
      <w:r w:rsidR="008F6505">
        <w:t xml:space="preserve">, which </w:t>
      </w:r>
      <w:r w:rsidR="007D7594">
        <w:t xml:space="preserve">involves a complex and time-consuming process subject to </w:t>
      </w:r>
      <w:r w:rsidR="00510A6D">
        <w:t xml:space="preserve">several state approvals and </w:t>
      </w:r>
      <w:r w:rsidR="00860F24">
        <w:t>risks local opposition.</w:t>
      </w:r>
      <w:r>
        <w:rPr>
          <w:rStyle w:val="FootnoteReference"/>
        </w:rPr>
        <w:footnoteReference w:id="79"/>
      </w:r>
      <w:r w:rsidR="003200E6">
        <w:t xml:space="preserve">  </w:t>
      </w:r>
      <w:r w:rsidR="00E36E27">
        <w:t>Applicants</w:t>
      </w:r>
      <w:r w:rsidR="003200E6">
        <w:t xml:space="preserve"> state that the Abandoned Plant Incentive provides appropriate protection </w:t>
      </w:r>
      <w:r w:rsidR="00BD5FC9">
        <w:t xml:space="preserve">given the risks and challenges presented by the Phase 2 Projects’ </w:t>
      </w:r>
      <w:r w:rsidRPr="00FE29D1" w:rsidR="00FE29D1">
        <w:t>complex siting, permitting, construction, and stakeholder coordination challenges</w:t>
      </w:r>
      <w:r w:rsidR="00FE29D1">
        <w:t>.</w:t>
      </w:r>
    </w:p>
    <w:p w:rsidR="00C84C94" w:rsidRPr="00355E56" w:rsidP="005247C9">
      <w:pPr>
        <w:pStyle w:val="FERCparanumber"/>
      </w:pPr>
      <w:r w:rsidR="00E36E27">
        <w:t>Applicants</w:t>
      </w:r>
      <w:r w:rsidR="004757DC">
        <w:t xml:space="preserve"> </w:t>
      </w:r>
      <w:r w:rsidR="00A63A0A">
        <w:t xml:space="preserve">also </w:t>
      </w:r>
      <w:r w:rsidR="008F2546">
        <w:t>highlight</w:t>
      </w:r>
      <w:r w:rsidR="00881A53">
        <w:t xml:space="preserve"> </w:t>
      </w:r>
      <w:r w:rsidR="004757DC">
        <w:t xml:space="preserve">that the Phase 2 Projects are being developed as a </w:t>
      </w:r>
      <w:r w:rsidR="00B979C8">
        <w:t xml:space="preserve">   </w:t>
      </w:r>
      <w:r w:rsidR="004757DC">
        <w:t>result of the AREGCBA state process</w:t>
      </w:r>
      <w:r w:rsidR="00712B94">
        <w:t xml:space="preserve"> and </w:t>
      </w:r>
      <w:r w:rsidR="0062123E">
        <w:t xml:space="preserve">that </w:t>
      </w:r>
      <w:r w:rsidR="00712B94">
        <w:t>New York’s public policy regarding transmission development processes or need could change at any point in response to rapidly</w:t>
      </w:r>
      <w:r w:rsidR="003A130A">
        <w:t xml:space="preserve"> </w:t>
      </w:r>
      <w:r w:rsidR="00712B94">
        <w:t>evolving generation development trends and other state policy considerations</w:t>
      </w:r>
      <w:r w:rsidR="008D42AC">
        <w:t>.</w:t>
      </w:r>
      <w:r>
        <w:rPr>
          <w:rStyle w:val="FootnoteReference"/>
        </w:rPr>
        <w:footnoteReference w:id="80"/>
      </w:r>
      <w:r w:rsidR="00237E27">
        <w:t xml:space="preserve">  </w:t>
      </w:r>
      <w:r w:rsidR="00E36E27">
        <w:t>Applicants</w:t>
      </w:r>
      <w:r w:rsidR="008F2546">
        <w:t xml:space="preserve"> claim that the Commission has a</w:t>
      </w:r>
      <w:r w:rsidRPr="008F2546" w:rsidR="008F2546">
        <w:t xml:space="preserve">cknowledged that the </w:t>
      </w:r>
      <w:r w:rsidR="00A31A4F">
        <w:t>A</w:t>
      </w:r>
      <w:r w:rsidRPr="008F2546" w:rsidR="008F2546">
        <w:t xml:space="preserve">bandoned </w:t>
      </w:r>
      <w:r w:rsidR="00A31A4F">
        <w:t>P</w:t>
      </w:r>
      <w:r w:rsidRPr="008F2546" w:rsidR="008F2546">
        <w:t xml:space="preserve">lant </w:t>
      </w:r>
      <w:r w:rsidR="00A31A4F">
        <w:t>I</w:t>
      </w:r>
      <w:r w:rsidRPr="008F2546" w:rsidR="008F2546">
        <w:t>ncentive is appropriate for projects at risk of abandonment due to policy and market cha</w:t>
      </w:r>
      <w:r w:rsidR="00EC5D2E">
        <w:t>n</w:t>
      </w:r>
      <w:r w:rsidRPr="008F2546" w:rsidR="008F2546">
        <w:t>ges that render the project unnecessary or imprudent.</w:t>
      </w:r>
      <w:r>
        <w:rPr>
          <w:rStyle w:val="FootnoteReference"/>
        </w:rPr>
        <w:footnoteReference w:id="81"/>
      </w:r>
      <w:r w:rsidRPr="008F2546" w:rsidR="008F2546">
        <w:t xml:space="preserve"> </w:t>
      </w:r>
      <w:r w:rsidR="004B1AD8">
        <w:t xml:space="preserve"> </w:t>
      </w:r>
      <w:r w:rsidR="00E36E27">
        <w:t>Applicants</w:t>
      </w:r>
      <w:r w:rsidR="002A5861">
        <w:t xml:space="preserve"> state that </w:t>
      </w:r>
      <w:r w:rsidR="009D3E6F">
        <w:t xml:space="preserve">granting the </w:t>
      </w:r>
      <w:r w:rsidR="00D41E8A">
        <w:t xml:space="preserve">requested Abandoned Plant Incentive will help to mitigate the risk that </w:t>
      </w:r>
      <w:r w:rsidR="00E36E27">
        <w:t>Applicants</w:t>
      </w:r>
      <w:r w:rsidR="00894F05">
        <w:t xml:space="preserve"> cannot recover </w:t>
      </w:r>
      <w:r w:rsidR="00EB1CA3">
        <w:t>prud</w:t>
      </w:r>
      <w:r w:rsidR="00107AF9">
        <w:t xml:space="preserve">ently incurred costs associated with project development in the event that the Phase 2 Projects are cancelled for reasons beyond the </w:t>
      </w:r>
      <w:r w:rsidR="00E36E27">
        <w:t xml:space="preserve">Applicants’ </w:t>
      </w:r>
      <w:r w:rsidR="00095494">
        <w:t>control.</w:t>
      </w:r>
      <w:r>
        <w:rPr>
          <w:rStyle w:val="FootnoteReference"/>
        </w:rPr>
        <w:footnoteReference w:id="82"/>
      </w:r>
      <w:r w:rsidR="00095494">
        <w:t xml:space="preserve">  </w:t>
      </w:r>
      <w:r w:rsidR="00140F69">
        <w:t xml:space="preserve">Applicants state that </w:t>
      </w:r>
      <w:r w:rsidR="00341015">
        <w:t>they</w:t>
      </w:r>
      <w:r w:rsidRPr="00140F69" w:rsidR="00140F69">
        <w:t xml:space="preserve"> will make a</w:t>
      </w:r>
      <w:r w:rsidR="00341015">
        <w:t>n FPA s</w:t>
      </w:r>
      <w:r w:rsidRPr="00140F69" w:rsidR="00140F69">
        <w:t>ection 205 filing seeking approval of the prudently incurred cancelled transmission plant costs and propose an amortization period for recovery</w:t>
      </w:r>
      <w:r w:rsidR="00341015">
        <w:t xml:space="preserve"> b</w:t>
      </w:r>
      <w:r w:rsidRPr="00140F69" w:rsidR="00341015">
        <w:t xml:space="preserve">efore any costs related to the Abandoned Plant </w:t>
      </w:r>
      <w:r w:rsidR="00341015">
        <w:t>I</w:t>
      </w:r>
      <w:r w:rsidRPr="00140F69" w:rsidR="00341015">
        <w:t>ncentive are included in the Schedule 19 formula rate template</w:t>
      </w:r>
      <w:r w:rsidR="00333877">
        <w:t>s</w:t>
      </w:r>
      <w:r w:rsidRPr="00140F69" w:rsidR="00140F69">
        <w:t>.</w:t>
      </w:r>
      <w:r>
        <w:rPr>
          <w:rStyle w:val="FootnoteReference"/>
        </w:rPr>
        <w:footnoteReference w:id="83"/>
      </w:r>
      <w:r w:rsidR="00894F05">
        <w:t xml:space="preserve"> </w:t>
      </w:r>
    </w:p>
    <w:p w:rsidR="005247C9" w:rsidP="00C334DC">
      <w:pPr>
        <w:pStyle w:val="Heading5"/>
      </w:pPr>
      <w:r>
        <w:t>Commission Determination</w:t>
      </w:r>
    </w:p>
    <w:p w:rsidR="0086456A" w:rsidRPr="00363322" w:rsidP="0086456A">
      <w:pPr>
        <w:pStyle w:val="FERCparanumber"/>
      </w:pPr>
      <w:r w:rsidRPr="00C37982">
        <w:t xml:space="preserve">We grant </w:t>
      </w:r>
      <w:r>
        <w:t>Applicants’</w:t>
      </w:r>
      <w:r w:rsidRPr="00C37982">
        <w:t xml:space="preserve"> request for the Abandoned Plant Incentive for the </w:t>
      </w:r>
      <w:r>
        <w:t xml:space="preserve">Phase 2 </w:t>
      </w:r>
      <w:r w:rsidRPr="00C37982">
        <w:t>Project</w:t>
      </w:r>
      <w:r>
        <w:t xml:space="preserve">s that are </w:t>
      </w:r>
      <w:r w:rsidRPr="0077027E">
        <w:t xml:space="preserve">subject to additional Article VII </w:t>
      </w:r>
      <w:r w:rsidR="009C28AB">
        <w:t>A</w:t>
      </w:r>
      <w:r>
        <w:t>pproval</w:t>
      </w:r>
      <w:r w:rsidRPr="00C37982">
        <w:t xml:space="preserve">, </w:t>
      </w:r>
      <w:r w:rsidRPr="002C050A">
        <w:t xml:space="preserve">conditioned upon </w:t>
      </w:r>
      <w:r>
        <w:t xml:space="preserve">the New York Commission issuing Article VII </w:t>
      </w:r>
      <w:r w:rsidR="009C28AB">
        <w:t>A</w:t>
      </w:r>
      <w:r>
        <w:t xml:space="preserve">pproval that addresses reliability </w:t>
      </w:r>
      <w:r w:rsidR="00AE577D">
        <w:t>and/</w:t>
      </w:r>
      <w:r w:rsidR="002F3F93">
        <w:t xml:space="preserve">or </w:t>
      </w:r>
      <w:r>
        <w:t xml:space="preserve">congestion in the manner contemplated by FPA section 219 and Commission </w:t>
      </w:r>
      <w:r w:rsidR="00ED4D9F">
        <w:t xml:space="preserve">acceptance </w:t>
      </w:r>
      <w:r>
        <w:t>of Applicants’ compliance filing</w:t>
      </w:r>
      <w:r w:rsidR="00A643B9">
        <w:t>(s)</w:t>
      </w:r>
      <w:r>
        <w:t xml:space="preserve">, as discussed above, </w:t>
      </w:r>
      <w:r w:rsidRPr="00C37982">
        <w:t xml:space="preserve">effective </w:t>
      </w:r>
      <w:r>
        <w:t>July 8, 2024</w:t>
      </w:r>
      <w:r w:rsidRPr="00C37982">
        <w:t>.</w:t>
      </w:r>
      <w:r>
        <w:rPr>
          <w:rStyle w:val="FootnoteReference"/>
        </w:rPr>
        <w:footnoteReference w:id="84"/>
      </w:r>
      <w:r w:rsidRPr="00C37982">
        <w:t xml:space="preserve">  In Order No. 679, the Commission found that the Abandoned Plant Incentive is an effective means of encouraging transmission development by reducing the risk of non-recovery of costs when a project is abandoned for reasons outside the applicant’s control.</w:t>
      </w:r>
      <w:r>
        <w:rPr>
          <w:rStyle w:val="FootnoteReference"/>
        </w:rPr>
        <w:footnoteReference w:id="85"/>
      </w:r>
      <w:r w:rsidRPr="00C37982">
        <w:t xml:space="preserve">  We find that the </w:t>
      </w:r>
      <w:r>
        <w:t xml:space="preserve">Phase 2 </w:t>
      </w:r>
      <w:r w:rsidRPr="00C37982">
        <w:t>Project</w:t>
      </w:r>
      <w:r>
        <w:t>s</w:t>
      </w:r>
      <w:r w:rsidRPr="00C37982">
        <w:t xml:space="preserve"> </w:t>
      </w:r>
      <w:r w:rsidR="000C6013">
        <w:t xml:space="preserve">that are subject to additional Article VII Approval </w:t>
      </w:r>
      <w:r w:rsidRPr="00C37982">
        <w:t xml:space="preserve">face </w:t>
      </w:r>
      <w:r>
        <w:t>certain</w:t>
      </w:r>
      <w:r w:rsidRPr="00126733">
        <w:t xml:space="preserve"> regulatory, financial, siting</w:t>
      </w:r>
      <w:r>
        <w:t xml:space="preserve">, execution, and procurement </w:t>
      </w:r>
      <w:r w:rsidRPr="00C37982">
        <w:t xml:space="preserve">risks </w:t>
      </w:r>
      <w:r>
        <w:t>and challenges</w:t>
      </w:r>
      <w:r w:rsidRPr="00C37982">
        <w:t xml:space="preserve"> beyond </w:t>
      </w:r>
      <w:r>
        <w:t>Applicants’</w:t>
      </w:r>
      <w:r w:rsidRPr="00C37982">
        <w:t xml:space="preserve"> control </w:t>
      </w:r>
      <w:r>
        <w:t>that</w:t>
      </w:r>
      <w:r w:rsidRPr="00C37982">
        <w:t xml:space="preserve"> could lead to </w:t>
      </w:r>
      <w:r w:rsidR="00A26581">
        <w:t>the</w:t>
      </w:r>
      <w:r w:rsidR="000C6013">
        <w:t>ir</w:t>
      </w:r>
      <w:r w:rsidR="00A26581">
        <w:t xml:space="preserve"> </w:t>
      </w:r>
      <w:r w:rsidRPr="00C37982">
        <w:t xml:space="preserve">abandonment, and that approval of the Abandoned Plant Incentive will address those risks </w:t>
      </w:r>
      <w:r>
        <w:t>and challenges</w:t>
      </w:r>
      <w:r w:rsidRPr="00C37982">
        <w:t xml:space="preserve">.  </w:t>
      </w:r>
      <w:r w:rsidRPr="00363322">
        <w:t xml:space="preserve">Thus, we find that </w:t>
      </w:r>
      <w:r>
        <w:t xml:space="preserve">Applicants </w:t>
      </w:r>
      <w:r w:rsidRPr="00363322">
        <w:t>ha</w:t>
      </w:r>
      <w:r>
        <w:t>ve</w:t>
      </w:r>
      <w:r w:rsidRPr="00363322">
        <w:t xml:space="preserve"> demonstrated a nexus between </w:t>
      </w:r>
      <w:r w:rsidR="000C6013">
        <w:t xml:space="preserve">their </w:t>
      </w:r>
      <w:r w:rsidRPr="00363322">
        <w:t xml:space="preserve">requested incentive and </w:t>
      </w:r>
      <w:r w:rsidR="000C6013">
        <w:t xml:space="preserve">their </w:t>
      </w:r>
      <w:r w:rsidRPr="00363322">
        <w:t>planned investment</w:t>
      </w:r>
      <w:r>
        <w:t xml:space="preserve"> in the Phase 2 Projects that are </w:t>
      </w:r>
      <w:r w:rsidRPr="0077027E">
        <w:t xml:space="preserve">subject to additional Article VII </w:t>
      </w:r>
      <w:r w:rsidR="009C28AB">
        <w:t>A</w:t>
      </w:r>
      <w:r>
        <w:t>pproval</w:t>
      </w:r>
      <w:r w:rsidRPr="00363322">
        <w:t>.</w:t>
      </w:r>
    </w:p>
    <w:p w:rsidR="0086456A" w:rsidRPr="0086456A" w:rsidP="000D716F">
      <w:pPr>
        <w:pStyle w:val="FERCparanumber"/>
      </w:pPr>
      <w:r w:rsidRPr="00363322">
        <w:t xml:space="preserve">Consistent with Commission policy, the Abandoned Plant Incentive </w:t>
      </w:r>
      <w:r>
        <w:t xml:space="preserve">for the </w:t>
      </w:r>
      <w:r w:rsidR="00B979C8">
        <w:t xml:space="preserve">   </w:t>
      </w:r>
      <w:r>
        <w:t xml:space="preserve">Phase 2 Projects that are </w:t>
      </w:r>
      <w:r w:rsidRPr="0077027E">
        <w:t xml:space="preserve">subject to additional Article VII </w:t>
      </w:r>
      <w:r w:rsidR="009C28AB">
        <w:t>A</w:t>
      </w:r>
      <w:r>
        <w:t>pproval</w:t>
      </w:r>
      <w:r w:rsidR="009F0065">
        <w:t xml:space="preserve"> </w:t>
      </w:r>
      <w:r>
        <w:t xml:space="preserve">will </w:t>
      </w:r>
      <w:r w:rsidRPr="00363322">
        <w:t xml:space="preserve">be available to </w:t>
      </w:r>
      <w:r>
        <w:t>Applicants</w:t>
      </w:r>
      <w:r w:rsidR="009F0065">
        <w:t>, as conditioned above,</w:t>
      </w:r>
      <w:r>
        <w:t xml:space="preserve"> </w:t>
      </w:r>
      <w:r w:rsidRPr="00363322">
        <w:t>for 100% of prudently</w:t>
      </w:r>
      <w:r>
        <w:t xml:space="preserve"> </w:t>
      </w:r>
      <w:r w:rsidRPr="00363322">
        <w:t xml:space="preserve">incurred costs expended on and after the </w:t>
      </w:r>
      <w:r>
        <w:t xml:space="preserve">effective </w:t>
      </w:r>
      <w:r w:rsidRPr="00363322">
        <w:t xml:space="preserve">date </w:t>
      </w:r>
      <w:r>
        <w:t>granted in</w:t>
      </w:r>
      <w:r w:rsidRPr="00363322">
        <w:t xml:space="preserve"> this order if th</w:t>
      </w:r>
      <w:r w:rsidR="000270AF">
        <w:t>ose</w:t>
      </w:r>
      <w:r w:rsidRPr="00363322">
        <w:t xml:space="preserve"> </w:t>
      </w:r>
      <w:r>
        <w:t>Phase 2 Projects are</w:t>
      </w:r>
      <w:r w:rsidRPr="00363322">
        <w:t xml:space="preserve"> abandoned for reasons beyond </w:t>
      </w:r>
      <w:r>
        <w:t>Applicants’</w:t>
      </w:r>
      <w:r w:rsidRPr="00C37982">
        <w:t xml:space="preserve"> </w:t>
      </w:r>
      <w:r w:rsidRPr="00363322">
        <w:t xml:space="preserve">control. </w:t>
      </w:r>
      <w:r>
        <w:t xml:space="preserve"> </w:t>
      </w:r>
      <w:r w:rsidRPr="00363322">
        <w:t xml:space="preserve">We will not determine the prudence of any costs incurred prior to the abandonment, if any, until </w:t>
      </w:r>
      <w:r>
        <w:t xml:space="preserve">Applicants </w:t>
      </w:r>
      <w:r w:rsidRPr="00363322">
        <w:t>seek such recovery in a future FPA section 205 filing</w:t>
      </w:r>
      <w:r>
        <w:t xml:space="preserve"> that a public utility is required to make if it seeks abandoned plant recovery</w:t>
      </w:r>
      <w:r w:rsidRPr="00363322">
        <w:t>.</w:t>
      </w:r>
      <w:r>
        <w:rPr>
          <w:b/>
          <w:vertAlign w:val="superscript"/>
        </w:rPr>
        <w:footnoteReference w:id="86"/>
      </w:r>
      <w:r w:rsidRPr="00363322">
        <w:t xml:space="preserve"> </w:t>
      </w:r>
    </w:p>
    <w:p w:rsidR="0070008A" w:rsidRPr="0086456A" w:rsidP="000D716F">
      <w:pPr>
        <w:pStyle w:val="FERCparanumber"/>
      </w:pPr>
      <w:r w:rsidR="0032760E">
        <w:t xml:space="preserve">We deny the </w:t>
      </w:r>
      <w:r w:rsidR="004B67E9">
        <w:t xml:space="preserve">Abandoned Plant Incentive </w:t>
      </w:r>
      <w:r w:rsidR="00A6191D">
        <w:t xml:space="preserve">for those Phase 2 Projects </w:t>
      </w:r>
      <w:r w:rsidR="003069E0">
        <w:t xml:space="preserve">that </w:t>
      </w:r>
      <w:r w:rsidR="008C5ACA">
        <w:t xml:space="preserve">do not require </w:t>
      </w:r>
      <w:r w:rsidR="00234106">
        <w:t xml:space="preserve">an </w:t>
      </w:r>
      <w:r w:rsidRPr="0077027E" w:rsidR="008C5ACA">
        <w:t xml:space="preserve">additional Article VII </w:t>
      </w:r>
      <w:r w:rsidR="008C5ACA">
        <w:t>Approval</w:t>
      </w:r>
      <w:r w:rsidR="00234106">
        <w:t xml:space="preserve"> without pr</w:t>
      </w:r>
      <w:r w:rsidR="00B65F21">
        <w:t>ejudice to Applicant</w:t>
      </w:r>
      <w:r w:rsidR="00A57382">
        <w:t>s mak</w:t>
      </w:r>
      <w:r w:rsidR="00AB711E">
        <w:t>ing</w:t>
      </w:r>
      <w:r w:rsidR="009879EB">
        <w:t xml:space="preserve"> a</w:t>
      </w:r>
      <w:r w:rsidR="008C24D8">
        <w:t xml:space="preserve"> future filing</w:t>
      </w:r>
      <w:r w:rsidR="00DE50B1">
        <w:t xml:space="preserve"> demonstrating </w:t>
      </w:r>
      <w:r w:rsidR="00143B90">
        <w:t xml:space="preserve">that </w:t>
      </w:r>
      <w:r w:rsidR="00A40D2C">
        <w:t>such Phase 2</w:t>
      </w:r>
      <w:r w:rsidR="007C7603">
        <w:t xml:space="preserve"> </w:t>
      </w:r>
      <w:r w:rsidR="00D8060A">
        <w:t xml:space="preserve">Projects </w:t>
      </w:r>
      <w:r w:rsidR="00A40D2C">
        <w:t>meet the rebuttable presumption</w:t>
      </w:r>
      <w:r w:rsidR="00554754">
        <w:t xml:space="preserve"> as discussed above.</w:t>
      </w:r>
      <w:r>
        <w:rPr>
          <w:rStyle w:val="FootnoteReference"/>
        </w:rPr>
        <w:footnoteReference w:id="87"/>
      </w:r>
    </w:p>
    <w:p w:rsidR="005247C9" w:rsidP="00C334DC">
      <w:pPr>
        <w:pStyle w:val="Heading4"/>
      </w:pPr>
      <w:r w:rsidR="004426FC">
        <w:t>Total Package of Incentives</w:t>
      </w:r>
    </w:p>
    <w:p w:rsidR="005247C9" w:rsidP="00C334DC">
      <w:pPr>
        <w:pStyle w:val="Heading5"/>
      </w:pPr>
      <w:r w:rsidR="00E36E27">
        <w:t xml:space="preserve">Applicants’ </w:t>
      </w:r>
      <w:r>
        <w:t>Requests</w:t>
      </w:r>
    </w:p>
    <w:p w:rsidR="006221DC" w:rsidP="005247C9">
      <w:pPr>
        <w:pStyle w:val="FERCparanumber"/>
      </w:pPr>
      <w:r w:rsidR="00E36E27">
        <w:t>Applicants</w:t>
      </w:r>
      <w:r w:rsidR="00BF558E">
        <w:t xml:space="preserve"> assert that the total package of incentives is tailored to the demonstrable risks and challenges that the Phase 2 Projects face</w:t>
      </w:r>
      <w:r w:rsidR="00B5140C">
        <w:t>, and that the CWI</w:t>
      </w:r>
      <w:r w:rsidR="00494961">
        <w:t>P Incentive and Abandoned Plant Incentive each mitigate different types of risks associated with the Phase 2 Projects</w:t>
      </w:r>
      <w:r w:rsidR="00BF558E">
        <w:t>.</w:t>
      </w:r>
      <w:r>
        <w:rPr>
          <w:rStyle w:val="FootnoteReference"/>
        </w:rPr>
        <w:footnoteReference w:id="88"/>
      </w:r>
      <w:r w:rsidR="00C84C94">
        <w:t xml:space="preserve"> </w:t>
      </w:r>
      <w:r w:rsidR="00F945B2">
        <w:t xml:space="preserve"> </w:t>
      </w:r>
    </w:p>
    <w:p w:rsidR="00C84C94" w:rsidRPr="00355E56" w:rsidP="007A511E">
      <w:pPr>
        <w:pStyle w:val="FERCparanumber"/>
      </w:pPr>
      <w:r w:rsidR="002C3191">
        <w:t xml:space="preserve">According to </w:t>
      </w:r>
      <w:r w:rsidR="00E36E27">
        <w:t>Applicants</w:t>
      </w:r>
      <w:r w:rsidR="002C3191">
        <w:t xml:space="preserve">, the CWIP Incentive </w:t>
      </w:r>
      <w:r w:rsidRPr="00971489" w:rsidR="00971489">
        <w:t xml:space="preserve">addresses cash flow deficiencies and protects the </w:t>
      </w:r>
      <w:r w:rsidR="00E36E27">
        <w:t>Applicants</w:t>
      </w:r>
      <w:r w:rsidRPr="00971489" w:rsidR="00971489">
        <w:t xml:space="preserve"> and their ratepayers by mitigating the impact of significant capital expenditures, providing assurances to creditors, and ultimately reducing the cost of debt for each of </w:t>
      </w:r>
      <w:r w:rsidR="00E36E27">
        <w:t>the Applicants</w:t>
      </w:r>
      <w:r w:rsidRPr="00971489" w:rsidR="00971489">
        <w:t>.</w:t>
      </w:r>
      <w:r>
        <w:rPr>
          <w:rStyle w:val="FootnoteReference"/>
        </w:rPr>
        <w:footnoteReference w:id="89"/>
      </w:r>
      <w:r w:rsidRPr="00971489" w:rsidR="00971489">
        <w:t xml:space="preserve"> </w:t>
      </w:r>
      <w:r w:rsidR="00971489">
        <w:t xml:space="preserve"> Meanwhile, </w:t>
      </w:r>
      <w:r w:rsidR="00E36E27">
        <w:t>Applicants</w:t>
      </w:r>
      <w:r w:rsidR="00971489">
        <w:t xml:space="preserve"> </w:t>
      </w:r>
      <w:r w:rsidR="00D73EFD">
        <w:t>argue that t</w:t>
      </w:r>
      <w:r w:rsidRPr="00971489" w:rsidR="00971489">
        <w:t xml:space="preserve">he Abandoned Plant Incentive mitigates the risk of non-recovery of </w:t>
      </w:r>
      <w:r w:rsidR="001F1C1D">
        <w:t>their</w:t>
      </w:r>
      <w:r w:rsidRPr="00971489" w:rsidR="00971489">
        <w:t xml:space="preserve"> costs associated with regulatory, project-on-project, construction, and permitting risks that could cause project abandonment for reasons beyond </w:t>
      </w:r>
      <w:r w:rsidR="006F2E2C">
        <w:t>their</w:t>
      </w:r>
      <w:r w:rsidRPr="00971489" w:rsidR="00971489">
        <w:t xml:space="preserve"> control. </w:t>
      </w:r>
      <w:r w:rsidR="009514A8">
        <w:t xml:space="preserve"> </w:t>
      </w:r>
      <w:r w:rsidR="00971489">
        <w:t xml:space="preserve"> </w:t>
      </w:r>
    </w:p>
    <w:p w:rsidR="00A35FE0" w:rsidP="00C334DC">
      <w:pPr>
        <w:pStyle w:val="Heading5"/>
      </w:pPr>
      <w:r w:rsidR="005247C9">
        <w:t>Commission Determination</w:t>
      </w:r>
    </w:p>
    <w:p w:rsidR="007A511E" w:rsidRPr="007A511E" w:rsidP="00A812E0">
      <w:pPr>
        <w:pStyle w:val="FERCparanumber"/>
      </w:pPr>
      <w:r w:rsidRPr="00C37982" w:rsidR="00B70898">
        <w:t xml:space="preserve">As noted above, in Order </w:t>
      </w:r>
      <w:r w:rsidRPr="00C37982" w:rsidR="00B70898">
        <w:t xml:space="preserve">No. </w:t>
      </w:r>
      <w:r w:rsidRPr="00C37982" w:rsidR="00B70898">
        <w:t>679-A, the Commission clarified that its nexus test is met when an applicant demonstrates that the total package of incentives requested is tailored to address the demonstrable risks or challenges faced by the applicant.</w:t>
      </w:r>
      <w:r>
        <w:rPr>
          <w:b/>
          <w:vertAlign w:val="superscript"/>
        </w:rPr>
        <w:footnoteReference w:id="90"/>
      </w:r>
      <w:r w:rsidRPr="00C37982" w:rsidR="00B70898">
        <w:t xml:space="preserve">  </w:t>
      </w:r>
      <w:r w:rsidRPr="00C37982" w:rsidR="00B70898">
        <w:t>Applicants must provide sufficient support to allow the Commission to evaluate each element of the package and the interrelationship of all elements of the package.</w:t>
      </w:r>
      <w:r>
        <w:rPr>
          <w:b/>
          <w:vertAlign w:val="superscript"/>
        </w:rPr>
        <w:footnoteReference w:id="91"/>
      </w:r>
      <w:r w:rsidRPr="00C37982" w:rsidR="00B70898">
        <w:t xml:space="preserve">  The Commission noted that this nexus test is fact-specific and requires the Commission to review each application on a case-by-case basis.  The Commission has, in prior cases, approved multiple rate incentives for particular projects.</w:t>
      </w:r>
      <w:r>
        <w:rPr>
          <w:b/>
          <w:vertAlign w:val="superscript"/>
        </w:rPr>
        <w:footnoteReference w:id="92"/>
      </w:r>
      <w:r w:rsidRPr="00C37982" w:rsidR="00B70898">
        <w:t xml:space="preserve">  </w:t>
      </w:r>
      <w:r w:rsidRPr="00C37982" w:rsidR="00B70898">
        <w:t xml:space="preserve">For the reasons discussed above, we find that </w:t>
      </w:r>
      <w:r w:rsidR="00B70898">
        <w:t>Applicants have</w:t>
      </w:r>
      <w:r w:rsidRPr="00C37982" w:rsidR="00B70898">
        <w:t xml:space="preserve"> demonstrated that each of the requested incentives that we </w:t>
      </w:r>
      <w:r w:rsidR="00BB2E5D">
        <w:t xml:space="preserve">conditionally </w:t>
      </w:r>
      <w:r w:rsidRPr="00C37982" w:rsidR="00B70898">
        <w:t>authorize</w:t>
      </w:r>
      <w:r w:rsidRPr="00C37982" w:rsidR="00B70898">
        <w:t xml:space="preserve"> here, and the incentives package as a whole</w:t>
      </w:r>
      <w:r w:rsidR="00B70898">
        <w:t xml:space="preserve"> for the Phase 2 Projects that are </w:t>
      </w:r>
      <w:r w:rsidRPr="0077027E" w:rsidR="00B70898">
        <w:t xml:space="preserve">subject to additional Article VII </w:t>
      </w:r>
      <w:r w:rsidR="009C28AB">
        <w:t>A</w:t>
      </w:r>
      <w:r w:rsidR="00B70898">
        <w:t>pproval</w:t>
      </w:r>
      <w:r w:rsidRPr="00C37982" w:rsidR="00B70898">
        <w:t>, address</w:t>
      </w:r>
      <w:r w:rsidRPr="00C37982" w:rsidR="00B70898">
        <w:t>es</w:t>
      </w:r>
      <w:r w:rsidRPr="00C37982" w:rsidR="00B70898">
        <w:t xml:space="preserve"> the risks and challenges faced by </w:t>
      </w:r>
      <w:r w:rsidR="00B70898">
        <w:t>Applicants</w:t>
      </w:r>
      <w:r w:rsidRPr="00C37982" w:rsidR="00B70898">
        <w:t xml:space="preserve"> in undertaking </w:t>
      </w:r>
      <w:r w:rsidRPr="00C37982" w:rsidR="00B70898">
        <w:t xml:space="preserve">the </w:t>
      </w:r>
      <w:r w:rsidR="00B70898">
        <w:t xml:space="preserve">Phase 2 </w:t>
      </w:r>
      <w:r w:rsidRPr="00C37982" w:rsidR="00B70898">
        <w:t>Project</w:t>
      </w:r>
      <w:r w:rsidR="00B70898">
        <w:t xml:space="preserve">s that are </w:t>
      </w:r>
      <w:r w:rsidRPr="0077027E" w:rsidR="00B70898">
        <w:t xml:space="preserve">subject to additional Article VII </w:t>
      </w:r>
      <w:r w:rsidR="009C28AB">
        <w:t>A</w:t>
      </w:r>
      <w:r w:rsidR="00B70898">
        <w:t>pproval</w:t>
      </w:r>
      <w:r w:rsidRPr="00C37982" w:rsidR="00B70898">
        <w:t xml:space="preserve">. </w:t>
      </w:r>
      <w:r w:rsidRPr="00C37982" w:rsidR="00B70898">
        <w:t xml:space="preserve"> </w:t>
      </w:r>
    </w:p>
    <w:p w:rsidR="005E573E" w:rsidRPr="007A511E" w:rsidP="00A812E0">
      <w:pPr>
        <w:pStyle w:val="FERCparanumber"/>
      </w:pPr>
      <w:r w:rsidRPr="00B6465B" w:rsidR="00B6465B">
        <w:t xml:space="preserve">As a result of the Commission </w:t>
      </w:r>
      <w:r w:rsidR="008C5237">
        <w:t xml:space="preserve">conditionally </w:t>
      </w:r>
      <w:r w:rsidRPr="00B6465B" w:rsidR="00B6465B">
        <w:t xml:space="preserve">approving rate incentives, </w:t>
      </w:r>
      <w:r w:rsidR="00B6465B">
        <w:t>Applicants</w:t>
      </w:r>
      <w:r w:rsidRPr="00B6465B" w:rsidR="00B6465B">
        <w:t xml:space="preserve"> must submit FERC-730 reports annually.</w:t>
      </w:r>
      <w:r>
        <w:rPr>
          <w:rStyle w:val="FootnoteReference"/>
        </w:rPr>
        <w:footnoteReference w:id="93"/>
      </w:r>
    </w:p>
    <w:p w:rsidR="00BD4322" w:rsidP="00621FA3">
      <w:pPr>
        <w:pStyle w:val="Heading3"/>
      </w:pPr>
      <w:r w:rsidR="00733E4D">
        <w:t>Tariff Revisions</w:t>
      </w:r>
    </w:p>
    <w:p w:rsidR="00BD4322" w:rsidP="00621FA3">
      <w:pPr>
        <w:pStyle w:val="Heading4"/>
      </w:pPr>
      <w:r w:rsidR="00E36E27">
        <w:t xml:space="preserve">Applicants’ </w:t>
      </w:r>
      <w:r>
        <w:t>Requests</w:t>
      </w:r>
    </w:p>
    <w:p w:rsidR="0039355C" w:rsidP="00BD4322">
      <w:pPr>
        <w:pStyle w:val="FERCparanumber"/>
      </w:pPr>
      <w:r w:rsidR="00E36E27">
        <w:t>Applicants</w:t>
      </w:r>
      <w:r w:rsidR="00733E4D">
        <w:t xml:space="preserve"> state that their formula rate templates need to be modified to incorporate CWIP in rate base and allow for abandoned plant recovery should the</w:t>
      </w:r>
    </w:p>
    <w:p w:rsidR="0039355C">
      <w:pPr>
        <w:widowControl/>
        <w:spacing w:after="160" w:line="259" w:lineRule="auto"/>
      </w:pPr>
      <w:r>
        <w:br w:type="page"/>
      </w:r>
    </w:p>
    <w:p w:rsidR="00BD4322" w:rsidRPr="00355E56" w:rsidP="0039355C">
      <w:pPr>
        <w:pStyle w:val="FERCparanumber"/>
        <w:numPr>
          <w:ilvl w:val="0"/>
          <w:numId w:val="0"/>
        </w:numPr>
      </w:pPr>
      <w:r w:rsidR="00733E4D">
        <w:t>Commission grant the requested incentives.</w:t>
      </w:r>
      <w:r>
        <w:rPr>
          <w:rStyle w:val="FootnoteReference"/>
        </w:rPr>
        <w:footnoteReference w:id="94"/>
      </w:r>
      <w:r w:rsidR="00733E4D">
        <w:t xml:space="preserve">  </w:t>
      </w:r>
      <w:r w:rsidR="00E36E27">
        <w:t>Applicants</w:t>
      </w:r>
      <w:r w:rsidR="00733E4D">
        <w:t xml:space="preserve"> state that these revisions are in lines 23, 24, and 54 of the respective formula rate templates.  </w:t>
      </w:r>
    </w:p>
    <w:p w:rsidR="00BD4322" w:rsidP="00621FA3">
      <w:pPr>
        <w:pStyle w:val="Heading4"/>
      </w:pPr>
      <w:r>
        <w:t>Commission Determination</w:t>
      </w:r>
    </w:p>
    <w:p w:rsidR="002D6210" w:rsidRPr="00E05D06" w:rsidP="002D6210">
      <w:pPr>
        <w:pStyle w:val="FERCparanumber"/>
      </w:pPr>
      <w:r>
        <w:t xml:space="preserve">We </w:t>
      </w:r>
      <w:r w:rsidR="00FE1CC6">
        <w:t>conditionally</w:t>
      </w:r>
      <w:r>
        <w:t xml:space="preserve"> accept Applicants’ proposed revisions to </w:t>
      </w:r>
      <w:r w:rsidRPr="006A06A6">
        <w:t>lines 23, 24, and 54 of the respective formula rate templates</w:t>
      </w:r>
      <w:r>
        <w:t xml:space="preserve"> to </w:t>
      </w:r>
      <w:r w:rsidRPr="00B73D44">
        <w:t xml:space="preserve">incorporate CWIP in rate base and allow for abandoned plant recovery </w:t>
      </w:r>
      <w:r w:rsidRPr="002C050A" w:rsidR="00DA1F4A">
        <w:t xml:space="preserve">conditioned upon </w:t>
      </w:r>
      <w:r w:rsidR="00DA1F4A">
        <w:t xml:space="preserve">the New York Commission issuing Article VII Approval that addresses reliability </w:t>
      </w:r>
      <w:r w:rsidR="00AE577D">
        <w:t>and/</w:t>
      </w:r>
      <w:r w:rsidR="00FE1CC6">
        <w:t>or</w:t>
      </w:r>
      <w:r w:rsidR="00DA1F4A">
        <w:t xml:space="preserve"> congestion in the manner contemplated by FPA section 219 and Commission </w:t>
      </w:r>
      <w:r w:rsidR="00ED4D9F">
        <w:t xml:space="preserve">acceptance </w:t>
      </w:r>
      <w:r w:rsidR="00DA1F4A">
        <w:t>of Applicants’ compliance filing</w:t>
      </w:r>
      <w:r w:rsidR="003A649C">
        <w:t>(s)</w:t>
      </w:r>
      <w:r w:rsidR="00DA1F4A">
        <w:t>, as discussed above,</w:t>
      </w:r>
      <w:r w:rsidR="006C5369">
        <w:t xml:space="preserve"> </w:t>
      </w:r>
      <w:r w:rsidRPr="00C37982" w:rsidR="00DA1F4A">
        <w:t xml:space="preserve">effective </w:t>
      </w:r>
      <w:r w:rsidR="00DA1F4A">
        <w:t>July 8, 2024</w:t>
      </w:r>
      <w:r>
        <w:t>.</w:t>
      </w:r>
      <w:r>
        <w:rPr>
          <w:rStyle w:val="FootnoteReference"/>
        </w:rPr>
        <w:footnoteReference w:id="95"/>
      </w:r>
      <w:r w:rsidR="006B3514">
        <w:t xml:space="preserve">  </w:t>
      </w:r>
      <w:r w:rsidRPr="00C53A6C" w:rsidR="00C53A6C">
        <w:t>Also, because Applicants</w:t>
      </w:r>
      <w:r w:rsidR="00416BAD">
        <w:t>’</w:t>
      </w:r>
      <w:r w:rsidRPr="00C53A6C" w:rsidR="00C53A6C">
        <w:t xml:space="preserve"> proposed </w:t>
      </w:r>
      <w:r w:rsidR="001E00AD">
        <w:t>Tariff</w:t>
      </w:r>
      <w:r w:rsidRPr="00C53A6C" w:rsidR="00C53A6C">
        <w:t xml:space="preserve"> revisions to their formula rate templates in these proceedings include a 10.87% return on equity consistent with their proposal</w:t>
      </w:r>
      <w:r w:rsidR="00366C85">
        <w:t>s</w:t>
      </w:r>
      <w:r w:rsidRPr="00C53A6C" w:rsidR="00C53A6C">
        <w:t xml:space="preserve"> in Docket Nos. ER23-1816 and ER23-1817, which are pending with the Commission, we accept the proposed </w:t>
      </w:r>
      <w:r w:rsidR="008F2B5F">
        <w:t xml:space="preserve">Tariff </w:t>
      </w:r>
      <w:r w:rsidRPr="00C53A6C" w:rsidR="00C53A6C">
        <w:t>revisions subject to the outcome of those proceedings.</w:t>
      </w:r>
      <w:r w:rsidRPr="00E05D06">
        <w:t xml:space="preserve"> </w:t>
      </w:r>
      <w:r>
        <w:t xml:space="preserve"> </w:t>
      </w:r>
      <w:r w:rsidRPr="00E05D06">
        <w:t xml:space="preserve">We find the proposed </w:t>
      </w:r>
      <w:r w:rsidR="00ED7F2F">
        <w:t xml:space="preserve">revisions </w:t>
      </w:r>
      <w:r w:rsidRPr="00E05D06">
        <w:t xml:space="preserve">to be just and reasonable and not unduly discriminatory or preferential because </w:t>
      </w:r>
      <w:r w:rsidR="00ED7F2F">
        <w:t xml:space="preserve">they </w:t>
      </w:r>
      <w:r w:rsidRPr="00E05D06">
        <w:t xml:space="preserve">will allow </w:t>
      </w:r>
      <w:r>
        <w:t xml:space="preserve">Applicants </w:t>
      </w:r>
      <w:r w:rsidRPr="00E05D06">
        <w:t xml:space="preserve">to implement the CWIP </w:t>
      </w:r>
      <w:r>
        <w:t xml:space="preserve">and Abandoned Plant </w:t>
      </w:r>
      <w:r w:rsidRPr="00E05D06">
        <w:t>Incentive</w:t>
      </w:r>
      <w:r>
        <w:t>s</w:t>
      </w:r>
      <w:r w:rsidR="003070B3">
        <w:t xml:space="preserve"> that we conditionally authorize in this order</w:t>
      </w:r>
      <w:r w:rsidRPr="00E05D06">
        <w:t xml:space="preserve"> for the </w:t>
      </w:r>
      <w:r>
        <w:t xml:space="preserve">Phase 2 </w:t>
      </w:r>
      <w:r w:rsidRPr="00E05D06">
        <w:t>Project</w:t>
      </w:r>
      <w:r>
        <w:t>s</w:t>
      </w:r>
      <w:r w:rsidR="003070B3">
        <w:t xml:space="preserve"> that are subject to subsequent Article VII Approval</w:t>
      </w:r>
      <w:r w:rsidRPr="00E05D06">
        <w:t>.</w:t>
      </w:r>
      <w:r w:rsidR="00A20D50">
        <w:t xml:space="preserve"> </w:t>
      </w:r>
    </w:p>
    <w:p w:rsidR="002E6525" w:rsidP="00BE591B">
      <w:r w:rsidRPr="00CD0B38">
        <w:rPr>
          <w:u w:val="single"/>
        </w:rPr>
        <w:t>The Commission orders</w:t>
      </w:r>
      <w:r w:rsidRPr="00CD0B38">
        <w:t>:</w:t>
      </w:r>
    </w:p>
    <w:p w:rsidR="002E6525" w:rsidP="00BE591B"/>
    <w:p w:rsidR="002A6BF7" w:rsidRPr="00FA2960" w:rsidP="002A6BF7">
      <w:pPr>
        <w:pStyle w:val="ListParagraph"/>
        <w:numPr>
          <w:ilvl w:val="0"/>
          <w:numId w:val="23"/>
        </w:numPr>
      </w:pPr>
      <w:r w:rsidRPr="00FA2960">
        <w:t xml:space="preserve">RG&amp;E’s and NYSEG’s requests for the CWIP and Abandoned Plant Incentives for the Phase 2 Projects </w:t>
      </w:r>
      <w:r w:rsidRPr="00FA2960" w:rsidR="00E90572">
        <w:t xml:space="preserve">that are </w:t>
      </w:r>
      <w:r w:rsidRPr="00FA2960">
        <w:t xml:space="preserve">subject to Article VII </w:t>
      </w:r>
      <w:r w:rsidRPr="00FA2960" w:rsidR="009C28AB">
        <w:t>A</w:t>
      </w:r>
      <w:r w:rsidRPr="00FA2960">
        <w:t>pproval</w:t>
      </w:r>
      <w:r w:rsidR="00C874D3">
        <w:t xml:space="preserve">, identified in Appendix </w:t>
      </w:r>
      <w:r w:rsidR="00CD7817">
        <w:t>B</w:t>
      </w:r>
      <w:r w:rsidR="00C874D3">
        <w:t xml:space="preserve"> to this order,</w:t>
      </w:r>
      <w:r w:rsidRPr="00FA2960">
        <w:t xml:space="preserve"> are hereby granted, effective </w:t>
      </w:r>
      <w:r w:rsidR="00405411">
        <w:t>July 8, 2024</w:t>
      </w:r>
      <w:r w:rsidRPr="00FA2960">
        <w:t xml:space="preserve">, conditioned upon the New York Commission issuing Article VII </w:t>
      </w:r>
      <w:r w:rsidRPr="00FA2960" w:rsidR="009C28AB">
        <w:t>A</w:t>
      </w:r>
      <w:r w:rsidRPr="00FA2960">
        <w:t>pproval for the relevant Phase 2 Projects</w:t>
      </w:r>
      <w:r w:rsidRPr="005D26FF" w:rsidR="005D26FF">
        <w:t xml:space="preserve"> </w:t>
      </w:r>
      <w:r w:rsidR="005D26FF">
        <w:t xml:space="preserve">and Commission </w:t>
      </w:r>
      <w:r w:rsidR="000E03CC">
        <w:t>acceptance</w:t>
      </w:r>
      <w:r w:rsidR="005D26FF">
        <w:t xml:space="preserve"> of Applicants’ compliance filing</w:t>
      </w:r>
      <w:r w:rsidR="003A649C">
        <w:t>(s)</w:t>
      </w:r>
      <w:r w:rsidRPr="00FA2960">
        <w:t>, as discussed in the body of this order.</w:t>
      </w:r>
    </w:p>
    <w:p w:rsidR="00492769" w:rsidRPr="00FA2960" w:rsidP="00492769"/>
    <w:p w:rsidR="00334064" w:rsidP="00492769">
      <w:pPr>
        <w:pStyle w:val="ListParagraph"/>
        <w:numPr>
          <w:ilvl w:val="0"/>
          <w:numId w:val="23"/>
        </w:numPr>
      </w:pPr>
      <w:r w:rsidRPr="00FA2960">
        <w:t>RG&amp;E’s and NYSEG’s</w:t>
      </w:r>
      <w:r w:rsidR="008D7CB2">
        <w:t xml:space="preserve"> proposed </w:t>
      </w:r>
      <w:r w:rsidR="007A3F1D">
        <w:t>T</w:t>
      </w:r>
      <w:r w:rsidR="008D7CB2">
        <w:t xml:space="preserve">ariff revisions to </w:t>
      </w:r>
      <w:r w:rsidR="00A22ED9">
        <w:t xml:space="preserve">their respective </w:t>
      </w:r>
      <w:r w:rsidR="008D7CB2">
        <w:t xml:space="preserve">formula </w:t>
      </w:r>
      <w:r w:rsidR="00A975D1">
        <w:t>rate</w:t>
      </w:r>
      <w:r w:rsidR="00CC435C">
        <w:t>s</w:t>
      </w:r>
      <w:r w:rsidR="00A975D1">
        <w:t xml:space="preserve"> </w:t>
      </w:r>
      <w:r w:rsidR="0000748F">
        <w:t xml:space="preserve">are hereby accepted, </w:t>
      </w:r>
      <w:r w:rsidRPr="00FA2960" w:rsidR="00CB3397">
        <w:t xml:space="preserve">effective </w:t>
      </w:r>
      <w:r w:rsidR="00CB3397">
        <w:t>July 8, 2024</w:t>
      </w:r>
      <w:r w:rsidRPr="00FA2960" w:rsidR="00405411">
        <w:t>, conditioned upon the New York Commission issuing Article VII Approval for the relevant Phase 2 Projects</w:t>
      </w:r>
      <w:r w:rsidRPr="005D26FF" w:rsidR="005D26FF">
        <w:t xml:space="preserve"> </w:t>
      </w:r>
      <w:r w:rsidR="005D26FF">
        <w:t xml:space="preserve">and Commission </w:t>
      </w:r>
      <w:r w:rsidR="000E03CC">
        <w:t>acceptance</w:t>
      </w:r>
      <w:r w:rsidR="005D26FF">
        <w:t xml:space="preserve"> of Applicants’ compliance filing</w:t>
      </w:r>
      <w:r w:rsidR="009012BC">
        <w:t>(s)</w:t>
      </w:r>
      <w:r w:rsidRPr="00FA2960" w:rsidR="00405411">
        <w:t>,</w:t>
      </w:r>
      <w:r w:rsidR="00CB402B">
        <w:t xml:space="preserve"> and subject to the outcome of the ongoing proceedings in Docket Nos. ER23-1816 and ER23-1817,</w:t>
      </w:r>
      <w:r w:rsidRPr="00FA2960" w:rsidR="00405411">
        <w:t xml:space="preserve"> as discussed in the body of this order.</w:t>
      </w:r>
    </w:p>
    <w:p w:rsidR="00492769" w:rsidRPr="00FA2960" w:rsidP="00492769">
      <w:pPr>
        <w:pStyle w:val="ListParagraph"/>
        <w:numPr>
          <w:ilvl w:val="0"/>
          <w:numId w:val="23"/>
        </w:numPr>
      </w:pPr>
      <w:r w:rsidRPr="00FA2960" w:rsidR="004C79CD">
        <w:t>RG&amp;E and NYSEG are hereby directed to submit compliance filing</w:t>
      </w:r>
      <w:r w:rsidR="00A643B9">
        <w:t>(</w:t>
      </w:r>
      <w:r w:rsidRPr="00FA2960" w:rsidR="004C79CD">
        <w:t>s</w:t>
      </w:r>
      <w:r w:rsidR="00A643B9">
        <w:t>)</w:t>
      </w:r>
      <w:r w:rsidRPr="00FA2960" w:rsidR="004C79CD">
        <w:t xml:space="preserve"> within 30 days of issuance of Article VII </w:t>
      </w:r>
      <w:r w:rsidRPr="00FA2960" w:rsidR="009C28AB">
        <w:t>A</w:t>
      </w:r>
      <w:r w:rsidRPr="00FA2960" w:rsidR="004C79CD">
        <w:t xml:space="preserve">pproval for the relevant Phase 2 Projects by the New York Commission, as discussed in the body of this order. </w:t>
      </w:r>
    </w:p>
    <w:p w:rsidR="004C79CD" w:rsidRPr="00FA2960" w:rsidP="00492769">
      <w:r w:rsidRPr="00FA2960">
        <w:t xml:space="preserve"> </w:t>
      </w:r>
    </w:p>
    <w:p w:rsidR="002E6525" w:rsidRPr="00CD0B38" w:rsidP="00BE591B">
      <w:pPr>
        <w:pStyle w:val="ListParagraph"/>
        <w:numPr>
          <w:ilvl w:val="0"/>
          <w:numId w:val="23"/>
        </w:numPr>
        <w:spacing w:after="260"/>
        <w:contextualSpacing w:val="0"/>
      </w:pPr>
      <w:r w:rsidRPr="00FA2960" w:rsidR="00CC381B">
        <w:t xml:space="preserve">RG&amp;E’s and NYSEG’s requests for the CWIP and Abandoned Plant Incentives for the Phase 2 Projects that are not subject to Article VII </w:t>
      </w:r>
      <w:r w:rsidRPr="00FA2960" w:rsidR="009C28AB">
        <w:t>A</w:t>
      </w:r>
      <w:r w:rsidRPr="00FA2960" w:rsidR="00CC381B">
        <w:t>pproval</w:t>
      </w:r>
      <w:r w:rsidR="003C39F1">
        <w:t xml:space="preserve">, identified in Appendix </w:t>
      </w:r>
      <w:r w:rsidR="00CD7817">
        <w:t>C</w:t>
      </w:r>
      <w:r w:rsidR="003C39F1">
        <w:t xml:space="preserve"> to this order,</w:t>
      </w:r>
      <w:r w:rsidRPr="00FA2960" w:rsidR="003C39F1">
        <w:t xml:space="preserve"> </w:t>
      </w:r>
      <w:r w:rsidRPr="00FA2960" w:rsidR="00CC381B">
        <w:t>are hereby denied without prejudice, as discussed in the body of this order.</w:t>
      </w:r>
    </w:p>
    <w:p w:rsidR="002E6525" w:rsidP="0039355C">
      <w:pPr>
        <w:ind w:left="2250" w:hanging="2250"/>
      </w:pPr>
      <w:r w:rsidRPr="00CD0B38">
        <w:t>By the Commission.</w:t>
      </w:r>
      <w:r w:rsidR="0039355C">
        <w:t xml:space="preserve">  Commissioner Christie is concurring with a separate statement attached.</w:t>
      </w:r>
    </w:p>
    <w:p w:rsidR="0039355C" w:rsidP="0039355C">
      <w:pPr>
        <w:ind w:left="2250" w:hanging="2250"/>
      </w:pPr>
      <w:r>
        <w:tab/>
        <w:t>Commissioner See is not participating.</w:t>
      </w:r>
    </w:p>
    <w:p w:rsidR="0039355C" w:rsidP="00BE591B"/>
    <w:p w:rsidR="0039355C" w:rsidP="0039355C">
      <w:pPr>
        <w:widowControl/>
      </w:pPr>
      <w:r w:rsidRPr="0039355C">
        <w:t>( S E A L )</w:t>
      </w:r>
    </w:p>
    <w:p w:rsidR="0039355C" w:rsidRPr="0039355C" w:rsidP="0039355C">
      <w:pPr>
        <w:widowControl/>
      </w:pPr>
    </w:p>
    <w:p w:rsidR="0039355C">
      <w:pPr>
        <w:widowControl/>
        <w:spacing w:after="160" w:line="259" w:lineRule="auto"/>
      </w:pPr>
    </w:p>
    <w:p w:rsidR="0039355C">
      <w:pPr>
        <w:widowControl/>
        <w:spacing w:after="160" w:line="259" w:lineRule="auto"/>
      </w:pPr>
    </w:p>
    <w:p w:rsidR="0039355C" w:rsidRPr="0039355C" w:rsidP="0039355C">
      <w:pPr>
        <w:widowControl/>
        <w:ind w:firstLine="2606"/>
        <w:jc w:val="center"/>
      </w:pPr>
      <w:r w:rsidRPr="0039355C">
        <w:t>Debbie-Anne A. Reese,</w:t>
      </w:r>
    </w:p>
    <w:p w:rsidR="0039355C" w:rsidRPr="0039355C" w:rsidP="0039355C">
      <w:pPr>
        <w:widowControl/>
        <w:ind w:firstLine="2606"/>
        <w:jc w:val="center"/>
      </w:pPr>
      <w:r w:rsidRPr="0039355C">
        <w:t>Acting Secretary.</w:t>
      </w:r>
    </w:p>
    <w:p w:rsidR="002E6525" w:rsidRPr="00401A63">
      <w:pPr>
        <w:widowControl/>
        <w:spacing w:after="160" w:line="259" w:lineRule="auto"/>
      </w:pPr>
      <w:r w:rsidR="00BD0D24">
        <w:br w:type="page"/>
      </w:r>
    </w:p>
    <w:p w:rsidR="00E1144C" w:rsidRPr="00401A63" w:rsidP="00827CEF">
      <w:pPr>
        <w:pStyle w:val="Heading1"/>
        <w:numPr>
          <w:ilvl w:val="0"/>
          <w:numId w:val="0"/>
        </w:numPr>
        <w:ind w:left="720" w:hanging="720"/>
        <w:jc w:val="center"/>
      </w:pPr>
      <w:r w:rsidRPr="00FB558D" w:rsidR="00914C74">
        <w:t xml:space="preserve">Appendix </w:t>
      </w:r>
      <w:r w:rsidRPr="00FB558D" w:rsidR="007F30CB">
        <w:t xml:space="preserve">A </w:t>
      </w:r>
      <w:r w:rsidRPr="00FB558D" w:rsidR="00914C74">
        <w:t>–</w:t>
      </w:r>
      <w:r w:rsidRPr="00FB558D" w:rsidR="007F30CB">
        <w:t xml:space="preserve"> </w:t>
      </w:r>
      <w:r w:rsidRPr="00FB558D" w:rsidR="003C5DA8">
        <w:t xml:space="preserve">Phase 2 </w:t>
      </w:r>
      <w:r w:rsidRPr="00FB558D" w:rsidR="00CB2D92">
        <w:t>Project List</w:t>
      </w:r>
    </w:p>
    <w:p w:rsidR="005E1817" w:rsidRPr="00827CEF">
      <w:pPr>
        <w:widowControl/>
        <w:spacing w:after="160" w:line="259" w:lineRule="auto"/>
        <w:rPr>
          <w:b/>
          <w:u w:val="single"/>
        </w:rPr>
      </w:pPr>
      <w:r w:rsidRPr="00827CEF">
        <w:rPr>
          <w:b/>
          <w:u w:val="single"/>
        </w:rPr>
        <w:t xml:space="preserve">Rochester Gas &amp; Electric Corporation (RG&amp;E) </w:t>
      </w:r>
    </w:p>
    <w:p w:rsidR="005E1817" w:rsidP="00827CEF">
      <w:pPr>
        <w:pStyle w:val="ListParagraph"/>
        <w:widowControl/>
        <w:numPr>
          <w:ilvl w:val="0"/>
          <w:numId w:val="25"/>
        </w:numPr>
        <w:spacing w:after="160" w:line="259" w:lineRule="auto"/>
      </w:pPr>
      <w:r w:rsidR="00A703BE">
        <w:t>Z09, RG&amp;E 115 kV Line 906 Full Rebuild</w:t>
      </w:r>
    </w:p>
    <w:p w:rsidR="005E1817" w:rsidRPr="00827CEF">
      <w:pPr>
        <w:widowControl/>
        <w:spacing w:after="160" w:line="259" w:lineRule="auto"/>
        <w:rPr>
          <w:b/>
          <w:bCs/>
          <w:u w:val="single"/>
        </w:rPr>
      </w:pPr>
      <w:r w:rsidRPr="00827CEF">
        <w:rPr>
          <w:b/>
          <w:bCs/>
          <w:u w:val="single"/>
        </w:rPr>
        <w:t>New York State Electric &amp; Gas Corporation (NYSEG)</w:t>
      </w:r>
    </w:p>
    <w:p w:rsidR="00492FE3" w:rsidRPr="00492FE3" w:rsidP="001E4CC4">
      <w:pPr>
        <w:pStyle w:val="ListParagraph"/>
        <w:widowControl/>
        <w:numPr>
          <w:ilvl w:val="0"/>
          <w:numId w:val="26"/>
        </w:numPr>
        <w:spacing w:after="160" w:line="259" w:lineRule="auto"/>
      </w:pPr>
      <w:r w:rsidRPr="002E7B5B">
        <w:t>WO12, NYSEG 115 kV Line 910 Full Rebuild</w:t>
      </w:r>
    </w:p>
    <w:p w:rsidR="001B0D0A" w:rsidRPr="00A87336" w:rsidP="00827CEF">
      <w:pPr>
        <w:pStyle w:val="ListParagraph"/>
        <w:widowControl/>
        <w:numPr>
          <w:ilvl w:val="0"/>
          <w:numId w:val="26"/>
        </w:numPr>
        <w:spacing w:after="160" w:line="259" w:lineRule="auto"/>
      </w:pPr>
      <w:r w:rsidR="00E04586">
        <w:t>Z01</w:t>
      </w:r>
      <w:r w:rsidR="00AB2B56">
        <w:t>, NYSEG 230 kV Line 67 Full Rebuild</w:t>
      </w:r>
    </w:p>
    <w:p w:rsidR="00864252" w:rsidP="00213B8D">
      <w:pPr>
        <w:pStyle w:val="ListParagraph"/>
        <w:widowControl/>
        <w:numPr>
          <w:ilvl w:val="0"/>
          <w:numId w:val="26"/>
        </w:numPr>
        <w:spacing w:after="160" w:line="259" w:lineRule="auto"/>
      </w:pPr>
      <w:r w:rsidR="00040D4E">
        <w:t>Z02, NYSEG 230 kV Line 68 Full Rebuild</w:t>
      </w:r>
    </w:p>
    <w:p w:rsidR="00253CB3" w:rsidP="001E4CC4">
      <w:pPr>
        <w:pStyle w:val="ListParagraph"/>
        <w:widowControl/>
        <w:numPr>
          <w:ilvl w:val="0"/>
          <w:numId w:val="26"/>
        </w:numPr>
        <w:spacing w:after="160" w:line="259" w:lineRule="auto"/>
      </w:pPr>
      <w:r w:rsidR="00864252">
        <w:t>Z03</w:t>
      </w:r>
      <w:r>
        <w:t xml:space="preserve">, </w:t>
      </w:r>
      <w:r w:rsidR="00213B8D">
        <w:t>Stoney Ridge Transformer Replacement</w:t>
      </w:r>
    </w:p>
    <w:p w:rsidR="0091029B" w:rsidP="001E4CC4">
      <w:pPr>
        <w:pStyle w:val="ListParagraph"/>
        <w:widowControl/>
        <w:numPr>
          <w:ilvl w:val="0"/>
          <w:numId w:val="26"/>
        </w:numPr>
        <w:spacing w:after="160" w:line="259" w:lineRule="auto"/>
      </w:pPr>
      <w:r>
        <w:t>Z04, NYSEG 230 kV Line 72 Full Rebuild</w:t>
      </w:r>
    </w:p>
    <w:p w:rsidR="0091029B" w:rsidP="001E4CC4">
      <w:pPr>
        <w:pStyle w:val="ListParagraph"/>
        <w:widowControl/>
        <w:numPr>
          <w:ilvl w:val="0"/>
          <w:numId w:val="26"/>
        </w:numPr>
        <w:spacing w:after="160" w:line="259" w:lineRule="auto"/>
      </w:pPr>
      <w:r>
        <w:t>Z05, NYSEG 230 kV Line 69 Full Rebuild</w:t>
      </w:r>
    </w:p>
    <w:p w:rsidR="00AE54D6" w:rsidP="001E4CC4">
      <w:pPr>
        <w:pStyle w:val="ListParagraph"/>
        <w:widowControl/>
        <w:numPr>
          <w:ilvl w:val="0"/>
          <w:numId w:val="26"/>
        </w:numPr>
        <w:spacing w:after="160" w:line="259" w:lineRule="auto"/>
      </w:pPr>
      <w:r w:rsidR="00213B8D">
        <w:t>Z</w:t>
      </w:r>
      <w:r w:rsidR="00F65548">
        <w:t xml:space="preserve">06, </w:t>
      </w:r>
      <w:r w:rsidR="004652CC">
        <w:t>Hillside 115 kV Retirement</w:t>
      </w:r>
    </w:p>
    <w:p w:rsidR="00213B8D" w:rsidP="004652CC">
      <w:pPr>
        <w:pStyle w:val="ListParagraph"/>
        <w:widowControl/>
        <w:numPr>
          <w:ilvl w:val="0"/>
          <w:numId w:val="26"/>
        </w:numPr>
        <w:spacing w:after="160" w:line="259" w:lineRule="auto"/>
      </w:pPr>
      <w:r w:rsidR="004652CC">
        <w:t xml:space="preserve">Z07, </w:t>
      </w:r>
      <w:r w:rsidR="00F65548">
        <w:t>Watercure 345/230/115 kV Expansion</w:t>
      </w:r>
    </w:p>
    <w:p w:rsidR="00AB2B56" w:rsidRPr="00A87336" w:rsidP="00827CEF">
      <w:pPr>
        <w:pStyle w:val="ListParagraph"/>
        <w:widowControl/>
        <w:numPr>
          <w:ilvl w:val="0"/>
          <w:numId w:val="26"/>
        </w:numPr>
        <w:spacing w:after="160" w:line="259" w:lineRule="auto"/>
      </w:pPr>
      <w:r w:rsidRPr="00827CEF" w:rsidR="00A87336">
        <w:t>Z08, NYSEG 115 kV Line 934 Full Rebuild</w:t>
      </w:r>
    </w:p>
    <w:p w:rsidR="00283C00" w:rsidRPr="00A87336" w:rsidP="00970998">
      <w:pPr>
        <w:pStyle w:val="ListParagraph"/>
        <w:widowControl/>
        <w:numPr>
          <w:ilvl w:val="0"/>
          <w:numId w:val="26"/>
        </w:numPr>
        <w:spacing w:after="160" w:line="259" w:lineRule="auto"/>
      </w:pPr>
      <w:r>
        <w:t>Z</w:t>
      </w:r>
      <w:r w:rsidR="005658ED">
        <w:t>10, NYSEG 115 kV Line 724 Full Rebuild</w:t>
      </w:r>
    </w:p>
    <w:p w:rsidR="00970998" w:rsidP="001E4CC4">
      <w:pPr>
        <w:pStyle w:val="ListParagraph"/>
        <w:widowControl/>
        <w:numPr>
          <w:ilvl w:val="0"/>
          <w:numId w:val="26"/>
        </w:numPr>
        <w:spacing w:after="160" w:line="259" w:lineRule="auto"/>
      </w:pPr>
      <w:r>
        <w:t>Z11, Eelpot 115 kV Substation Expansion</w:t>
      </w:r>
    </w:p>
    <w:p w:rsidR="00801903" w:rsidP="001E4CC4">
      <w:pPr>
        <w:pStyle w:val="ListParagraph"/>
        <w:widowControl/>
        <w:numPr>
          <w:ilvl w:val="0"/>
          <w:numId w:val="26"/>
        </w:numPr>
        <w:spacing w:after="160" w:line="259" w:lineRule="auto"/>
      </w:pPr>
      <w:r>
        <w:t>Z12, NYSEG 115 kV Line 722 Full Rebuild</w:t>
      </w:r>
    </w:p>
    <w:p w:rsidR="00801903" w:rsidP="001E4CC4">
      <w:pPr>
        <w:pStyle w:val="ListParagraph"/>
        <w:widowControl/>
        <w:numPr>
          <w:ilvl w:val="0"/>
          <w:numId w:val="26"/>
        </w:numPr>
        <w:spacing w:after="160" w:line="259" w:lineRule="auto"/>
      </w:pPr>
      <w:r>
        <w:t>Z13, NYSEG 115 kV Line 968 Full Rebuild</w:t>
      </w:r>
    </w:p>
    <w:p w:rsidR="00970998" w:rsidP="001E4CC4">
      <w:pPr>
        <w:pStyle w:val="ListParagraph"/>
        <w:widowControl/>
        <w:numPr>
          <w:ilvl w:val="0"/>
          <w:numId w:val="26"/>
        </w:numPr>
        <w:spacing w:after="160" w:line="259" w:lineRule="auto"/>
      </w:pPr>
      <w:r>
        <w:t>Z14, Greenidge 115 kV Substation Upgrades</w:t>
      </w:r>
    </w:p>
    <w:p w:rsidR="0029179A" w:rsidP="001E4CC4">
      <w:pPr>
        <w:pStyle w:val="ListParagraph"/>
        <w:widowControl/>
        <w:numPr>
          <w:ilvl w:val="0"/>
          <w:numId w:val="26"/>
        </w:numPr>
        <w:spacing w:after="160" w:line="259" w:lineRule="auto"/>
      </w:pPr>
      <w:r>
        <w:t>Z15, Montour Falls 115/34.5 kV Substation Rebuild</w:t>
      </w:r>
    </w:p>
    <w:p w:rsidR="00572D67" w:rsidP="001E4CC4">
      <w:pPr>
        <w:pStyle w:val="ListParagraph"/>
        <w:widowControl/>
        <w:numPr>
          <w:ilvl w:val="0"/>
          <w:numId w:val="26"/>
        </w:numPr>
        <w:spacing w:after="160" w:line="259" w:lineRule="auto"/>
      </w:pPr>
      <w:r>
        <w:t>Z16, NYSEG 115 kV Line 963 Rebuild</w:t>
      </w:r>
    </w:p>
    <w:p w:rsidR="00801903" w:rsidRPr="00A87336" w:rsidP="00827CEF">
      <w:pPr>
        <w:pStyle w:val="ListParagraph"/>
        <w:widowControl/>
        <w:numPr>
          <w:ilvl w:val="0"/>
          <w:numId w:val="26"/>
        </w:numPr>
        <w:spacing w:after="160" w:line="259" w:lineRule="auto"/>
      </w:pPr>
      <w:r w:rsidR="00E82B88">
        <w:t>Z17, NYSEG 115 kV Line 978 Full Rebuild</w:t>
      </w:r>
    </w:p>
    <w:p w:rsidR="00623ADD" w:rsidP="001E4CC4">
      <w:pPr>
        <w:pStyle w:val="ListParagraph"/>
        <w:widowControl/>
        <w:numPr>
          <w:ilvl w:val="0"/>
          <w:numId w:val="26"/>
        </w:numPr>
        <w:spacing w:after="160" w:line="259" w:lineRule="auto"/>
      </w:pPr>
      <w:r>
        <w:t>Z18, NYSEG 115 kV Line 932 Struct</w:t>
      </w:r>
      <w:r w:rsidR="00525F2D">
        <w:t>ure</w:t>
      </w:r>
      <w:r>
        <w:t xml:space="preserve"> Replacements</w:t>
      </w:r>
    </w:p>
    <w:p w:rsidR="00D22EFC" w:rsidP="001E4CC4">
      <w:pPr>
        <w:pStyle w:val="ListParagraph"/>
        <w:widowControl/>
        <w:numPr>
          <w:ilvl w:val="0"/>
          <w:numId w:val="26"/>
        </w:numPr>
        <w:spacing w:after="160" w:line="259" w:lineRule="auto"/>
      </w:pPr>
      <w:r>
        <w:t>Z1</w:t>
      </w:r>
      <w:r w:rsidR="007B4230">
        <w:t xml:space="preserve">9, Bennett 115/34.5 kV Substation Expansion </w:t>
      </w:r>
      <w:r w:rsidR="00633C8A">
        <w:t>and Upgrades and Power Flow Device</w:t>
      </w:r>
    </w:p>
    <w:p w:rsidR="00DD52A2" w:rsidP="001E4CC4">
      <w:pPr>
        <w:pStyle w:val="ListParagraph"/>
        <w:widowControl/>
        <w:numPr>
          <w:ilvl w:val="0"/>
          <w:numId w:val="26"/>
        </w:numPr>
        <w:spacing w:after="160" w:line="259" w:lineRule="auto"/>
      </w:pPr>
      <w:r>
        <w:t>Z20</w:t>
      </w:r>
      <w:r w:rsidR="00D05C2B">
        <w:t>, NYSEG 115 kV Line 953 Full Rebuild</w:t>
      </w:r>
    </w:p>
    <w:p w:rsidR="00795CBC" w:rsidP="001E4CC4">
      <w:pPr>
        <w:pStyle w:val="ListParagraph"/>
        <w:widowControl/>
        <w:numPr>
          <w:ilvl w:val="0"/>
          <w:numId w:val="26"/>
        </w:numPr>
        <w:spacing w:after="160" w:line="259" w:lineRule="auto"/>
      </w:pPr>
      <w:r>
        <w:t>Z21, NYSEG 115 kV Line 723 Full Rebuild</w:t>
      </w:r>
    </w:p>
    <w:p w:rsidR="000B05DD" w:rsidP="001E4CC4">
      <w:pPr>
        <w:pStyle w:val="ListParagraph"/>
        <w:widowControl/>
        <w:numPr>
          <w:ilvl w:val="0"/>
          <w:numId w:val="26"/>
        </w:numPr>
        <w:spacing w:after="160" w:line="259" w:lineRule="auto"/>
      </w:pPr>
      <w:r>
        <w:t>Z22, Bath 115/34 kV Substation Rebuild</w:t>
      </w:r>
    </w:p>
    <w:p w:rsidR="00114F7C" w:rsidP="001E4CC4">
      <w:pPr>
        <w:pStyle w:val="ListParagraph"/>
        <w:widowControl/>
        <w:numPr>
          <w:ilvl w:val="0"/>
          <w:numId w:val="26"/>
        </w:numPr>
        <w:spacing w:after="160" w:line="259" w:lineRule="auto"/>
      </w:pPr>
      <w:r>
        <w:t>Z23, NYSEG 115 kV Line 965 Full Rebuild</w:t>
      </w:r>
    </w:p>
    <w:p w:rsidR="00E82B88" w:rsidRPr="00A87336" w:rsidP="00827CEF">
      <w:pPr>
        <w:pStyle w:val="ListParagraph"/>
        <w:widowControl/>
        <w:numPr>
          <w:ilvl w:val="0"/>
          <w:numId w:val="26"/>
        </w:numPr>
        <w:spacing w:after="160" w:line="259" w:lineRule="auto"/>
      </w:pPr>
      <w:r w:rsidR="00DA07F7">
        <w:t>Z</w:t>
      </w:r>
      <w:r w:rsidR="00B04723">
        <w:t>24,</w:t>
      </w:r>
      <w:r w:rsidRPr="00B04723" w:rsidR="00B04723">
        <w:t xml:space="preserve"> </w:t>
      </w:r>
      <w:r w:rsidR="00B04723">
        <w:t>NYSEG 115 kV Line 712 Full Overhead Rebuilds; Underground cable remains</w:t>
      </w:r>
    </w:p>
    <w:p w:rsidR="00B04723" w:rsidRPr="00A87336" w:rsidP="00827CEF">
      <w:pPr>
        <w:pStyle w:val="ListParagraph"/>
        <w:widowControl/>
        <w:numPr>
          <w:ilvl w:val="0"/>
          <w:numId w:val="26"/>
        </w:numPr>
        <w:spacing w:after="160" w:line="259" w:lineRule="auto"/>
      </w:pPr>
      <w:r>
        <w:t>Z25, NYSEG 115 kV Line 711 Full Overhead Rebuilds; Underground cable remains</w:t>
      </w:r>
    </w:p>
    <w:p w:rsidR="000F17E6" w:rsidRPr="00A87336" w:rsidP="00827CEF">
      <w:pPr>
        <w:pStyle w:val="ListParagraph"/>
        <w:widowControl/>
        <w:numPr>
          <w:ilvl w:val="0"/>
          <w:numId w:val="26"/>
        </w:numPr>
        <w:spacing w:after="160" w:line="259" w:lineRule="auto"/>
      </w:pPr>
      <w:r w:rsidR="00641EFB">
        <w:t>Z26, NYSEG 115 kV Line 935 Full Rebuild</w:t>
      </w:r>
    </w:p>
    <w:p w:rsidR="00213B8D" w:rsidP="001E4CC4">
      <w:pPr>
        <w:pStyle w:val="ListParagraph"/>
        <w:widowControl/>
        <w:numPr>
          <w:ilvl w:val="0"/>
          <w:numId w:val="26"/>
        </w:numPr>
        <w:spacing w:after="160" w:line="259" w:lineRule="auto"/>
      </w:pPr>
      <w:r>
        <w:t>Z27, Hickling 115/34.5 kV Substation Rebuild</w:t>
      </w:r>
    </w:p>
    <w:p w:rsidR="00E52696" w:rsidP="001E4CC4">
      <w:pPr>
        <w:pStyle w:val="ListParagraph"/>
        <w:widowControl/>
        <w:numPr>
          <w:ilvl w:val="0"/>
          <w:numId w:val="26"/>
        </w:numPr>
        <w:spacing w:after="160" w:line="259" w:lineRule="auto"/>
      </w:pPr>
      <w:r>
        <w:t>Z28</w:t>
      </w:r>
      <w:r w:rsidR="00721E05">
        <w:t>, NYSEG 34.5 kV Line 539 Partial Rebuild</w:t>
      </w:r>
    </w:p>
    <w:p w:rsidR="008C4C35" w:rsidP="001E4CC4">
      <w:pPr>
        <w:pStyle w:val="ListParagraph"/>
        <w:widowControl/>
        <w:numPr>
          <w:ilvl w:val="0"/>
          <w:numId w:val="26"/>
        </w:numPr>
        <w:spacing w:after="160" w:line="259" w:lineRule="auto"/>
      </w:pPr>
      <w:r>
        <w:t>Z29, NYSEG 34.5 kV Line 546 Partial Rebuild</w:t>
      </w:r>
    </w:p>
    <w:p w:rsidR="00E52696" w:rsidP="001E4CC4">
      <w:pPr>
        <w:pStyle w:val="ListParagraph"/>
        <w:widowControl/>
        <w:numPr>
          <w:ilvl w:val="0"/>
          <w:numId w:val="26"/>
        </w:numPr>
        <w:spacing w:after="160" w:line="259" w:lineRule="auto"/>
      </w:pPr>
      <w:r>
        <w:t xml:space="preserve">Z30, NYSEG 34.5 kV Line 565 Full Rebuild </w:t>
      </w:r>
    </w:p>
    <w:p w:rsidR="00E52696" w:rsidP="001E4CC4">
      <w:pPr>
        <w:pStyle w:val="ListParagraph"/>
        <w:widowControl/>
        <w:numPr>
          <w:ilvl w:val="0"/>
          <w:numId w:val="26"/>
        </w:numPr>
        <w:spacing w:after="160" w:line="259" w:lineRule="auto"/>
      </w:pPr>
      <w:r>
        <w:t>Z31, NYSEG 34.5 kV Line 542 Full Rebuild</w:t>
      </w:r>
    </w:p>
    <w:p w:rsidR="00105CDD" w:rsidRPr="00A87336" w:rsidP="00827CEF">
      <w:pPr>
        <w:pStyle w:val="ListParagraph"/>
        <w:widowControl/>
        <w:numPr>
          <w:ilvl w:val="0"/>
          <w:numId w:val="26"/>
        </w:numPr>
        <w:spacing w:after="160" w:line="259" w:lineRule="auto"/>
      </w:pPr>
      <w:r w:rsidR="006B4B2B">
        <w:t>Z32</w:t>
      </w:r>
      <w:r w:rsidR="00746C4E">
        <w:t>, Minor Substation Upgrades at Caton Ave, Flat St, Moraine</w:t>
      </w:r>
      <w:r w:rsidR="00B70B77">
        <w:t>, Ridge Rd, Spencer Hill, Station 128, Sullivan Park, West Erie Ave, and Yawger Rd</w:t>
      </w:r>
      <w:r w:rsidR="002F3B9C">
        <w:t xml:space="preserve"> 115 kV Substations.</w:t>
      </w:r>
    </w:p>
    <w:p w:rsidR="003C5DA8">
      <w:pPr>
        <w:widowControl/>
        <w:spacing w:after="160" w:line="259" w:lineRule="auto"/>
        <w:rPr>
          <w:szCs w:val="20"/>
        </w:rPr>
      </w:pPr>
      <w:r>
        <w:br w:type="page"/>
      </w:r>
    </w:p>
    <w:p w:rsidR="003C5DA8" w:rsidP="003C5DA8">
      <w:pPr>
        <w:jc w:val="center"/>
        <w:rPr>
          <w:b/>
        </w:rPr>
      </w:pPr>
      <w:r w:rsidRPr="00914C74">
        <w:rPr>
          <w:b/>
          <w:bCs/>
        </w:rPr>
        <w:t xml:space="preserve">Appendix </w:t>
      </w:r>
      <w:r>
        <w:rPr>
          <w:b/>
          <w:bCs/>
        </w:rPr>
        <w:t xml:space="preserve">B </w:t>
      </w:r>
      <w:r w:rsidRPr="00914C74">
        <w:rPr>
          <w:b/>
          <w:bCs/>
        </w:rPr>
        <w:t>–</w:t>
      </w:r>
      <w:r>
        <w:rPr>
          <w:b/>
          <w:bCs/>
        </w:rPr>
        <w:t xml:space="preserve"> Phase 2 Project</w:t>
      </w:r>
      <w:r w:rsidR="00BE54A0">
        <w:rPr>
          <w:b/>
          <w:bCs/>
        </w:rPr>
        <w:t xml:space="preserve">s </w:t>
      </w:r>
      <w:r w:rsidR="001B0D0A">
        <w:rPr>
          <w:b/>
          <w:bCs/>
        </w:rPr>
        <w:t>for which the Commission</w:t>
      </w:r>
      <w:r w:rsidR="00BE54A0">
        <w:rPr>
          <w:b/>
          <w:bCs/>
        </w:rPr>
        <w:t xml:space="preserve"> Conditional</w:t>
      </w:r>
      <w:r w:rsidR="001B0D0A">
        <w:rPr>
          <w:b/>
          <w:bCs/>
        </w:rPr>
        <w:t>ly Grants CWIP and Abandoned Plant</w:t>
      </w:r>
      <w:r w:rsidR="00BE54A0">
        <w:rPr>
          <w:b/>
          <w:bCs/>
        </w:rPr>
        <w:t xml:space="preserve"> Incentive</w:t>
      </w:r>
      <w:r w:rsidR="005E1817">
        <w:rPr>
          <w:b/>
          <w:bCs/>
        </w:rPr>
        <w:t xml:space="preserve"> Request</w:t>
      </w:r>
      <w:r w:rsidR="00BE54A0">
        <w:rPr>
          <w:b/>
          <w:bCs/>
        </w:rPr>
        <w:t>s</w:t>
      </w:r>
    </w:p>
    <w:p w:rsidR="001B0D0A" w:rsidP="003C5DA8">
      <w:pPr>
        <w:jc w:val="center"/>
        <w:rPr>
          <w:b/>
          <w:bCs/>
        </w:rPr>
      </w:pPr>
    </w:p>
    <w:p w:rsidR="005E1817" w:rsidRPr="00827CEF" w:rsidP="005E1817">
      <w:pPr>
        <w:widowControl/>
        <w:spacing w:after="160" w:line="259" w:lineRule="auto"/>
        <w:rPr>
          <w:b/>
          <w:u w:val="single"/>
        </w:rPr>
      </w:pPr>
      <w:r w:rsidRPr="00827CEF">
        <w:rPr>
          <w:b/>
          <w:u w:val="single"/>
        </w:rPr>
        <w:t xml:space="preserve">Rochester Gas &amp; Electric Corporation (RG&amp;E) </w:t>
      </w:r>
    </w:p>
    <w:p w:rsidR="005E1817" w:rsidP="005E1817">
      <w:pPr>
        <w:pStyle w:val="ListParagraph"/>
        <w:widowControl/>
        <w:numPr>
          <w:ilvl w:val="0"/>
          <w:numId w:val="27"/>
        </w:numPr>
        <w:spacing w:after="160" w:line="259" w:lineRule="auto"/>
      </w:pPr>
      <w:r w:rsidR="00A703BE">
        <w:t>Z09, RG&amp;</w:t>
      </w:r>
      <w:r w:rsidRPr="00E16E19" w:rsidR="00A703BE">
        <w:t>E</w:t>
      </w:r>
      <w:r w:rsidR="00A703BE">
        <w:t xml:space="preserve"> 115 kV Line 906 Full Rebuild</w:t>
      </w:r>
    </w:p>
    <w:p w:rsidR="005E1817" w:rsidRPr="002E7B5B" w:rsidP="005E1817">
      <w:pPr>
        <w:widowControl/>
        <w:spacing w:after="160" w:line="259" w:lineRule="auto"/>
        <w:rPr>
          <w:b/>
          <w:bCs/>
          <w:u w:val="single"/>
        </w:rPr>
      </w:pPr>
      <w:r w:rsidRPr="002E7B5B">
        <w:rPr>
          <w:b/>
          <w:bCs/>
          <w:u w:val="single"/>
        </w:rPr>
        <w:t>New York State Electric &amp; Gas Corporation (NYSEG)</w:t>
      </w:r>
    </w:p>
    <w:p w:rsidR="002A2708" w:rsidRPr="002E7B5B" w:rsidP="001E4CC4">
      <w:pPr>
        <w:pStyle w:val="ListParagraph"/>
        <w:widowControl/>
        <w:numPr>
          <w:ilvl w:val="0"/>
          <w:numId w:val="28"/>
        </w:numPr>
        <w:spacing w:after="160" w:line="259" w:lineRule="auto"/>
        <w:rPr>
          <w:b/>
          <w:bCs/>
          <w:u w:val="single"/>
        </w:rPr>
      </w:pPr>
      <w:r>
        <w:t xml:space="preserve">Z01, </w:t>
      </w:r>
      <w:r w:rsidRPr="00E16E19">
        <w:t>NYSEG</w:t>
      </w:r>
      <w:r>
        <w:t xml:space="preserve"> 230 kV Line 67 Full Rebuild</w:t>
      </w:r>
    </w:p>
    <w:p w:rsidR="00040D4E" w:rsidP="001E4CC4">
      <w:pPr>
        <w:pStyle w:val="ListParagraph"/>
        <w:widowControl/>
        <w:numPr>
          <w:ilvl w:val="0"/>
          <w:numId w:val="28"/>
        </w:numPr>
        <w:spacing w:after="160" w:line="259" w:lineRule="auto"/>
      </w:pPr>
      <w:r>
        <w:t xml:space="preserve">Z02, </w:t>
      </w:r>
      <w:r w:rsidRPr="00E16E19">
        <w:t>NYSEG</w:t>
      </w:r>
      <w:r>
        <w:t xml:space="preserve"> 230 kV Line 68 Full Rebuild</w:t>
      </w:r>
    </w:p>
    <w:p w:rsidR="00C209A4" w:rsidP="001E4CC4">
      <w:pPr>
        <w:pStyle w:val="ListParagraph"/>
        <w:widowControl/>
        <w:numPr>
          <w:ilvl w:val="0"/>
          <w:numId w:val="28"/>
        </w:numPr>
        <w:spacing w:after="160" w:line="259" w:lineRule="auto"/>
      </w:pPr>
      <w:r>
        <w:t xml:space="preserve">Z04, </w:t>
      </w:r>
      <w:r w:rsidRPr="00E16E19">
        <w:t>NYSEG</w:t>
      </w:r>
      <w:r>
        <w:t xml:space="preserve"> 230 kV Line 72 Full Rebuild</w:t>
      </w:r>
    </w:p>
    <w:p w:rsidR="00660E27" w:rsidRPr="00A87336" w:rsidP="00660E27">
      <w:pPr>
        <w:pStyle w:val="ListParagraph"/>
        <w:widowControl/>
        <w:numPr>
          <w:ilvl w:val="0"/>
          <w:numId w:val="28"/>
        </w:numPr>
        <w:spacing w:after="160" w:line="259" w:lineRule="auto"/>
      </w:pPr>
      <w:r w:rsidRPr="002E7B5B">
        <w:t xml:space="preserve">Z08, </w:t>
      </w:r>
      <w:r w:rsidRPr="00E16E19">
        <w:t>NYSEG</w:t>
      </w:r>
      <w:r w:rsidRPr="002E7B5B">
        <w:t xml:space="preserve"> 115 kV Line 934 Full Rebuild</w:t>
      </w:r>
    </w:p>
    <w:p w:rsidR="009C6B6E" w:rsidRPr="00A87336" w:rsidP="009C6B6E">
      <w:pPr>
        <w:pStyle w:val="ListParagraph"/>
        <w:widowControl/>
        <w:numPr>
          <w:ilvl w:val="0"/>
          <w:numId w:val="28"/>
        </w:numPr>
        <w:spacing w:after="160" w:line="259" w:lineRule="auto"/>
      </w:pPr>
      <w:r>
        <w:t xml:space="preserve">Z10, </w:t>
      </w:r>
      <w:r w:rsidRPr="00E16E19">
        <w:t>NYSEG</w:t>
      </w:r>
      <w:r>
        <w:t xml:space="preserve"> 115 kV Line 724 Full Rebuild</w:t>
      </w:r>
    </w:p>
    <w:p w:rsidR="00801903" w:rsidRPr="00A87336" w:rsidP="00801903">
      <w:pPr>
        <w:pStyle w:val="ListParagraph"/>
        <w:widowControl/>
        <w:numPr>
          <w:ilvl w:val="0"/>
          <w:numId w:val="28"/>
        </w:numPr>
        <w:spacing w:after="160" w:line="259" w:lineRule="auto"/>
      </w:pPr>
      <w:r>
        <w:t xml:space="preserve">Z12, </w:t>
      </w:r>
      <w:r w:rsidRPr="00E16E19">
        <w:t>NYSEG</w:t>
      </w:r>
      <w:r>
        <w:t xml:space="preserve"> 115 kV Line 722 Full Rebuild</w:t>
      </w:r>
    </w:p>
    <w:p w:rsidR="00D473DD" w:rsidP="001E4CC4">
      <w:pPr>
        <w:pStyle w:val="ListParagraph"/>
        <w:widowControl/>
        <w:numPr>
          <w:ilvl w:val="0"/>
          <w:numId w:val="28"/>
        </w:numPr>
        <w:spacing w:after="160" w:line="259" w:lineRule="auto"/>
      </w:pPr>
      <w:r>
        <w:t xml:space="preserve">Z16, </w:t>
      </w:r>
      <w:r w:rsidRPr="00E16E19">
        <w:t>NYSEG</w:t>
      </w:r>
      <w:r>
        <w:t xml:space="preserve"> 115 kV Line 963 Rebuild</w:t>
      </w:r>
    </w:p>
    <w:p w:rsidR="00E82B88" w:rsidRPr="00A87336" w:rsidP="00E82B88">
      <w:pPr>
        <w:pStyle w:val="ListParagraph"/>
        <w:widowControl/>
        <w:numPr>
          <w:ilvl w:val="0"/>
          <w:numId w:val="28"/>
        </w:numPr>
        <w:spacing w:after="160" w:line="259" w:lineRule="auto"/>
      </w:pPr>
      <w:r>
        <w:t xml:space="preserve">Z17, </w:t>
      </w:r>
      <w:r w:rsidRPr="00E16E19">
        <w:t>NYSEG</w:t>
      </w:r>
      <w:r>
        <w:t xml:space="preserve"> 115 kV Line 978 Full Rebuild</w:t>
      </w:r>
    </w:p>
    <w:p w:rsidR="001F088F" w:rsidP="001E4CC4">
      <w:pPr>
        <w:pStyle w:val="ListParagraph"/>
        <w:widowControl/>
        <w:numPr>
          <w:ilvl w:val="0"/>
          <w:numId w:val="28"/>
        </w:numPr>
        <w:spacing w:after="160" w:line="259" w:lineRule="auto"/>
      </w:pPr>
      <w:r>
        <w:t>Z18, NYSEG 115 kV Line 932 Structure Replacements</w:t>
      </w:r>
      <w:r>
        <w:rPr>
          <w:rStyle w:val="FootnoteReference"/>
        </w:rPr>
        <w:footnoteReference w:id="96"/>
      </w:r>
    </w:p>
    <w:p w:rsidR="00DD52A2" w:rsidP="001E4CC4">
      <w:pPr>
        <w:pStyle w:val="ListParagraph"/>
        <w:widowControl/>
        <w:numPr>
          <w:ilvl w:val="0"/>
          <w:numId w:val="28"/>
        </w:numPr>
        <w:spacing w:after="160" w:line="259" w:lineRule="auto"/>
      </w:pPr>
      <w:r>
        <w:t xml:space="preserve">Z21, </w:t>
      </w:r>
      <w:r w:rsidRPr="00E16E19">
        <w:t>NYSEG</w:t>
      </w:r>
      <w:r>
        <w:t xml:space="preserve"> 115 kV Line 723 Full Rebuild</w:t>
      </w:r>
    </w:p>
    <w:p w:rsidR="005E1817" w:rsidP="00827CEF">
      <w:pPr>
        <w:pStyle w:val="ListParagraph"/>
        <w:widowControl/>
        <w:numPr>
          <w:ilvl w:val="0"/>
          <w:numId w:val="28"/>
        </w:numPr>
        <w:spacing w:after="160" w:line="259" w:lineRule="auto"/>
      </w:pPr>
      <w:r w:rsidR="00795CBC">
        <w:t xml:space="preserve">Z23, </w:t>
      </w:r>
      <w:r w:rsidRPr="00E16E19" w:rsidR="00795CBC">
        <w:t>NYSEG</w:t>
      </w:r>
      <w:r w:rsidR="00795CBC">
        <w:t xml:space="preserve"> 115 kV Line 965 Full Rebuild</w:t>
      </w:r>
    </w:p>
    <w:p w:rsidR="005E1817" w:rsidP="00827CEF">
      <w:pPr>
        <w:rPr>
          <w:b/>
          <w:bCs/>
        </w:rPr>
      </w:pPr>
    </w:p>
    <w:p w:rsidR="001B0D0A">
      <w:pPr>
        <w:widowControl/>
        <w:spacing w:after="160" w:line="259" w:lineRule="auto"/>
        <w:rPr>
          <w:b/>
          <w:bCs/>
        </w:rPr>
      </w:pPr>
      <w:r>
        <w:rPr>
          <w:b/>
          <w:bCs/>
        </w:rPr>
        <w:br w:type="page"/>
      </w:r>
    </w:p>
    <w:p w:rsidR="001B0D0A" w:rsidP="001B0D0A">
      <w:pPr>
        <w:jc w:val="center"/>
        <w:rPr>
          <w:b/>
          <w:bCs/>
        </w:rPr>
      </w:pPr>
      <w:r w:rsidRPr="00914C74">
        <w:rPr>
          <w:b/>
          <w:bCs/>
        </w:rPr>
        <w:t xml:space="preserve">Appendix </w:t>
      </w:r>
      <w:r>
        <w:rPr>
          <w:b/>
          <w:bCs/>
        </w:rPr>
        <w:t xml:space="preserve">C </w:t>
      </w:r>
      <w:r w:rsidRPr="00914C74">
        <w:rPr>
          <w:b/>
          <w:bCs/>
        </w:rPr>
        <w:t>–</w:t>
      </w:r>
      <w:r w:rsidR="00C246D7">
        <w:rPr>
          <w:b/>
          <w:bCs/>
        </w:rPr>
        <w:t xml:space="preserve"> </w:t>
      </w:r>
      <w:r>
        <w:rPr>
          <w:b/>
          <w:bCs/>
        </w:rPr>
        <w:t>Phase 2 Projects for which the Commission Denies CWIP and Abandoned Plant Incentive</w:t>
      </w:r>
      <w:r w:rsidR="005E1817">
        <w:rPr>
          <w:b/>
          <w:bCs/>
        </w:rPr>
        <w:t xml:space="preserve"> Request</w:t>
      </w:r>
      <w:r>
        <w:rPr>
          <w:b/>
          <w:bCs/>
        </w:rPr>
        <w:t>s</w:t>
      </w:r>
      <w:r w:rsidR="005E1817">
        <w:rPr>
          <w:b/>
          <w:bCs/>
        </w:rPr>
        <w:t xml:space="preserve"> without Prejudice</w:t>
      </w:r>
    </w:p>
    <w:p w:rsidR="001B0D0A" w:rsidRPr="00401A63" w:rsidP="003C5DA8">
      <w:pPr>
        <w:jc w:val="center"/>
      </w:pPr>
    </w:p>
    <w:p w:rsidR="005E1817" w:rsidRPr="002E7B5B" w:rsidP="005E1817">
      <w:pPr>
        <w:widowControl/>
        <w:spacing w:after="160" w:line="259" w:lineRule="auto"/>
        <w:rPr>
          <w:b/>
          <w:bCs/>
          <w:u w:val="single"/>
        </w:rPr>
      </w:pPr>
      <w:r w:rsidRPr="002E7B5B">
        <w:rPr>
          <w:b/>
          <w:bCs/>
          <w:u w:val="single"/>
        </w:rPr>
        <w:t>New York State Electric &amp; Gas Corporation (NYSEG)</w:t>
      </w:r>
    </w:p>
    <w:p w:rsidR="00492FE3" w:rsidRPr="00492FE3" w:rsidP="001E4CC4">
      <w:pPr>
        <w:pStyle w:val="ListParagraph"/>
        <w:widowControl/>
        <w:numPr>
          <w:ilvl w:val="0"/>
          <w:numId w:val="30"/>
        </w:numPr>
        <w:spacing w:after="160" w:line="259" w:lineRule="auto"/>
      </w:pPr>
      <w:r w:rsidRPr="002E7B5B">
        <w:t>WO12, NYSEG 115 kV Line 910 Full Rebuild</w:t>
      </w:r>
    </w:p>
    <w:p w:rsidR="00213B8D" w:rsidP="001E4CC4">
      <w:pPr>
        <w:pStyle w:val="ListParagraph"/>
        <w:widowControl/>
        <w:numPr>
          <w:ilvl w:val="0"/>
          <w:numId w:val="30"/>
        </w:numPr>
        <w:spacing w:after="160" w:line="259" w:lineRule="auto"/>
      </w:pPr>
      <w:r>
        <w:t>Z03, Stoney Ridge Transformer Replacement</w:t>
      </w:r>
    </w:p>
    <w:p w:rsidR="00A7512F" w:rsidP="001E4CC4">
      <w:pPr>
        <w:pStyle w:val="ListParagraph"/>
        <w:widowControl/>
        <w:numPr>
          <w:ilvl w:val="0"/>
          <w:numId w:val="30"/>
        </w:numPr>
        <w:spacing w:after="160" w:line="259" w:lineRule="auto"/>
      </w:pPr>
      <w:r>
        <w:t>Z05, NYSEG 230 kV Line 69 Full Rebuild</w:t>
      </w:r>
    </w:p>
    <w:p w:rsidR="0029179A" w:rsidP="001E4CC4">
      <w:pPr>
        <w:pStyle w:val="ListParagraph"/>
        <w:widowControl/>
        <w:numPr>
          <w:ilvl w:val="0"/>
          <w:numId w:val="30"/>
        </w:numPr>
        <w:spacing w:after="160" w:line="259" w:lineRule="auto"/>
      </w:pPr>
      <w:r>
        <w:t>Z06, Hillside 115 kV Retirement</w:t>
      </w:r>
    </w:p>
    <w:p w:rsidR="0029179A" w:rsidP="0029179A">
      <w:pPr>
        <w:pStyle w:val="ListParagraph"/>
        <w:widowControl/>
        <w:numPr>
          <w:ilvl w:val="0"/>
          <w:numId w:val="30"/>
        </w:numPr>
        <w:spacing w:after="160" w:line="259" w:lineRule="auto"/>
      </w:pPr>
      <w:r>
        <w:t>Z07, Watercure 345/230/115 kV Expansion</w:t>
      </w:r>
    </w:p>
    <w:p w:rsidR="00970998" w:rsidP="001E4CC4">
      <w:pPr>
        <w:pStyle w:val="ListParagraph"/>
        <w:widowControl/>
        <w:numPr>
          <w:ilvl w:val="0"/>
          <w:numId w:val="30"/>
        </w:numPr>
        <w:spacing w:after="160" w:line="259" w:lineRule="auto"/>
      </w:pPr>
      <w:r>
        <w:t>Z11, Eelpot 115 kV Substation Expansion</w:t>
      </w:r>
    </w:p>
    <w:p w:rsidR="00846407" w:rsidP="001E4CC4">
      <w:pPr>
        <w:pStyle w:val="ListParagraph"/>
        <w:widowControl/>
        <w:numPr>
          <w:ilvl w:val="0"/>
          <w:numId w:val="30"/>
        </w:numPr>
        <w:spacing w:after="160" w:line="259" w:lineRule="auto"/>
      </w:pPr>
      <w:r>
        <w:t>Z13, NYSEG 115 kV Line 968 Full Rebuild</w:t>
      </w:r>
    </w:p>
    <w:p w:rsidR="00134473" w:rsidP="001E4CC4">
      <w:pPr>
        <w:pStyle w:val="ListParagraph"/>
        <w:widowControl/>
        <w:numPr>
          <w:ilvl w:val="0"/>
          <w:numId w:val="30"/>
        </w:numPr>
        <w:spacing w:after="160" w:line="259" w:lineRule="auto"/>
      </w:pPr>
      <w:r>
        <w:t>Z14, Greenidge 115 kV Substation Upgrades</w:t>
      </w:r>
    </w:p>
    <w:p w:rsidR="00AE7BF1" w:rsidP="001E4CC4">
      <w:pPr>
        <w:pStyle w:val="ListParagraph"/>
        <w:widowControl/>
        <w:numPr>
          <w:ilvl w:val="0"/>
          <w:numId w:val="30"/>
        </w:numPr>
        <w:spacing w:after="160" w:line="259" w:lineRule="auto"/>
      </w:pPr>
      <w:r>
        <w:t>Z15, Montour Falls 115/34.5 kV Substation Rebuild</w:t>
      </w:r>
    </w:p>
    <w:p w:rsidR="00970998" w:rsidP="001E4CC4">
      <w:pPr>
        <w:pStyle w:val="ListParagraph"/>
        <w:widowControl/>
        <w:numPr>
          <w:ilvl w:val="0"/>
          <w:numId w:val="30"/>
        </w:numPr>
        <w:spacing w:after="160" w:line="259" w:lineRule="auto"/>
      </w:pPr>
      <w:r>
        <w:t>Z19, Bennett 115/34.5 kV Substation Expansion and Upgrades and Power Flow Device</w:t>
      </w:r>
    </w:p>
    <w:p w:rsidR="00A7512F" w:rsidP="001E4CC4">
      <w:pPr>
        <w:pStyle w:val="ListParagraph"/>
        <w:widowControl/>
        <w:numPr>
          <w:ilvl w:val="0"/>
          <w:numId w:val="30"/>
        </w:numPr>
        <w:spacing w:after="160" w:line="259" w:lineRule="auto"/>
      </w:pPr>
      <w:r>
        <w:t>Z20, NYSEG 115 kV Line 953 Full Rebuild</w:t>
      </w:r>
    </w:p>
    <w:p w:rsidR="000B05DD" w:rsidP="001E4CC4">
      <w:pPr>
        <w:pStyle w:val="ListParagraph"/>
        <w:widowControl/>
        <w:numPr>
          <w:ilvl w:val="0"/>
          <w:numId w:val="30"/>
        </w:numPr>
        <w:spacing w:after="160" w:line="259" w:lineRule="auto"/>
      </w:pPr>
      <w:r>
        <w:t>Z22, Bath 115/34 kV Substation Rebuild</w:t>
      </w:r>
    </w:p>
    <w:p w:rsidR="000F17E6" w:rsidP="001E4CC4">
      <w:pPr>
        <w:pStyle w:val="ListParagraph"/>
        <w:widowControl/>
        <w:numPr>
          <w:ilvl w:val="0"/>
          <w:numId w:val="30"/>
        </w:numPr>
        <w:spacing w:after="160" w:line="259" w:lineRule="auto"/>
      </w:pPr>
      <w:r>
        <w:t>Z24,</w:t>
      </w:r>
      <w:r w:rsidRPr="00B04723">
        <w:t xml:space="preserve"> </w:t>
      </w:r>
      <w:r>
        <w:t>NYSEG 115 kV Line 712 Full Overhead Rebuilds; Underground cable remains</w:t>
      </w:r>
    </w:p>
    <w:p w:rsidR="000F17E6" w:rsidRPr="00A87336" w:rsidP="000F17E6">
      <w:pPr>
        <w:pStyle w:val="ListParagraph"/>
        <w:widowControl/>
        <w:numPr>
          <w:ilvl w:val="0"/>
          <w:numId w:val="30"/>
        </w:numPr>
        <w:spacing w:after="160" w:line="259" w:lineRule="auto"/>
      </w:pPr>
      <w:r>
        <w:t>Z25, NYSEG 115 kV Line 711 Full Overhead Rebuilds; Underground cable remains</w:t>
      </w:r>
    </w:p>
    <w:p w:rsidR="00105CDD" w:rsidP="001E4CC4">
      <w:pPr>
        <w:pStyle w:val="ListParagraph"/>
        <w:widowControl/>
        <w:numPr>
          <w:ilvl w:val="0"/>
          <w:numId w:val="30"/>
        </w:numPr>
        <w:spacing w:after="160" w:line="259" w:lineRule="auto"/>
      </w:pPr>
      <w:r>
        <w:t>Z26, NYSEG 115 kV Line 935 Full Rebuild</w:t>
      </w:r>
    </w:p>
    <w:p w:rsidR="00213B8D" w:rsidP="001E4CC4">
      <w:pPr>
        <w:pStyle w:val="ListParagraph"/>
        <w:widowControl/>
        <w:numPr>
          <w:ilvl w:val="0"/>
          <w:numId w:val="30"/>
        </w:numPr>
        <w:spacing w:after="160" w:line="259" w:lineRule="auto"/>
      </w:pPr>
      <w:r>
        <w:t>Z27, Hickling 115/34.5 kV Substation Rebuild</w:t>
      </w:r>
    </w:p>
    <w:p w:rsidR="008C4C35" w:rsidP="001E4CC4">
      <w:pPr>
        <w:pStyle w:val="ListParagraph"/>
        <w:widowControl/>
        <w:numPr>
          <w:ilvl w:val="0"/>
          <w:numId w:val="30"/>
        </w:numPr>
        <w:spacing w:after="160" w:line="259" w:lineRule="auto"/>
      </w:pPr>
      <w:r>
        <w:t>Z28, NYSEG 34.5 kV Line 539 Partial Rebuild</w:t>
      </w:r>
    </w:p>
    <w:p w:rsidR="008C4C35" w:rsidP="001E4CC4">
      <w:pPr>
        <w:pStyle w:val="ListParagraph"/>
        <w:widowControl/>
        <w:numPr>
          <w:ilvl w:val="0"/>
          <w:numId w:val="30"/>
        </w:numPr>
        <w:spacing w:after="160" w:line="259" w:lineRule="auto"/>
      </w:pPr>
      <w:r>
        <w:t>Z29, NYSEG 34.5 kV Line 546 Partial Rebuild</w:t>
      </w:r>
    </w:p>
    <w:p w:rsidR="00970998" w:rsidP="001E4CC4">
      <w:pPr>
        <w:pStyle w:val="ListParagraph"/>
        <w:widowControl/>
        <w:numPr>
          <w:ilvl w:val="0"/>
          <w:numId w:val="30"/>
        </w:numPr>
        <w:spacing w:after="160" w:line="259" w:lineRule="auto"/>
      </w:pPr>
      <w:r>
        <w:t xml:space="preserve">Z30, NYSEG 34.5 kV Line 565 Full Rebuild </w:t>
      </w:r>
    </w:p>
    <w:p w:rsidR="00970998" w:rsidP="001E4CC4">
      <w:pPr>
        <w:pStyle w:val="ListParagraph"/>
        <w:widowControl/>
        <w:numPr>
          <w:ilvl w:val="0"/>
          <w:numId w:val="30"/>
        </w:numPr>
        <w:spacing w:after="160" w:line="259" w:lineRule="auto"/>
      </w:pPr>
      <w:r>
        <w:t>Z31, NYSEG 34.5 kV Line 542 Full Rebuild</w:t>
      </w:r>
    </w:p>
    <w:p w:rsidR="00FF32A1" w:rsidP="00827CEF">
      <w:pPr>
        <w:pStyle w:val="ListParagraph"/>
        <w:widowControl/>
        <w:numPr>
          <w:ilvl w:val="0"/>
          <w:numId w:val="30"/>
        </w:numPr>
        <w:spacing w:after="160" w:line="259" w:lineRule="auto"/>
      </w:pPr>
      <w:r w:rsidR="00F372F6">
        <w:t>Z32, Minor Substation Upgrades at Caton Ave, Flat St, Moraine, Ridge Rd, Spencer Hill, Station 128, Sullivan Park, West Erie Ave, and Yawger Rd 115 kV Substations.</w:t>
      </w:r>
    </w:p>
    <w:p w:rsidR="0039355C" w:rsidP="0039355C">
      <w:pPr>
        <w:pStyle w:val="ListParagraph"/>
        <w:widowControl/>
        <w:spacing w:after="160" w:line="259" w:lineRule="auto"/>
        <w:sectPr w:rsidSect="00C91015">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pPr>
    </w:p>
    <w:p w:rsidR="0039355C" w:rsidRPr="00CD0B38" w:rsidP="00E71F53">
      <w:pPr>
        <w:jc w:val="center"/>
      </w:pPr>
      <w:r>
        <w:rPr>
          <w:b/>
        </w:rPr>
        <w:fldChar w:fldCharType="begin"/>
      </w:r>
      <w:r>
        <w:rPr>
          <w:b/>
        </w:rPr>
        <w:instrText xml:space="preserve"> MACROBUTTON  AcceptAllChangesInDoc </w:instrText>
      </w:r>
      <w:r>
        <w:rPr>
          <w:b/>
        </w:rPr>
        <w:fldChar w:fldCharType="end"/>
      </w:r>
      <w:r w:rsidRPr="00CD0B38">
        <w:t>UNITED STATES OF AMERICA</w:t>
      </w:r>
    </w:p>
    <w:p w:rsidR="0039355C" w:rsidRPr="00CD0B38" w:rsidP="00E71F53">
      <w:pPr>
        <w:jc w:val="center"/>
      </w:pPr>
      <w:r w:rsidRPr="00CD0B38">
        <w:t>FEDERAL ENERGY REGULATORY COMMISSION</w:t>
      </w:r>
    </w:p>
    <w:p w:rsidR="0039355C" w:rsidRPr="00CD0B38" w:rsidP="00C22D8B"/>
    <w:tbl>
      <w:tblPr>
        <w:tblStyle w:val="TableNormal"/>
        <w:tblW w:w="0" w:type="auto"/>
        <w:tblCellMar>
          <w:left w:w="0" w:type="dxa"/>
          <w:right w:w="0" w:type="dxa"/>
        </w:tblCellMar>
        <w:tblLook w:val="01E0"/>
      </w:tblPr>
      <w:tblGrid>
        <w:gridCol w:w="5915"/>
        <w:gridCol w:w="1531"/>
        <w:gridCol w:w="1914"/>
      </w:tblGrid>
      <w:tr w:rsidTr="000955B5">
        <w:tblPrEx>
          <w:tblW w:w="0" w:type="auto"/>
          <w:tblCellMar>
            <w:left w:w="0" w:type="dxa"/>
            <w:right w:w="0" w:type="dxa"/>
          </w:tblCellMar>
          <w:tblLook w:val="01E0"/>
        </w:tblPrEx>
        <w:tc>
          <w:tcPr>
            <w:tcW w:w="6088" w:type="dxa"/>
            <w:shd w:val="clear" w:color="auto" w:fill="auto"/>
          </w:tcPr>
          <w:p w:rsidR="0039355C" w:rsidRPr="000955B5" w:rsidP="000955B5">
            <w:pPr>
              <w:widowControl/>
              <w:rPr>
                <w:rFonts w:cs="Arial"/>
              </w:rPr>
            </w:pPr>
            <w:r w:rsidRPr="000955B5">
              <w:rPr>
                <w:rFonts w:cs="Arial"/>
              </w:rPr>
              <w:t xml:space="preserve">Rochester Gas and Electric Corporation </w:t>
            </w:r>
          </w:p>
          <w:p w:rsidR="0039355C" w:rsidRPr="000955B5" w:rsidP="000955B5">
            <w:pPr>
              <w:widowControl/>
              <w:rPr>
                <w:rFonts w:cs="Arial"/>
              </w:rPr>
            </w:pPr>
            <w:r w:rsidRPr="000955B5">
              <w:rPr>
                <w:rFonts w:cs="Arial"/>
              </w:rPr>
              <w:t>New York Independent System Operator, Inc.</w:t>
            </w:r>
          </w:p>
          <w:p w:rsidR="0039355C" w:rsidRPr="000955B5" w:rsidP="000955B5">
            <w:pPr>
              <w:widowControl/>
              <w:rPr>
                <w:rFonts w:cs="Arial"/>
              </w:rPr>
            </w:pPr>
          </w:p>
          <w:p w:rsidR="0039355C" w:rsidRPr="000955B5" w:rsidP="000955B5">
            <w:pPr>
              <w:widowControl/>
              <w:rPr>
                <w:rFonts w:cs="Arial"/>
              </w:rPr>
            </w:pPr>
            <w:r w:rsidRPr="000955B5">
              <w:rPr>
                <w:rFonts w:cs="Arial"/>
              </w:rPr>
              <w:t xml:space="preserve">New York State Electric &amp; Gas Corporation </w:t>
            </w:r>
          </w:p>
          <w:p w:rsidR="0039355C" w:rsidRPr="000955B5" w:rsidP="000955B5">
            <w:pPr>
              <w:widowControl/>
              <w:rPr>
                <w:rFonts w:cs="Arial"/>
              </w:rPr>
            </w:pPr>
            <w:r w:rsidRPr="000955B5">
              <w:rPr>
                <w:rFonts w:cs="Arial"/>
              </w:rPr>
              <w:t>New York Independent System Operator, Inc.</w:t>
            </w:r>
          </w:p>
        </w:tc>
        <w:tc>
          <w:tcPr>
            <w:tcW w:w="1560" w:type="dxa"/>
            <w:shd w:val="clear" w:color="auto" w:fill="auto"/>
          </w:tcPr>
          <w:p w:rsidR="0039355C" w:rsidRPr="000955B5" w:rsidP="000955B5">
            <w:pPr>
              <w:widowControl/>
              <w:rPr>
                <w:rFonts w:cs="Arial"/>
              </w:rPr>
            </w:pPr>
            <w:r w:rsidRPr="000955B5">
              <w:rPr>
                <w:rFonts w:cs="Arial"/>
              </w:rPr>
              <w:t>Docket Nos.</w:t>
            </w:r>
          </w:p>
        </w:tc>
        <w:tc>
          <w:tcPr>
            <w:tcW w:w="1928" w:type="dxa"/>
            <w:shd w:val="clear" w:color="auto" w:fill="auto"/>
            <w:tcMar>
              <w:left w:w="144" w:type="dxa"/>
            </w:tcMar>
          </w:tcPr>
          <w:p w:rsidR="0039355C" w:rsidRPr="000955B5" w:rsidP="000955B5">
            <w:pPr>
              <w:widowControl/>
              <w:jc w:val="right"/>
              <w:rPr>
                <w:rFonts w:cs="Arial"/>
              </w:rPr>
            </w:pPr>
            <w:bookmarkStart w:id="6" w:name="_Hlk170846206"/>
            <w:r w:rsidRPr="000955B5">
              <w:rPr>
                <w:rFonts w:cs="Arial"/>
              </w:rPr>
              <w:t>ER24-1967-000</w:t>
            </w:r>
          </w:p>
          <w:p w:rsidR="0039355C" w:rsidRPr="000955B5" w:rsidP="000955B5">
            <w:pPr>
              <w:widowControl/>
              <w:jc w:val="right"/>
              <w:rPr>
                <w:rFonts w:cs="Arial"/>
              </w:rPr>
            </w:pPr>
          </w:p>
          <w:p w:rsidR="0039355C" w:rsidRPr="000955B5" w:rsidP="000955B5">
            <w:pPr>
              <w:widowControl/>
              <w:jc w:val="right"/>
              <w:rPr>
                <w:rFonts w:cs="Arial"/>
              </w:rPr>
            </w:pPr>
          </w:p>
          <w:p w:rsidR="0039355C" w:rsidRPr="000955B5" w:rsidP="000955B5">
            <w:pPr>
              <w:widowControl/>
              <w:jc w:val="right"/>
              <w:rPr>
                <w:rFonts w:cs="Arial"/>
              </w:rPr>
            </w:pPr>
            <w:r w:rsidRPr="000955B5">
              <w:rPr>
                <w:rFonts w:cs="Arial"/>
              </w:rPr>
              <w:t>ER24-1968-000</w:t>
            </w:r>
          </w:p>
          <w:p w:rsidR="0039355C" w:rsidRPr="000955B5" w:rsidP="000955B5">
            <w:pPr>
              <w:widowControl/>
              <w:rPr>
                <w:rFonts w:cs="Arial"/>
              </w:rPr>
            </w:pPr>
            <w:bookmarkEnd w:id="6"/>
            <w:r w:rsidRPr="000955B5">
              <w:rPr>
                <w:rFonts w:cs="Arial"/>
              </w:rPr>
              <w:t>(not consolidated)</w:t>
            </w:r>
          </w:p>
        </w:tc>
      </w:tr>
    </w:tbl>
    <w:p w:rsidR="0039355C" w:rsidRPr="00CD0B38" w:rsidP="00E71F53"/>
    <w:p w:rsidR="0039355C" w:rsidRPr="00CD0B38" w:rsidP="00C22D8B">
      <w:pPr>
        <w:jc w:val="center"/>
      </w:pPr>
    </w:p>
    <w:p w:rsidR="0039355C" w:rsidRPr="00C26B1C" w:rsidP="00C26B1C">
      <w:pPr>
        <w:jc w:val="center"/>
      </w:pPr>
      <w:r w:rsidRPr="00CD0B38">
        <w:t>(</w:t>
      </w:r>
      <w:r>
        <w:t xml:space="preserve">Issued </w:t>
      </w:r>
      <w:r w:rsidRPr="00CD0B38">
        <w:fldChar w:fldCharType="begin"/>
      </w:r>
      <w:r w:rsidRPr="00CD0B38">
        <w:instrText xml:space="preserve"> MACROBUTTON  AcceptAllChangesInDoc </w:instrText>
      </w:r>
      <w:r w:rsidRPr="00CD0B38">
        <w:fldChar w:fldCharType="end"/>
      </w:r>
      <w:r>
        <w:t>July 5, 2024</w:t>
      </w:r>
      <w:r w:rsidRPr="00CD0B38">
        <w:t>)</w:t>
      </w:r>
    </w:p>
    <w:p w:rsidR="0039355C" w:rsidP="00C22D8B">
      <w:pPr>
        <w:rPr>
          <w:bCs/>
        </w:rPr>
      </w:pPr>
    </w:p>
    <w:p w:rsidR="0039355C" w:rsidP="00C22D8B">
      <w:pPr>
        <w:rPr>
          <w:bCs/>
        </w:rPr>
      </w:pPr>
      <w:bookmarkStart w:id="7" w:name="Commissioner"/>
      <w:bookmarkEnd w:id="7"/>
      <w:r>
        <w:rPr>
          <w:bCs/>
        </w:rPr>
        <w:t>CHRISTIE, Commissioner</w:t>
      </w:r>
      <w:r w:rsidRPr="00895B7B">
        <w:rPr>
          <w:bCs/>
        </w:rPr>
        <w:t xml:space="preserve">, </w:t>
      </w:r>
      <w:r w:rsidRPr="00895B7B">
        <w:rPr>
          <w:bCs/>
          <w:i/>
        </w:rPr>
        <w:t>concurring</w:t>
      </w:r>
      <w:r w:rsidRPr="00C14502">
        <w:rPr>
          <w:bCs/>
        </w:rPr>
        <w:t>:</w:t>
      </w:r>
      <w:r>
        <w:rPr>
          <w:bCs/>
        </w:rPr>
        <w:t xml:space="preserve"> </w:t>
      </w:r>
      <w:bookmarkStart w:id="8" w:name="Action1"/>
      <w:bookmarkEnd w:id="8"/>
    </w:p>
    <w:p w:rsidR="0039355C" w:rsidRPr="00C26B1C" w:rsidP="00C22D8B">
      <w:pPr>
        <w:rPr>
          <w:bCs/>
        </w:rPr>
      </w:pPr>
    </w:p>
    <w:p w:rsidR="0039355C" w:rsidP="0040046A">
      <w:pPr>
        <w:pStyle w:val="FERCparanumber"/>
        <w:numPr>
          <w:ilvl w:val="0"/>
          <w:numId w:val="32"/>
        </w:numPr>
        <w:spacing w:after="240"/>
      </w:pPr>
      <w:r w:rsidRPr="0040046A">
        <w:rPr>
          <w:rFonts w:eastAsia="Times New Roman"/>
        </w:rPr>
        <w:t>I concur because the projects that are conditionally granted are public policy projects to implement New York’s state climate law; the New York State Public Service Commission, which has granted a petition approving the projects and remains in the process of conducting its own state proceedings, did not protest the incentives; and the costs of the projects, including any incentives, will be confined to New York.</w:t>
      </w:r>
      <w:r>
        <w:rPr>
          <w:rStyle w:val="FootnoteReference"/>
          <w:rFonts w:eastAsia="Times New Roman"/>
        </w:rPr>
        <w:footnoteReference w:id="97"/>
      </w:r>
      <w:r w:rsidRPr="0040046A">
        <w:rPr>
          <w:rFonts w:eastAsia="Times New Roman"/>
        </w:rPr>
        <w:t xml:space="preserve">  Given these specific circumstances I will concur.</w:t>
      </w:r>
    </w:p>
    <w:p w:rsidR="0039355C" w:rsidRPr="00CD0B38" w:rsidP="00C22D8B"/>
    <w:p w:rsidR="0039355C" w:rsidP="00E71F53">
      <w:pPr>
        <w:ind w:firstLine="720"/>
      </w:pPr>
      <w:r>
        <w:t xml:space="preserve">For these reasons, I </w:t>
      </w:r>
      <w:r w:rsidRPr="00C14502">
        <w:t xml:space="preserve">respectfully </w:t>
      </w:r>
      <w:bookmarkStart w:id="9" w:name="Action2"/>
      <w:bookmarkEnd w:id="9"/>
      <w:r w:rsidRPr="009722CC">
        <w:t>concur.</w:t>
      </w:r>
    </w:p>
    <w:p w:rsidR="0039355C" w:rsidP="00E71F53">
      <w:pPr>
        <w:ind w:firstLine="720"/>
      </w:pPr>
    </w:p>
    <w:p w:rsidR="0039355C" w:rsidP="0080498D"/>
    <w:p w:rsidR="0039355C" w:rsidRPr="00842BD2">
      <w:r w:rsidRPr="00842BD2">
        <w:t>_______________________</w:t>
      </w:r>
      <w:r>
        <w:t>_______</w:t>
      </w:r>
    </w:p>
    <w:p w:rsidR="0039355C" w:rsidP="0080498D">
      <w:bookmarkStart w:id="10" w:name="Commissioner2"/>
      <w:bookmarkEnd w:id="10"/>
      <w:r>
        <w:t>Mark C. Christie</w:t>
      </w:r>
    </w:p>
    <w:p w:rsidR="0039355C" w:rsidRPr="009D3219" w:rsidP="0080498D">
      <w:r>
        <w:t>Commissioner</w:t>
      </w:r>
    </w:p>
    <w:p w:rsidR="0039355C" w:rsidRPr="00A61A06" w:rsidP="00E71F53"/>
    <w:p w:rsidR="0039355C" w:rsidRPr="0003382F" w:rsidP="0039355C">
      <w:pPr>
        <w:pStyle w:val="ListParagraph"/>
        <w:widowControl/>
        <w:spacing w:after="160" w:line="259" w:lineRule="auto"/>
      </w:pPr>
    </w:p>
    <w:sectPr w:rsidSect="00E71F53">
      <w:headerReference w:type="even" r:id="rId14"/>
      <w:headerReference w:type="default" r:id="rId15"/>
      <w:headerReference w:type="first" r:id="rId16"/>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F53" w:rsidP="0048020B">
      <w:r>
        <w:separator/>
      </w:r>
    </w:p>
  </w:endnote>
  <w:endnote w:type="continuationSeparator" w:id="1">
    <w:p w:rsidR="00E71F53" w:rsidP="0048020B">
      <w:r>
        <w:continuationSeparator/>
      </w:r>
    </w:p>
  </w:endnote>
  <w:endnote w:type="continuationNotice" w:id="2">
    <w:p w:rsidR="00E71F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F53" w:rsidP="0048020B">
      <w:r>
        <w:separator/>
      </w:r>
    </w:p>
  </w:footnote>
  <w:footnote w:type="continuationSeparator" w:id="1">
    <w:p w:rsidR="00E71F53" w:rsidP="0048020B">
      <w:r>
        <w:continuationSeparator/>
      </w:r>
    </w:p>
  </w:footnote>
  <w:footnote w:type="continuationNotice" w:id="2">
    <w:p w:rsidR="00E71F53" w:rsidRPr="00497326" w:rsidP="00497326">
      <w:pPr>
        <w:spacing w:line="14" w:lineRule="exact"/>
        <w:rPr>
          <w:sz w:val="2"/>
        </w:rPr>
      </w:pPr>
    </w:p>
  </w:footnote>
  <w:footnote w:id="3">
    <w:p w:rsidR="00C17DF9" w:rsidRPr="00F67394" w:rsidP="00C17DF9">
      <w:pPr>
        <w:pStyle w:val="FootnoteText"/>
      </w:pPr>
      <w:r>
        <w:rPr>
          <w:rStyle w:val="FootnoteReference"/>
        </w:rPr>
        <w:footnoteRef/>
      </w:r>
      <w:r>
        <w:t xml:space="preserve"> 16 U.S.C. §§ 824d, 824s.</w:t>
      </w:r>
    </w:p>
  </w:footnote>
  <w:footnote w:id="4">
    <w:p w:rsidR="00C17DF9" w:rsidP="00C17DF9">
      <w:pPr>
        <w:pStyle w:val="FootnoteText"/>
      </w:pPr>
      <w:r>
        <w:rPr>
          <w:rStyle w:val="FootnoteReference"/>
        </w:rPr>
        <w:footnoteRef/>
      </w:r>
      <w:r>
        <w:t xml:space="preserve"> 18 C.F.R. </w:t>
      </w:r>
      <w:r w:rsidR="00FA3DD8">
        <w:t xml:space="preserve">§ </w:t>
      </w:r>
      <w:r>
        <w:t>35</w:t>
      </w:r>
      <w:r w:rsidR="00FA3DD8">
        <w:t>.35(d)</w:t>
      </w:r>
      <w:r>
        <w:t xml:space="preserve"> (202</w:t>
      </w:r>
      <w:r w:rsidR="00A669F4">
        <w:t>3</w:t>
      </w:r>
      <w:r>
        <w:t>).</w:t>
      </w:r>
    </w:p>
  </w:footnote>
  <w:footnote w:id="5">
    <w:p w:rsidR="00C17DF9" w:rsidRPr="00F67394" w:rsidP="00C17DF9">
      <w:pPr>
        <w:pStyle w:val="FootnoteText"/>
      </w:pPr>
      <w:r>
        <w:rPr>
          <w:rStyle w:val="FootnoteReference"/>
        </w:rPr>
        <w:footnoteRef/>
      </w:r>
      <w:r>
        <w:t xml:space="preserve"> </w:t>
      </w:r>
      <w:r w:rsidRPr="003463D7">
        <w:rPr>
          <w:i/>
        </w:rPr>
        <w:t>Promoting Transmission Inv</w:t>
      </w:r>
      <w:r w:rsidR="003C6EDF">
        <w:rPr>
          <w:i/>
        </w:rPr>
        <w:t>.</w:t>
      </w:r>
      <w:r w:rsidRPr="003463D7">
        <w:rPr>
          <w:i/>
        </w:rPr>
        <w:t xml:space="preserve"> through Pricing Reform</w:t>
      </w:r>
      <w:r w:rsidRPr="003463D7">
        <w:t xml:space="preserve">, Order No. 679, 116 FERC ¶ 61,057, </w:t>
      </w:r>
      <w:r w:rsidRPr="003463D7">
        <w:rPr>
          <w:i/>
        </w:rPr>
        <w:t>order on reh’g</w:t>
      </w:r>
      <w:r w:rsidRPr="003463D7">
        <w:t xml:space="preserve">, Order No. 679-A, 117 FERC ¶ 61,345 (2006), </w:t>
      </w:r>
      <w:r w:rsidRPr="003463D7">
        <w:rPr>
          <w:i/>
        </w:rPr>
        <w:t>order on reh’g</w:t>
      </w:r>
      <w:r w:rsidRPr="003463D7">
        <w:t>, 119 FERC ¶ 61,062 (2007).</w:t>
      </w:r>
    </w:p>
  </w:footnote>
  <w:footnote w:id="6">
    <w:p w:rsidR="00683673">
      <w:pPr>
        <w:pStyle w:val="FootnoteText"/>
      </w:pPr>
      <w:r>
        <w:rPr>
          <w:rStyle w:val="FootnoteReference"/>
        </w:rPr>
        <w:footnoteRef/>
      </w:r>
      <w:r>
        <w:t xml:space="preserve"> </w:t>
      </w:r>
      <w:r w:rsidRPr="00AD06B8" w:rsidR="00843FA7">
        <w:rPr>
          <w:i/>
          <w:iCs/>
        </w:rPr>
        <w:t>Promoting Transmission Inv. Through Pricing Reform</w:t>
      </w:r>
      <w:r w:rsidRPr="00AD06B8" w:rsidR="00843FA7">
        <w:t>, 141 FERC ¶ 61,129 (2012) (Transmission Incentives Policy Statement).</w:t>
      </w:r>
    </w:p>
  </w:footnote>
  <w:footnote w:id="7">
    <w:p w:rsidR="00FE0AF5" w:rsidP="007061D5">
      <w:pPr>
        <w:pStyle w:val="FootnoteText"/>
      </w:pPr>
      <w:r w:rsidRPr="00BE6376">
        <w:rPr>
          <w:rStyle w:val="FootnoteReference"/>
        </w:rPr>
        <w:footnoteRef/>
      </w:r>
      <w:r w:rsidRPr="00BE6376">
        <w:t xml:space="preserve"> </w:t>
      </w:r>
      <w:r w:rsidRPr="00BE6376" w:rsidR="007061D5">
        <w:t xml:space="preserve">NYISO, Filing, Docket No. ER24-1967-000, (filed May 8, 2024) (RG&amp;E Filing); NYISO, Filing, Docket No. ER24-1968-000, (filed May 8, 2024) (NYSEG Filing).  </w:t>
      </w:r>
      <w:r w:rsidRPr="00BE6376" w:rsidR="0074657B">
        <w:t xml:space="preserve">Because </w:t>
      </w:r>
      <w:r w:rsidRPr="00BE6376" w:rsidR="00EE34D2">
        <w:t xml:space="preserve">NYISO files the same transmittal letter and </w:t>
      </w:r>
      <w:r w:rsidRPr="00BE6376" w:rsidR="007A3311">
        <w:t>attachment</w:t>
      </w:r>
      <w:r w:rsidRPr="00BE6376" w:rsidR="00CC3FA7">
        <w:t>s</w:t>
      </w:r>
      <w:r w:rsidRPr="00BE6376" w:rsidR="00573722">
        <w:t xml:space="preserve"> A</w:t>
      </w:r>
      <w:r w:rsidRPr="00BE6376" w:rsidR="00820C6D">
        <w:t xml:space="preserve">-D in each docket, </w:t>
      </w:r>
      <w:r w:rsidRPr="00BE6376" w:rsidR="0012149B">
        <w:t xml:space="preserve">our references to </w:t>
      </w:r>
      <w:r w:rsidRPr="00BE6376" w:rsidR="002929E6">
        <w:t xml:space="preserve">“Filing” and those attachments throughout refer to </w:t>
      </w:r>
      <w:r w:rsidRPr="00BE6376" w:rsidR="00744D48">
        <w:t>those filed in both dockets.</w:t>
      </w:r>
    </w:p>
  </w:footnote>
  <w:footnote w:id="8">
    <w:p w:rsidR="0095580D" w:rsidRPr="0095580D">
      <w:pPr>
        <w:pStyle w:val="FootnoteText"/>
      </w:pPr>
      <w:r>
        <w:rPr>
          <w:rStyle w:val="FootnoteReference"/>
        </w:rPr>
        <w:footnoteRef/>
      </w:r>
      <w:r>
        <w:t xml:space="preserve"> </w:t>
      </w:r>
      <w:r w:rsidR="00013A37">
        <w:rPr>
          <w:i/>
          <w:iCs/>
        </w:rPr>
        <w:t>See</w:t>
      </w:r>
      <w:r w:rsidR="00013A37">
        <w:t xml:space="preserve"> NYISO, </w:t>
      </w:r>
      <w:r w:rsidRPr="00AB33AA" w:rsidR="00013A37">
        <w:t>NYISO Tariffs</w:t>
      </w:r>
      <w:r w:rsidR="00013A37">
        <w:t xml:space="preserve">, </w:t>
      </w:r>
      <w:r w:rsidRPr="00EE2522" w:rsidR="00013A37">
        <w:t xml:space="preserve">NYISO OATT, </w:t>
      </w:r>
      <w:r w:rsidR="00013A37">
        <w:t xml:space="preserve">§ </w:t>
      </w:r>
      <w:r w:rsidRPr="00EE2522" w:rsidR="00013A37">
        <w:t xml:space="preserve">6.19.7.2.2 OATT </w:t>
      </w:r>
      <w:r w:rsidR="00013A37">
        <w:t>(</w:t>
      </w:r>
      <w:r w:rsidRPr="00EE2522" w:rsidR="00013A37">
        <w:t>Schedule 19 - Rochester Gas and Electric Cor</w:t>
      </w:r>
      <w:r w:rsidR="00013A37">
        <w:t>poration</w:t>
      </w:r>
      <w:r w:rsidRPr="00EE2522" w:rsidR="00013A37">
        <w:t xml:space="preserve"> (3.0.0)</w:t>
      </w:r>
      <w:r w:rsidR="00013A37">
        <w:t xml:space="preserve">; NYISO, </w:t>
      </w:r>
      <w:r w:rsidRPr="002F00AC" w:rsidR="00013A37">
        <w:t>NYISO Tariffs</w:t>
      </w:r>
      <w:r w:rsidR="00013A37">
        <w:t xml:space="preserve">, </w:t>
      </w:r>
      <w:r w:rsidRPr="00EE2522" w:rsidR="00013A37">
        <w:t xml:space="preserve">NYISO OATT, </w:t>
      </w:r>
      <w:r w:rsidR="00013A37">
        <w:t xml:space="preserve">§ </w:t>
      </w:r>
      <w:r w:rsidRPr="00EE2522" w:rsidR="00013A37">
        <w:t xml:space="preserve">6.19.6.2.2 OATT </w:t>
      </w:r>
      <w:r w:rsidR="00013A37">
        <w:t>(</w:t>
      </w:r>
      <w:r w:rsidRPr="00EE2522" w:rsidR="00013A37">
        <w:t>Schedule 19 - New York State Electric and Ga</w:t>
      </w:r>
      <w:r w:rsidR="00013A37">
        <w:t>s)</w:t>
      </w:r>
      <w:r w:rsidRPr="00EE2522" w:rsidR="00013A37">
        <w:t xml:space="preserve"> (3.0.0)</w:t>
      </w:r>
      <w:r w:rsidR="00013A37">
        <w:t>.</w:t>
      </w:r>
    </w:p>
  </w:footnote>
  <w:footnote w:id="9">
    <w:p w:rsidR="00E27F9B">
      <w:pPr>
        <w:pStyle w:val="FootnoteText"/>
      </w:pPr>
      <w:r>
        <w:rPr>
          <w:rStyle w:val="FootnoteReference"/>
        </w:rPr>
        <w:footnoteRef/>
      </w:r>
      <w:r>
        <w:t xml:space="preserve"> </w:t>
      </w:r>
      <w:r w:rsidR="00DC0C52">
        <w:t xml:space="preserve">N.Y. </w:t>
      </w:r>
      <w:r w:rsidRPr="00F6709D" w:rsidR="00DC0C52">
        <w:t>Pu</w:t>
      </w:r>
      <w:r w:rsidR="00DC0C52">
        <w:t>b.</w:t>
      </w:r>
      <w:r w:rsidRPr="00F6709D" w:rsidR="00DC0C52">
        <w:t xml:space="preserve"> Serv</w:t>
      </w:r>
      <w:r w:rsidR="00DC0C52">
        <w:t>.</w:t>
      </w:r>
      <w:r w:rsidRPr="00F6709D" w:rsidR="00DC0C52">
        <w:t xml:space="preserve"> Law Ch. 48, </w:t>
      </w:r>
      <w:r w:rsidR="00013A37">
        <w:t>a</w:t>
      </w:r>
      <w:r w:rsidRPr="00F6709D" w:rsidR="00DC0C52">
        <w:t>rt. VII</w:t>
      </w:r>
      <w:r>
        <w:t>.</w:t>
      </w:r>
    </w:p>
  </w:footnote>
  <w:footnote w:id="10">
    <w:p w:rsidR="00810D4B" w:rsidP="00810D4B">
      <w:pPr>
        <w:pStyle w:val="FootnoteText"/>
      </w:pPr>
      <w:r>
        <w:rPr>
          <w:rStyle w:val="FootnoteReference"/>
        </w:rPr>
        <w:footnoteRef/>
      </w:r>
      <w:r>
        <w:t xml:space="preserve"> </w:t>
      </w:r>
      <w:r w:rsidR="00234295">
        <w:t xml:space="preserve">Filing </w:t>
      </w:r>
      <w:r>
        <w:t>at 3.</w:t>
      </w:r>
    </w:p>
  </w:footnote>
  <w:footnote w:id="11">
    <w:p w:rsidR="004646F5" w:rsidRPr="004F2207">
      <w:pPr>
        <w:pStyle w:val="FootnoteText"/>
        <w:rPr>
          <w:i/>
          <w:iCs/>
        </w:rPr>
      </w:pPr>
      <w:r>
        <w:rPr>
          <w:rStyle w:val="FootnoteReference"/>
        </w:rPr>
        <w:footnoteRef/>
      </w:r>
      <w:r>
        <w:t xml:space="preserve"> </w:t>
      </w:r>
      <w:r>
        <w:rPr>
          <w:i/>
          <w:iCs/>
        </w:rPr>
        <w:t>Id.</w:t>
      </w:r>
      <w:r>
        <w:t xml:space="preserve"> at 6</w:t>
      </w:r>
      <w:r w:rsidR="00C079A4">
        <w:t>, 11</w:t>
      </w:r>
      <w:r>
        <w:t xml:space="preserve"> </w:t>
      </w:r>
      <w:r w:rsidRPr="00435E96">
        <w:t>&amp; attach. A</w:t>
      </w:r>
      <w:r w:rsidRPr="0071441F" w:rsidR="00E02161">
        <w:t xml:space="preserve"> (Direct Testimony of Alan Trotta)</w:t>
      </w:r>
      <w:r w:rsidRPr="00435E96">
        <w:t>, at 6</w:t>
      </w:r>
      <w:r w:rsidRPr="00435E96" w:rsidR="00E02161">
        <w:t xml:space="preserve"> (</w:t>
      </w:r>
      <w:r w:rsidRPr="0071441F" w:rsidR="00E02161">
        <w:t>Trotta Test.</w:t>
      </w:r>
      <w:r w:rsidRPr="00435E96" w:rsidR="00E02161">
        <w:t>)</w:t>
      </w:r>
      <w:r w:rsidRPr="00435E96" w:rsidR="004F2207">
        <w:t>;</w:t>
      </w:r>
      <w:r w:rsidR="004F2207">
        <w:t xml:space="preserve"> </w:t>
      </w:r>
      <w:r w:rsidR="00B979C8">
        <w:t xml:space="preserve"> </w:t>
      </w:r>
      <w:r w:rsidR="004F2207">
        <w:rPr>
          <w:i/>
          <w:iCs/>
        </w:rPr>
        <w:t xml:space="preserve">see also </w:t>
      </w:r>
      <w:r w:rsidR="0021594B">
        <w:rPr>
          <w:i/>
          <w:iCs/>
        </w:rPr>
        <w:t>i</w:t>
      </w:r>
      <w:r w:rsidR="00DE32E6">
        <w:rPr>
          <w:i/>
          <w:iCs/>
        </w:rPr>
        <w:t>d.</w:t>
      </w:r>
      <w:r w:rsidR="00DE32E6">
        <w:t xml:space="preserve"> </w:t>
      </w:r>
      <w:r w:rsidR="00C13514">
        <w:t>attach</w:t>
      </w:r>
      <w:r w:rsidR="006F6383">
        <w:t>.</w:t>
      </w:r>
      <w:r w:rsidR="00C13514">
        <w:t xml:space="preserve"> A</w:t>
      </w:r>
      <w:r w:rsidR="00831B1E">
        <w:t xml:space="preserve">, </w:t>
      </w:r>
      <w:r w:rsidR="00E229C6">
        <w:t>Ex. 1</w:t>
      </w:r>
      <w:r w:rsidR="00C13514">
        <w:t xml:space="preserve"> </w:t>
      </w:r>
      <w:r w:rsidR="001B7EE3">
        <w:t>(Order Approving Phase 2 Areas of Concern Transmission Upgrades</w:t>
      </w:r>
      <w:r w:rsidR="008370FB">
        <w:t>,</w:t>
      </w:r>
      <w:r w:rsidR="00E87E57">
        <w:t xml:space="preserve"> </w:t>
      </w:r>
      <w:r w:rsidR="001B7EE3">
        <w:t xml:space="preserve">Case </w:t>
      </w:r>
      <w:r w:rsidRPr="00443318" w:rsidR="004E348D">
        <w:t>20-E-0197</w:t>
      </w:r>
      <w:r w:rsidR="008370FB">
        <w:t xml:space="preserve"> </w:t>
      </w:r>
      <w:r w:rsidR="00945835">
        <w:t>(</w:t>
      </w:r>
      <w:r w:rsidR="008370FB">
        <w:t>New York Commission</w:t>
      </w:r>
      <w:r w:rsidR="00945835">
        <w:t xml:space="preserve"> Feb. 16, 2023)</w:t>
      </w:r>
      <w:r w:rsidRPr="00443318" w:rsidR="00443318">
        <w:t xml:space="preserve"> </w:t>
      </w:r>
      <w:r w:rsidRPr="00443318" w:rsidR="00443318">
        <w:t>(Phase 2 Order)</w:t>
      </w:r>
      <w:r w:rsidR="00E229C6">
        <w:t>)</w:t>
      </w:r>
      <w:r w:rsidRPr="00443318" w:rsidR="00443318">
        <w:t>.</w:t>
      </w:r>
      <w:r w:rsidRPr="00443318" w:rsidR="00443318">
        <w:rPr>
          <w:i/>
          <w:iCs/>
        </w:rPr>
        <w:t xml:space="preserve">  </w:t>
      </w:r>
    </w:p>
  </w:footnote>
  <w:footnote w:id="12">
    <w:p w:rsidR="000B4783">
      <w:pPr>
        <w:pStyle w:val="FootnoteText"/>
      </w:pPr>
      <w:r>
        <w:rPr>
          <w:rStyle w:val="FootnoteReference"/>
        </w:rPr>
        <w:footnoteRef/>
      </w:r>
      <w:r>
        <w:t xml:space="preserve"> </w:t>
      </w:r>
      <w:r w:rsidRPr="000B4783">
        <w:t xml:space="preserve">The Phase 2 Projects for which Applicants seek the CWIP and Abandoned Plant Incentives are listed in Appendix A.  </w:t>
      </w:r>
    </w:p>
  </w:footnote>
  <w:footnote w:id="13">
    <w:p w:rsidR="00D16502" w:rsidRPr="00E1444B" w:rsidP="00D16502">
      <w:pPr>
        <w:pStyle w:val="FootnoteText"/>
      </w:pPr>
      <w:r>
        <w:rPr>
          <w:rStyle w:val="FootnoteReference"/>
        </w:rPr>
        <w:footnoteRef/>
      </w:r>
      <w:r w:rsidRPr="007E055C">
        <w:t xml:space="preserve"> </w:t>
      </w:r>
      <w:r w:rsidR="008836BD">
        <w:rPr>
          <w:i/>
          <w:iCs/>
        </w:rPr>
        <w:t>Id.</w:t>
      </w:r>
      <w:r w:rsidRPr="007E055C" w:rsidR="008836BD">
        <w:t xml:space="preserve"> </w:t>
      </w:r>
      <w:r w:rsidRPr="007E055C">
        <w:t>at</w:t>
      </w:r>
      <w:r>
        <w:t xml:space="preserve"> 3-4.</w:t>
      </w:r>
    </w:p>
  </w:footnote>
  <w:footnote w:id="14">
    <w:p w:rsidR="00D16502" w:rsidP="00D16502">
      <w:pPr>
        <w:pStyle w:val="FootnoteText"/>
      </w:pPr>
      <w:r>
        <w:rPr>
          <w:rStyle w:val="FootnoteReference"/>
        </w:rPr>
        <w:footnoteRef/>
      </w:r>
      <w:r>
        <w:t xml:space="preserve"> </w:t>
      </w:r>
      <w:r>
        <w:rPr>
          <w:i/>
          <w:iCs/>
        </w:rPr>
        <w:t>Id.</w:t>
      </w:r>
      <w:r>
        <w:t xml:space="preserve"> at 4</w:t>
      </w:r>
      <w:r w:rsidRPr="00C7121E">
        <w:t xml:space="preserve">.  </w:t>
      </w:r>
    </w:p>
  </w:footnote>
  <w:footnote w:id="15">
    <w:p w:rsidR="00D16502" w:rsidP="00D16502">
      <w:pPr>
        <w:pStyle w:val="FootnoteText"/>
      </w:pPr>
      <w:r>
        <w:rPr>
          <w:rStyle w:val="FootnoteReference"/>
        </w:rPr>
        <w:footnoteRef/>
      </w:r>
      <w:r>
        <w:t xml:space="preserve"> </w:t>
      </w:r>
      <w:r w:rsidR="0015370B">
        <w:rPr>
          <w:i/>
          <w:iCs/>
        </w:rPr>
        <w:t>See i</w:t>
      </w:r>
      <w:r>
        <w:rPr>
          <w:i/>
          <w:iCs/>
        </w:rPr>
        <w:t>d.</w:t>
      </w:r>
      <w:r>
        <w:t xml:space="preserve"> (citing </w:t>
      </w:r>
      <w:r w:rsidRPr="00151BA8">
        <w:rPr>
          <w:i/>
          <w:iCs/>
        </w:rPr>
        <w:t>Ord</w:t>
      </w:r>
      <w:r w:rsidR="00AF197B">
        <w:rPr>
          <w:i/>
          <w:iCs/>
        </w:rPr>
        <w:t>.</w:t>
      </w:r>
      <w:r w:rsidRPr="00151BA8">
        <w:rPr>
          <w:i/>
          <w:iCs/>
        </w:rPr>
        <w:t xml:space="preserve"> on Transmission Plan</w:t>
      </w:r>
      <w:r w:rsidR="00AF197B">
        <w:rPr>
          <w:i/>
          <w:iCs/>
        </w:rPr>
        <w:t>.</w:t>
      </w:r>
      <w:r w:rsidRPr="00151BA8">
        <w:rPr>
          <w:i/>
          <w:iCs/>
        </w:rPr>
        <w:t xml:space="preserve"> Pursuant to the Accelerated Renewable Energy Growth </w:t>
      </w:r>
      <w:r w:rsidR="00805C81">
        <w:rPr>
          <w:i/>
          <w:iCs/>
        </w:rPr>
        <w:t>&amp;</w:t>
      </w:r>
      <w:r w:rsidRPr="00151BA8">
        <w:rPr>
          <w:i/>
          <w:iCs/>
        </w:rPr>
        <w:t xml:space="preserve"> C</w:t>
      </w:r>
      <w:r w:rsidR="00805C81">
        <w:rPr>
          <w:i/>
          <w:iCs/>
        </w:rPr>
        <w:t>mty.</w:t>
      </w:r>
      <w:r w:rsidRPr="00151BA8">
        <w:rPr>
          <w:i/>
          <w:iCs/>
        </w:rPr>
        <w:t xml:space="preserve"> Benefit Act</w:t>
      </w:r>
      <w:r w:rsidRPr="008D7C39">
        <w:t xml:space="preserve">, </w:t>
      </w:r>
      <w:r w:rsidR="00752C20">
        <w:t>Case</w:t>
      </w:r>
      <w:r w:rsidRPr="008D7C39">
        <w:t xml:space="preserve"> </w:t>
      </w:r>
      <w:r w:rsidRPr="008D7C39">
        <w:t>20-E-0197, at 3 (N.Y. Pub. Serv. Comm’n, May 14, 2020)</w:t>
      </w:r>
      <w:r>
        <w:t>)</w:t>
      </w:r>
      <w:r w:rsidRPr="008D7C39">
        <w:t xml:space="preserve">.  </w:t>
      </w:r>
    </w:p>
  </w:footnote>
  <w:footnote w:id="16">
    <w:p w:rsidR="00D16502" w:rsidRPr="00296837" w:rsidP="00D16502">
      <w:pPr>
        <w:pStyle w:val="FootnoteText"/>
      </w:pPr>
      <w:r>
        <w:rPr>
          <w:rStyle w:val="FootnoteReference"/>
        </w:rPr>
        <w:footnoteRef/>
      </w:r>
      <w:r>
        <w:t xml:space="preserve"> </w:t>
      </w:r>
      <w:r>
        <w:rPr>
          <w:i/>
          <w:iCs/>
        </w:rPr>
        <w:t>Id.</w:t>
      </w:r>
      <w:r>
        <w:t xml:space="preserve"> at 4-5.</w:t>
      </w:r>
    </w:p>
  </w:footnote>
  <w:footnote w:id="17">
    <w:p w:rsidR="00D16502" w:rsidP="00D16502">
      <w:pPr>
        <w:pStyle w:val="FootnoteText"/>
      </w:pPr>
      <w:r>
        <w:rPr>
          <w:rStyle w:val="FootnoteReference"/>
        </w:rPr>
        <w:footnoteRef/>
      </w:r>
      <w:r>
        <w:t xml:space="preserve"> </w:t>
      </w:r>
      <w:r>
        <w:rPr>
          <w:i/>
          <w:iCs/>
        </w:rPr>
        <w:t>Id.</w:t>
      </w:r>
      <w:r>
        <w:t xml:space="preserve"> at 5 (citing </w:t>
      </w:r>
      <w:r w:rsidRPr="007662E6">
        <w:rPr>
          <w:i/>
          <w:iCs/>
        </w:rPr>
        <w:t>Ord</w:t>
      </w:r>
      <w:r w:rsidR="003C6EDF">
        <w:rPr>
          <w:i/>
          <w:iCs/>
        </w:rPr>
        <w:t>.</w:t>
      </w:r>
      <w:r w:rsidRPr="007662E6">
        <w:rPr>
          <w:i/>
          <w:iCs/>
        </w:rPr>
        <w:t xml:space="preserve"> on Loc</w:t>
      </w:r>
      <w:r w:rsidR="00805C81">
        <w:rPr>
          <w:i/>
          <w:iCs/>
        </w:rPr>
        <w:t>.</w:t>
      </w:r>
      <w:r w:rsidRPr="007662E6">
        <w:rPr>
          <w:i/>
          <w:iCs/>
        </w:rPr>
        <w:t xml:space="preserve"> Transmission </w:t>
      </w:r>
      <w:r w:rsidR="00805C81">
        <w:rPr>
          <w:i/>
          <w:iCs/>
        </w:rPr>
        <w:t>&amp;</w:t>
      </w:r>
      <w:r w:rsidRPr="007662E6">
        <w:rPr>
          <w:i/>
          <w:iCs/>
        </w:rPr>
        <w:t xml:space="preserve"> Distrib</w:t>
      </w:r>
      <w:r w:rsidR="00805C81">
        <w:rPr>
          <w:i/>
          <w:iCs/>
        </w:rPr>
        <w:t>.</w:t>
      </w:r>
      <w:r w:rsidRPr="007662E6">
        <w:rPr>
          <w:i/>
          <w:iCs/>
        </w:rPr>
        <w:t xml:space="preserve"> Plan</w:t>
      </w:r>
      <w:r w:rsidR="00805C81">
        <w:rPr>
          <w:i/>
          <w:iCs/>
        </w:rPr>
        <w:t>.</w:t>
      </w:r>
      <w:r w:rsidRPr="007662E6">
        <w:rPr>
          <w:i/>
          <w:iCs/>
        </w:rPr>
        <w:t xml:space="preserve"> Process </w:t>
      </w:r>
      <w:r w:rsidR="00805C81">
        <w:rPr>
          <w:i/>
          <w:iCs/>
        </w:rPr>
        <w:t>&amp;</w:t>
      </w:r>
      <w:r w:rsidRPr="007662E6">
        <w:rPr>
          <w:i/>
          <w:iCs/>
        </w:rPr>
        <w:t xml:space="preserve"> Phase 2 Project Proposals</w:t>
      </w:r>
      <w:r w:rsidRPr="00296837">
        <w:t xml:space="preserve">, </w:t>
      </w:r>
      <w:r w:rsidR="00752C20">
        <w:t>Case</w:t>
      </w:r>
      <w:r w:rsidRPr="00296837">
        <w:t xml:space="preserve"> </w:t>
      </w:r>
      <w:r w:rsidRPr="00296837">
        <w:t>20-E-0197,</w:t>
      </w:r>
      <w:r>
        <w:t xml:space="preserve"> at 34</w:t>
      </w:r>
      <w:r w:rsidR="00AA1291">
        <w:t xml:space="preserve"> &amp;</w:t>
      </w:r>
      <w:r>
        <w:t xml:space="preserve"> </w:t>
      </w:r>
      <w:r w:rsidR="00252A75">
        <w:t>Ordering P 6</w:t>
      </w:r>
      <w:r>
        <w:t xml:space="preserve"> </w:t>
      </w:r>
      <w:r w:rsidRPr="00296837">
        <w:t>(N.Y. Pub. Serv. Comm’n, Sept. 9, 2021)</w:t>
      </w:r>
      <w:r>
        <w:t>)</w:t>
      </w:r>
      <w:r w:rsidRPr="00296837">
        <w:t xml:space="preserve">.  </w:t>
      </w:r>
    </w:p>
  </w:footnote>
  <w:footnote w:id="18">
    <w:p w:rsidR="00D16502" w:rsidP="00D16502">
      <w:pPr>
        <w:pStyle w:val="FootnoteText"/>
      </w:pPr>
      <w:r>
        <w:rPr>
          <w:rStyle w:val="FootnoteReference"/>
        </w:rPr>
        <w:footnoteRef/>
      </w:r>
      <w:r>
        <w:t xml:space="preserve"> </w:t>
      </w:r>
      <w:r w:rsidR="00AA1291">
        <w:rPr>
          <w:i/>
          <w:iCs/>
        </w:rPr>
        <w:t>Id.</w:t>
      </w:r>
      <w:r w:rsidR="00AA1291">
        <w:t xml:space="preserve">; </w:t>
      </w:r>
      <w:r w:rsidRPr="00651FEE" w:rsidR="00AA1291">
        <w:rPr>
          <w:i/>
        </w:rPr>
        <w:t xml:space="preserve">see </w:t>
      </w:r>
      <w:r w:rsidRPr="00651FEE" w:rsidR="00AA1291">
        <w:rPr>
          <w:i/>
          <w:iCs/>
        </w:rPr>
        <w:t>also</w:t>
      </w:r>
      <w:r w:rsidRPr="00651FEE">
        <w:t xml:space="preserve"> </w:t>
      </w:r>
      <w:r w:rsidRPr="00651FEE" w:rsidR="00651FEE">
        <w:t>Phase 2</w:t>
      </w:r>
      <w:r w:rsidR="00651FEE">
        <w:t xml:space="preserve"> Order</w:t>
      </w:r>
      <w:r w:rsidR="00BB2DDC">
        <w:t xml:space="preserve"> &amp; </w:t>
      </w:r>
      <w:r w:rsidR="00013A37">
        <w:t>a</w:t>
      </w:r>
      <w:r w:rsidR="00BB2DDC">
        <w:t>pp</w:t>
      </w:r>
      <w:r w:rsidR="00651FEE">
        <w:t>.</w:t>
      </w:r>
    </w:p>
  </w:footnote>
  <w:footnote w:id="19">
    <w:p w:rsidR="00D43D37" w:rsidP="00D43D37">
      <w:pPr>
        <w:pStyle w:val="FootnoteText"/>
      </w:pPr>
      <w:r>
        <w:rPr>
          <w:rStyle w:val="FootnoteReference"/>
        </w:rPr>
        <w:footnoteRef/>
      </w:r>
      <w:r>
        <w:t xml:space="preserve"> </w:t>
      </w:r>
      <w:r w:rsidR="00244FB2">
        <w:t>Filing at 5</w:t>
      </w:r>
      <w:r>
        <w:t xml:space="preserve">; </w:t>
      </w:r>
      <w:r>
        <w:rPr>
          <w:i/>
          <w:iCs/>
        </w:rPr>
        <w:t>see also</w:t>
      </w:r>
      <w:r w:rsidRPr="00E17AD0">
        <w:t xml:space="preserve"> </w:t>
      </w:r>
      <w:r w:rsidRPr="006E6D60">
        <w:rPr>
          <w:i/>
          <w:iCs/>
        </w:rPr>
        <w:t>Consol. Edison Co. of N.Y.</w:t>
      </w:r>
      <w:r w:rsidRPr="006E6D60">
        <w:t>, 180 FERC ¶ 61,106, at P 2 (2022)</w:t>
      </w:r>
      <w:r>
        <w:t xml:space="preserve"> (approving filing of the CSRA).  </w:t>
      </w:r>
    </w:p>
  </w:footnote>
  <w:footnote w:id="20">
    <w:p w:rsidR="00D43D37">
      <w:pPr>
        <w:pStyle w:val="FootnoteText"/>
      </w:pPr>
      <w:r>
        <w:rPr>
          <w:rStyle w:val="FootnoteReference"/>
        </w:rPr>
        <w:footnoteRef/>
      </w:r>
      <w:r>
        <w:t xml:space="preserve"> </w:t>
      </w:r>
      <w:r w:rsidR="00CB2FB5">
        <w:t>Filing</w:t>
      </w:r>
      <w:r>
        <w:t xml:space="preserve"> at 6 (citing </w:t>
      </w:r>
      <w:r w:rsidRPr="0073496D">
        <w:rPr>
          <w:i/>
          <w:iCs/>
        </w:rPr>
        <w:t>Order Addressing Ratemaking for Areas of Concern Transmission Upgrades</w:t>
      </w:r>
      <w:r w:rsidRPr="00E17AD0">
        <w:t xml:space="preserve">, </w:t>
      </w:r>
      <w:r w:rsidR="00752C20">
        <w:t>Case</w:t>
      </w:r>
      <w:r w:rsidRPr="00E17AD0">
        <w:t xml:space="preserve"> 20-E-0197</w:t>
      </w:r>
      <w:r>
        <w:t xml:space="preserve"> </w:t>
      </w:r>
      <w:r w:rsidRPr="00E17AD0">
        <w:t>(N.Y. Pub. Serv. Comm’n, Apr.</w:t>
      </w:r>
      <w:r>
        <w:t xml:space="preserve"> </w:t>
      </w:r>
      <w:r w:rsidRPr="00E17AD0">
        <w:t>19, 2024)</w:t>
      </w:r>
      <w:r>
        <w:t>)</w:t>
      </w:r>
      <w:r w:rsidR="00E05A4E">
        <w:t>.</w:t>
      </w:r>
    </w:p>
  </w:footnote>
  <w:footnote w:id="21">
    <w:p w:rsidR="009505BF" w:rsidRPr="00184DDA">
      <w:pPr>
        <w:pStyle w:val="FootnoteText"/>
      </w:pPr>
      <w:r>
        <w:rPr>
          <w:rStyle w:val="FootnoteReference"/>
        </w:rPr>
        <w:footnoteRef/>
      </w:r>
      <w:r>
        <w:t xml:space="preserve"> </w:t>
      </w:r>
      <w:r w:rsidR="00184DDA">
        <w:rPr>
          <w:i/>
          <w:iCs/>
        </w:rPr>
        <w:t>Id.</w:t>
      </w:r>
      <w:r w:rsidR="00184DDA">
        <w:t xml:space="preserve"> </w:t>
      </w:r>
      <w:r w:rsidR="000B2008">
        <w:t>(</w:t>
      </w:r>
      <w:r w:rsidR="00314009">
        <w:t>citing</w:t>
      </w:r>
      <w:r w:rsidR="000B2008">
        <w:t xml:space="preserve"> </w:t>
      </w:r>
      <w:r w:rsidRPr="0093001D" w:rsidR="0093001D">
        <w:rPr>
          <w:i/>
          <w:iCs/>
        </w:rPr>
        <w:t>N.Y. State Elec. &amp; Gas Corp</w:t>
      </w:r>
      <w:r w:rsidR="0093001D">
        <w:rPr>
          <w:i/>
          <w:iCs/>
        </w:rPr>
        <w:t>.</w:t>
      </w:r>
      <w:r w:rsidRPr="0093001D" w:rsidR="0093001D">
        <w:t>, 185 FERC ¶ 61,164 (2023)</w:t>
      </w:r>
      <w:r w:rsidR="0093001D">
        <w:t>)</w:t>
      </w:r>
      <w:r w:rsidR="008D0F2B">
        <w:t>.  Applicants explain that</w:t>
      </w:r>
      <w:r w:rsidR="006D650C">
        <w:t xml:space="preserve"> </w:t>
      </w:r>
      <w:r w:rsidRPr="006D650C" w:rsidR="006D650C">
        <w:t>NYSEG</w:t>
      </w:r>
      <w:r w:rsidR="006D650C">
        <w:t>’</w:t>
      </w:r>
      <w:r w:rsidRPr="006D650C" w:rsidR="006D650C">
        <w:t>s formula rate template and associated protocols are set forth in Attachment 1 to Rate Schedule 19 of the NYISO OATT</w:t>
      </w:r>
      <w:r w:rsidR="0053183B">
        <w:t>,</w:t>
      </w:r>
      <w:r w:rsidR="006D650C">
        <w:t xml:space="preserve"> while </w:t>
      </w:r>
      <w:r w:rsidRPr="006D650C" w:rsidR="006D650C">
        <w:t xml:space="preserve">RG&amp;E’s formula rate template and associated protocols are set forth in Attachment 2 to Rate Schedule 19 </w:t>
      </w:r>
      <w:r w:rsidRPr="006D650C" w:rsidR="00013A37">
        <w:t xml:space="preserve">of the NYISO OATT.  </w:t>
      </w:r>
      <w:r w:rsidR="00013A37">
        <w:rPr>
          <w:i/>
          <w:iCs/>
        </w:rPr>
        <w:t>Id.</w:t>
      </w:r>
      <w:r w:rsidR="00013A37">
        <w:t xml:space="preserve"> (referencing NYISO, NYISO Tariffs, </w:t>
      </w:r>
      <w:r w:rsidRPr="00EE2522" w:rsidR="00013A37">
        <w:t xml:space="preserve">NYISO OATT, </w:t>
      </w:r>
      <w:r w:rsidR="00013A37">
        <w:t xml:space="preserve">§§ </w:t>
      </w:r>
      <w:r w:rsidRPr="00EE2522" w:rsidR="00013A37">
        <w:t>6.19.6-6.19.6.2.1</w:t>
      </w:r>
      <w:r w:rsidR="00013A37">
        <w:t xml:space="preserve"> </w:t>
      </w:r>
      <w:r w:rsidRPr="00EE2522" w:rsidR="00013A37">
        <w:t>Schedule 1</w:t>
      </w:r>
      <w:r w:rsidR="00013A37">
        <w:t xml:space="preserve"> (a</w:t>
      </w:r>
      <w:r w:rsidRPr="00EE2522" w:rsidR="00013A37">
        <w:t>ttach</w:t>
      </w:r>
      <w:r w:rsidR="00013A37">
        <w:t>.</w:t>
      </w:r>
      <w:r w:rsidRPr="00EE2522" w:rsidR="00013A37">
        <w:t xml:space="preserve"> 1 – Rate Mecha</w:t>
      </w:r>
      <w:r w:rsidR="00013A37">
        <w:t xml:space="preserve">nism </w:t>
      </w:r>
      <w:r w:rsidRPr="00EE2522" w:rsidR="00013A37">
        <w:t>(2.0.0)</w:t>
      </w:r>
      <w:r w:rsidR="00013A37">
        <w:t>)</w:t>
      </w:r>
      <w:r w:rsidRPr="001669B0" w:rsidR="00013A37">
        <w:t xml:space="preserve">; </w:t>
      </w:r>
      <w:r w:rsidR="00013A37">
        <w:t xml:space="preserve">NYISO, NYISO Tariffs, </w:t>
      </w:r>
      <w:r w:rsidRPr="00EE2522" w:rsidR="00013A37">
        <w:t xml:space="preserve">NYISO OATT, </w:t>
      </w:r>
      <w:r w:rsidR="00013A37">
        <w:t xml:space="preserve">§§ </w:t>
      </w:r>
      <w:r w:rsidRPr="00EE2522" w:rsidR="00013A37">
        <w:t xml:space="preserve">6.19.7-6.19.7.2.1 </w:t>
      </w:r>
      <w:r w:rsidR="00013A37">
        <w:t>(</w:t>
      </w:r>
      <w:r w:rsidRPr="00EE2522" w:rsidR="00013A37">
        <w:t>Schedule 19– Rate Mecha</w:t>
      </w:r>
      <w:r w:rsidR="00013A37">
        <w:t>nism)</w:t>
      </w:r>
      <w:r w:rsidRPr="00EE2522" w:rsidR="00013A37">
        <w:t xml:space="preserve"> (2.0.0)</w:t>
      </w:r>
      <w:r w:rsidR="00013A37">
        <w:t>).</w:t>
      </w:r>
    </w:p>
  </w:footnote>
  <w:footnote w:id="22">
    <w:p w:rsidR="0072419A">
      <w:pPr>
        <w:pStyle w:val="FootnoteText"/>
      </w:pPr>
      <w:r>
        <w:rPr>
          <w:rStyle w:val="FootnoteReference"/>
        </w:rPr>
        <w:footnoteRef/>
      </w:r>
      <w:r>
        <w:t xml:space="preserve"> </w:t>
      </w:r>
      <w:r w:rsidRPr="00E156D2">
        <w:rPr>
          <w:i/>
        </w:rPr>
        <w:t>See</w:t>
      </w:r>
      <w:r>
        <w:t xml:space="preserve"> Appendix A for a listing of Applicants’ 33 Phase 2 Projects for which they seek the CWIP Incentive and Abandoned Plant Inc</w:t>
      </w:r>
      <w:r w:rsidR="00CD5273">
        <w:t>en</w:t>
      </w:r>
      <w:r>
        <w:t>tive.</w:t>
      </w:r>
    </w:p>
  </w:footnote>
  <w:footnote w:id="23">
    <w:p w:rsidR="00342A9F" w:rsidP="00342A9F">
      <w:pPr>
        <w:pStyle w:val="FootnoteText"/>
      </w:pPr>
      <w:r>
        <w:rPr>
          <w:rStyle w:val="FootnoteReference"/>
        </w:rPr>
        <w:footnoteRef/>
      </w:r>
      <w:r>
        <w:t xml:space="preserve"> </w:t>
      </w:r>
      <w:r>
        <w:rPr>
          <w:i/>
          <w:iCs/>
        </w:rPr>
        <w:t>Id.</w:t>
      </w:r>
      <w:r>
        <w:t xml:space="preserve"> at 1-2, 18-19, 21.</w:t>
      </w:r>
    </w:p>
  </w:footnote>
  <w:footnote w:id="24">
    <w:p w:rsidR="00F7483A" w:rsidP="00F7483A">
      <w:pPr>
        <w:pStyle w:val="FootnoteText"/>
      </w:pPr>
      <w:r>
        <w:rPr>
          <w:rStyle w:val="FootnoteReference"/>
        </w:rPr>
        <w:footnoteRef/>
      </w:r>
      <w:r>
        <w:t xml:space="preserve"> </w:t>
      </w:r>
      <w:r w:rsidRPr="007914BE">
        <w:t xml:space="preserve">The Phase 2 Projects that Applicants state are subject to additional Article VII Approval are listed in Appendix B.  </w:t>
      </w:r>
    </w:p>
  </w:footnote>
  <w:footnote w:id="25">
    <w:p w:rsidR="00F7483A" w:rsidP="00F7483A">
      <w:pPr>
        <w:pStyle w:val="FootnoteText"/>
      </w:pPr>
      <w:r>
        <w:rPr>
          <w:rStyle w:val="FootnoteReference"/>
        </w:rPr>
        <w:footnoteRef/>
      </w:r>
      <w:r>
        <w:t xml:space="preserve"> </w:t>
      </w:r>
      <w:r w:rsidRPr="009B7B19">
        <w:t>The Phase 2 Projects that Applicants state are not subject to additional Article VII Approval are listed in Appendix C.</w:t>
      </w:r>
    </w:p>
  </w:footnote>
  <w:footnote w:id="26">
    <w:p w:rsidR="009273E3" w:rsidP="009273E3">
      <w:pPr>
        <w:pStyle w:val="FootnoteText"/>
      </w:pPr>
      <w:r>
        <w:rPr>
          <w:rStyle w:val="FootnoteReference"/>
        </w:rPr>
        <w:footnoteRef/>
      </w:r>
      <w:r>
        <w:t xml:space="preserve"> </w:t>
      </w:r>
      <w:r w:rsidRPr="0065168B">
        <w:rPr>
          <w:szCs w:val="26"/>
        </w:rPr>
        <w:t>Energy Policy Act of 2005, Pub. L. No. 109-58, § 1241, 119 Stat. 594 (2005).</w:t>
      </w:r>
    </w:p>
  </w:footnote>
  <w:footnote w:id="27">
    <w:p w:rsidR="009273E3" w:rsidP="009273E3">
      <w:pPr>
        <w:pStyle w:val="FootnoteText"/>
      </w:pPr>
      <w:r>
        <w:rPr>
          <w:rStyle w:val="FootnoteReference"/>
        </w:rPr>
        <w:footnoteRef/>
      </w:r>
      <w:r>
        <w:t xml:space="preserve"> </w:t>
      </w:r>
      <w:r w:rsidRPr="00AD06B8" w:rsidR="0061102C">
        <w:t>Transmission Incentives Policy Statement</w:t>
      </w:r>
      <w:r w:rsidR="002F5AF4">
        <w:t>,</w:t>
      </w:r>
      <w:r w:rsidRPr="00AD06B8">
        <w:rPr>
          <w:i/>
        </w:rPr>
        <w:t xml:space="preserve"> </w:t>
      </w:r>
      <w:r w:rsidRPr="00AD06B8" w:rsidR="00AD06B8">
        <w:t>141 FERC ¶ 61,129.</w:t>
      </w:r>
    </w:p>
  </w:footnote>
  <w:footnote w:id="28">
    <w:p w:rsidR="009273E3" w:rsidP="009273E3">
      <w:pPr>
        <w:pStyle w:val="FootnoteText"/>
      </w:pPr>
      <w:r>
        <w:rPr>
          <w:rStyle w:val="FootnoteReference"/>
        </w:rPr>
        <w:footnoteRef/>
      </w:r>
      <w:r>
        <w:t xml:space="preserve"> </w:t>
      </w:r>
      <w:r w:rsidRPr="003C6954">
        <w:t xml:space="preserve">Order No. 679, 116 FERC ¶ 61,057 at P 76.  </w:t>
      </w:r>
    </w:p>
  </w:footnote>
  <w:footnote w:id="29">
    <w:p w:rsidR="009273E3" w:rsidRPr="003C6954" w:rsidP="009273E3">
      <w:pPr>
        <w:pStyle w:val="FootnoteText"/>
      </w:pPr>
      <w:r>
        <w:rPr>
          <w:rStyle w:val="FootnoteReference"/>
        </w:rPr>
        <w:footnoteRef/>
      </w:r>
      <w:r>
        <w:t xml:space="preserve"> </w:t>
      </w:r>
      <w:r>
        <w:rPr>
          <w:i/>
          <w:iCs/>
        </w:rPr>
        <w:t>Id.</w:t>
      </w:r>
      <w:r>
        <w:t xml:space="preserve"> P 58.  </w:t>
      </w:r>
    </w:p>
  </w:footnote>
  <w:footnote w:id="30">
    <w:p w:rsidR="009273E3" w:rsidP="009273E3">
      <w:pPr>
        <w:pStyle w:val="FootnoteText"/>
      </w:pPr>
      <w:r>
        <w:rPr>
          <w:rStyle w:val="FootnoteReference"/>
        </w:rPr>
        <w:footnoteRef/>
      </w:r>
      <w:r>
        <w:t xml:space="preserve"> </w:t>
      </w:r>
      <w:r w:rsidRPr="00EF1D0D">
        <w:rPr>
          <w:i/>
          <w:iCs/>
        </w:rPr>
        <w:t>Id</w:t>
      </w:r>
      <w:r w:rsidRPr="00EF1D0D">
        <w:t>. P 57; </w:t>
      </w:r>
      <w:r w:rsidRPr="00EF1D0D">
        <w:rPr>
          <w:i/>
          <w:iCs/>
        </w:rPr>
        <w:t>see also</w:t>
      </w:r>
      <w:r w:rsidRPr="00EF1D0D">
        <w:t> Order No. 679-A, </w:t>
      </w:r>
      <w:r w:rsidRPr="00D32F82">
        <w:t>117 FERC ¶ 61,345 at P 41</w:t>
      </w:r>
      <w:r w:rsidRPr="00EF1D0D">
        <w:t>.</w:t>
      </w:r>
    </w:p>
  </w:footnote>
  <w:footnote w:id="31">
    <w:p w:rsidR="00A447CE" w:rsidRPr="00635DD1" w:rsidP="00A447CE">
      <w:pPr>
        <w:pStyle w:val="FootnoteText"/>
      </w:pPr>
      <w:r>
        <w:rPr>
          <w:rStyle w:val="FootnoteReference"/>
        </w:rPr>
        <w:footnoteRef/>
      </w:r>
      <w:r>
        <w:t xml:space="preserve"> </w:t>
      </w:r>
      <w:r w:rsidR="002F351B">
        <w:t>Filing</w:t>
      </w:r>
      <w:r>
        <w:t xml:space="preserve"> at 7.</w:t>
      </w:r>
    </w:p>
  </w:footnote>
  <w:footnote w:id="32">
    <w:p w:rsidR="008A570D" w:rsidRPr="002F351B">
      <w:pPr>
        <w:pStyle w:val="FootnoteText"/>
      </w:pPr>
      <w:r>
        <w:rPr>
          <w:rStyle w:val="FootnoteReference"/>
        </w:rPr>
        <w:footnoteRef/>
      </w:r>
      <w:r>
        <w:t xml:space="preserve"> </w:t>
      </w:r>
      <w:r w:rsidR="002F351B">
        <w:rPr>
          <w:i/>
          <w:iCs/>
        </w:rPr>
        <w:t>Id.</w:t>
      </w:r>
      <w:r w:rsidR="00BC5BCC">
        <w:rPr>
          <w:i/>
          <w:iCs/>
        </w:rPr>
        <w:t xml:space="preserve"> </w:t>
      </w:r>
      <w:r w:rsidR="002F351B">
        <w:t>at 8 (citing Phase 2 Order</w:t>
      </w:r>
      <w:r w:rsidR="00DC1985">
        <w:t xml:space="preserve"> at 34</w:t>
      </w:r>
      <w:r w:rsidR="002E64BA">
        <w:t>)</w:t>
      </w:r>
      <w:r w:rsidR="00DC1985">
        <w:t>.</w:t>
      </w:r>
    </w:p>
  </w:footnote>
  <w:footnote w:id="33">
    <w:p w:rsidR="009F033B" w:rsidRPr="0044261E">
      <w:pPr>
        <w:pStyle w:val="FootnoteText"/>
      </w:pPr>
      <w:r>
        <w:rPr>
          <w:rStyle w:val="FootnoteReference"/>
        </w:rPr>
        <w:footnoteRef/>
      </w:r>
      <w:r>
        <w:t xml:space="preserve"> </w:t>
      </w:r>
      <w:r w:rsidR="0044261E">
        <w:rPr>
          <w:i/>
          <w:iCs/>
        </w:rPr>
        <w:t>Id.</w:t>
      </w:r>
      <w:r w:rsidR="0044261E">
        <w:t xml:space="preserve"> (</w:t>
      </w:r>
      <w:r w:rsidR="0095388F">
        <w:t xml:space="preserve">quoting </w:t>
      </w:r>
      <w:r w:rsidR="007741C2">
        <w:t xml:space="preserve">Phase </w:t>
      </w:r>
      <w:r w:rsidR="0044261E">
        <w:t>2 Order at 43</w:t>
      </w:r>
      <w:r w:rsidR="0095388F">
        <w:t xml:space="preserve"> (“Here faced with</w:t>
      </w:r>
      <w:r w:rsidR="004A3845">
        <w:t xml:space="preserve"> balancing generation and transmission costs, under legislatively</w:t>
      </w:r>
      <w:r w:rsidR="00432C5A">
        <w:t>-</w:t>
      </w:r>
      <w:r w:rsidR="004A3845">
        <w:t xml:space="preserve">based renewable energy mandates, </w:t>
      </w:r>
      <w:r w:rsidR="004A3845">
        <w:rPr>
          <w:i/>
          <w:iCs/>
        </w:rPr>
        <w:t xml:space="preserve">we find that addressing </w:t>
      </w:r>
      <w:r w:rsidR="006B3EEB">
        <w:rPr>
          <w:i/>
          <w:iCs/>
        </w:rPr>
        <w:t>the congestion by investing in transmission infrastructure is likely the better choice from the ratepayer p</w:t>
      </w:r>
      <w:r w:rsidR="0021619B">
        <w:rPr>
          <w:i/>
          <w:iCs/>
        </w:rPr>
        <w:t>er</w:t>
      </w:r>
      <w:r w:rsidR="006B3EEB">
        <w:rPr>
          <w:i/>
          <w:iCs/>
        </w:rPr>
        <w:t>spective</w:t>
      </w:r>
      <w:r w:rsidR="008C5B70">
        <w:t xml:space="preserve">.  This investment will maximize </w:t>
      </w:r>
      <w:r w:rsidR="002271A8">
        <w:t xml:space="preserve">the public investment </w:t>
      </w:r>
      <w:r w:rsidR="00310D1B">
        <w:t xml:space="preserve">already made in renewable generation by </w:t>
      </w:r>
      <w:r w:rsidR="00310D1B">
        <w:rPr>
          <w:i/>
          <w:iCs/>
        </w:rPr>
        <w:t xml:space="preserve">increasing the </w:t>
      </w:r>
      <w:r w:rsidR="00364D48">
        <w:rPr>
          <w:i/>
          <w:iCs/>
        </w:rPr>
        <w:t xml:space="preserve">amount </w:t>
      </w:r>
      <w:r w:rsidR="00310D1B">
        <w:rPr>
          <w:i/>
          <w:iCs/>
        </w:rPr>
        <w:t>of renewable energy that can be delivered</w:t>
      </w:r>
      <w:r w:rsidR="00310D1B">
        <w:t xml:space="preserve"> and will also make </w:t>
      </w:r>
      <w:r w:rsidR="00B454A9">
        <w:t xml:space="preserve">the </w:t>
      </w:r>
      <w:r w:rsidR="009B60E7">
        <w:t>[</w:t>
      </w:r>
      <w:r w:rsidR="00B454A9">
        <w:t>N</w:t>
      </w:r>
      <w:r w:rsidR="009B60E7">
        <w:t xml:space="preserve">ew </w:t>
      </w:r>
      <w:r w:rsidR="00B454A9">
        <w:t>Y</w:t>
      </w:r>
      <w:r w:rsidR="009B60E7">
        <w:t xml:space="preserve">ork </w:t>
      </w:r>
      <w:r w:rsidR="00B454A9">
        <w:t>S</w:t>
      </w:r>
      <w:r w:rsidR="009B60E7">
        <w:t xml:space="preserve">tate </w:t>
      </w:r>
      <w:r w:rsidR="00B454A9">
        <w:t>E</w:t>
      </w:r>
      <w:r w:rsidR="009B60E7">
        <w:t xml:space="preserve">nergy </w:t>
      </w:r>
      <w:r w:rsidR="00B454A9">
        <w:t>R</w:t>
      </w:r>
      <w:r w:rsidR="009B60E7">
        <w:t xml:space="preserve">esearch </w:t>
      </w:r>
      <w:r w:rsidR="00B47034">
        <w:t xml:space="preserve">&amp; </w:t>
      </w:r>
      <w:r w:rsidR="00B454A9">
        <w:t>D</w:t>
      </w:r>
      <w:r w:rsidR="00B47034">
        <w:t xml:space="preserve">evelopment </w:t>
      </w:r>
      <w:r w:rsidR="00B454A9">
        <w:t>A</w:t>
      </w:r>
      <w:r w:rsidR="00B47034">
        <w:t>uthority</w:t>
      </w:r>
      <w:r w:rsidR="009B60E7">
        <w:t>]</w:t>
      </w:r>
      <w:r w:rsidR="00B454A9">
        <w:t xml:space="preserve"> procurement program more competitive in the future</w:t>
      </w:r>
      <w:r w:rsidR="002404EE">
        <w:t xml:space="preserve">, by largely </w:t>
      </w:r>
      <w:r w:rsidR="002404EE">
        <w:rPr>
          <w:i/>
          <w:iCs/>
        </w:rPr>
        <w:t>eliminating curtailment risk premiums</w:t>
      </w:r>
      <w:r w:rsidR="002404EE">
        <w:t>.”</w:t>
      </w:r>
      <w:r w:rsidR="00A471C1">
        <w:t>)</w:t>
      </w:r>
      <w:r w:rsidR="0095388F">
        <w:t xml:space="preserve"> </w:t>
      </w:r>
      <w:r w:rsidR="004A3845">
        <w:t>(emphasis in Filing)</w:t>
      </w:r>
      <w:r w:rsidR="00287A12">
        <w:t>)</w:t>
      </w:r>
      <w:r w:rsidR="001D3522">
        <w:t>.</w:t>
      </w:r>
    </w:p>
  </w:footnote>
  <w:footnote w:id="34">
    <w:p w:rsidR="007741C2" w:rsidRPr="007741C2">
      <w:pPr>
        <w:pStyle w:val="FootnoteText"/>
      </w:pPr>
      <w:r>
        <w:rPr>
          <w:rStyle w:val="FootnoteReference"/>
        </w:rPr>
        <w:footnoteRef/>
      </w:r>
      <w:r>
        <w:t xml:space="preserve"> </w:t>
      </w:r>
      <w:r>
        <w:rPr>
          <w:i/>
          <w:iCs/>
        </w:rPr>
        <w:t>Id.</w:t>
      </w:r>
      <w:r>
        <w:t xml:space="preserve"> </w:t>
      </w:r>
      <w:r w:rsidR="007E7B8F">
        <w:t xml:space="preserve">at 8-9 </w:t>
      </w:r>
      <w:r>
        <w:t xml:space="preserve">(citing Phase 2 Order, </w:t>
      </w:r>
      <w:r w:rsidR="006C2D6F">
        <w:t>a</w:t>
      </w:r>
      <w:r>
        <w:t xml:space="preserve">pp. </w:t>
      </w:r>
      <w:r w:rsidR="008E744C">
        <w:t>a</w:t>
      </w:r>
      <w:r>
        <w:t xml:space="preserve">t 14, 34). </w:t>
      </w:r>
    </w:p>
  </w:footnote>
  <w:footnote w:id="35">
    <w:p w:rsidR="00A447CE" w:rsidRPr="001F28B6" w:rsidP="00A447CE">
      <w:pPr>
        <w:pStyle w:val="FootnoteText"/>
      </w:pPr>
      <w:r>
        <w:rPr>
          <w:rStyle w:val="FootnoteReference"/>
        </w:rPr>
        <w:footnoteRef/>
      </w:r>
      <w:r>
        <w:t xml:space="preserve"> </w:t>
      </w:r>
      <w:r>
        <w:rPr>
          <w:i/>
          <w:iCs/>
        </w:rPr>
        <w:t>Id.</w:t>
      </w:r>
      <w:r>
        <w:t xml:space="preserve"> at 9.</w:t>
      </w:r>
    </w:p>
  </w:footnote>
  <w:footnote w:id="36">
    <w:p w:rsidR="00A447CE" w:rsidRPr="00FD4049" w:rsidP="00A447CE">
      <w:pPr>
        <w:pStyle w:val="FootnoteText"/>
      </w:pPr>
      <w:r>
        <w:rPr>
          <w:rStyle w:val="FootnoteReference"/>
        </w:rPr>
        <w:footnoteRef/>
      </w:r>
      <w:r>
        <w:t xml:space="preserve"> </w:t>
      </w:r>
      <w:r>
        <w:rPr>
          <w:i/>
          <w:iCs/>
        </w:rPr>
        <w:t>Id.</w:t>
      </w:r>
      <w:r>
        <w:t xml:space="preserve"> at n.33</w:t>
      </w:r>
      <w:r w:rsidR="00CE729C">
        <w:t xml:space="preserve"> (referen</w:t>
      </w:r>
      <w:r w:rsidR="00F6709D">
        <w:t>c</w:t>
      </w:r>
      <w:r w:rsidR="00CE729C">
        <w:t xml:space="preserve">ing </w:t>
      </w:r>
      <w:r w:rsidR="00F6709D">
        <w:t xml:space="preserve">N.Y. </w:t>
      </w:r>
      <w:r w:rsidRPr="00F6709D" w:rsidR="00F6709D">
        <w:t>Pu</w:t>
      </w:r>
      <w:r w:rsidR="00D50453">
        <w:t>b.</w:t>
      </w:r>
      <w:r w:rsidRPr="00F6709D" w:rsidR="00F6709D">
        <w:t xml:space="preserve"> Serv</w:t>
      </w:r>
      <w:r w:rsidR="00D50453">
        <w:t>.</w:t>
      </w:r>
      <w:r w:rsidRPr="00F6709D" w:rsidR="00F6709D">
        <w:t xml:space="preserve"> Law Ch. 48, </w:t>
      </w:r>
      <w:r w:rsidR="00013A37">
        <w:t>a</w:t>
      </w:r>
      <w:r w:rsidRPr="00F6709D" w:rsidR="00F6709D">
        <w:t>rt. VII</w:t>
      </w:r>
      <w:r w:rsidR="00CB6607">
        <w:t>)</w:t>
      </w:r>
      <w:r w:rsidR="00FD4049">
        <w:t xml:space="preserve">; </w:t>
      </w:r>
      <w:r w:rsidR="00FD4049">
        <w:rPr>
          <w:i/>
          <w:iCs/>
        </w:rPr>
        <w:t xml:space="preserve">see also </w:t>
      </w:r>
      <w:r w:rsidR="009813DB">
        <w:t>Filing, attach. A</w:t>
      </w:r>
      <w:r w:rsidR="00463AC1">
        <w:t>, Ex. 3</w:t>
      </w:r>
      <w:r w:rsidR="00084413">
        <w:t xml:space="preserve"> </w:t>
      </w:r>
      <w:r w:rsidR="002C0239">
        <w:t>(describing each project and noting which will require an Article VII permitting submission)</w:t>
      </w:r>
      <w:r w:rsidR="003049B7">
        <w:t>.</w:t>
      </w:r>
    </w:p>
  </w:footnote>
  <w:footnote w:id="37">
    <w:p w:rsidR="00A447CE" w:rsidRPr="007A7C89" w:rsidP="00A447CE">
      <w:pPr>
        <w:pStyle w:val="FootnoteText"/>
      </w:pPr>
      <w:r>
        <w:rPr>
          <w:rStyle w:val="FootnoteReference"/>
        </w:rPr>
        <w:footnoteRef/>
      </w:r>
      <w:r>
        <w:t xml:space="preserve"> </w:t>
      </w:r>
      <w:r w:rsidR="00A62CC2">
        <w:t xml:space="preserve">Filing </w:t>
      </w:r>
      <w:r>
        <w:t>at 9.</w:t>
      </w:r>
    </w:p>
  </w:footnote>
  <w:footnote w:id="38">
    <w:p w:rsidR="00A447CE" w:rsidRPr="00BC22A8" w:rsidP="00A447CE">
      <w:pPr>
        <w:pStyle w:val="FootnoteText"/>
      </w:pPr>
      <w:r>
        <w:rPr>
          <w:rStyle w:val="FootnoteReference"/>
        </w:rPr>
        <w:footnoteRef/>
      </w:r>
      <w:r>
        <w:t xml:space="preserve"> </w:t>
      </w:r>
      <w:r>
        <w:rPr>
          <w:i/>
          <w:iCs/>
        </w:rPr>
        <w:t>Id.</w:t>
      </w:r>
      <w:r>
        <w:t xml:space="preserve"> (citing </w:t>
      </w:r>
      <w:r w:rsidRPr="00DB4300">
        <w:t>NYISO</w:t>
      </w:r>
      <w:r>
        <w:t>,</w:t>
      </w:r>
      <w:r w:rsidRPr="00DB4300">
        <w:t xml:space="preserve"> </w:t>
      </w:r>
      <w:r w:rsidRPr="008F76DB">
        <w:rPr>
          <w:i/>
          <w:iCs/>
        </w:rPr>
        <w:t xml:space="preserve">2019 Congestion Assessment </w:t>
      </w:r>
      <w:r w:rsidR="000968FC">
        <w:rPr>
          <w:i/>
          <w:iCs/>
        </w:rPr>
        <w:t>&amp;</w:t>
      </w:r>
      <w:r w:rsidRPr="008F76DB">
        <w:rPr>
          <w:i/>
          <w:iCs/>
        </w:rPr>
        <w:t xml:space="preserve"> Res</w:t>
      </w:r>
      <w:r w:rsidR="000968FC">
        <w:rPr>
          <w:i/>
          <w:iCs/>
        </w:rPr>
        <w:t>.</w:t>
      </w:r>
      <w:r w:rsidRPr="008F76DB">
        <w:rPr>
          <w:i/>
          <w:iCs/>
        </w:rPr>
        <w:t xml:space="preserve"> Integration Study</w:t>
      </w:r>
      <w:r>
        <w:t xml:space="preserve"> </w:t>
      </w:r>
      <w:r w:rsidRPr="00DB4300">
        <w:t>65</w:t>
      </w:r>
      <w:r>
        <w:t xml:space="preserve"> </w:t>
      </w:r>
      <w:r w:rsidRPr="00DB4300">
        <w:t>(July 2020), https://www.nyiso.com/documents/20142/2226108/2019-CARIS-Phase1-Report-Final.pdf</w:t>
      </w:r>
      <w:r>
        <w:t xml:space="preserve"> (NYISO CARIS Study))</w:t>
      </w:r>
      <w:r w:rsidR="002569EA">
        <w:t>;</w:t>
      </w:r>
      <w:r>
        <w:t xml:space="preserve"> </w:t>
      </w:r>
      <w:r w:rsidR="002569EA">
        <w:rPr>
          <w:i/>
          <w:iCs/>
        </w:rPr>
        <w:t>s</w:t>
      </w:r>
      <w:r>
        <w:rPr>
          <w:i/>
          <w:iCs/>
        </w:rPr>
        <w:t>ee also</w:t>
      </w:r>
      <w:r w:rsidR="002569EA">
        <w:rPr>
          <w:i/>
          <w:iCs/>
        </w:rPr>
        <w:t xml:space="preserve"> id. </w:t>
      </w:r>
      <w:r w:rsidR="002569EA">
        <w:t xml:space="preserve">(quoting </w:t>
      </w:r>
      <w:r>
        <w:t>NYISO CARIS Study at 97 (“</w:t>
      </w:r>
      <w:r w:rsidRPr="00777E12">
        <w:t xml:space="preserve">In general, the wind and solar generation in this pocket experience high levels of curtailments, and the transmission facilities in this pocket show high levels of congested hours. </w:t>
      </w:r>
      <w:r>
        <w:t xml:space="preserve"> </w:t>
      </w:r>
      <w:r w:rsidRPr="00777E12">
        <w:t>This congestion results mainly from the lack of strongly interconnected bulk power transmission facilities near injection points, and the 115 kV network was not designed for large power transfers</w:t>
      </w:r>
      <w:r>
        <w:t>.”)</w:t>
      </w:r>
      <w:r w:rsidR="002569EA">
        <w:t>)</w:t>
      </w:r>
      <w:r>
        <w:t>.</w:t>
      </w:r>
    </w:p>
  </w:footnote>
  <w:footnote w:id="39">
    <w:p w:rsidR="008A0D3D" w:rsidRPr="00533E03">
      <w:pPr>
        <w:pStyle w:val="FootnoteText"/>
      </w:pPr>
      <w:r>
        <w:rPr>
          <w:rStyle w:val="FootnoteReference"/>
        </w:rPr>
        <w:footnoteRef/>
      </w:r>
      <w:r>
        <w:t xml:space="preserve"> </w:t>
      </w:r>
      <w:r w:rsidR="00533E03">
        <w:rPr>
          <w:i/>
          <w:iCs/>
        </w:rPr>
        <w:t>Id.</w:t>
      </w:r>
      <w:r w:rsidR="00533E03">
        <w:t xml:space="preserve"> at 10 (</w:t>
      </w:r>
      <w:r w:rsidR="005C0577">
        <w:t xml:space="preserve">citing Phase 2 Order, </w:t>
      </w:r>
      <w:r w:rsidR="00013A37">
        <w:t>a</w:t>
      </w:r>
      <w:r w:rsidR="005C0577">
        <w:t>pp. at 31).</w:t>
      </w:r>
    </w:p>
  </w:footnote>
  <w:footnote w:id="40">
    <w:p w:rsidR="000C016C" w:rsidRPr="00705190" w:rsidP="000C016C">
      <w:pPr>
        <w:pStyle w:val="FootnoteText"/>
      </w:pPr>
      <w:r>
        <w:rPr>
          <w:rStyle w:val="FootnoteReference"/>
        </w:rPr>
        <w:footnoteRef/>
      </w:r>
      <w:r>
        <w:t xml:space="preserve"> </w:t>
      </w:r>
      <w:r w:rsidRPr="00F079D1">
        <w:t>Order No. 679-A, 117 FERC ¶ 61,345</w:t>
      </w:r>
      <w:r>
        <w:t xml:space="preserve"> at P 49;</w:t>
      </w:r>
      <w:r>
        <w:rPr>
          <w:i/>
          <w:iCs/>
        </w:rPr>
        <w:t xml:space="preserve"> </w:t>
      </w:r>
      <w:r>
        <w:t>18 C.F.R. § 35.35(i)(1)(ii)</w:t>
      </w:r>
      <w:r w:rsidR="00B71134">
        <w:t>.</w:t>
      </w:r>
    </w:p>
  </w:footnote>
  <w:footnote w:id="41">
    <w:p w:rsidR="000C016C" w:rsidRPr="001F28B6" w:rsidP="000C016C">
      <w:pPr>
        <w:pStyle w:val="FootnoteText"/>
      </w:pPr>
      <w:r>
        <w:rPr>
          <w:rStyle w:val="FootnoteReference"/>
        </w:rPr>
        <w:footnoteRef/>
      </w:r>
      <w:r>
        <w:t xml:space="preserve"> Filing at 9.</w:t>
      </w:r>
    </w:p>
  </w:footnote>
  <w:footnote w:id="42">
    <w:p w:rsidR="000C016C" w:rsidP="000C016C">
      <w:pPr>
        <w:pStyle w:val="FootnoteText"/>
      </w:pPr>
      <w:r>
        <w:rPr>
          <w:rStyle w:val="FootnoteReference"/>
        </w:rPr>
        <w:footnoteRef/>
      </w:r>
      <w:r>
        <w:t xml:space="preserve"> Order No. 679-A, </w:t>
      </w:r>
      <w:r w:rsidRPr="003C6954">
        <w:t>117 FERC ¶ 61,345</w:t>
      </w:r>
      <w:r>
        <w:t xml:space="preserve"> at PP 41, 46.  </w:t>
      </w:r>
    </w:p>
  </w:footnote>
  <w:footnote w:id="43">
    <w:p w:rsidR="00F37B7D" w:rsidRPr="00FE37E7" w:rsidP="00F37B7D">
      <w:pPr>
        <w:pStyle w:val="FootnoteText"/>
      </w:pPr>
      <w:r>
        <w:rPr>
          <w:rStyle w:val="FootnoteReference"/>
        </w:rPr>
        <w:footnoteRef/>
      </w:r>
      <w:r>
        <w:t xml:space="preserve"> </w:t>
      </w:r>
      <w:r>
        <w:rPr>
          <w:i/>
          <w:iCs/>
        </w:rPr>
        <w:t>See</w:t>
      </w:r>
      <w:r>
        <w:t xml:space="preserve"> Phase 2 Order &amp; </w:t>
      </w:r>
      <w:r w:rsidR="00013A37">
        <w:t>a</w:t>
      </w:r>
      <w:r>
        <w:t>pp.</w:t>
      </w:r>
    </w:p>
  </w:footnote>
  <w:footnote w:id="44">
    <w:p w:rsidR="00D661B2" w:rsidRPr="00FE37E7" w:rsidP="00374F99">
      <w:pPr>
        <w:pStyle w:val="FootnoteText"/>
      </w:pPr>
      <w:r>
        <w:rPr>
          <w:rStyle w:val="FootnoteReference"/>
        </w:rPr>
        <w:footnoteRef/>
      </w:r>
      <w:r>
        <w:t xml:space="preserve"> </w:t>
      </w:r>
      <w:r>
        <w:rPr>
          <w:i/>
          <w:iCs/>
        </w:rPr>
        <w:t>See</w:t>
      </w:r>
      <w:r>
        <w:t xml:space="preserve"> Phase 2 Order &amp; </w:t>
      </w:r>
      <w:r w:rsidR="00013A37">
        <w:t>a</w:t>
      </w:r>
      <w:r>
        <w:t>pp.</w:t>
      </w:r>
    </w:p>
  </w:footnote>
  <w:footnote w:id="45">
    <w:p w:rsidR="000C016C" w:rsidRPr="00065F3E" w:rsidP="000C016C">
      <w:pPr>
        <w:pStyle w:val="FootnoteText"/>
      </w:pPr>
      <w:r>
        <w:rPr>
          <w:rStyle w:val="FootnoteReference"/>
        </w:rPr>
        <w:footnoteRef/>
      </w:r>
      <w:r>
        <w:t xml:space="preserve"> </w:t>
      </w:r>
      <w:r w:rsidRPr="0038039F">
        <w:rPr>
          <w:i/>
          <w:iCs/>
        </w:rPr>
        <w:t xml:space="preserve">See </w:t>
      </w:r>
      <w:r w:rsidRPr="007E482E">
        <w:rPr>
          <w:i/>
          <w:iCs/>
        </w:rPr>
        <w:t>Niagara Mohawk Power Corp.</w:t>
      </w:r>
      <w:r w:rsidRPr="007E482E">
        <w:t>, 178 FERC ¶ 61,173, at P 28 (2022)</w:t>
      </w:r>
      <w:r w:rsidR="009730D6">
        <w:t xml:space="preserve"> (</w:t>
      </w:r>
      <w:r w:rsidR="00DE7AC7">
        <w:t xml:space="preserve">granting </w:t>
      </w:r>
      <w:r w:rsidR="00A77D53">
        <w:t xml:space="preserve">Abandoned Plant Incentive request </w:t>
      </w:r>
      <w:r w:rsidR="00DA3A7B">
        <w:t xml:space="preserve">for investment in the Smart Path Connect Project conditioned upon </w:t>
      </w:r>
      <w:r w:rsidRPr="007E1D48" w:rsidR="007E1D48">
        <w:t>the New York Commission issuing a</w:t>
      </w:r>
      <w:r w:rsidR="007E1D48">
        <w:t xml:space="preserve">n Article VII Approval </w:t>
      </w:r>
      <w:r w:rsidRPr="007E1D48" w:rsidR="007E1D48">
        <w:t xml:space="preserve">for the </w:t>
      </w:r>
      <w:r w:rsidR="007E1D48">
        <w:t xml:space="preserve">Smart Path Connect </w:t>
      </w:r>
      <w:r w:rsidRPr="007E1D48" w:rsidR="007E1D48">
        <w:t>Project that addresses reliability and</w:t>
      </w:r>
      <w:r w:rsidR="00BC2E81">
        <w:t>/or</w:t>
      </w:r>
      <w:r w:rsidRPr="007E1D48" w:rsidR="007E1D48">
        <w:t xml:space="preserve"> congestion in the manner contemplated by </w:t>
      </w:r>
      <w:r w:rsidR="007E1D48">
        <w:t xml:space="preserve">FPA </w:t>
      </w:r>
      <w:r w:rsidRPr="007E1D48" w:rsidR="007E1D48">
        <w:t>section 219</w:t>
      </w:r>
      <w:r w:rsidR="007E1D48">
        <w:t>)</w:t>
      </w:r>
      <w:r w:rsidRPr="007E482E">
        <w:t xml:space="preserve">; </w:t>
      </w:r>
      <w:r w:rsidRPr="007E482E">
        <w:rPr>
          <w:i/>
          <w:iCs/>
        </w:rPr>
        <w:t>N.Y. Indep. Sys. Operator, Inc.</w:t>
      </w:r>
      <w:r w:rsidRPr="007E482E">
        <w:t>, 180 FERC ¶ 61,004, at P 27 (2022)</w:t>
      </w:r>
      <w:r w:rsidR="008E555A">
        <w:t xml:space="preserve"> (granting </w:t>
      </w:r>
      <w:r w:rsidR="00B649D8">
        <w:t>50-basis point return on equity adder</w:t>
      </w:r>
      <w:r w:rsidR="00024EDB">
        <w:t xml:space="preserve"> request</w:t>
      </w:r>
      <w:r w:rsidR="001A13DF">
        <w:t xml:space="preserve"> to reflect the risks and challenges associated with investment in the Smart Path Connect Project conditioned upon </w:t>
      </w:r>
      <w:r w:rsidRPr="007E1D48" w:rsidR="001A13DF">
        <w:t>the New York Commission issuing a</w:t>
      </w:r>
      <w:r w:rsidR="001A13DF">
        <w:t xml:space="preserve">n Article VII Approval </w:t>
      </w:r>
      <w:r w:rsidRPr="007E1D48" w:rsidR="001A13DF">
        <w:t xml:space="preserve">for the </w:t>
      </w:r>
      <w:r w:rsidR="001A13DF">
        <w:t xml:space="preserve">Smart Path Connect </w:t>
      </w:r>
      <w:r w:rsidRPr="007E1D48" w:rsidR="001A13DF">
        <w:t>Project that addresses reliability and</w:t>
      </w:r>
      <w:r w:rsidR="00BC2E81">
        <w:t>/or</w:t>
      </w:r>
      <w:r w:rsidRPr="007E1D48" w:rsidR="001A13DF">
        <w:t xml:space="preserve"> congestion in the manner contemplated by </w:t>
      </w:r>
      <w:r w:rsidR="001A13DF">
        <w:t xml:space="preserve">FPA </w:t>
      </w:r>
      <w:r w:rsidRPr="007E1D48" w:rsidR="001A13DF">
        <w:t>section 219</w:t>
      </w:r>
      <w:r w:rsidR="007F5491">
        <w:t>)</w:t>
      </w:r>
      <w:r w:rsidRPr="007E482E">
        <w:t xml:space="preserve">; </w:t>
      </w:r>
      <w:r w:rsidRPr="007E482E">
        <w:rPr>
          <w:i/>
          <w:iCs/>
        </w:rPr>
        <w:t>N.Y. Power Auth.</w:t>
      </w:r>
      <w:r w:rsidRPr="007E482E">
        <w:t>, 178 FERC ¶ 61,172, at P 28 (2022)</w:t>
      </w:r>
      <w:r w:rsidR="007F5491">
        <w:t xml:space="preserve"> (granting Abandoned Plant Incentive request for investment in the Smart Path Connect Project conditioned upon </w:t>
      </w:r>
      <w:r w:rsidRPr="007E1D48" w:rsidR="007F5491">
        <w:t>the New York Commission issuing a</w:t>
      </w:r>
      <w:r w:rsidR="007F5491">
        <w:t xml:space="preserve">n Article VII Approval </w:t>
      </w:r>
      <w:r w:rsidRPr="007E1D48" w:rsidR="007F5491">
        <w:t xml:space="preserve">for the </w:t>
      </w:r>
      <w:r w:rsidR="007F5491">
        <w:t xml:space="preserve">Smart Path Connect </w:t>
      </w:r>
      <w:r w:rsidRPr="007E1D48" w:rsidR="007F5491">
        <w:t>Project that addresses reliability and</w:t>
      </w:r>
      <w:r w:rsidR="00BC2E81">
        <w:t>/or</w:t>
      </w:r>
      <w:r w:rsidRPr="007E1D48" w:rsidR="007F5491">
        <w:t xml:space="preserve"> congestion in the manner contemplated by </w:t>
      </w:r>
      <w:r w:rsidR="007F5491">
        <w:t xml:space="preserve">FPA </w:t>
      </w:r>
      <w:r w:rsidRPr="007E1D48" w:rsidR="007F5491">
        <w:t>section 219</w:t>
      </w:r>
      <w:r w:rsidR="007F5491">
        <w:t>)</w:t>
      </w:r>
      <w:r w:rsidRPr="007E482E">
        <w:t xml:space="preserve">; </w:t>
      </w:r>
      <w:r w:rsidRPr="007E482E">
        <w:rPr>
          <w:i/>
          <w:iCs/>
        </w:rPr>
        <w:t>Xcel Energy Servs., Inc.</w:t>
      </w:r>
      <w:r w:rsidRPr="007E482E">
        <w:t>, 121 FERC ¶ 61,284, at P 53 (2007</w:t>
      </w:r>
      <w:r w:rsidRPr="007E482E">
        <w:t>)</w:t>
      </w:r>
      <w:r w:rsidR="009D3365">
        <w:t xml:space="preserve"> (</w:t>
      </w:r>
      <w:r w:rsidR="00E73F06">
        <w:t xml:space="preserve">finding that a set of projects </w:t>
      </w:r>
      <w:r w:rsidR="00B83DE4">
        <w:t xml:space="preserve">qualified for the rebuttable presumption that they met the requirements of FPA section 219 if they received a </w:t>
      </w:r>
      <w:r w:rsidR="00D91B4C">
        <w:t xml:space="preserve">“Certificate of Need” from the Minnesota </w:t>
      </w:r>
      <w:r w:rsidR="007B2C8B">
        <w:t>Public Utility Commission)</w:t>
      </w:r>
      <w:r w:rsidR="004D0A1E">
        <w:t>.</w:t>
      </w:r>
      <w:r w:rsidR="00FA4B5B">
        <w:t xml:space="preserve"> </w:t>
      </w:r>
    </w:p>
  </w:footnote>
  <w:footnote w:id="46">
    <w:p w:rsidR="000C016C" w:rsidP="000C016C">
      <w:pPr>
        <w:pStyle w:val="FootnoteText"/>
      </w:pPr>
      <w:r>
        <w:rPr>
          <w:rStyle w:val="FootnoteReference"/>
        </w:rPr>
        <w:footnoteRef/>
      </w:r>
      <w:r>
        <w:t xml:space="preserve"> </w:t>
      </w:r>
      <w:r>
        <w:rPr>
          <w:i/>
          <w:iCs/>
        </w:rPr>
        <w:t>See</w:t>
      </w:r>
      <w:r w:rsidRPr="00930371">
        <w:t xml:space="preserve"> </w:t>
      </w:r>
      <w:r>
        <w:t xml:space="preserve">Filing </w:t>
      </w:r>
      <w:r w:rsidRPr="00930371">
        <w:t xml:space="preserve">at n.33 </w:t>
      </w:r>
      <w:r>
        <w:t>(</w:t>
      </w:r>
      <w:r w:rsidRPr="005B675A">
        <w:t xml:space="preserve">referencing N.Y. Pub. Serv. Law Ch. 48, </w:t>
      </w:r>
      <w:r w:rsidR="00013A37">
        <w:t>a</w:t>
      </w:r>
      <w:r w:rsidRPr="005B675A">
        <w:t>rt. VII)</w:t>
      </w:r>
      <w:r>
        <w:t xml:space="preserve"> &amp;</w:t>
      </w:r>
      <w:r w:rsidRPr="00930371">
        <w:t xml:space="preserve"> </w:t>
      </w:r>
      <w:r w:rsidR="00D35057">
        <w:br/>
      </w:r>
      <w:r w:rsidRPr="00930371">
        <w:t xml:space="preserve">attach. A, Ex. 3 (describing each project and noting which </w:t>
      </w:r>
      <w:r w:rsidR="00B11878">
        <w:t xml:space="preserve">projects </w:t>
      </w:r>
      <w:r w:rsidRPr="00930371">
        <w:t xml:space="preserve">will require an </w:t>
      </w:r>
      <w:r w:rsidR="00D35057">
        <w:br/>
      </w:r>
      <w:r w:rsidRPr="00930371">
        <w:t xml:space="preserve">Article VII </w:t>
      </w:r>
      <w:r w:rsidR="00DD15D3">
        <w:t>Approval</w:t>
      </w:r>
      <w:r w:rsidRPr="00930371">
        <w:t>).</w:t>
      </w:r>
    </w:p>
  </w:footnote>
  <w:footnote w:id="47">
    <w:p w:rsidR="007914BE">
      <w:pPr>
        <w:pStyle w:val="FootnoteText"/>
      </w:pPr>
      <w:r>
        <w:rPr>
          <w:rStyle w:val="FootnoteReference"/>
        </w:rPr>
        <w:footnoteRef/>
      </w:r>
      <w:r>
        <w:t xml:space="preserve"> </w:t>
      </w:r>
      <w:r w:rsidRPr="007914BE">
        <w:t xml:space="preserve">The Phase 2 Projects that Applicants state are subject to additional Article VII Approval are listed in Appendix B.  </w:t>
      </w:r>
    </w:p>
  </w:footnote>
  <w:footnote w:id="48">
    <w:p w:rsidR="000C016C" w:rsidP="000C016C">
      <w:pPr>
        <w:pStyle w:val="FootnoteText"/>
      </w:pPr>
      <w:r>
        <w:rPr>
          <w:rStyle w:val="FootnoteReference"/>
        </w:rPr>
        <w:footnoteRef/>
      </w:r>
      <w:r>
        <w:t xml:space="preserve"> </w:t>
      </w:r>
      <w:r w:rsidRPr="0089291A">
        <w:rPr>
          <w:i/>
          <w:iCs/>
        </w:rPr>
        <w:t>See</w:t>
      </w:r>
      <w:r>
        <w:t xml:space="preserve"> Order No. 679-A, </w:t>
      </w:r>
      <w:r w:rsidRPr="003C6954">
        <w:t>117 FERC ¶ 61,345</w:t>
      </w:r>
      <w:r>
        <w:t xml:space="preserve"> at P 49.  </w:t>
      </w:r>
      <w:r w:rsidRPr="0089291A">
        <w:rPr>
          <w:i/>
          <w:iCs/>
        </w:rPr>
        <w:t xml:space="preserve">See also </w:t>
      </w:r>
      <w:r w:rsidRPr="007E482E">
        <w:rPr>
          <w:i/>
          <w:iCs/>
        </w:rPr>
        <w:t>Niagara Mohawk Power Corp.</w:t>
      </w:r>
      <w:r w:rsidRPr="007E482E">
        <w:t xml:space="preserve">, 178 FERC ¶ 61,173 at P </w:t>
      </w:r>
      <w:r w:rsidRPr="005611FE">
        <w:t>28</w:t>
      </w:r>
      <w:r>
        <w:t xml:space="preserve"> (directing further filing).</w:t>
      </w:r>
    </w:p>
  </w:footnote>
  <w:footnote w:id="49">
    <w:p w:rsidR="00B721B3" w:rsidP="00B721B3">
      <w:pPr>
        <w:pStyle w:val="FootnoteText"/>
      </w:pPr>
      <w:r>
        <w:rPr>
          <w:rStyle w:val="FootnoteReference"/>
        </w:rPr>
        <w:footnoteRef/>
      </w:r>
      <w:r>
        <w:t xml:space="preserve"> </w:t>
      </w:r>
      <w:r w:rsidRPr="009B7B19">
        <w:t xml:space="preserve">The Phase 2 Projects that Applicants state are not subject to additional Article VII Approval are listed in Appendix C.  </w:t>
      </w:r>
    </w:p>
  </w:footnote>
  <w:footnote w:id="50">
    <w:p w:rsidR="002A7078" w:rsidP="002A7078">
      <w:pPr>
        <w:pStyle w:val="FootnoteText"/>
      </w:pPr>
      <w:r>
        <w:rPr>
          <w:rStyle w:val="FootnoteReference"/>
        </w:rPr>
        <w:footnoteRef/>
      </w:r>
      <w:r>
        <w:t xml:space="preserve"> T</w:t>
      </w:r>
      <w:r w:rsidRPr="002A7078">
        <w:t>he Commission has explained that, “[w]here the Commission previously has granted requests for incentives for projects that have not relied on FPA section 219’s rebuttable presumption, the applicants supported their requests with comprehensive and clear data, as well as internal and, in several cases, external studies.”</w:t>
      </w:r>
      <w:r>
        <w:t xml:space="preserve">  </w:t>
      </w:r>
      <w:r w:rsidRPr="009D1719">
        <w:rPr>
          <w:i/>
          <w:iCs/>
        </w:rPr>
        <w:t>The Dayton Power &amp; Light Co</w:t>
      </w:r>
      <w:r w:rsidRPr="009D1719">
        <w:t>., 172 FERC ¶ 61,140, at P 37</w:t>
      </w:r>
      <w:r>
        <w:t xml:space="preserve"> &amp; n.48</w:t>
      </w:r>
      <w:r w:rsidRPr="009D1719">
        <w:t xml:space="preserve"> (2020) (citing </w:t>
      </w:r>
      <w:r w:rsidRPr="009E4460">
        <w:rPr>
          <w:i/>
          <w:iCs/>
        </w:rPr>
        <w:t>Green Power Express LP</w:t>
      </w:r>
      <w:r w:rsidRPr="009E4460">
        <w:rPr>
          <w:i/>
        </w:rPr>
        <w:t xml:space="preserve">, </w:t>
      </w:r>
      <w:r w:rsidRPr="009E4460">
        <w:rPr>
          <w:iCs/>
        </w:rPr>
        <w:t>127 FERC ¶ 61,031, at P 41 (2009);</w:t>
      </w:r>
      <w:r w:rsidRPr="009E4460">
        <w:rPr>
          <w:i/>
        </w:rPr>
        <w:t> </w:t>
      </w:r>
      <w:r w:rsidRPr="009E4460">
        <w:rPr>
          <w:i/>
          <w:iCs/>
        </w:rPr>
        <w:t>Pioneer Transmission, LLC</w:t>
      </w:r>
      <w:r w:rsidRPr="009E4460">
        <w:t xml:space="preserve">, 126 FERC </w:t>
      </w:r>
      <w:r w:rsidR="00B979C8">
        <w:t xml:space="preserve">             </w:t>
      </w:r>
      <w:r w:rsidRPr="009E4460">
        <w:t>¶ 61,281, at P 38 (2009); </w:t>
      </w:r>
      <w:r w:rsidRPr="009E4460">
        <w:rPr>
          <w:i/>
          <w:iCs/>
        </w:rPr>
        <w:t>Tallgrass Transmission, LLC</w:t>
      </w:r>
      <w:r w:rsidRPr="009E4460">
        <w:t>, 125 FERC ¶ 61,248, at PP 40-41 (2008)</w:t>
      </w:r>
      <w:r w:rsidRPr="009D1719">
        <w:t>).</w:t>
      </w:r>
    </w:p>
  </w:footnote>
  <w:footnote w:id="51">
    <w:p w:rsidR="00C334DC" w:rsidP="00C334DC">
      <w:pPr>
        <w:pStyle w:val="FootnoteText"/>
      </w:pPr>
      <w:r>
        <w:rPr>
          <w:rStyle w:val="FootnoteReference"/>
        </w:rPr>
        <w:footnoteRef/>
      </w:r>
      <w:r>
        <w:t xml:space="preserve"> </w:t>
      </w:r>
      <w:r w:rsidRPr="00B04090">
        <w:t>Order No. 679, 116 FERC ¶ 61,057 at P 48.</w:t>
      </w:r>
    </w:p>
  </w:footnote>
  <w:footnote w:id="52">
    <w:p w:rsidR="00C334DC" w:rsidRPr="00913AF9" w:rsidP="00C334DC">
      <w:pPr>
        <w:pStyle w:val="FootnoteText"/>
        <w:rPr>
          <w:highlight w:val="yellow"/>
        </w:rPr>
      </w:pPr>
      <w:r w:rsidRPr="00AA0809">
        <w:rPr>
          <w:b/>
          <w:vertAlign w:val="superscript"/>
        </w:rPr>
        <w:footnoteRef/>
      </w:r>
      <w:r w:rsidRPr="00AA0809">
        <w:t xml:space="preserve"> Order No. 679-A, 117 FERC ¶ 61,345 at P 27.</w:t>
      </w:r>
    </w:p>
  </w:footnote>
  <w:footnote w:id="53">
    <w:p w:rsidR="00C334DC" w:rsidRPr="00114935" w:rsidP="00C334DC">
      <w:pPr>
        <w:pStyle w:val="FootnoteText"/>
        <w:widowControl/>
      </w:pPr>
      <w:r w:rsidRPr="00114935">
        <w:rPr>
          <w:b/>
          <w:vertAlign w:val="superscript"/>
        </w:rPr>
        <w:footnoteRef/>
      </w:r>
      <w:r w:rsidRPr="00114935">
        <w:t xml:space="preserve"> Transmission Incentives Policy Statement, 141 FERC ¶ 61,129 at P 10 (quoting Order No. 679-A, 117 FERC ¶ 61,345 at P 27).</w:t>
      </w:r>
    </w:p>
  </w:footnote>
  <w:footnote w:id="54">
    <w:p w:rsidR="00C334DC" w:rsidRPr="006544E8" w:rsidP="00C334DC">
      <w:pPr>
        <w:pStyle w:val="FootnoteText"/>
      </w:pPr>
      <w:r w:rsidRPr="00114935">
        <w:rPr>
          <w:b/>
          <w:vertAlign w:val="superscript"/>
        </w:rPr>
        <w:footnoteRef/>
      </w:r>
      <w:r w:rsidRPr="00114935">
        <w:t xml:space="preserve"> Order No. 679, </w:t>
      </w:r>
      <w:r w:rsidRPr="006544E8">
        <w:t>116 FERC ¶ 61,057 at P 43.</w:t>
      </w:r>
    </w:p>
  </w:footnote>
  <w:footnote w:id="55">
    <w:p w:rsidR="001F5D19" w:rsidP="001F5D19">
      <w:pPr>
        <w:pStyle w:val="FootnoteText"/>
      </w:pPr>
      <w:r>
        <w:rPr>
          <w:rStyle w:val="FootnoteReference"/>
        </w:rPr>
        <w:footnoteRef/>
      </w:r>
      <w:r>
        <w:t xml:space="preserve"> Filing at 11</w:t>
      </w:r>
      <w:r w:rsidR="00837E50">
        <w:t>-12</w:t>
      </w:r>
      <w:r>
        <w:t xml:space="preserve">. </w:t>
      </w:r>
    </w:p>
  </w:footnote>
  <w:footnote w:id="56">
    <w:p w:rsidR="00B5242F" w:rsidRPr="00B5242F">
      <w:pPr>
        <w:pStyle w:val="FootnoteText"/>
      </w:pPr>
      <w:r>
        <w:rPr>
          <w:rStyle w:val="FootnoteReference"/>
        </w:rPr>
        <w:footnoteRef/>
      </w:r>
      <w:r>
        <w:t xml:space="preserve"> </w:t>
      </w:r>
      <w:r>
        <w:rPr>
          <w:i/>
          <w:iCs/>
        </w:rPr>
        <w:t>I</w:t>
      </w:r>
      <w:r w:rsidRPr="00283CB1">
        <w:rPr>
          <w:i/>
          <w:iCs/>
        </w:rPr>
        <w:t>d.</w:t>
      </w:r>
      <w:r w:rsidR="008E6844">
        <w:t xml:space="preserve"> at 12 &amp;</w:t>
      </w:r>
      <w:r w:rsidRPr="00283CB1" w:rsidR="00655C83">
        <w:t xml:space="preserve"> attach</w:t>
      </w:r>
      <w:r w:rsidR="00AA322B">
        <w:t>.</w:t>
      </w:r>
      <w:r w:rsidRPr="00283CB1" w:rsidR="00655C83">
        <w:t xml:space="preserve"> C </w:t>
      </w:r>
      <w:r w:rsidRPr="00283CB1" w:rsidR="00467FD1">
        <w:t>(</w:t>
      </w:r>
      <w:r w:rsidRPr="00283CB1" w:rsidR="00A26F87">
        <w:t>Direct Testimony of Andrea Vanluling and Michael Panichi</w:t>
      </w:r>
      <w:r w:rsidRPr="00283CB1" w:rsidR="001861B9">
        <w:t>)</w:t>
      </w:r>
      <w:r w:rsidRPr="00283CB1" w:rsidR="00A26F87">
        <w:t>, at 3-6</w:t>
      </w:r>
      <w:r w:rsidR="0052342F">
        <w:t xml:space="preserve"> (</w:t>
      </w:r>
      <w:r w:rsidRPr="00283CB1" w:rsidR="0052342F">
        <w:t>Vanluling</w:t>
      </w:r>
      <w:r w:rsidR="0052342F">
        <w:t xml:space="preserve"> &amp; </w:t>
      </w:r>
      <w:r w:rsidRPr="00283CB1" w:rsidR="0052342F">
        <w:t>Panichi</w:t>
      </w:r>
      <w:r w:rsidR="0052342F">
        <w:t xml:space="preserve"> Test.)</w:t>
      </w:r>
      <w:r w:rsidRPr="00283CB1" w:rsidR="00A26F87">
        <w:t>.</w:t>
      </w:r>
      <w:r w:rsidRPr="00A26F87" w:rsidR="00A26F87">
        <w:t xml:space="preserve">  </w:t>
      </w:r>
      <w:r w:rsidR="00E36E27">
        <w:t>Applicants</w:t>
      </w:r>
      <w:r w:rsidR="00927510">
        <w:t xml:space="preserve"> state that ratings agencies </w:t>
      </w:r>
      <w:r w:rsidR="00540FE0">
        <w:t>have already characterized their respective financial metrics as extremely weak.  Filing at 12.</w:t>
      </w:r>
    </w:p>
  </w:footnote>
  <w:footnote w:id="57">
    <w:p w:rsidR="00201CE6" w:rsidP="00201CE6">
      <w:pPr>
        <w:pStyle w:val="FootnoteText"/>
      </w:pPr>
      <w:r>
        <w:rPr>
          <w:rStyle w:val="FootnoteReference"/>
        </w:rPr>
        <w:footnoteRef/>
      </w:r>
      <w:r>
        <w:t xml:space="preserve"> </w:t>
      </w:r>
      <w:r w:rsidRPr="000F7145">
        <w:t>Filing</w:t>
      </w:r>
      <w:r>
        <w:t xml:space="preserve"> at 10-11.</w:t>
      </w:r>
    </w:p>
  </w:footnote>
  <w:footnote w:id="58">
    <w:p w:rsidR="00633B06">
      <w:pPr>
        <w:pStyle w:val="FootnoteText"/>
      </w:pPr>
      <w:r>
        <w:rPr>
          <w:rStyle w:val="FootnoteReference"/>
        </w:rPr>
        <w:footnoteRef/>
      </w:r>
      <w:r>
        <w:t xml:space="preserve"> RG&amp;E</w:t>
      </w:r>
      <w:r w:rsidR="00520E43">
        <w:t xml:space="preserve">’s Phase 2 Project </w:t>
      </w:r>
      <w:r w:rsidR="00542EC3">
        <w:t>(Z09) has a</w:t>
      </w:r>
      <w:r w:rsidR="00C770D8">
        <w:t>n</w:t>
      </w:r>
      <w:r w:rsidR="00542EC3">
        <w:t xml:space="preserve"> in-service date of 2030</w:t>
      </w:r>
      <w:r w:rsidR="00BC7618">
        <w:t xml:space="preserve"> and is estimated to cost </w:t>
      </w:r>
      <w:r w:rsidR="00545161">
        <w:t>$157 million</w:t>
      </w:r>
      <w:r w:rsidR="00B11DC5">
        <w:t>.</w:t>
      </w:r>
    </w:p>
  </w:footnote>
  <w:footnote w:id="59">
    <w:p w:rsidR="008D78FA" w:rsidP="00BE6376">
      <w:pPr>
        <w:pStyle w:val="FootnoteText"/>
      </w:pPr>
      <w:r>
        <w:rPr>
          <w:rStyle w:val="FootnoteReference"/>
        </w:rPr>
        <w:footnoteRef/>
      </w:r>
      <w:r>
        <w:t xml:space="preserve"> Filing at 11-13.</w:t>
      </w:r>
      <w:r w:rsidR="00443305">
        <w:t xml:space="preserve"> </w:t>
      </w:r>
    </w:p>
  </w:footnote>
  <w:footnote w:id="60">
    <w:p w:rsidR="003E276D" w:rsidRPr="003E276D">
      <w:pPr>
        <w:pStyle w:val="FootnoteText"/>
      </w:pPr>
      <w:r>
        <w:rPr>
          <w:rStyle w:val="FootnoteReference"/>
        </w:rPr>
        <w:footnoteRef/>
      </w:r>
      <w:r>
        <w:t xml:space="preserve"> </w:t>
      </w:r>
      <w:r>
        <w:rPr>
          <w:i/>
          <w:iCs/>
        </w:rPr>
        <w:t>Id.</w:t>
      </w:r>
      <w:r>
        <w:t xml:space="preserve"> at 14-15 </w:t>
      </w:r>
      <w:r w:rsidRPr="009A3C28">
        <w:t xml:space="preserve">(citing </w:t>
      </w:r>
      <w:r w:rsidRPr="009A3C28" w:rsidR="00B80DA4">
        <w:rPr>
          <w:i/>
          <w:iCs/>
        </w:rPr>
        <w:t>N.Y. Indep. Sys. Operator, Inc</w:t>
      </w:r>
      <w:r w:rsidRPr="009A3C28" w:rsidR="00B80DA4">
        <w:t>., 151 FERC ¶ 61,004 (2015)</w:t>
      </w:r>
      <w:r w:rsidRPr="009A3C28" w:rsidR="00606E0C">
        <w:t xml:space="preserve">; </w:t>
      </w:r>
      <w:r w:rsidRPr="009A3C28" w:rsidR="00606E0C">
        <w:rPr>
          <w:i/>
          <w:iCs/>
        </w:rPr>
        <w:t>N.Y. Power Auth.</w:t>
      </w:r>
      <w:r w:rsidRPr="009A3C28" w:rsidR="00606E0C">
        <w:t>, 169 FERC ¶ 61,125, at P 26 (2019)</w:t>
      </w:r>
      <w:r w:rsidRPr="009A3C28" w:rsidR="004B7C02">
        <w:t xml:space="preserve">; </w:t>
      </w:r>
      <w:r w:rsidRPr="009A3C28" w:rsidR="004B7C02">
        <w:rPr>
          <w:i/>
          <w:iCs/>
        </w:rPr>
        <w:t>N.Y. Indep. Sys. Operator, Inc</w:t>
      </w:r>
      <w:r w:rsidRPr="009A3C28" w:rsidR="004B7C02">
        <w:t>., 184 FERC ¶ 61,059, at P 31 (2023))</w:t>
      </w:r>
      <w:r w:rsidRPr="009A3C28" w:rsidR="00B80DA4">
        <w:t>.</w:t>
      </w:r>
      <w:r w:rsidRPr="00B80DA4" w:rsidR="00B80DA4">
        <w:t xml:space="preserve">  </w:t>
      </w:r>
    </w:p>
  </w:footnote>
  <w:footnote w:id="61">
    <w:p w:rsidR="00A573C7">
      <w:pPr>
        <w:pStyle w:val="FootnoteText"/>
      </w:pPr>
      <w:r w:rsidRPr="007B1FAE">
        <w:rPr>
          <w:rStyle w:val="FootnoteReference"/>
        </w:rPr>
        <w:footnoteRef/>
      </w:r>
      <w:r w:rsidRPr="007B1FAE">
        <w:t xml:space="preserve"> </w:t>
      </w:r>
      <w:r w:rsidRPr="007B1FAE" w:rsidR="004872CF">
        <w:rPr>
          <w:i/>
          <w:iCs/>
        </w:rPr>
        <w:t>Id.</w:t>
      </w:r>
      <w:r w:rsidRPr="007B1FAE" w:rsidR="004872CF">
        <w:t xml:space="preserve"> at 15 &amp;</w:t>
      </w:r>
      <w:r w:rsidRPr="007B1FAE">
        <w:t xml:space="preserve"> </w:t>
      </w:r>
      <w:r w:rsidRPr="007B1FAE" w:rsidR="00591C09">
        <w:t>a</w:t>
      </w:r>
      <w:r w:rsidRPr="007B1FAE">
        <w:t>ttach</w:t>
      </w:r>
      <w:r w:rsidRPr="007B1FAE" w:rsidR="00591C09">
        <w:t>.</w:t>
      </w:r>
      <w:r w:rsidRPr="007B1FAE">
        <w:t xml:space="preserve"> D </w:t>
      </w:r>
      <w:r w:rsidRPr="007B1FAE" w:rsidR="00591C09">
        <w:t>(Direct Testimony of April Theberge and Angela Bassano)</w:t>
      </w:r>
      <w:r w:rsidRPr="007B1FAE" w:rsidR="004872CF">
        <w:t xml:space="preserve">, </w:t>
      </w:r>
      <w:r w:rsidRPr="007B1FAE">
        <w:t>at 4-6</w:t>
      </w:r>
      <w:r w:rsidR="003755FD">
        <w:t xml:space="preserve"> (</w:t>
      </w:r>
      <w:r w:rsidRPr="007B1FAE" w:rsidR="003755FD">
        <w:t>Theberge</w:t>
      </w:r>
      <w:r w:rsidR="003755FD">
        <w:t xml:space="preserve"> &amp; </w:t>
      </w:r>
      <w:r w:rsidRPr="007B1FAE" w:rsidR="003755FD">
        <w:t>Bassano</w:t>
      </w:r>
      <w:r w:rsidR="003755FD">
        <w:t xml:space="preserve"> Test.)</w:t>
      </w:r>
      <w:r w:rsidRPr="007B1FAE">
        <w:t>.</w:t>
      </w:r>
    </w:p>
  </w:footnote>
  <w:footnote w:id="62">
    <w:p w:rsidR="001D453B">
      <w:pPr>
        <w:pStyle w:val="FootnoteText"/>
      </w:pPr>
      <w:r>
        <w:rPr>
          <w:rStyle w:val="FootnoteReference"/>
        </w:rPr>
        <w:footnoteRef/>
      </w:r>
      <w:r>
        <w:t xml:space="preserve"> </w:t>
      </w:r>
      <w:r w:rsidR="002A5803">
        <w:t>Filing</w:t>
      </w:r>
      <w:r w:rsidR="00C953AF">
        <w:t xml:space="preserve"> at 15-16</w:t>
      </w:r>
      <w:r w:rsidR="001C1AB3">
        <w:t xml:space="preserve">.  Applicants </w:t>
      </w:r>
      <w:r w:rsidR="007B29AE">
        <w:t>explain</w:t>
      </w:r>
      <w:r w:rsidR="001C1AB3">
        <w:t xml:space="preserve"> that </w:t>
      </w:r>
      <w:r w:rsidRPr="007B29AE" w:rsidR="007B29AE">
        <w:t>NYSEG’s formula rate implementation protocols are set forth in Section 6.19.6.2.1 of Attachment 1 to Rate Schedule 19 of the NYISO OATT</w:t>
      </w:r>
      <w:r w:rsidR="007B29AE">
        <w:t xml:space="preserve"> and </w:t>
      </w:r>
      <w:r w:rsidRPr="007B29AE" w:rsidR="007B29AE">
        <w:t xml:space="preserve">RG&amp;E’s formula rate implementation protocols are set forth in Section 6.19.7.2.1 of Attachment 2 to </w:t>
      </w:r>
      <w:r w:rsidRPr="007B29AE" w:rsidR="00013A37">
        <w:t>Rate Schedule 19 of the NYISO OATT.</w:t>
      </w:r>
      <w:r w:rsidR="00013A37">
        <w:t xml:space="preserve">  </w:t>
      </w:r>
      <w:r w:rsidR="00013A37">
        <w:rPr>
          <w:i/>
          <w:iCs/>
        </w:rPr>
        <w:t>Id.</w:t>
      </w:r>
      <w:r w:rsidR="00013A37">
        <w:t xml:space="preserve"> at n.76 (referencing NYISO, NYISO Tariffs, </w:t>
      </w:r>
      <w:r w:rsidRPr="00EE2522" w:rsidR="00013A37">
        <w:t xml:space="preserve">NYISO OATT, </w:t>
      </w:r>
      <w:r w:rsidR="00013A37">
        <w:t xml:space="preserve">§§ </w:t>
      </w:r>
      <w:r w:rsidRPr="00EE2522" w:rsidR="00013A37">
        <w:t>6.19.6-6.19.6.2.1</w:t>
      </w:r>
      <w:r w:rsidR="00013A37">
        <w:t>,</w:t>
      </w:r>
      <w:r w:rsidRPr="00EE2522" w:rsidR="00013A37">
        <w:t xml:space="preserve"> Schedule 19 </w:t>
      </w:r>
      <w:r w:rsidR="00013A37">
        <w:t>(a</w:t>
      </w:r>
      <w:r w:rsidRPr="00731C3F" w:rsidR="00013A37">
        <w:t>ttach</w:t>
      </w:r>
      <w:r w:rsidR="00013A37">
        <w:t>.</w:t>
      </w:r>
      <w:r w:rsidRPr="00EE2522" w:rsidR="00013A37">
        <w:t xml:space="preserve"> 1 – Rate Mecha</w:t>
      </w:r>
      <w:r w:rsidR="00013A37">
        <w:t>nism)</w:t>
      </w:r>
      <w:r w:rsidRPr="00EE2522" w:rsidR="00013A37">
        <w:t xml:space="preserve"> (2.0.0)</w:t>
      </w:r>
      <w:r w:rsidRPr="002E7B5B" w:rsidR="00013A37">
        <w:t xml:space="preserve">; </w:t>
      </w:r>
      <w:r w:rsidR="00013A37">
        <w:t xml:space="preserve">NYISO, NYISO Tariffs, </w:t>
      </w:r>
      <w:r w:rsidRPr="00EE2522" w:rsidR="00013A37">
        <w:t xml:space="preserve">NYISO OATT, </w:t>
      </w:r>
      <w:r w:rsidR="00013A37">
        <w:t xml:space="preserve">§§ </w:t>
      </w:r>
      <w:r w:rsidRPr="00EE2522" w:rsidR="00013A37">
        <w:t>6.19.7-6.19.7.2.1</w:t>
      </w:r>
      <w:r w:rsidR="00013A37">
        <w:t>,</w:t>
      </w:r>
      <w:r w:rsidRPr="00EE2522" w:rsidR="00013A37">
        <w:t xml:space="preserve"> Schedule 19 </w:t>
      </w:r>
      <w:r w:rsidR="00013A37">
        <w:t>(a</w:t>
      </w:r>
      <w:r w:rsidRPr="00EE2522" w:rsidR="00013A37">
        <w:t>ttach</w:t>
      </w:r>
      <w:r w:rsidR="00013A37">
        <w:t>.</w:t>
      </w:r>
      <w:r w:rsidRPr="00EE2522" w:rsidR="00013A37">
        <w:t xml:space="preserve"> 2 – Rate Mecha</w:t>
      </w:r>
      <w:r w:rsidR="00013A37">
        <w:t>nism)</w:t>
      </w:r>
      <w:r w:rsidRPr="00EE2522" w:rsidR="00013A37">
        <w:t xml:space="preserve"> (2.0.0)</w:t>
      </w:r>
      <w:r w:rsidR="00013A37">
        <w:t>).</w:t>
      </w:r>
      <w:r w:rsidRPr="007B29AE" w:rsidR="007B29AE">
        <w:t xml:space="preserve">  </w:t>
      </w:r>
    </w:p>
  </w:footnote>
  <w:footnote w:id="63">
    <w:p w:rsidR="00E8104F" w:rsidP="00E8104F">
      <w:pPr>
        <w:pStyle w:val="FootnoteText"/>
      </w:pPr>
      <w:r w:rsidR="004F7730">
        <w:rPr>
          <w:rStyle w:val="FootnoteReference"/>
        </w:rPr>
        <w:footnoteRef/>
      </w:r>
      <w:r w:rsidR="004F7730">
        <w:t xml:space="preserve"> </w:t>
      </w:r>
      <w:r w:rsidR="00194086">
        <w:t>Filing at 22-23</w:t>
      </w:r>
      <w:r w:rsidR="000F1FF4">
        <w:t xml:space="preserve"> (citing 18 C.F.R.</w:t>
      </w:r>
      <w:r w:rsidRPr="000F1FF4" w:rsidR="000F1FF4">
        <w:t xml:space="preserve"> </w:t>
      </w:r>
      <w:r w:rsidR="000F1FF4">
        <w:t xml:space="preserve">§ </w:t>
      </w:r>
      <w:r w:rsidR="00C675D6">
        <w:t>35.13(h)(38)</w:t>
      </w:r>
      <w:r w:rsidR="00013A37">
        <w:t xml:space="preserve"> (2023)</w:t>
      </w:r>
      <w:r w:rsidR="00C675D6">
        <w:t>)</w:t>
      </w:r>
      <w:r w:rsidR="00194086">
        <w:t>.</w:t>
      </w:r>
      <w:r>
        <w:t xml:space="preserve">  </w:t>
      </w:r>
      <w:r w:rsidRPr="00E8104F">
        <w:t xml:space="preserve">Statement BM is a </w:t>
      </w:r>
      <w:r w:rsidR="000A104F">
        <w:t xml:space="preserve">construction program statement that </w:t>
      </w:r>
      <w:r w:rsidRPr="00E8104F">
        <w:t>summar</w:t>
      </w:r>
      <w:r w:rsidR="000A104F">
        <w:t>izes</w:t>
      </w:r>
      <w:r w:rsidRPr="00E8104F">
        <w:t xml:space="preserve"> data and supporting assumptions relating to the economics of any construction program to replace or expand </w:t>
      </w:r>
      <w:r w:rsidR="00A556D0">
        <w:t>a</w:t>
      </w:r>
      <w:r w:rsidRPr="00E8104F">
        <w:t xml:space="preserve"> utility's power supply that </w:t>
      </w:r>
      <w:r w:rsidR="00A556D0">
        <w:t>must</w:t>
      </w:r>
      <w:r w:rsidRPr="00E8104F">
        <w:t xml:space="preserve"> be filed if the utility is filing for construction work in progress in rate base.</w:t>
      </w:r>
      <w:r w:rsidR="00A556D0">
        <w:t xml:space="preserve">  18 C.F.R.</w:t>
      </w:r>
      <w:r w:rsidRPr="000F1FF4" w:rsidR="00A556D0">
        <w:t xml:space="preserve"> </w:t>
      </w:r>
      <w:r w:rsidR="00A556D0">
        <w:t>§ 35.13(h)(38).</w:t>
      </w:r>
    </w:p>
  </w:footnote>
  <w:footnote w:id="64">
    <w:p w:rsidR="004A35C5" w:rsidRPr="00194086">
      <w:pPr>
        <w:pStyle w:val="FootnoteText"/>
      </w:pPr>
      <w:r>
        <w:rPr>
          <w:rStyle w:val="FootnoteReference"/>
        </w:rPr>
        <w:footnoteRef/>
      </w:r>
      <w:r>
        <w:t xml:space="preserve"> </w:t>
      </w:r>
      <w:r w:rsidR="00A556D0">
        <w:t xml:space="preserve">Filing </w:t>
      </w:r>
      <w:r w:rsidR="00194086">
        <w:t xml:space="preserve">at 22-23 (citing </w:t>
      </w:r>
      <w:r w:rsidRPr="00194086" w:rsidR="00194086">
        <w:rPr>
          <w:i/>
          <w:iCs/>
        </w:rPr>
        <w:t xml:space="preserve">The Dayton Power </w:t>
      </w:r>
      <w:r w:rsidR="00013A37">
        <w:rPr>
          <w:i/>
          <w:iCs/>
        </w:rPr>
        <w:t>&amp;</w:t>
      </w:r>
      <w:r w:rsidRPr="00194086" w:rsidR="00194086">
        <w:rPr>
          <w:i/>
          <w:iCs/>
        </w:rPr>
        <w:t xml:space="preserve"> Light Co.</w:t>
      </w:r>
      <w:r w:rsidRPr="00194086" w:rsidR="00194086">
        <w:t xml:space="preserve">, </w:t>
      </w:r>
      <w:r w:rsidRPr="00F962C8" w:rsidR="00194086">
        <w:t>172 FERC ¶ 61,140</w:t>
      </w:r>
      <w:r w:rsidRPr="00194086" w:rsidR="00194086">
        <w:t xml:space="preserve"> at </w:t>
      </w:r>
      <w:r w:rsidR="00B979C8">
        <w:t xml:space="preserve">  </w:t>
      </w:r>
      <w:r w:rsidRPr="00194086" w:rsidR="00194086">
        <w:t>P 74</w:t>
      </w:r>
      <w:r w:rsidR="00F962C8">
        <w:t xml:space="preserve">, </w:t>
      </w:r>
      <w:r w:rsidR="00F962C8">
        <w:rPr>
          <w:i/>
          <w:iCs/>
        </w:rPr>
        <w:t>order on reh’g</w:t>
      </w:r>
      <w:r w:rsidR="00F962C8">
        <w:t>, 173 FERC ¶ 61,154</w:t>
      </w:r>
      <w:r w:rsidRPr="00194086" w:rsidR="00194086">
        <w:t xml:space="preserve"> (2020)</w:t>
      </w:r>
      <w:r w:rsidR="00CC66CA">
        <w:t xml:space="preserve">, </w:t>
      </w:r>
      <w:r w:rsidR="00CC66CA">
        <w:rPr>
          <w:i/>
          <w:iCs/>
        </w:rPr>
        <w:t>order on reh’g</w:t>
      </w:r>
      <w:r w:rsidR="00A209B9">
        <w:t>, 174 FERC ¶ 61,119 (2021))</w:t>
      </w:r>
      <w:r w:rsidRPr="00194086" w:rsidR="00194086">
        <w:t xml:space="preserve">. </w:t>
      </w:r>
    </w:p>
  </w:footnote>
  <w:footnote w:id="65">
    <w:p w:rsidR="00A764F1" w:rsidRPr="00C675D6" w:rsidP="00A764F1">
      <w:pPr>
        <w:pStyle w:val="FootnoteText"/>
      </w:pPr>
      <w:r>
        <w:rPr>
          <w:rStyle w:val="FootnoteReference"/>
        </w:rPr>
        <w:footnoteRef/>
      </w:r>
      <w:r>
        <w:t xml:space="preserve"> </w:t>
      </w:r>
      <w:r>
        <w:rPr>
          <w:i/>
          <w:iCs/>
        </w:rPr>
        <w:t>See</w:t>
      </w:r>
      <w:r>
        <w:t xml:space="preserve"> 18 C.F.R.</w:t>
      </w:r>
      <w:r w:rsidRPr="000F1FF4">
        <w:t xml:space="preserve"> </w:t>
      </w:r>
      <w:r>
        <w:t>§ 35.25(c)(4) &amp; (g)</w:t>
      </w:r>
      <w:r w:rsidR="00013A37">
        <w:t xml:space="preserve"> (2023)</w:t>
      </w:r>
      <w:r>
        <w:t>.</w:t>
      </w:r>
    </w:p>
  </w:footnote>
  <w:footnote w:id="66">
    <w:p w:rsidR="007E13C1" w:rsidRPr="00FD44AA">
      <w:pPr>
        <w:pStyle w:val="FootnoteText"/>
      </w:pPr>
      <w:r>
        <w:rPr>
          <w:rStyle w:val="FootnoteReference"/>
        </w:rPr>
        <w:footnoteRef/>
      </w:r>
      <w:r>
        <w:t xml:space="preserve"> </w:t>
      </w:r>
      <w:r w:rsidR="00FD44AA">
        <w:t xml:space="preserve">Filing at 23 (citing </w:t>
      </w:r>
      <w:r w:rsidR="00952205">
        <w:t xml:space="preserve">Order No. 679, 116 FERC ¶ 61,057 </w:t>
      </w:r>
      <w:r w:rsidR="00952205">
        <w:rPr>
          <w:szCs w:val="26"/>
        </w:rPr>
        <w:t xml:space="preserve">at </w:t>
      </w:r>
      <w:r w:rsidR="0072008D">
        <w:rPr>
          <w:szCs w:val="26"/>
        </w:rPr>
        <w:t>P 119</w:t>
      </w:r>
      <w:r w:rsidR="00FC0C89">
        <w:rPr>
          <w:szCs w:val="26"/>
        </w:rPr>
        <w:t>).</w:t>
      </w:r>
    </w:p>
  </w:footnote>
  <w:footnote w:id="67">
    <w:p w:rsidR="00CB706A">
      <w:pPr>
        <w:pStyle w:val="FootnoteText"/>
      </w:pPr>
      <w:r>
        <w:rPr>
          <w:rStyle w:val="FootnoteReference"/>
        </w:rPr>
        <w:footnoteRef/>
      </w:r>
      <w:r>
        <w:t xml:space="preserve"> </w:t>
      </w:r>
      <w:r w:rsidR="00515FF9">
        <w:rPr>
          <w:i/>
          <w:iCs/>
        </w:rPr>
        <w:t xml:space="preserve">See </w:t>
      </w:r>
      <w:r w:rsidRPr="00715DAA" w:rsidR="00515FF9">
        <w:rPr>
          <w:i/>
          <w:iCs/>
        </w:rPr>
        <w:t>supra</w:t>
      </w:r>
      <w:r w:rsidR="00715DAA">
        <w:t xml:space="preserve"> </w:t>
      </w:r>
      <w:r w:rsidR="00550F49">
        <w:t xml:space="preserve">P 20.  </w:t>
      </w:r>
      <w:r w:rsidRPr="00715DAA" w:rsidR="00286D62">
        <w:t>The</w:t>
      </w:r>
      <w:r w:rsidRPr="009B7B19" w:rsidR="00286D62">
        <w:t xml:space="preserve"> Phase 2 Projects that Applicants state are subject to additional Article VII Approval are listed in Appendix </w:t>
      </w:r>
      <w:r w:rsidR="00286D62">
        <w:t>B</w:t>
      </w:r>
      <w:r w:rsidRPr="009B7B19" w:rsidR="00286D62">
        <w:t>.</w:t>
      </w:r>
    </w:p>
  </w:footnote>
  <w:footnote w:id="68">
    <w:p w:rsidR="00294CD2" w:rsidP="00294CD2">
      <w:pPr>
        <w:pStyle w:val="FootnoteText"/>
      </w:pPr>
      <w:r w:rsidRPr="00A11DF2">
        <w:rPr>
          <w:rStyle w:val="FootnoteReference"/>
        </w:rPr>
        <w:footnoteRef/>
      </w:r>
      <w:r>
        <w:t xml:space="preserve"> Order No. 679, 116 FERC ¶ 61,057 </w:t>
      </w:r>
      <w:r>
        <w:rPr>
          <w:szCs w:val="26"/>
        </w:rPr>
        <w:t xml:space="preserve">at PP 29, 117. </w:t>
      </w:r>
    </w:p>
  </w:footnote>
  <w:footnote w:id="69">
    <w:p w:rsidR="00294CD2" w:rsidP="00294CD2">
      <w:pPr>
        <w:pStyle w:val="FootnoteText"/>
      </w:pPr>
      <w:r>
        <w:rPr>
          <w:rStyle w:val="FootnoteReference"/>
        </w:rPr>
        <w:footnoteRef/>
      </w:r>
      <w:r>
        <w:t xml:space="preserve"> </w:t>
      </w:r>
      <w:r w:rsidRPr="00417312">
        <w:t>Filing at 10-11.</w:t>
      </w:r>
    </w:p>
  </w:footnote>
  <w:footnote w:id="70">
    <w:p w:rsidR="00294CD2" w:rsidRPr="00B5242F" w:rsidP="00294CD2">
      <w:pPr>
        <w:pStyle w:val="FootnoteText"/>
      </w:pPr>
      <w:r>
        <w:rPr>
          <w:rStyle w:val="FootnoteReference"/>
        </w:rPr>
        <w:footnoteRef/>
      </w:r>
      <w:r>
        <w:t xml:space="preserve"> </w:t>
      </w:r>
      <w:r>
        <w:rPr>
          <w:i/>
          <w:iCs/>
        </w:rPr>
        <w:t>I</w:t>
      </w:r>
      <w:r w:rsidRPr="00283CB1">
        <w:rPr>
          <w:i/>
          <w:iCs/>
        </w:rPr>
        <w:t>d.</w:t>
      </w:r>
      <w:r>
        <w:t xml:space="preserve"> at 12 &amp;</w:t>
      </w:r>
      <w:r w:rsidRPr="00283CB1">
        <w:t xml:space="preserve"> </w:t>
      </w:r>
      <w:r w:rsidRPr="00895D53">
        <w:t>Vanluling &amp; Panichi Test.</w:t>
      </w:r>
      <w:r>
        <w:t xml:space="preserve"> </w:t>
      </w:r>
      <w:r w:rsidRPr="00283CB1">
        <w:t>at 3-6.</w:t>
      </w:r>
      <w:r w:rsidRPr="00A26F87">
        <w:t xml:space="preserve">  </w:t>
      </w:r>
    </w:p>
  </w:footnote>
  <w:footnote w:id="71">
    <w:p w:rsidR="00294CD2" w:rsidP="00294CD2">
      <w:pPr>
        <w:pStyle w:val="FootnoteText"/>
        <w:rPr>
          <w:i/>
          <w:iCs/>
        </w:rPr>
      </w:pPr>
      <w:r w:rsidRPr="00A11DF2">
        <w:rPr>
          <w:rStyle w:val="FootnoteReference"/>
        </w:rPr>
        <w:footnoteRef/>
      </w:r>
      <w:r>
        <w:t xml:space="preserve"> </w:t>
      </w:r>
      <w:r>
        <w:rPr>
          <w:i/>
          <w:iCs/>
        </w:rPr>
        <w:t>See Bos</w:t>
      </w:r>
      <w:r w:rsidR="00BE591B">
        <w:rPr>
          <w:i/>
          <w:iCs/>
        </w:rPr>
        <w:t>.</w:t>
      </w:r>
      <w:r>
        <w:rPr>
          <w:i/>
          <w:iCs/>
        </w:rPr>
        <w:t xml:space="preserve"> Edison Co.</w:t>
      </w:r>
      <w:r>
        <w:t>,</w:t>
      </w:r>
      <w:r>
        <w:rPr>
          <w:i/>
          <w:iCs/>
        </w:rPr>
        <w:t xml:space="preserve"> </w:t>
      </w:r>
      <w:r>
        <w:t>109 FERC ¶ 61,300, at P 36 (2004).</w:t>
      </w:r>
    </w:p>
  </w:footnote>
  <w:footnote w:id="72">
    <w:p w:rsidR="00CB706A" w:rsidP="00CB706A">
      <w:pPr>
        <w:pStyle w:val="FootnoteText"/>
      </w:pPr>
      <w:r>
        <w:rPr>
          <w:rStyle w:val="FootnoteReference"/>
        </w:rPr>
        <w:footnoteRef/>
      </w:r>
      <w:r>
        <w:t xml:space="preserve"> </w:t>
      </w:r>
      <w:r w:rsidRPr="009B7B19">
        <w:t>The Phase 2 Projects that Applicants state are not subject to additional Article VII Approval are listed in Appendix C.</w:t>
      </w:r>
    </w:p>
  </w:footnote>
  <w:footnote w:id="73">
    <w:p w:rsidR="00406E95">
      <w:pPr>
        <w:pStyle w:val="FootnoteText"/>
      </w:pPr>
      <w:r>
        <w:rPr>
          <w:rStyle w:val="FootnoteReference"/>
        </w:rPr>
        <w:footnoteRef/>
      </w:r>
      <w:r>
        <w:t xml:space="preserve"> Filing at 16.</w:t>
      </w:r>
    </w:p>
  </w:footnote>
  <w:footnote w:id="74">
    <w:p w:rsidR="000F3F0D">
      <w:pPr>
        <w:pStyle w:val="FootnoteText"/>
      </w:pPr>
      <w:r>
        <w:rPr>
          <w:rStyle w:val="FootnoteReference"/>
        </w:rPr>
        <w:footnoteRef/>
      </w:r>
      <w:r>
        <w:t xml:space="preserve"> </w:t>
      </w:r>
      <w:r w:rsidR="00A75D1F">
        <w:rPr>
          <w:i/>
          <w:iCs/>
        </w:rPr>
        <w:t>Id.</w:t>
      </w:r>
    </w:p>
  </w:footnote>
  <w:footnote w:id="75">
    <w:p w:rsidR="00FC315F" w:rsidP="00FC315F">
      <w:pPr>
        <w:pStyle w:val="FootnoteText"/>
      </w:pPr>
      <w:r>
        <w:rPr>
          <w:rStyle w:val="FootnoteReference"/>
        </w:rPr>
        <w:footnoteRef/>
      </w:r>
      <w:r>
        <w:t xml:space="preserve"> </w:t>
      </w:r>
      <w:r>
        <w:rPr>
          <w:i/>
          <w:iCs/>
        </w:rPr>
        <w:t>Id.</w:t>
      </w:r>
      <w:r>
        <w:t xml:space="preserve"> &amp; attach. B (Direct Testimony of James Yeske</w:t>
      </w:r>
      <w:r w:rsidRPr="00B11AEE">
        <w:t>), at 8</w:t>
      </w:r>
      <w:r w:rsidRPr="002E7B5B">
        <w:t xml:space="preserve"> (Yeske Test.)</w:t>
      </w:r>
      <w:r w:rsidRPr="00B11AEE">
        <w:t>.</w:t>
      </w:r>
      <w:r w:rsidRPr="00C25F13">
        <w:t xml:space="preserve">  </w:t>
      </w:r>
    </w:p>
  </w:footnote>
  <w:footnote w:id="76">
    <w:p w:rsidR="00316603" w:rsidRPr="00456815">
      <w:pPr>
        <w:pStyle w:val="FootnoteText"/>
      </w:pPr>
      <w:r>
        <w:rPr>
          <w:rStyle w:val="FootnoteReference"/>
        </w:rPr>
        <w:footnoteRef/>
      </w:r>
      <w:r>
        <w:t xml:space="preserve"> </w:t>
      </w:r>
      <w:r w:rsidR="005B749F">
        <w:t>Filing at 16</w:t>
      </w:r>
      <w:r w:rsidR="006F1729">
        <w:t>-</w:t>
      </w:r>
      <w:r w:rsidRPr="00456815" w:rsidR="006F1729">
        <w:t>17</w:t>
      </w:r>
      <w:r w:rsidRPr="00456815" w:rsidR="005B749F">
        <w:t xml:space="preserve"> </w:t>
      </w:r>
      <w:r w:rsidRPr="0071441F" w:rsidR="0041303E">
        <w:t>&amp;</w:t>
      </w:r>
      <w:r w:rsidRPr="00456815" w:rsidR="0041303E">
        <w:t xml:space="preserve"> </w:t>
      </w:r>
      <w:r w:rsidRPr="00456815" w:rsidR="00FF019F">
        <w:t>Yeske Test</w:t>
      </w:r>
      <w:r w:rsidRPr="0071441F" w:rsidR="00216DFA">
        <w:t>.</w:t>
      </w:r>
      <w:r w:rsidRPr="00456815" w:rsidR="00A8510E">
        <w:t xml:space="preserve"> at </w:t>
      </w:r>
      <w:r w:rsidRPr="00456815" w:rsidR="00C25304">
        <w:t>8</w:t>
      </w:r>
      <w:r w:rsidRPr="00456815" w:rsidR="00216DFA">
        <w:t>-9</w:t>
      </w:r>
      <w:r w:rsidRPr="00456815" w:rsidR="005B749F">
        <w:t>.</w:t>
      </w:r>
    </w:p>
  </w:footnote>
  <w:footnote w:id="77">
    <w:p w:rsidR="00C35AD8" w:rsidRPr="00C35AD8" w:rsidP="004B0F32">
      <w:pPr>
        <w:pStyle w:val="FootnoteText"/>
      </w:pPr>
      <w:r w:rsidRPr="00456815">
        <w:rPr>
          <w:rStyle w:val="FootnoteReference"/>
        </w:rPr>
        <w:footnoteRef/>
      </w:r>
      <w:r w:rsidRPr="00456815">
        <w:t xml:space="preserve"> Filing at 17</w:t>
      </w:r>
      <w:r w:rsidRPr="00456815" w:rsidR="00690260">
        <w:t xml:space="preserve"> &amp;</w:t>
      </w:r>
      <w:r w:rsidRPr="00456815" w:rsidR="004B0F32">
        <w:t xml:space="preserve"> </w:t>
      </w:r>
      <w:r w:rsidRPr="0071441F" w:rsidR="004B0F32">
        <w:t>Yeske Test</w:t>
      </w:r>
      <w:r w:rsidRPr="0071441F" w:rsidR="00690260">
        <w:t>.</w:t>
      </w:r>
      <w:r w:rsidRPr="0071441F" w:rsidR="004B0F32">
        <w:t xml:space="preserve"> at </w:t>
      </w:r>
      <w:r w:rsidRPr="00456815" w:rsidR="004B0F32">
        <w:t>5</w:t>
      </w:r>
      <w:r w:rsidRPr="00456815" w:rsidR="00BA4075">
        <w:t>-6</w:t>
      </w:r>
      <w:r w:rsidRPr="00456815" w:rsidR="004B0F32">
        <w:t>.</w:t>
      </w:r>
    </w:p>
  </w:footnote>
  <w:footnote w:id="78">
    <w:p w:rsidR="00243B39">
      <w:pPr>
        <w:pStyle w:val="FootnoteText"/>
      </w:pPr>
      <w:r>
        <w:rPr>
          <w:rStyle w:val="FootnoteReference"/>
        </w:rPr>
        <w:footnoteRef/>
      </w:r>
      <w:r>
        <w:t xml:space="preserve"> </w:t>
      </w:r>
      <w:r w:rsidR="00295E8C">
        <w:t>Filing at 17</w:t>
      </w:r>
      <w:r w:rsidR="00BA4075">
        <w:t xml:space="preserve"> </w:t>
      </w:r>
      <w:r w:rsidRPr="00BA4075" w:rsidR="00BA4075">
        <w:t>&amp;</w:t>
      </w:r>
      <w:r w:rsidRPr="00BA4075" w:rsidR="00295E8C">
        <w:t xml:space="preserve"> </w:t>
      </w:r>
      <w:r w:rsidRPr="0071441F" w:rsidR="00295E8C">
        <w:t>Yeske Test</w:t>
      </w:r>
      <w:r w:rsidRPr="0071441F" w:rsidR="00BA4075">
        <w:t>.</w:t>
      </w:r>
      <w:r w:rsidRPr="0071441F" w:rsidR="00295E8C">
        <w:t xml:space="preserve"> at </w:t>
      </w:r>
      <w:r w:rsidRPr="00BA4075" w:rsidR="00295E8C">
        <w:t>6.</w:t>
      </w:r>
    </w:p>
  </w:footnote>
  <w:footnote w:id="79">
    <w:p w:rsidR="00965D0E">
      <w:pPr>
        <w:pStyle w:val="FootnoteText"/>
      </w:pPr>
      <w:r>
        <w:rPr>
          <w:rStyle w:val="FootnoteReference"/>
        </w:rPr>
        <w:footnoteRef/>
      </w:r>
      <w:r>
        <w:t xml:space="preserve"> Filing at 17</w:t>
      </w:r>
      <w:r w:rsidR="00BA4075">
        <w:t xml:space="preserve"> &amp;</w:t>
      </w:r>
      <w:r w:rsidRPr="00BA4075">
        <w:t xml:space="preserve"> </w:t>
      </w:r>
      <w:r w:rsidRPr="0071441F" w:rsidR="00FA1C0A">
        <w:t xml:space="preserve">Yeske </w:t>
      </w:r>
      <w:r w:rsidRPr="0071441F" w:rsidR="00BA4075">
        <w:t xml:space="preserve">Test. at </w:t>
      </w:r>
      <w:r w:rsidRPr="00BA4075" w:rsidR="00FA1C0A">
        <w:t>7-8.</w:t>
      </w:r>
    </w:p>
  </w:footnote>
  <w:footnote w:id="80">
    <w:p w:rsidR="008D42AC">
      <w:pPr>
        <w:pStyle w:val="FootnoteText"/>
      </w:pPr>
      <w:r>
        <w:rPr>
          <w:rStyle w:val="FootnoteReference"/>
        </w:rPr>
        <w:footnoteRef/>
      </w:r>
      <w:r>
        <w:t xml:space="preserve"> Filing at 1</w:t>
      </w:r>
      <w:r w:rsidR="00237E27">
        <w:t>8.</w:t>
      </w:r>
    </w:p>
  </w:footnote>
  <w:footnote w:id="81">
    <w:p w:rsidR="004B1AD8" w:rsidRPr="004B1AD8">
      <w:pPr>
        <w:pStyle w:val="FootnoteText"/>
      </w:pPr>
      <w:r>
        <w:rPr>
          <w:rStyle w:val="FootnoteReference"/>
        </w:rPr>
        <w:footnoteRef/>
      </w:r>
      <w:r>
        <w:t xml:space="preserve"> </w:t>
      </w:r>
      <w:r>
        <w:rPr>
          <w:i/>
          <w:iCs/>
        </w:rPr>
        <w:t>Id.</w:t>
      </w:r>
      <w:r>
        <w:t xml:space="preserve"> (</w:t>
      </w:r>
      <w:r w:rsidRPr="00DB43CF">
        <w:t xml:space="preserve">citing </w:t>
      </w:r>
      <w:r w:rsidRPr="00DB43CF">
        <w:rPr>
          <w:i/>
          <w:iCs/>
        </w:rPr>
        <w:t>Ameren Serv. Co.</w:t>
      </w:r>
      <w:r w:rsidRPr="00DB43CF">
        <w:t>, 135 FERC ¶ 61,142, at P 59 (2011)).</w:t>
      </w:r>
    </w:p>
  </w:footnote>
  <w:footnote w:id="82">
    <w:p w:rsidR="00DD09E2">
      <w:pPr>
        <w:pStyle w:val="FootnoteText"/>
      </w:pPr>
      <w:r>
        <w:rPr>
          <w:rStyle w:val="FootnoteReference"/>
        </w:rPr>
        <w:footnoteRef/>
      </w:r>
      <w:r>
        <w:t xml:space="preserve"> </w:t>
      </w:r>
      <w:r w:rsidR="00E36C1A">
        <w:rPr>
          <w:i/>
          <w:iCs/>
        </w:rPr>
        <w:t>Id.</w:t>
      </w:r>
    </w:p>
  </w:footnote>
  <w:footnote w:id="83">
    <w:p w:rsidR="00341015">
      <w:pPr>
        <w:pStyle w:val="FootnoteText"/>
      </w:pPr>
      <w:r>
        <w:rPr>
          <w:rStyle w:val="FootnoteReference"/>
        </w:rPr>
        <w:footnoteRef/>
      </w:r>
      <w:r>
        <w:t xml:space="preserve"> </w:t>
      </w:r>
      <w:r w:rsidRPr="007B1FAE" w:rsidR="00C838A5">
        <w:t>Theberge</w:t>
      </w:r>
      <w:r w:rsidR="00C838A5">
        <w:t xml:space="preserve"> &amp; </w:t>
      </w:r>
      <w:r w:rsidRPr="007B1FAE" w:rsidR="00C838A5">
        <w:t>Bassano</w:t>
      </w:r>
      <w:r w:rsidR="00C838A5">
        <w:t xml:space="preserve"> Test. at 7.</w:t>
      </w:r>
    </w:p>
  </w:footnote>
  <w:footnote w:id="84">
    <w:p w:rsidR="00C86AA8" w:rsidP="00C86AA8">
      <w:pPr>
        <w:pStyle w:val="FootnoteText"/>
      </w:pPr>
      <w:r>
        <w:rPr>
          <w:rStyle w:val="FootnoteReference"/>
        </w:rPr>
        <w:footnoteRef/>
      </w:r>
      <w:r>
        <w:t xml:space="preserve"> </w:t>
      </w:r>
      <w:r w:rsidR="00F17DF6">
        <w:rPr>
          <w:i/>
          <w:iCs/>
        </w:rPr>
        <w:t xml:space="preserve">See </w:t>
      </w:r>
      <w:r w:rsidRPr="00715DAA" w:rsidR="00F17DF6">
        <w:rPr>
          <w:i/>
          <w:iCs/>
        </w:rPr>
        <w:t>supra</w:t>
      </w:r>
      <w:r w:rsidR="00F17DF6">
        <w:t xml:space="preserve"> P 20.  </w:t>
      </w:r>
      <w:r w:rsidRPr="009B7B19">
        <w:t xml:space="preserve">The Phase 2 Projects that Applicants state are subject to additional Article VII Approval are listed in Appendix </w:t>
      </w:r>
      <w:r>
        <w:t>B</w:t>
      </w:r>
      <w:r w:rsidRPr="009B7B19">
        <w:t>.</w:t>
      </w:r>
    </w:p>
  </w:footnote>
  <w:footnote w:id="85">
    <w:p w:rsidR="0086456A" w:rsidRPr="000C658E" w:rsidP="0086456A">
      <w:pPr>
        <w:pStyle w:val="FootnoteText"/>
        <w:rPr>
          <w:szCs w:val="26"/>
        </w:rPr>
      </w:pPr>
      <w:r w:rsidRPr="003C4FFB">
        <w:rPr>
          <w:rStyle w:val="FootnoteReference"/>
          <w:szCs w:val="26"/>
        </w:rPr>
        <w:footnoteRef/>
      </w:r>
      <w:r w:rsidRPr="000C658E">
        <w:rPr>
          <w:szCs w:val="26"/>
        </w:rPr>
        <w:t xml:space="preserve"> Order No. 679, 116 FERC ¶ 61,057 at PP 163-166.</w:t>
      </w:r>
    </w:p>
  </w:footnote>
  <w:footnote w:id="86">
    <w:p w:rsidR="0086456A" w:rsidP="0086456A">
      <w:pPr>
        <w:pStyle w:val="FootnoteText"/>
      </w:pPr>
      <w:r>
        <w:rPr>
          <w:rStyle w:val="FootnoteReference"/>
        </w:rPr>
        <w:footnoteRef/>
      </w:r>
      <w:r>
        <w:t xml:space="preserve"> </w:t>
      </w:r>
      <w:r w:rsidR="000763D0">
        <w:rPr>
          <w:i/>
          <w:iCs/>
        </w:rPr>
        <w:t>Id.</w:t>
      </w:r>
      <w:r w:rsidRPr="000B0499">
        <w:t xml:space="preserve"> </w:t>
      </w:r>
      <w:r>
        <w:t xml:space="preserve">at PP 165-166.  In the event that </w:t>
      </w:r>
      <w:r w:rsidRPr="00DE4A94">
        <w:t>Applicants</w:t>
      </w:r>
      <w:r>
        <w:t xml:space="preserve"> seek abandoned plant recovery for the time period prior to the effective date of this order, </w:t>
      </w:r>
      <w:r w:rsidRPr="00DE4A94">
        <w:t xml:space="preserve">Applicants </w:t>
      </w:r>
      <w:r>
        <w:t xml:space="preserve">would be eligible to seek recovery of 50% of </w:t>
      </w:r>
      <w:r w:rsidR="00493626">
        <w:t xml:space="preserve">their </w:t>
      </w:r>
      <w:r>
        <w:t xml:space="preserve">prudently incurred costs, consistent with prior precedent.  </w:t>
      </w:r>
      <w:r w:rsidRPr="00A0080F">
        <w:rPr>
          <w:i/>
          <w:iCs/>
        </w:rPr>
        <w:t>See, e.g., San Diego Gas &amp; Elec. Co.</w:t>
      </w:r>
      <w:r>
        <w:t xml:space="preserve">, 154 FERC ¶ 61,158, </w:t>
      </w:r>
      <w:r w:rsidRPr="00A0080F">
        <w:rPr>
          <w:i/>
          <w:iCs/>
        </w:rPr>
        <w:t>order denying reh</w:t>
      </w:r>
      <w:r>
        <w:rPr>
          <w:i/>
          <w:iCs/>
        </w:rPr>
        <w:t>’</w:t>
      </w:r>
      <w:r w:rsidRPr="00A0080F">
        <w:rPr>
          <w:i/>
          <w:iCs/>
        </w:rPr>
        <w:t>g</w:t>
      </w:r>
      <w:r>
        <w:t xml:space="preserve">, 157 FERC ¶ 61,056 (2016), </w:t>
      </w:r>
      <w:r w:rsidRPr="00A0080F">
        <w:rPr>
          <w:i/>
          <w:iCs/>
        </w:rPr>
        <w:t>aff</w:t>
      </w:r>
      <w:r>
        <w:rPr>
          <w:i/>
          <w:iCs/>
        </w:rPr>
        <w:t>’</w:t>
      </w:r>
      <w:r w:rsidRPr="00A0080F">
        <w:rPr>
          <w:i/>
          <w:iCs/>
        </w:rPr>
        <w:t>d</w:t>
      </w:r>
      <w:r>
        <w:t xml:space="preserve">, </w:t>
      </w:r>
      <w:r w:rsidRPr="000B0499">
        <w:rPr>
          <w:i/>
          <w:iCs/>
        </w:rPr>
        <w:t>San Diego Gas &amp; Elec. Co. v. FERC</w:t>
      </w:r>
      <w:r w:rsidRPr="000B0499">
        <w:t>, 913 F.3d 127 (D.C. Cir. 2019)</w:t>
      </w:r>
      <w:r w:rsidRPr="00571BF8">
        <w:t>.</w:t>
      </w:r>
    </w:p>
  </w:footnote>
  <w:footnote w:id="87">
    <w:p w:rsidR="00C86AA8">
      <w:pPr>
        <w:pStyle w:val="FootnoteText"/>
      </w:pPr>
      <w:r>
        <w:rPr>
          <w:rStyle w:val="FootnoteReference"/>
        </w:rPr>
        <w:footnoteRef/>
      </w:r>
      <w:r>
        <w:t xml:space="preserve"> </w:t>
      </w:r>
      <w:bookmarkStart w:id="5" w:name="_Hlk169513278"/>
      <w:r w:rsidRPr="009B7B19">
        <w:t>The Phase 2 Projects that Applicants state are not subject to additional Article VII Approval are listed in Appendix C.</w:t>
      </w:r>
    </w:p>
  </w:footnote>
  <w:footnote w:id="88">
    <w:p w:rsidR="00BF558E">
      <w:pPr>
        <w:pStyle w:val="FootnoteText"/>
      </w:pPr>
      <w:bookmarkEnd w:id="5"/>
      <w:r w:rsidRPr="00092EA8">
        <w:rPr>
          <w:rStyle w:val="FootnoteReference"/>
        </w:rPr>
        <w:footnoteRef/>
      </w:r>
      <w:r w:rsidRPr="00092EA8">
        <w:t xml:space="preserve"> Filing at 18.</w:t>
      </w:r>
    </w:p>
  </w:footnote>
  <w:footnote w:id="89">
    <w:p w:rsidR="006378A9" w:rsidRPr="00301CBE">
      <w:pPr>
        <w:pStyle w:val="FootnoteText"/>
        <w:rPr>
          <w:i/>
          <w:iCs/>
        </w:rPr>
      </w:pPr>
      <w:r>
        <w:rPr>
          <w:rStyle w:val="FootnoteReference"/>
        </w:rPr>
        <w:footnoteRef/>
      </w:r>
      <w:r>
        <w:t xml:space="preserve"> </w:t>
      </w:r>
      <w:r>
        <w:rPr>
          <w:i/>
        </w:rPr>
        <w:t>Id.</w:t>
      </w:r>
    </w:p>
  </w:footnote>
  <w:footnote w:id="90">
    <w:p w:rsidR="00B70898" w:rsidP="00B70898">
      <w:pPr>
        <w:pStyle w:val="FootnoteText"/>
      </w:pPr>
      <w:r>
        <w:rPr>
          <w:rStyle w:val="FootnoteReference"/>
        </w:rPr>
        <w:footnoteRef/>
      </w:r>
      <w:r>
        <w:t xml:space="preserve"> Order No. 679-A, 117 FERC ¶ 61,345 at P 40; Transmission Incentives Policy Statement, 141 FERC ¶ 61,129 at P 10.</w:t>
      </w:r>
    </w:p>
  </w:footnote>
  <w:footnote w:id="91">
    <w:p w:rsidR="00B70898" w:rsidP="00B70898">
      <w:pPr>
        <w:pStyle w:val="FootnoteText"/>
      </w:pPr>
      <w:r>
        <w:rPr>
          <w:rStyle w:val="FootnoteReference"/>
        </w:rPr>
        <w:footnoteRef/>
      </w:r>
      <w:r>
        <w:t xml:space="preserve"> 2012 Incentives Policy Statement, 141 FERC ¶ 61,129 at P 10 (quoting Order No. 679-A, 117 FERC ¶ 61,345 at P 40).</w:t>
      </w:r>
    </w:p>
  </w:footnote>
  <w:footnote w:id="92">
    <w:p w:rsidR="00B70898" w:rsidRPr="004A068E" w:rsidP="00B70898">
      <w:pPr>
        <w:pStyle w:val="FootnoteText"/>
      </w:pPr>
      <w:r>
        <w:rPr>
          <w:rStyle w:val="FootnoteReference"/>
        </w:rPr>
        <w:footnoteRef/>
      </w:r>
      <w:r>
        <w:t xml:space="preserve"> Order No. 679, 116 FERC ¶ 61,057 at P 55; </w:t>
      </w:r>
      <w:r>
        <w:rPr>
          <w:i/>
        </w:rPr>
        <w:t>s</w:t>
      </w:r>
      <w:r w:rsidRPr="001C6DB9">
        <w:rPr>
          <w:i/>
        </w:rPr>
        <w:t>ee also Midcontinent Indep. Sys. Operator, Inc.</w:t>
      </w:r>
      <w:r>
        <w:t>, 151 FERC ¶ 61,246, at P 35 (2015).</w:t>
      </w:r>
    </w:p>
  </w:footnote>
  <w:footnote w:id="93">
    <w:p w:rsidR="008E3D9A" w:rsidP="008E3D9A">
      <w:pPr>
        <w:pStyle w:val="FootnoteText"/>
      </w:pPr>
      <w:r>
        <w:rPr>
          <w:rStyle w:val="FootnoteReference"/>
        </w:rPr>
        <w:footnoteRef/>
      </w:r>
      <w:r>
        <w:t xml:space="preserve"> FERC-730 annual reports must be filed by public utilities that have been granted incentive rate treatment for specific transmission projects. </w:t>
      </w:r>
      <w:r w:rsidR="00E300E4">
        <w:t xml:space="preserve"> </w:t>
      </w:r>
      <w:r>
        <w:t>18 C.F.R. § 35.35(h) (202</w:t>
      </w:r>
      <w:r w:rsidR="00E300E4">
        <w:t>3</w:t>
      </w:r>
      <w:r>
        <w:t>). These reports contain actual, projected, and incremental transmission investment information.</w:t>
      </w:r>
    </w:p>
  </w:footnote>
  <w:footnote w:id="94">
    <w:p w:rsidR="00733E4D" w:rsidRPr="00CA0CF4" w:rsidP="00733E4D">
      <w:pPr>
        <w:pStyle w:val="FootnoteText"/>
      </w:pPr>
      <w:r>
        <w:rPr>
          <w:rStyle w:val="FootnoteReference"/>
        </w:rPr>
        <w:footnoteRef/>
      </w:r>
      <w:r>
        <w:t xml:space="preserve"> </w:t>
      </w:r>
      <w:r w:rsidRPr="00360E40" w:rsidR="00D35057">
        <w:rPr>
          <w:iCs/>
        </w:rPr>
        <w:t>Filing</w:t>
      </w:r>
      <w:r w:rsidRPr="00360E40" w:rsidR="00D35057">
        <w:t xml:space="preserve"> at 19</w:t>
      </w:r>
      <w:r w:rsidR="00D35057">
        <w:t xml:space="preserve"> (citing NYISO, </w:t>
      </w:r>
      <w:r w:rsidRPr="00AB33AA" w:rsidR="00D35057">
        <w:t>NYISO Tariffs</w:t>
      </w:r>
      <w:r w:rsidR="00D35057">
        <w:t xml:space="preserve">, </w:t>
      </w:r>
      <w:r w:rsidRPr="00EE2522" w:rsidR="00D35057">
        <w:t xml:space="preserve">NYISO OATT, 6.19.7.2.2 </w:t>
      </w:r>
      <w:r w:rsidR="00D35057">
        <w:t>(</w:t>
      </w:r>
      <w:r w:rsidRPr="00EE2522" w:rsidR="00D35057">
        <w:t>Schedule 19 - Rochester Gas and Electric Cor</w:t>
      </w:r>
      <w:r w:rsidR="00D35057">
        <w:t>p)</w:t>
      </w:r>
      <w:r w:rsidRPr="00EE2522" w:rsidR="00D35057">
        <w:t xml:space="preserve"> (3.0.0)</w:t>
      </w:r>
      <w:r w:rsidR="00D35057">
        <w:rPr>
          <w:rStyle w:val="Hyperlink"/>
        </w:rPr>
        <w:t xml:space="preserve">; </w:t>
      </w:r>
      <w:r w:rsidR="00D35057">
        <w:t xml:space="preserve">NYISO, </w:t>
      </w:r>
      <w:r w:rsidRPr="002F00AC" w:rsidR="00D35057">
        <w:t>NYISO Tariffs</w:t>
      </w:r>
      <w:r w:rsidR="00D35057">
        <w:t xml:space="preserve">, </w:t>
      </w:r>
      <w:r w:rsidRPr="00EE2522" w:rsidR="00D35057">
        <w:t xml:space="preserve">NYISO OATT, 6.19.6.2.2 </w:t>
      </w:r>
      <w:r w:rsidR="00D35057">
        <w:t>(</w:t>
      </w:r>
      <w:r w:rsidRPr="00EE2522" w:rsidR="00D35057">
        <w:t>Schedule 19 - New York State Electric and Ga</w:t>
      </w:r>
      <w:r w:rsidR="00D35057">
        <w:t>s)</w:t>
      </w:r>
      <w:r w:rsidRPr="00EE2522" w:rsidR="00D35057">
        <w:t xml:space="preserve"> (3.0.0)</w:t>
      </w:r>
      <w:r w:rsidR="00D35057">
        <w:t>).</w:t>
      </w:r>
    </w:p>
  </w:footnote>
  <w:footnote w:id="95">
    <w:p w:rsidR="002D6210" w:rsidP="002D6210">
      <w:pPr>
        <w:pStyle w:val="FootnoteText"/>
      </w:pPr>
      <w:r>
        <w:rPr>
          <w:rStyle w:val="FootnoteReference"/>
        </w:rPr>
        <w:footnoteRef/>
      </w:r>
      <w:r>
        <w:t xml:space="preserve"> </w:t>
      </w:r>
      <w:r w:rsidRPr="00BE7BC7" w:rsidR="00D35057">
        <w:t xml:space="preserve">NYISO, NYISO Tariffs, </w:t>
      </w:r>
      <w:r w:rsidRPr="00EE2522" w:rsidR="00D35057">
        <w:t xml:space="preserve">NYISO OATT, 6.19.7.2.2 </w:t>
      </w:r>
      <w:r w:rsidR="00D35057">
        <w:t>(</w:t>
      </w:r>
      <w:r w:rsidRPr="00EE2522" w:rsidR="00D35057">
        <w:t>Schedule 19 - Rochester Gas and Electric Cor</w:t>
      </w:r>
      <w:r w:rsidR="00D35057">
        <w:t>p)</w:t>
      </w:r>
      <w:r w:rsidRPr="00EE2522" w:rsidR="00D35057">
        <w:t xml:space="preserve"> (3.0.0)</w:t>
      </w:r>
      <w:r w:rsidRPr="00BE7BC7" w:rsidR="00D35057">
        <w:rPr>
          <w:u w:val="single"/>
        </w:rPr>
        <w:t xml:space="preserve">; </w:t>
      </w:r>
      <w:r w:rsidRPr="00BE7BC7" w:rsidR="00D35057">
        <w:t xml:space="preserve">NYISO, NYISO Tariffs, </w:t>
      </w:r>
      <w:r w:rsidRPr="00EE2522" w:rsidR="00D35057">
        <w:t xml:space="preserve">NYISO OATT, 6.19.6.2.2 </w:t>
      </w:r>
      <w:r w:rsidR="00D35057">
        <w:t>(</w:t>
      </w:r>
      <w:r w:rsidRPr="00EE2522" w:rsidR="00D35057">
        <w:t>Schedule 19 - New York State Electric and Ga</w:t>
      </w:r>
      <w:r w:rsidR="00D35057">
        <w:t>s)</w:t>
      </w:r>
      <w:r w:rsidRPr="00EE2522" w:rsidR="00D35057">
        <w:t xml:space="preserve"> (3.0.0)</w:t>
      </w:r>
      <w:r w:rsidRPr="00BE7BC7" w:rsidR="00D35057">
        <w:t>.</w:t>
      </w:r>
    </w:p>
  </w:footnote>
  <w:footnote w:id="96">
    <w:p w:rsidR="001F088F">
      <w:pPr>
        <w:pStyle w:val="FootnoteText"/>
      </w:pPr>
      <w:r>
        <w:rPr>
          <w:rStyle w:val="FootnoteReference"/>
        </w:rPr>
        <w:footnoteRef/>
      </w:r>
      <w:r>
        <w:t xml:space="preserve"> Applicant</w:t>
      </w:r>
      <w:r w:rsidR="00D84823">
        <w:t xml:space="preserve">s state that </w:t>
      </w:r>
      <w:r w:rsidR="004029A3">
        <w:t xml:space="preserve">Project Z18 </w:t>
      </w:r>
      <w:r w:rsidR="00636FF6">
        <w:t>“</w:t>
      </w:r>
      <w:r w:rsidRPr="00636FF6" w:rsidR="00636FF6">
        <w:t>may require an Article VII permitting submission.</w:t>
      </w:r>
      <w:r w:rsidR="00636FF6">
        <w:t>”</w:t>
      </w:r>
      <w:r w:rsidR="00E84C4E">
        <w:t xml:space="preserve">  </w:t>
      </w:r>
      <w:r w:rsidR="0075725B">
        <w:t>Filing, attach. A, Ex. 3</w:t>
      </w:r>
      <w:r w:rsidR="00866401">
        <w:t xml:space="preserve">, </w:t>
      </w:r>
      <w:r w:rsidR="00262F49">
        <w:t xml:space="preserve">Transmission Line </w:t>
      </w:r>
      <w:r w:rsidR="00866401">
        <w:t xml:space="preserve">Project 17.  The Commission conditionally grants the requested </w:t>
      </w:r>
      <w:r w:rsidR="009F24FC">
        <w:t>CWIP and Abandoned Plant I</w:t>
      </w:r>
      <w:r w:rsidR="005E522F">
        <w:t xml:space="preserve">ncentives </w:t>
      </w:r>
      <w:r w:rsidR="00866401">
        <w:t xml:space="preserve">for Project Z18 </w:t>
      </w:r>
      <w:r w:rsidR="0008404C">
        <w:t xml:space="preserve">if </w:t>
      </w:r>
      <w:r w:rsidR="00323AE8">
        <w:t xml:space="preserve">it is </w:t>
      </w:r>
      <w:r w:rsidRPr="00323AE8" w:rsidR="00323AE8">
        <w:t xml:space="preserve">subject to Article VII Approval, conditioned upon the New York Commission issuing </w:t>
      </w:r>
      <w:r w:rsidR="00F53027">
        <w:t>it</w:t>
      </w:r>
      <w:r w:rsidRPr="00323AE8" w:rsidR="00323AE8">
        <w:t xml:space="preserve"> Article VII Approval</w:t>
      </w:r>
      <w:r w:rsidRPr="00FB15B1" w:rsidR="009F24FC">
        <w:rPr>
          <w:szCs w:val="22"/>
        </w:rPr>
        <w:t xml:space="preserve"> </w:t>
      </w:r>
      <w:r w:rsidRPr="00FB15B1" w:rsidR="009F24FC">
        <w:t xml:space="preserve">that addresses reliability </w:t>
      </w:r>
      <w:r w:rsidR="00D35862">
        <w:t>and/</w:t>
      </w:r>
      <w:r w:rsidRPr="00FB15B1" w:rsidR="009F24FC">
        <w:t>or congestion in the manner contemplated by FPA section 219</w:t>
      </w:r>
      <w:r w:rsidR="00F53027">
        <w:t>.  If Project Z18 is not subject to subsequent Article VII Approval by</w:t>
      </w:r>
      <w:r w:rsidRPr="00323AE8" w:rsidR="00323AE8">
        <w:t xml:space="preserve"> the </w:t>
      </w:r>
      <w:r w:rsidR="00F53027">
        <w:t xml:space="preserve">New York Commission, the Commission denies </w:t>
      </w:r>
      <w:r w:rsidR="00AC1718">
        <w:t xml:space="preserve">without prejudice </w:t>
      </w:r>
      <w:r w:rsidR="004A361C">
        <w:t>NYSEG’s CWIP and Abandoned Plant Incentive requests for Project Z18.</w:t>
      </w:r>
    </w:p>
  </w:footnote>
  <w:footnote w:id="97">
    <w:p w:rsidR="0039355C">
      <w:pPr>
        <w:pStyle w:val="FootnoteText"/>
      </w:pPr>
      <w:r>
        <w:rPr>
          <w:rStyle w:val="FootnoteReference"/>
        </w:rPr>
        <w:footnoteRef/>
      </w:r>
      <w:r>
        <w:t xml:space="preserve"> </w:t>
      </w:r>
      <w:r w:rsidRPr="00AE6681">
        <w:rPr>
          <w:i/>
          <w:iCs/>
        </w:rPr>
        <w:t>Consol. Edison Co. of N.Y.</w:t>
      </w:r>
      <w:r w:rsidRPr="00AE6681">
        <w:t>, 180 FERC ¶ 61,106</w:t>
      </w:r>
      <w:r>
        <w:t xml:space="preserve"> </w:t>
      </w:r>
      <w:r w:rsidRPr="00AE6681">
        <w:t>(2022)</w:t>
      </w:r>
      <w:r>
        <w:t xml:space="preserve"> (Christie, Comm’r, concurring at P 4) (available at </w:t>
      </w:r>
      <w:hyperlink r:id="rId1" w:history="1">
        <w:r w:rsidRPr="006430D1">
          <w:rPr>
            <w:rStyle w:val="Hyperlink"/>
          </w:rPr>
          <w:t>https://www.ferc.gov/news-events/news/commissioner-christies-concurrence-concerning-nytos-cost-sharing-er22-2152-et-al</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2E6525">
    <w:pPr>
      <w:pStyle w:val="Header"/>
      <w:tabs>
        <w:tab w:val="clear" w:pos="4680"/>
      </w:tabs>
      <w:spacing w:after="240"/>
    </w:pPr>
    <w:r w:rsidR="002E6525">
      <w:t>Docket Nos. ER24-1967-000 and ER24-1968-000</w:t>
      <w:tab/>
    </w:r>
    <w:r w:rsidR="002E6525">
      <w:fldChar w:fldCharType="begin"/>
    </w:r>
    <w:r w:rsidR="002E6525">
      <w:instrText xml:space="preserve"> PAGE  \* MERGEFORMAT </w:instrText>
    </w:r>
    <w:r w:rsidR="002E6525">
      <w:fldChar w:fldCharType="separate"/>
    </w:r>
    <w:r w:rsidR="000955B5">
      <w:rPr>
        <w:noProof/>
      </w:rPr>
      <w:t>- 26 -</w:t>
    </w:r>
    <w:r w:rsidR="002E6525">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0B" w:rsidP="00E71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CEB">
      <w:rPr>
        <w:rStyle w:val="PageNumber"/>
        <w:noProof/>
      </w:rPr>
      <w:t>- 1 -</w:t>
    </w:r>
    <w:r>
      <w:rPr>
        <w:rStyle w:val="PageNumber"/>
      </w:rPr>
      <w:fldChar w:fldCharType="end"/>
    </w:r>
  </w:p>
  <w:p w:rsidR="0048020B" w:rsidP="00E71F53">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6A" w:rsidRPr="000955B5" w:rsidP="00E71F53">
    <w:pPr>
      <w:widowControl/>
      <w:rPr>
        <w:rFonts w:cs="Arial"/>
      </w:rPr>
    </w:pPr>
    <w:r>
      <w:t xml:space="preserve">Docket Nos. </w:t>
    </w:r>
    <w:r w:rsidRPr="000955B5">
      <w:rPr>
        <w:rFonts w:cs="Arial"/>
      </w:rPr>
      <w:t>ER24-1967-000 and ER24-1968-000</w:t>
    </w:r>
  </w:p>
  <w:p w:rsidR="0067304E" w:rsidP="00E71F53">
    <w:pPr>
      <w:pStyle w:val="Header"/>
      <w:tabs>
        <w:tab w:val="clear" w:pos="4680"/>
      </w:tabs>
      <w:spacing w:after="240"/>
    </w:pPr>
    <w:r w:rsidR="0040046A">
      <w:tab/>
    </w:r>
    <w:r w:rsidR="0040046A">
      <w:fldChar w:fldCharType="begin"/>
    </w:r>
    <w:r w:rsidR="0040046A">
      <w:instrText xml:space="preserve"> PAGE  \* MERGEFORMAT </w:instrText>
    </w:r>
    <w:r w:rsidR="0040046A">
      <w:fldChar w:fldCharType="separate"/>
    </w:r>
    <w:r w:rsidR="0040046A">
      <w:rPr>
        <w:noProof/>
      </w:rPr>
      <w:t>- 1 -</w:t>
    </w:r>
    <w:r w:rsidR="0040046A">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6A" w:rsidRPr="00D12C0B" w:rsidP="00E71F53">
    <w:pPr>
      <w:pStyle w:val="Header"/>
      <w:tabs>
        <w:tab w:val="clear" w:pos="4680"/>
      </w:tabs>
      <w:jc w:val="right"/>
      <w:rPr>
        <w:b/>
        <w:bCs/>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1C166DA"/>
    <w:multiLevelType w:val="hybridMultilevel"/>
    <w:tmpl w:val="67EA0F2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0ADF2F1B"/>
    <w:multiLevelType w:val="hybridMultilevel"/>
    <w:tmpl w:val="89D2B95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2CC1223D"/>
    <w:multiLevelType w:val="hybridMultilevel"/>
    <w:tmpl w:val="9BA48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1960B9"/>
    <w:multiLevelType w:val="hybridMultilevel"/>
    <w:tmpl w:val="9BA48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C8674E"/>
    <w:multiLevelType w:val="hybridMultilevel"/>
    <w:tmpl w:val="89D2B95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6502FF"/>
    <w:multiLevelType w:val="multilevel"/>
    <w:tmpl w:val="D3BAFFF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3">
    <w:nsid w:val="5E936571"/>
    <w:multiLevelType w:val="hybridMultilevel"/>
    <w:tmpl w:val="67EA0F2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6">
    <w:nsid w:val="7499620E"/>
    <w:multiLevelType w:val="hybridMultilevel"/>
    <w:tmpl w:val="DE90DC9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4"/>
  </w:num>
  <w:num w:numId="13">
    <w:abstractNumId w:val="15"/>
  </w:num>
  <w:num w:numId="14">
    <w:abstractNumId w:val="25"/>
  </w:num>
  <w:num w:numId="15">
    <w:abstractNumId w:val="22"/>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6"/>
  </w:num>
  <w:num w:numId="20">
    <w:abstractNumId w:val="14"/>
  </w:num>
  <w:num w:numId="21">
    <w:abstractNumId w:val="28"/>
  </w:num>
  <w:num w:numId="22">
    <w:abstractNumId w:val="19"/>
  </w:num>
  <w:num w:numId="23">
    <w:abstractNumId w:val="20"/>
  </w:num>
  <w:num w:numId="24">
    <w:abstractNumId w:val="26"/>
  </w:num>
  <w:num w:numId="25">
    <w:abstractNumId w:val="17"/>
  </w:num>
  <w:num w:numId="26">
    <w:abstractNumId w:val="21"/>
  </w:num>
  <w:num w:numId="27">
    <w:abstractNumId w:val="18"/>
  </w:num>
  <w:num w:numId="28">
    <w:abstractNumId w:val="23"/>
  </w:num>
  <w:num w:numId="29">
    <w:abstractNumId w:val="11"/>
  </w:num>
  <w:num w:numId="30">
    <w:abstractNumId w:val="13"/>
  </w:num>
  <w:num w:numId="31">
    <w:abstractNumId w:val="27"/>
    <w:lvlOverride w:ilvl="0">
      <w:startOverride w:val="1"/>
    </w:lvlOverride>
  </w:num>
  <w:num w:numId="32">
    <w:abstractNumId w:val="2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96"/>
  <w:removePersonalInformation/>
  <w:removeDateAndTime/>
  <w:doNotTrackMoves/>
  <w:defaultTabStop w:val="720"/>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525"/>
    <w:rsid w:val="000000C2"/>
    <w:rsid w:val="000001F4"/>
    <w:rsid w:val="00000859"/>
    <w:rsid w:val="00001111"/>
    <w:rsid w:val="000017AB"/>
    <w:rsid w:val="000029BF"/>
    <w:rsid w:val="00002B8C"/>
    <w:rsid w:val="00003340"/>
    <w:rsid w:val="00003D3F"/>
    <w:rsid w:val="00003F05"/>
    <w:rsid w:val="00005455"/>
    <w:rsid w:val="00005788"/>
    <w:rsid w:val="00005BDA"/>
    <w:rsid w:val="00005CA8"/>
    <w:rsid w:val="000061DD"/>
    <w:rsid w:val="000065CB"/>
    <w:rsid w:val="0000731D"/>
    <w:rsid w:val="0000748F"/>
    <w:rsid w:val="0000793C"/>
    <w:rsid w:val="00007C24"/>
    <w:rsid w:val="00010A12"/>
    <w:rsid w:val="00010FA6"/>
    <w:rsid w:val="000118C8"/>
    <w:rsid w:val="000125A1"/>
    <w:rsid w:val="000125D5"/>
    <w:rsid w:val="000127DD"/>
    <w:rsid w:val="00013170"/>
    <w:rsid w:val="00013194"/>
    <w:rsid w:val="000131E9"/>
    <w:rsid w:val="00013A37"/>
    <w:rsid w:val="00013EDA"/>
    <w:rsid w:val="000143AA"/>
    <w:rsid w:val="00014AC3"/>
    <w:rsid w:val="000158A4"/>
    <w:rsid w:val="00015906"/>
    <w:rsid w:val="0001657B"/>
    <w:rsid w:val="00017B72"/>
    <w:rsid w:val="00017EB1"/>
    <w:rsid w:val="000201A8"/>
    <w:rsid w:val="00020260"/>
    <w:rsid w:val="0002042F"/>
    <w:rsid w:val="000208CC"/>
    <w:rsid w:val="000209D4"/>
    <w:rsid w:val="00021AC3"/>
    <w:rsid w:val="00021E2A"/>
    <w:rsid w:val="00022A33"/>
    <w:rsid w:val="0002312A"/>
    <w:rsid w:val="0002355F"/>
    <w:rsid w:val="000236D4"/>
    <w:rsid w:val="00023B96"/>
    <w:rsid w:val="000248AD"/>
    <w:rsid w:val="00024D0F"/>
    <w:rsid w:val="00024EDB"/>
    <w:rsid w:val="00025480"/>
    <w:rsid w:val="00025994"/>
    <w:rsid w:val="00026543"/>
    <w:rsid w:val="00026815"/>
    <w:rsid w:val="00026A16"/>
    <w:rsid w:val="00026D77"/>
    <w:rsid w:val="000270AF"/>
    <w:rsid w:val="000278E3"/>
    <w:rsid w:val="00027BA6"/>
    <w:rsid w:val="00031298"/>
    <w:rsid w:val="000318F5"/>
    <w:rsid w:val="00031A33"/>
    <w:rsid w:val="00031AE1"/>
    <w:rsid w:val="00031DD9"/>
    <w:rsid w:val="0003252C"/>
    <w:rsid w:val="00032775"/>
    <w:rsid w:val="00032C21"/>
    <w:rsid w:val="000334BE"/>
    <w:rsid w:val="0003382F"/>
    <w:rsid w:val="000345A8"/>
    <w:rsid w:val="00034C60"/>
    <w:rsid w:val="00035A59"/>
    <w:rsid w:val="00035DC6"/>
    <w:rsid w:val="000361A8"/>
    <w:rsid w:val="000364BB"/>
    <w:rsid w:val="000366E9"/>
    <w:rsid w:val="00036F6E"/>
    <w:rsid w:val="000370E9"/>
    <w:rsid w:val="00037542"/>
    <w:rsid w:val="000375C4"/>
    <w:rsid w:val="0004024C"/>
    <w:rsid w:val="000403E5"/>
    <w:rsid w:val="00040D4E"/>
    <w:rsid w:val="00040F10"/>
    <w:rsid w:val="00041279"/>
    <w:rsid w:val="00041BDE"/>
    <w:rsid w:val="00041F64"/>
    <w:rsid w:val="0004216D"/>
    <w:rsid w:val="000428C4"/>
    <w:rsid w:val="00043528"/>
    <w:rsid w:val="000438B6"/>
    <w:rsid w:val="00044671"/>
    <w:rsid w:val="000446D1"/>
    <w:rsid w:val="0004624A"/>
    <w:rsid w:val="0004648E"/>
    <w:rsid w:val="00047ED3"/>
    <w:rsid w:val="00047EE2"/>
    <w:rsid w:val="00051011"/>
    <w:rsid w:val="0005135D"/>
    <w:rsid w:val="00051A4C"/>
    <w:rsid w:val="000521BB"/>
    <w:rsid w:val="000522A3"/>
    <w:rsid w:val="00054ECC"/>
    <w:rsid w:val="00054FAE"/>
    <w:rsid w:val="000550DC"/>
    <w:rsid w:val="0005511B"/>
    <w:rsid w:val="00055C95"/>
    <w:rsid w:val="00055EAA"/>
    <w:rsid w:val="00055F5F"/>
    <w:rsid w:val="00056774"/>
    <w:rsid w:val="00056C13"/>
    <w:rsid w:val="00056F3C"/>
    <w:rsid w:val="000579F0"/>
    <w:rsid w:val="0006054D"/>
    <w:rsid w:val="00060FC5"/>
    <w:rsid w:val="0006117F"/>
    <w:rsid w:val="000618A8"/>
    <w:rsid w:val="00061B80"/>
    <w:rsid w:val="00061D63"/>
    <w:rsid w:val="000624CB"/>
    <w:rsid w:val="00062732"/>
    <w:rsid w:val="00062962"/>
    <w:rsid w:val="00062A5C"/>
    <w:rsid w:val="00062E20"/>
    <w:rsid w:val="00062E38"/>
    <w:rsid w:val="000636C5"/>
    <w:rsid w:val="00064609"/>
    <w:rsid w:val="00064D54"/>
    <w:rsid w:val="00065B0E"/>
    <w:rsid w:val="00065F3E"/>
    <w:rsid w:val="000666F8"/>
    <w:rsid w:val="0006725C"/>
    <w:rsid w:val="00067487"/>
    <w:rsid w:val="00067B5A"/>
    <w:rsid w:val="00070857"/>
    <w:rsid w:val="000709F8"/>
    <w:rsid w:val="00070F71"/>
    <w:rsid w:val="00071538"/>
    <w:rsid w:val="000721DC"/>
    <w:rsid w:val="00072989"/>
    <w:rsid w:val="00072C52"/>
    <w:rsid w:val="0007377C"/>
    <w:rsid w:val="000738EF"/>
    <w:rsid w:val="00073973"/>
    <w:rsid w:val="000745F6"/>
    <w:rsid w:val="0007499D"/>
    <w:rsid w:val="00074CB6"/>
    <w:rsid w:val="000756B2"/>
    <w:rsid w:val="00075B09"/>
    <w:rsid w:val="00075D81"/>
    <w:rsid w:val="000760FE"/>
    <w:rsid w:val="0007636C"/>
    <w:rsid w:val="000763D0"/>
    <w:rsid w:val="00076FCA"/>
    <w:rsid w:val="00077C5B"/>
    <w:rsid w:val="00077EC4"/>
    <w:rsid w:val="00080CD9"/>
    <w:rsid w:val="00080CFC"/>
    <w:rsid w:val="000814C8"/>
    <w:rsid w:val="0008173B"/>
    <w:rsid w:val="00081C92"/>
    <w:rsid w:val="00081CC2"/>
    <w:rsid w:val="0008224C"/>
    <w:rsid w:val="00083EFD"/>
    <w:rsid w:val="0008404C"/>
    <w:rsid w:val="00084059"/>
    <w:rsid w:val="00084413"/>
    <w:rsid w:val="0008478C"/>
    <w:rsid w:val="0008495D"/>
    <w:rsid w:val="00084A31"/>
    <w:rsid w:val="00086D98"/>
    <w:rsid w:val="0008778D"/>
    <w:rsid w:val="000902C2"/>
    <w:rsid w:val="000905F0"/>
    <w:rsid w:val="000915EB"/>
    <w:rsid w:val="00091CF9"/>
    <w:rsid w:val="00091F71"/>
    <w:rsid w:val="00092634"/>
    <w:rsid w:val="00092971"/>
    <w:rsid w:val="00092BCB"/>
    <w:rsid w:val="00092EA8"/>
    <w:rsid w:val="00093871"/>
    <w:rsid w:val="00093CB6"/>
    <w:rsid w:val="00093CC7"/>
    <w:rsid w:val="00094823"/>
    <w:rsid w:val="00094C0B"/>
    <w:rsid w:val="000950FB"/>
    <w:rsid w:val="00095494"/>
    <w:rsid w:val="000955B5"/>
    <w:rsid w:val="0009562F"/>
    <w:rsid w:val="00095759"/>
    <w:rsid w:val="00095BFB"/>
    <w:rsid w:val="00095F15"/>
    <w:rsid w:val="0009680F"/>
    <w:rsid w:val="000968FC"/>
    <w:rsid w:val="00097C05"/>
    <w:rsid w:val="00097C17"/>
    <w:rsid w:val="00097E07"/>
    <w:rsid w:val="000A0FF8"/>
    <w:rsid w:val="000A104F"/>
    <w:rsid w:val="000A11C7"/>
    <w:rsid w:val="000A12B5"/>
    <w:rsid w:val="000A15E3"/>
    <w:rsid w:val="000A2DC7"/>
    <w:rsid w:val="000A362C"/>
    <w:rsid w:val="000A385D"/>
    <w:rsid w:val="000A3D2F"/>
    <w:rsid w:val="000A4364"/>
    <w:rsid w:val="000A4916"/>
    <w:rsid w:val="000A4DFF"/>
    <w:rsid w:val="000A59EA"/>
    <w:rsid w:val="000A6835"/>
    <w:rsid w:val="000A6B87"/>
    <w:rsid w:val="000A6BF8"/>
    <w:rsid w:val="000A6C08"/>
    <w:rsid w:val="000A6CAF"/>
    <w:rsid w:val="000A6E88"/>
    <w:rsid w:val="000A6F94"/>
    <w:rsid w:val="000A75FD"/>
    <w:rsid w:val="000A7D17"/>
    <w:rsid w:val="000B00ED"/>
    <w:rsid w:val="000B0499"/>
    <w:rsid w:val="000B05DD"/>
    <w:rsid w:val="000B0D5B"/>
    <w:rsid w:val="000B0E94"/>
    <w:rsid w:val="000B2008"/>
    <w:rsid w:val="000B2248"/>
    <w:rsid w:val="000B251F"/>
    <w:rsid w:val="000B37BC"/>
    <w:rsid w:val="000B4124"/>
    <w:rsid w:val="000B416D"/>
    <w:rsid w:val="000B45EE"/>
    <w:rsid w:val="000B4783"/>
    <w:rsid w:val="000B54A8"/>
    <w:rsid w:val="000B62D3"/>
    <w:rsid w:val="000B6909"/>
    <w:rsid w:val="000B7430"/>
    <w:rsid w:val="000B7C6F"/>
    <w:rsid w:val="000B7E62"/>
    <w:rsid w:val="000B7E63"/>
    <w:rsid w:val="000C016C"/>
    <w:rsid w:val="000C0253"/>
    <w:rsid w:val="000C0D51"/>
    <w:rsid w:val="000C1FCA"/>
    <w:rsid w:val="000C24E8"/>
    <w:rsid w:val="000C4A0B"/>
    <w:rsid w:val="000C4E37"/>
    <w:rsid w:val="000C4FBB"/>
    <w:rsid w:val="000C6013"/>
    <w:rsid w:val="000C658E"/>
    <w:rsid w:val="000C6869"/>
    <w:rsid w:val="000C6CAC"/>
    <w:rsid w:val="000C7330"/>
    <w:rsid w:val="000C7F65"/>
    <w:rsid w:val="000D08DC"/>
    <w:rsid w:val="000D0E9F"/>
    <w:rsid w:val="000D0EE6"/>
    <w:rsid w:val="000D1D4B"/>
    <w:rsid w:val="000D1F7F"/>
    <w:rsid w:val="000D1FB6"/>
    <w:rsid w:val="000D222E"/>
    <w:rsid w:val="000D342E"/>
    <w:rsid w:val="000D3C3E"/>
    <w:rsid w:val="000D3E19"/>
    <w:rsid w:val="000D45A4"/>
    <w:rsid w:val="000D4A2D"/>
    <w:rsid w:val="000D4A78"/>
    <w:rsid w:val="000D4B2B"/>
    <w:rsid w:val="000D5147"/>
    <w:rsid w:val="000D5268"/>
    <w:rsid w:val="000D53E4"/>
    <w:rsid w:val="000D5AD3"/>
    <w:rsid w:val="000D5FFB"/>
    <w:rsid w:val="000D66B2"/>
    <w:rsid w:val="000D6D91"/>
    <w:rsid w:val="000D716F"/>
    <w:rsid w:val="000D739B"/>
    <w:rsid w:val="000D7AA7"/>
    <w:rsid w:val="000D7DD4"/>
    <w:rsid w:val="000D7E4E"/>
    <w:rsid w:val="000D7E96"/>
    <w:rsid w:val="000E03CC"/>
    <w:rsid w:val="000E065C"/>
    <w:rsid w:val="000E0857"/>
    <w:rsid w:val="000E0FB3"/>
    <w:rsid w:val="000E12DA"/>
    <w:rsid w:val="000E2BFA"/>
    <w:rsid w:val="000E3C66"/>
    <w:rsid w:val="000E3CB7"/>
    <w:rsid w:val="000E4179"/>
    <w:rsid w:val="000E45D6"/>
    <w:rsid w:val="000E4A37"/>
    <w:rsid w:val="000E573E"/>
    <w:rsid w:val="000E58BC"/>
    <w:rsid w:val="000E5D46"/>
    <w:rsid w:val="000E6505"/>
    <w:rsid w:val="000E6E07"/>
    <w:rsid w:val="000E7619"/>
    <w:rsid w:val="000F014E"/>
    <w:rsid w:val="000F07C1"/>
    <w:rsid w:val="000F113D"/>
    <w:rsid w:val="000F130D"/>
    <w:rsid w:val="000F14EC"/>
    <w:rsid w:val="000F16B1"/>
    <w:rsid w:val="000F17E6"/>
    <w:rsid w:val="000F1FF4"/>
    <w:rsid w:val="000F2016"/>
    <w:rsid w:val="000F24B1"/>
    <w:rsid w:val="000F2889"/>
    <w:rsid w:val="000F2DC1"/>
    <w:rsid w:val="000F372C"/>
    <w:rsid w:val="000F38E1"/>
    <w:rsid w:val="000F3A06"/>
    <w:rsid w:val="000F3D2D"/>
    <w:rsid w:val="000F3F0D"/>
    <w:rsid w:val="000F4F46"/>
    <w:rsid w:val="000F5090"/>
    <w:rsid w:val="000F5D70"/>
    <w:rsid w:val="000F603B"/>
    <w:rsid w:val="000F6403"/>
    <w:rsid w:val="000F6C7F"/>
    <w:rsid w:val="000F7145"/>
    <w:rsid w:val="000F7AE7"/>
    <w:rsid w:val="00100E1B"/>
    <w:rsid w:val="00101107"/>
    <w:rsid w:val="0010196F"/>
    <w:rsid w:val="00101F7B"/>
    <w:rsid w:val="00102257"/>
    <w:rsid w:val="0010264B"/>
    <w:rsid w:val="00102736"/>
    <w:rsid w:val="0010290F"/>
    <w:rsid w:val="00102EAE"/>
    <w:rsid w:val="00103A3E"/>
    <w:rsid w:val="00104835"/>
    <w:rsid w:val="00104F76"/>
    <w:rsid w:val="00105724"/>
    <w:rsid w:val="00105CDD"/>
    <w:rsid w:val="00107AF9"/>
    <w:rsid w:val="00107FD0"/>
    <w:rsid w:val="001102E5"/>
    <w:rsid w:val="001108EF"/>
    <w:rsid w:val="0011091F"/>
    <w:rsid w:val="00110C9A"/>
    <w:rsid w:val="00110F76"/>
    <w:rsid w:val="001110CC"/>
    <w:rsid w:val="00111A0F"/>
    <w:rsid w:val="001123C9"/>
    <w:rsid w:val="00113BFD"/>
    <w:rsid w:val="00113D6B"/>
    <w:rsid w:val="0011409E"/>
    <w:rsid w:val="00114935"/>
    <w:rsid w:val="00114AAD"/>
    <w:rsid w:val="00114F7C"/>
    <w:rsid w:val="00115CD4"/>
    <w:rsid w:val="001163F5"/>
    <w:rsid w:val="001173D2"/>
    <w:rsid w:val="0011757A"/>
    <w:rsid w:val="00117AD3"/>
    <w:rsid w:val="0012035C"/>
    <w:rsid w:val="001203A9"/>
    <w:rsid w:val="00120603"/>
    <w:rsid w:val="001208A2"/>
    <w:rsid w:val="001209EF"/>
    <w:rsid w:val="001209F0"/>
    <w:rsid w:val="00120AD8"/>
    <w:rsid w:val="00120FFF"/>
    <w:rsid w:val="0012120B"/>
    <w:rsid w:val="0012149B"/>
    <w:rsid w:val="001214AA"/>
    <w:rsid w:val="00121768"/>
    <w:rsid w:val="00121D4C"/>
    <w:rsid w:val="0012209B"/>
    <w:rsid w:val="00122610"/>
    <w:rsid w:val="001232DF"/>
    <w:rsid w:val="001236E4"/>
    <w:rsid w:val="00123E0C"/>
    <w:rsid w:val="00124000"/>
    <w:rsid w:val="00124412"/>
    <w:rsid w:val="00124C66"/>
    <w:rsid w:val="00124C8F"/>
    <w:rsid w:val="00126733"/>
    <w:rsid w:val="001267B6"/>
    <w:rsid w:val="00127014"/>
    <w:rsid w:val="0012713F"/>
    <w:rsid w:val="00127403"/>
    <w:rsid w:val="00127478"/>
    <w:rsid w:val="001279B9"/>
    <w:rsid w:val="00130CCE"/>
    <w:rsid w:val="001318E8"/>
    <w:rsid w:val="00131A6A"/>
    <w:rsid w:val="00132642"/>
    <w:rsid w:val="00132D57"/>
    <w:rsid w:val="00132DCE"/>
    <w:rsid w:val="0013370E"/>
    <w:rsid w:val="00134473"/>
    <w:rsid w:val="001347BE"/>
    <w:rsid w:val="00134805"/>
    <w:rsid w:val="00134A37"/>
    <w:rsid w:val="00134A47"/>
    <w:rsid w:val="00134F4B"/>
    <w:rsid w:val="00135039"/>
    <w:rsid w:val="001362E9"/>
    <w:rsid w:val="001363D2"/>
    <w:rsid w:val="001369A9"/>
    <w:rsid w:val="00137EEB"/>
    <w:rsid w:val="001402BF"/>
    <w:rsid w:val="00140CC8"/>
    <w:rsid w:val="00140F69"/>
    <w:rsid w:val="00140FE7"/>
    <w:rsid w:val="001416C5"/>
    <w:rsid w:val="0014190B"/>
    <w:rsid w:val="00141B32"/>
    <w:rsid w:val="00141D53"/>
    <w:rsid w:val="00141FB0"/>
    <w:rsid w:val="001421AA"/>
    <w:rsid w:val="00142597"/>
    <w:rsid w:val="001425CE"/>
    <w:rsid w:val="00142D60"/>
    <w:rsid w:val="001432F0"/>
    <w:rsid w:val="001434BB"/>
    <w:rsid w:val="00143B90"/>
    <w:rsid w:val="00143BBD"/>
    <w:rsid w:val="00143CC5"/>
    <w:rsid w:val="001445BC"/>
    <w:rsid w:val="00144853"/>
    <w:rsid w:val="001454AE"/>
    <w:rsid w:val="00146074"/>
    <w:rsid w:val="001461CB"/>
    <w:rsid w:val="001462D0"/>
    <w:rsid w:val="00146578"/>
    <w:rsid w:val="00146851"/>
    <w:rsid w:val="00146A50"/>
    <w:rsid w:val="001477C1"/>
    <w:rsid w:val="00147937"/>
    <w:rsid w:val="00147DF5"/>
    <w:rsid w:val="001508C1"/>
    <w:rsid w:val="001511F8"/>
    <w:rsid w:val="001512A7"/>
    <w:rsid w:val="001513E7"/>
    <w:rsid w:val="00151BA8"/>
    <w:rsid w:val="00151EB1"/>
    <w:rsid w:val="001520D4"/>
    <w:rsid w:val="00152140"/>
    <w:rsid w:val="00152234"/>
    <w:rsid w:val="001524C6"/>
    <w:rsid w:val="0015370B"/>
    <w:rsid w:val="00153E2E"/>
    <w:rsid w:val="00153ECF"/>
    <w:rsid w:val="00153FD8"/>
    <w:rsid w:val="001540D3"/>
    <w:rsid w:val="001543EE"/>
    <w:rsid w:val="0015456A"/>
    <w:rsid w:val="001549DE"/>
    <w:rsid w:val="00154C7A"/>
    <w:rsid w:val="00155201"/>
    <w:rsid w:val="00155278"/>
    <w:rsid w:val="00155363"/>
    <w:rsid w:val="0015604F"/>
    <w:rsid w:val="001566D8"/>
    <w:rsid w:val="00156B13"/>
    <w:rsid w:val="00156BBE"/>
    <w:rsid w:val="00157406"/>
    <w:rsid w:val="00157DBA"/>
    <w:rsid w:val="00160546"/>
    <w:rsid w:val="00160965"/>
    <w:rsid w:val="00160E9C"/>
    <w:rsid w:val="00161495"/>
    <w:rsid w:val="00161A76"/>
    <w:rsid w:val="00161A91"/>
    <w:rsid w:val="00162645"/>
    <w:rsid w:val="00163792"/>
    <w:rsid w:val="00163E22"/>
    <w:rsid w:val="00164892"/>
    <w:rsid w:val="00164E32"/>
    <w:rsid w:val="0016523B"/>
    <w:rsid w:val="0016531B"/>
    <w:rsid w:val="0016602E"/>
    <w:rsid w:val="001665BD"/>
    <w:rsid w:val="001666C9"/>
    <w:rsid w:val="001669B0"/>
    <w:rsid w:val="00166AD1"/>
    <w:rsid w:val="001700DE"/>
    <w:rsid w:val="001710DA"/>
    <w:rsid w:val="001712F2"/>
    <w:rsid w:val="00171FEC"/>
    <w:rsid w:val="0017265C"/>
    <w:rsid w:val="001733D7"/>
    <w:rsid w:val="0017481E"/>
    <w:rsid w:val="001749A4"/>
    <w:rsid w:val="00174DFE"/>
    <w:rsid w:val="00176284"/>
    <w:rsid w:val="00176329"/>
    <w:rsid w:val="0017669C"/>
    <w:rsid w:val="0017696A"/>
    <w:rsid w:val="0017701D"/>
    <w:rsid w:val="001773D6"/>
    <w:rsid w:val="00177DB2"/>
    <w:rsid w:val="00180A5B"/>
    <w:rsid w:val="00180BD0"/>
    <w:rsid w:val="00181A49"/>
    <w:rsid w:val="00182921"/>
    <w:rsid w:val="00182BDF"/>
    <w:rsid w:val="00183622"/>
    <w:rsid w:val="001836A7"/>
    <w:rsid w:val="001839F6"/>
    <w:rsid w:val="001841EC"/>
    <w:rsid w:val="00184415"/>
    <w:rsid w:val="001849FF"/>
    <w:rsid w:val="00184DA5"/>
    <w:rsid w:val="00184DDA"/>
    <w:rsid w:val="00185041"/>
    <w:rsid w:val="0018568F"/>
    <w:rsid w:val="00185F40"/>
    <w:rsid w:val="001861B9"/>
    <w:rsid w:val="001872C2"/>
    <w:rsid w:val="0018758C"/>
    <w:rsid w:val="00187728"/>
    <w:rsid w:val="00190447"/>
    <w:rsid w:val="00190DDD"/>
    <w:rsid w:val="00191617"/>
    <w:rsid w:val="00192458"/>
    <w:rsid w:val="0019292E"/>
    <w:rsid w:val="00192C9F"/>
    <w:rsid w:val="00194086"/>
    <w:rsid w:val="00194819"/>
    <w:rsid w:val="00194E70"/>
    <w:rsid w:val="00194FBC"/>
    <w:rsid w:val="00195C73"/>
    <w:rsid w:val="001960DD"/>
    <w:rsid w:val="0019642C"/>
    <w:rsid w:val="001968DB"/>
    <w:rsid w:val="00196CE7"/>
    <w:rsid w:val="00196DCF"/>
    <w:rsid w:val="00197314"/>
    <w:rsid w:val="00197A25"/>
    <w:rsid w:val="001A0A3E"/>
    <w:rsid w:val="001A0F7B"/>
    <w:rsid w:val="001A13DF"/>
    <w:rsid w:val="001A1B67"/>
    <w:rsid w:val="001A2AF1"/>
    <w:rsid w:val="001A33D6"/>
    <w:rsid w:val="001A34D8"/>
    <w:rsid w:val="001A556C"/>
    <w:rsid w:val="001A563A"/>
    <w:rsid w:val="001A57C1"/>
    <w:rsid w:val="001A5ABA"/>
    <w:rsid w:val="001A5B4F"/>
    <w:rsid w:val="001A5C97"/>
    <w:rsid w:val="001A67F0"/>
    <w:rsid w:val="001A6989"/>
    <w:rsid w:val="001A713A"/>
    <w:rsid w:val="001A7235"/>
    <w:rsid w:val="001A7DC7"/>
    <w:rsid w:val="001B042B"/>
    <w:rsid w:val="001B04D6"/>
    <w:rsid w:val="001B0D0A"/>
    <w:rsid w:val="001B1ECB"/>
    <w:rsid w:val="001B1FE9"/>
    <w:rsid w:val="001B22CA"/>
    <w:rsid w:val="001B2913"/>
    <w:rsid w:val="001B2951"/>
    <w:rsid w:val="001B2C6D"/>
    <w:rsid w:val="001B2DF9"/>
    <w:rsid w:val="001B2EE5"/>
    <w:rsid w:val="001B362D"/>
    <w:rsid w:val="001B3EF2"/>
    <w:rsid w:val="001B4663"/>
    <w:rsid w:val="001B494A"/>
    <w:rsid w:val="001B4FB2"/>
    <w:rsid w:val="001B54D1"/>
    <w:rsid w:val="001B5D21"/>
    <w:rsid w:val="001B697A"/>
    <w:rsid w:val="001B7EE3"/>
    <w:rsid w:val="001C08A0"/>
    <w:rsid w:val="001C1AB3"/>
    <w:rsid w:val="001C2FBB"/>
    <w:rsid w:val="001C3463"/>
    <w:rsid w:val="001C3ADE"/>
    <w:rsid w:val="001C454D"/>
    <w:rsid w:val="001C53BB"/>
    <w:rsid w:val="001C55D1"/>
    <w:rsid w:val="001C56F3"/>
    <w:rsid w:val="001C6803"/>
    <w:rsid w:val="001C6DB9"/>
    <w:rsid w:val="001C7C46"/>
    <w:rsid w:val="001C7F3A"/>
    <w:rsid w:val="001D1333"/>
    <w:rsid w:val="001D1975"/>
    <w:rsid w:val="001D264B"/>
    <w:rsid w:val="001D27EA"/>
    <w:rsid w:val="001D2F13"/>
    <w:rsid w:val="001D3522"/>
    <w:rsid w:val="001D3AB5"/>
    <w:rsid w:val="001D3B0D"/>
    <w:rsid w:val="001D3CD8"/>
    <w:rsid w:val="001D3DEB"/>
    <w:rsid w:val="001D453B"/>
    <w:rsid w:val="001D4C1F"/>
    <w:rsid w:val="001D5E34"/>
    <w:rsid w:val="001D6EA7"/>
    <w:rsid w:val="001D755F"/>
    <w:rsid w:val="001D791B"/>
    <w:rsid w:val="001D7927"/>
    <w:rsid w:val="001D7F59"/>
    <w:rsid w:val="001E00AD"/>
    <w:rsid w:val="001E14A4"/>
    <w:rsid w:val="001E267D"/>
    <w:rsid w:val="001E283B"/>
    <w:rsid w:val="001E32BC"/>
    <w:rsid w:val="001E3DE4"/>
    <w:rsid w:val="001E44E2"/>
    <w:rsid w:val="001E4772"/>
    <w:rsid w:val="001E4CC4"/>
    <w:rsid w:val="001E4D7C"/>
    <w:rsid w:val="001E5176"/>
    <w:rsid w:val="001E58E1"/>
    <w:rsid w:val="001E59F9"/>
    <w:rsid w:val="001E5D80"/>
    <w:rsid w:val="001E69BF"/>
    <w:rsid w:val="001E77AB"/>
    <w:rsid w:val="001E7A8F"/>
    <w:rsid w:val="001F06FE"/>
    <w:rsid w:val="001F088F"/>
    <w:rsid w:val="001F15D7"/>
    <w:rsid w:val="001F1C1D"/>
    <w:rsid w:val="001F28B6"/>
    <w:rsid w:val="001F29A7"/>
    <w:rsid w:val="001F302B"/>
    <w:rsid w:val="001F3366"/>
    <w:rsid w:val="001F3C01"/>
    <w:rsid w:val="001F435C"/>
    <w:rsid w:val="001F4F44"/>
    <w:rsid w:val="001F51A0"/>
    <w:rsid w:val="001F5CC6"/>
    <w:rsid w:val="001F5D19"/>
    <w:rsid w:val="001F60CC"/>
    <w:rsid w:val="001F63BA"/>
    <w:rsid w:val="001F672B"/>
    <w:rsid w:val="001F7632"/>
    <w:rsid w:val="00200023"/>
    <w:rsid w:val="002001DC"/>
    <w:rsid w:val="00201993"/>
    <w:rsid w:val="00201CE6"/>
    <w:rsid w:val="0020225B"/>
    <w:rsid w:val="00202BC3"/>
    <w:rsid w:val="00203604"/>
    <w:rsid w:val="0020388F"/>
    <w:rsid w:val="00203911"/>
    <w:rsid w:val="0020548E"/>
    <w:rsid w:val="002062F0"/>
    <w:rsid w:val="002063FB"/>
    <w:rsid w:val="00206462"/>
    <w:rsid w:val="00206563"/>
    <w:rsid w:val="0020675C"/>
    <w:rsid w:val="00206CA4"/>
    <w:rsid w:val="00206E77"/>
    <w:rsid w:val="002072CF"/>
    <w:rsid w:val="002078F2"/>
    <w:rsid w:val="00211765"/>
    <w:rsid w:val="00211A64"/>
    <w:rsid w:val="002122F1"/>
    <w:rsid w:val="002123AA"/>
    <w:rsid w:val="002126FD"/>
    <w:rsid w:val="00212B88"/>
    <w:rsid w:val="00213136"/>
    <w:rsid w:val="002136E7"/>
    <w:rsid w:val="00213B8D"/>
    <w:rsid w:val="00214888"/>
    <w:rsid w:val="00214913"/>
    <w:rsid w:val="00215918"/>
    <w:rsid w:val="0021594B"/>
    <w:rsid w:val="0021619B"/>
    <w:rsid w:val="00216B33"/>
    <w:rsid w:val="00216C15"/>
    <w:rsid w:val="00216DFA"/>
    <w:rsid w:val="0021740A"/>
    <w:rsid w:val="00217AFB"/>
    <w:rsid w:val="00217DD5"/>
    <w:rsid w:val="002206DB"/>
    <w:rsid w:val="00220B92"/>
    <w:rsid w:val="002215BB"/>
    <w:rsid w:val="0022182D"/>
    <w:rsid w:val="002218D3"/>
    <w:rsid w:val="00221F11"/>
    <w:rsid w:val="00221F88"/>
    <w:rsid w:val="00222BBE"/>
    <w:rsid w:val="0022320A"/>
    <w:rsid w:val="0022327D"/>
    <w:rsid w:val="002235AF"/>
    <w:rsid w:val="00224002"/>
    <w:rsid w:val="00224859"/>
    <w:rsid w:val="002251F4"/>
    <w:rsid w:val="002252B0"/>
    <w:rsid w:val="00225738"/>
    <w:rsid w:val="00225A12"/>
    <w:rsid w:val="002261B3"/>
    <w:rsid w:val="0022639E"/>
    <w:rsid w:val="00226CFA"/>
    <w:rsid w:val="002271A8"/>
    <w:rsid w:val="00227D41"/>
    <w:rsid w:val="00227E6B"/>
    <w:rsid w:val="00230966"/>
    <w:rsid w:val="00230F0B"/>
    <w:rsid w:val="002318B6"/>
    <w:rsid w:val="00231A82"/>
    <w:rsid w:val="00231CC6"/>
    <w:rsid w:val="002324AB"/>
    <w:rsid w:val="00232B53"/>
    <w:rsid w:val="00233CEF"/>
    <w:rsid w:val="00233E4B"/>
    <w:rsid w:val="00233F71"/>
    <w:rsid w:val="00233FA0"/>
    <w:rsid w:val="00233FD0"/>
    <w:rsid w:val="00234106"/>
    <w:rsid w:val="0023414E"/>
    <w:rsid w:val="00234295"/>
    <w:rsid w:val="00234722"/>
    <w:rsid w:val="00234BF8"/>
    <w:rsid w:val="00235026"/>
    <w:rsid w:val="002352B0"/>
    <w:rsid w:val="002354E4"/>
    <w:rsid w:val="00237AB7"/>
    <w:rsid w:val="00237E27"/>
    <w:rsid w:val="00237FDB"/>
    <w:rsid w:val="0024008D"/>
    <w:rsid w:val="00240493"/>
    <w:rsid w:val="002404EE"/>
    <w:rsid w:val="002409C8"/>
    <w:rsid w:val="00241289"/>
    <w:rsid w:val="0024235D"/>
    <w:rsid w:val="00242755"/>
    <w:rsid w:val="00243385"/>
    <w:rsid w:val="0024347A"/>
    <w:rsid w:val="0024349B"/>
    <w:rsid w:val="00243942"/>
    <w:rsid w:val="00243B39"/>
    <w:rsid w:val="00243B7B"/>
    <w:rsid w:val="002445FE"/>
    <w:rsid w:val="00244DDA"/>
    <w:rsid w:val="00244FB2"/>
    <w:rsid w:val="00245260"/>
    <w:rsid w:val="0024547A"/>
    <w:rsid w:val="002455D1"/>
    <w:rsid w:val="00245973"/>
    <w:rsid w:val="002464E8"/>
    <w:rsid w:val="0024709B"/>
    <w:rsid w:val="0024710C"/>
    <w:rsid w:val="002473A4"/>
    <w:rsid w:val="00252A75"/>
    <w:rsid w:val="002530A7"/>
    <w:rsid w:val="00253776"/>
    <w:rsid w:val="00253CB3"/>
    <w:rsid w:val="00254587"/>
    <w:rsid w:val="00255417"/>
    <w:rsid w:val="002557AC"/>
    <w:rsid w:val="002564B5"/>
    <w:rsid w:val="00256891"/>
    <w:rsid w:val="002569EA"/>
    <w:rsid w:val="00256BB1"/>
    <w:rsid w:val="00257386"/>
    <w:rsid w:val="00257491"/>
    <w:rsid w:val="002574B9"/>
    <w:rsid w:val="0025769C"/>
    <w:rsid w:val="00257989"/>
    <w:rsid w:val="00257D56"/>
    <w:rsid w:val="00260024"/>
    <w:rsid w:val="0026006A"/>
    <w:rsid w:val="00260517"/>
    <w:rsid w:val="002612C4"/>
    <w:rsid w:val="002616AF"/>
    <w:rsid w:val="00261CBC"/>
    <w:rsid w:val="00261FAD"/>
    <w:rsid w:val="00261FE8"/>
    <w:rsid w:val="0026257A"/>
    <w:rsid w:val="00262F49"/>
    <w:rsid w:val="00262FED"/>
    <w:rsid w:val="00262FFF"/>
    <w:rsid w:val="00263010"/>
    <w:rsid w:val="00263072"/>
    <w:rsid w:val="002634F1"/>
    <w:rsid w:val="00263857"/>
    <w:rsid w:val="002645D2"/>
    <w:rsid w:val="002646F6"/>
    <w:rsid w:val="00264946"/>
    <w:rsid w:val="00264D7F"/>
    <w:rsid w:val="002659EE"/>
    <w:rsid w:val="00266221"/>
    <w:rsid w:val="002663BF"/>
    <w:rsid w:val="00266AA9"/>
    <w:rsid w:val="00267328"/>
    <w:rsid w:val="0027040E"/>
    <w:rsid w:val="00271079"/>
    <w:rsid w:val="00271513"/>
    <w:rsid w:val="00271AA5"/>
    <w:rsid w:val="00272220"/>
    <w:rsid w:val="002739D1"/>
    <w:rsid w:val="00273D45"/>
    <w:rsid w:val="0027401F"/>
    <w:rsid w:val="00274134"/>
    <w:rsid w:val="00274963"/>
    <w:rsid w:val="00274C6E"/>
    <w:rsid w:val="00274D11"/>
    <w:rsid w:val="00276FB0"/>
    <w:rsid w:val="00277A69"/>
    <w:rsid w:val="00277FEF"/>
    <w:rsid w:val="002817CE"/>
    <w:rsid w:val="00282762"/>
    <w:rsid w:val="00282AE2"/>
    <w:rsid w:val="00282B4F"/>
    <w:rsid w:val="00282F76"/>
    <w:rsid w:val="0028368C"/>
    <w:rsid w:val="00283AA6"/>
    <w:rsid w:val="00283C00"/>
    <w:rsid w:val="00283CB1"/>
    <w:rsid w:val="0028432C"/>
    <w:rsid w:val="002845F8"/>
    <w:rsid w:val="00284A37"/>
    <w:rsid w:val="00284E46"/>
    <w:rsid w:val="002855DB"/>
    <w:rsid w:val="00285698"/>
    <w:rsid w:val="00285741"/>
    <w:rsid w:val="002857E2"/>
    <w:rsid w:val="00285AF6"/>
    <w:rsid w:val="00285C1F"/>
    <w:rsid w:val="00285CFA"/>
    <w:rsid w:val="00286066"/>
    <w:rsid w:val="002861E3"/>
    <w:rsid w:val="00286CAE"/>
    <w:rsid w:val="00286D62"/>
    <w:rsid w:val="002870A9"/>
    <w:rsid w:val="0028713F"/>
    <w:rsid w:val="00287453"/>
    <w:rsid w:val="0028749D"/>
    <w:rsid w:val="00287A12"/>
    <w:rsid w:val="00287CE4"/>
    <w:rsid w:val="00290304"/>
    <w:rsid w:val="00290ABD"/>
    <w:rsid w:val="002912DF"/>
    <w:rsid w:val="002913AE"/>
    <w:rsid w:val="0029179A"/>
    <w:rsid w:val="00291C79"/>
    <w:rsid w:val="00292718"/>
    <w:rsid w:val="002929E6"/>
    <w:rsid w:val="00292DAB"/>
    <w:rsid w:val="00293A9B"/>
    <w:rsid w:val="00293E05"/>
    <w:rsid w:val="00293E69"/>
    <w:rsid w:val="002949BC"/>
    <w:rsid w:val="00294CD2"/>
    <w:rsid w:val="00294D06"/>
    <w:rsid w:val="00294E08"/>
    <w:rsid w:val="00295DB5"/>
    <w:rsid w:val="00295E8C"/>
    <w:rsid w:val="0029655B"/>
    <w:rsid w:val="00296837"/>
    <w:rsid w:val="00297C74"/>
    <w:rsid w:val="002A0526"/>
    <w:rsid w:val="002A074B"/>
    <w:rsid w:val="002A07B3"/>
    <w:rsid w:val="002A0B4A"/>
    <w:rsid w:val="002A13AB"/>
    <w:rsid w:val="002A17A8"/>
    <w:rsid w:val="002A1C83"/>
    <w:rsid w:val="002A2480"/>
    <w:rsid w:val="002A2576"/>
    <w:rsid w:val="002A2708"/>
    <w:rsid w:val="002A277C"/>
    <w:rsid w:val="002A2A14"/>
    <w:rsid w:val="002A32D2"/>
    <w:rsid w:val="002A34C1"/>
    <w:rsid w:val="002A38F4"/>
    <w:rsid w:val="002A4A00"/>
    <w:rsid w:val="002A5118"/>
    <w:rsid w:val="002A5356"/>
    <w:rsid w:val="002A5803"/>
    <w:rsid w:val="002A5861"/>
    <w:rsid w:val="002A5C43"/>
    <w:rsid w:val="002A63D6"/>
    <w:rsid w:val="002A6BF7"/>
    <w:rsid w:val="002A6DF9"/>
    <w:rsid w:val="002A7078"/>
    <w:rsid w:val="002A729E"/>
    <w:rsid w:val="002A764D"/>
    <w:rsid w:val="002A7DFD"/>
    <w:rsid w:val="002A7FAA"/>
    <w:rsid w:val="002A7FB5"/>
    <w:rsid w:val="002B0193"/>
    <w:rsid w:val="002B01B0"/>
    <w:rsid w:val="002B034C"/>
    <w:rsid w:val="002B0E61"/>
    <w:rsid w:val="002B0FB0"/>
    <w:rsid w:val="002B262D"/>
    <w:rsid w:val="002B26DC"/>
    <w:rsid w:val="002B2C13"/>
    <w:rsid w:val="002B34A6"/>
    <w:rsid w:val="002B35F2"/>
    <w:rsid w:val="002B3B3C"/>
    <w:rsid w:val="002B42CE"/>
    <w:rsid w:val="002B4AB9"/>
    <w:rsid w:val="002B4DFF"/>
    <w:rsid w:val="002B5E14"/>
    <w:rsid w:val="002B6125"/>
    <w:rsid w:val="002B613D"/>
    <w:rsid w:val="002B6DF9"/>
    <w:rsid w:val="002C0239"/>
    <w:rsid w:val="002C050A"/>
    <w:rsid w:val="002C0FCC"/>
    <w:rsid w:val="002C1817"/>
    <w:rsid w:val="002C1DCB"/>
    <w:rsid w:val="002C1F1D"/>
    <w:rsid w:val="002C28F1"/>
    <w:rsid w:val="002C3191"/>
    <w:rsid w:val="002C37F5"/>
    <w:rsid w:val="002C3910"/>
    <w:rsid w:val="002C4F4A"/>
    <w:rsid w:val="002C57E5"/>
    <w:rsid w:val="002C5975"/>
    <w:rsid w:val="002C61BF"/>
    <w:rsid w:val="002C671E"/>
    <w:rsid w:val="002C6A3B"/>
    <w:rsid w:val="002C6B8F"/>
    <w:rsid w:val="002C7029"/>
    <w:rsid w:val="002C7704"/>
    <w:rsid w:val="002C7817"/>
    <w:rsid w:val="002C7EEA"/>
    <w:rsid w:val="002C7F13"/>
    <w:rsid w:val="002D0131"/>
    <w:rsid w:val="002D0AC3"/>
    <w:rsid w:val="002D1528"/>
    <w:rsid w:val="002D1AFC"/>
    <w:rsid w:val="002D1DB8"/>
    <w:rsid w:val="002D206A"/>
    <w:rsid w:val="002D22F2"/>
    <w:rsid w:val="002D267C"/>
    <w:rsid w:val="002D2971"/>
    <w:rsid w:val="002D358E"/>
    <w:rsid w:val="002D4605"/>
    <w:rsid w:val="002D5261"/>
    <w:rsid w:val="002D56A7"/>
    <w:rsid w:val="002D5C75"/>
    <w:rsid w:val="002D5DAE"/>
    <w:rsid w:val="002D6210"/>
    <w:rsid w:val="002D65B3"/>
    <w:rsid w:val="002D7788"/>
    <w:rsid w:val="002D7D6B"/>
    <w:rsid w:val="002E018E"/>
    <w:rsid w:val="002E10C6"/>
    <w:rsid w:val="002E1175"/>
    <w:rsid w:val="002E1F8B"/>
    <w:rsid w:val="002E2247"/>
    <w:rsid w:val="002E3BD3"/>
    <w:rsid w:val="002E3E3A"/>
    <w:rsid w:val="002E4856"/>
    <w:rsid w:val="002E48F7"/>
    <w:rsid w:val="002E4E8A"/>
    <w:rsid w:val="002E59FB"/>
    <w:rsid w:val="002E5B9D"/>
    <w:rsid w:val="002E5BA7"/>
    <w:rsid w:val="002E64BA"/>
    <w:rsid w:val="002E6525"/>
    <w:rsid w:val="002E653F"/>
    <w:rsid w:val="002E66E5"/>
    <w:rsid w:val="002E691A"/>
    <w:rsid w:val="002E713A"/>
    <w:rsid w:val="002E740D"/>
    <w:rsid w:val="002E787D"/>
    <w:rsid w:val="002E7B5B"/>
    <w:rsid w:val="002E7B9C"/>
    <w:rsid w:val="002F00AC"/>
    <w:rsid w:val="002F08DF"/>
    <w:rsid w:val="002F103A"/>
    <w:rsid w:val="002F15BE"/>
    <w:rsid w:val="002F187C"/>
    <w:rsid w:val="002F28C0"/>
    <w:rsid w:val="002F32D7"/>
    <w:rsid w:val="002F351B"/>
    <w:rsid w:val="002F3A1A"/>
    <w:rsid w:val="002F3B9C"/>
    <w:rsid w:val="002F3F93"/>
    <w:rsid w:val="002F52A9"/>
    <w:rsid w:val="002F58FD"/>
    <w:rsid w:val="002F5AF4"/>
    <w:rsid w:val="002F618D"/>
    <w:rsid w:val="002F628A"/>
    <w:rsid w:val="002F6A57"/>
    <w:rsid w:val="002F7192"/>
    <w:rsid w:val="002F7553"/>
    <w:rsid w:val="0030001B"/>
    <w:rsid w:val="0030104D"/>
    <w:rsid w:val="00301CBE"/>
    <w:rsid w:val="00301D68"/>
    <w:rsid w:val="0030230E"/>
    <w:rsid w:val="003028F2"/>
    <w:rsid w:val="00302DD6"/>
    <w:rsid w:val="003031DA"/>
    <w:rsid w:val="00303297"/>
    <w:rsid w:val="003049B7"/>
    <w:rsid w:val="00305561"/>
    <w:rsid w:val="00305844"/>
    <w:rsid w:val="00306510"/>
    <w:rsid w:val="0030685B"/>
    <w:rsid w:val="003069E0"/>
    <w:rsid w:val="00306C1E"/>
    <w:rsid w:val="00306C40"/>
    <w:rsid w:val="00307089"/>
    <w:rsid w:val="003070B3"/>
    <w:rsid w:val="00307530"/>
    <w:rsid w:val="00307DA7"/>
    <w:rsid w:val="00310396"/>
    <w:rsid w:val="00310547"/>
    <w:rsid w:val="0031061D"/>
    <w:rsid w:val="00310944"/>
    <w:rsid w:val="00310D1B"/>
    <w:rsid w:val="00311756"/>
    <w:rsid w:val="00311D64"/>
    <w:rsid w:val="00312651"/>
    <w:rsid w:val="00312691"/>
    <w:rsid w:val="00312E16"/>
    <w:rsid w:val="00312E54"/>
    <w:rsid w:val="00313634"/>
    <w:rsid w:val="00313CBF"/>
    <w:rsid w:val="00314009"/>
    <w:rsid w:val="00314FA2"/>
    <w:rsid w:val="0031605B"/>
    <w:rsid w:val="0031651D"/>
    <w:rsid w:val="00316603"/>
    <w:rsid w:val="00316AAB"/>
    <w:rsid w:val="00316F73"/>
    <w:rsid w:val="00317011"/>
    <w:rsid w:val="00317103"/>
    <w:rsid w:val="00317800"/>
    <w:rsid w:val="003200E6"/>
    <w:rsid w:val="003203CC"/>
    <w:rsid w:val="0032079E"/>
    <w:rsid w:val="00320B57"/>
    <w:rsid w:val="00320FB5"/>
    <w:rsid w:val="00322DB9"/>
    <w:rsid w:val="00322F05"/>
    <w:rsid w:val="003230D1"/>
    <w:rsid w:val="00323AE8"/>
    <w:rsid w:val="00324F79"/>
    <w:rsid w:val="00324F9C"/>
    <w:rsid w:val="00325134"/>
    <w:rsid w:val="003256D6"/>
    <w:rsid w:val="003259F7"/>
    <w:rsid w:val="00325FA3"/>
    <w:rsid w:val="00326415"/>
    <w:rsid w:val="0032647E"/>
    <w:rsid w:val="0032678D"/>
    <w:rsid w:val="00327401"/>
    <w:rsid w:val="0032760E"/>
    <w:rsid w:val="00330CC4"/>
    <w:rsid w:val="003313F2"/>
    <w:rsid w:val="00331E29"/>
    <w:rsid w:val="00332255"/>
    <w:rsid w:val="00332E17"/>
    <w:rsid w:val="00333877"/>
    <w:rsid w:val="00333D90"/>
    <w:rsid w:val="00334064"/>
    <w:rsid w:val="00334486"/>
    <w:rsid w:val="003346EB"/>
    <w:rsid w:val="00334A89"/>
    <w:rsid w:val="00334F86"/>
    <w:rsid w:val="0033530A"/>
    <w:rsid w:val="003355A8"/>
    <w:rsid w:val="00335933"/>
    <w:rsid w:val="00335A17"/>
    <w:rsid w:val="00335D6E"/>
    <w:rsid w:val="00336F22"/>
    <w:rsid w:val="00336FC4"/>
    <w:rsid w:val="003370E4"/>
    <w:rsid w:val="00337D75"/>
    <w:rsid w:val="003405C6"/>
    <w:rsid w:val="003406D6"/>
    <w:rsid w:val="00341015"/>
    <w:rsid w:val="003411DB"/>
    <w:rsid w:val="003415BE"/>
    <w:rsid w:val="003428C1"/>
    <w:rsid w:val="00342A9F"/>
    <w:rsid w:val="00342D87"/>
    <w:rsid w:val="003437BD"/>
    <w:rsid w:val="003439B6"/>
    <w:rsid w:val="00343C6D"/>
    <w:rsid w:val="00343D67"/>
    <w:rsid w:val="00344035"/>
    <w:rsid w:val="0034416E"/>
    <w:rsid w:val="00345127"/>
    <w:rsid w:val="003453D8"/>
    <w:rsid w:val="003453E4"/>
    <w:rsid w:val="00345C3C"/>
    <w:rsid w:val="003463D7"/>
    <w:rsid w:val="003465AD"/>
    <w:rsid w:val="00346C53"/>
    <w:rsid w:val="00347217"/>
    <w:rsid w:val="003478CF"/>
    <w:rsid w:val="0035066B"/>
    <w:rsid w:val="00350E98"/>
    <w:rsid w:val="00350FC8"/>
    <w:rsid w:val="00351897"/>
    <w:rsid w:val="00351C43"/>
    <w:rsid w:val="00351F4B"/>
    <w:rsid w:val="00351FA6"/>
    <w:rsid w:val="003520AD"/>
    <w:rsid w:val="003528E7"/>
    <w:rsid w:val="00352D49"/>
    <w:rsid w:val="003534E8"/>
    <w:rsid w:val="00353B79"/>
    <w:rsid w:val="00354AAB"/>
    <w:rsid w:val="003553B1"/>
    <w:rsid w:val="00355E56"/>
    <w:rsid w:val="00356000"/>
    <w:rsid w:val="00356733"/>
    <w:rsid w:val="00356E65"/>
    <w:rsid w:val="00356FC4"/>
    <w:rsid w:val="003603B8"/>
    <w:rsid w:val="003608E7"/>
    <w:rsid w:val="00360AA1"/>
    <w:rsid w:val="00360C8F"/>
    <w:rsid w:val="00360E40"/>
    <w:rsid w:val="0036218C"/>
    <w:rsid w:val="00363322"/>
    <w:rsid w:val="00363CEC"/>
    <w:rsid w:val="00364D48"/>
    <w:rsid w:val="00364DE0"/>
    <w:rsid w:val="00364E6F"/>
    <w:rsid w:val="0036500A"/>
    <w:rsid w:val="0036517C"/>
    <w:rsid w:val="003657DA"/>
    <w:rsid w:val="00365A79"/>
    <w:rsid w:val="00366132"/>
    <w:rsid w:val="0036617D"/>
    <w:rsid w:val="00366336"/>
    <w:rsid w:val="00366C85"/>
    <w:rsid w:val="003673D7"/>
    <w:rsid w:val="00367CC5"/>
    <w:rsid w:val="00370475"/>
    <w:rsid w:val="003707BF"/>
    <w:rsid w:val="00371A2A"/>
    <w:rsid w:val="00371F0F"/>
    <w:rsid w:val="00371F5F"/>
    <w:rsid w:val="003721C7"/>
    <w:rsid w:val="00372A66"/>
    <w:rsid w:val="00372EE4"/>
    <w:rsid w:val="00372FF9"/>
    <w:rsid w:val="003741E0"/>
    <w:rsid w:val="00374532"/>
    <w:rsid w:val="00374868"/>
    <w:rsid w:val="00374D3F"/>
    <w:rsid w:val="00374F99"/>
    <w:rsid w:val="003754D6"/>
    <w:rsid w:val="003755FD"/>
    <w:rsid w:val="003755FE"/>
    <w:rsid w:val="00375DF4"/>
    <w:rsid w:val="00376313"/>
    <w:rsid w:val="00376A7F"/>
    <w:rsid w:val="0037753F"/>
    <w:rsid w:val="0037782D"/>
    <w:rsid w:val="0037798E"/>
    <w:rsid w:val="00377B74"/>
    <w:rsid w:val="0038039F"/>
    <w:rsid w:val="00380449"/>
    <w:rsid w:val="00380634"/>
    <w:rsid w:val="0038073D"/>
    <w:rsid w:val="003817F9"/>
    <w:rsid w:val="00381E87"/>
    <w:rsid w:val="00381F19"/>
    <w:rsid w:val="003821DE"/>
    <w:rsid w:val="003822B3"/>
    <w:rsid w:val="003825B8"/>
    <w:rsid w:val="00383004"/>
    <w:rsid w:val="003830CE"/>
    <w:rsid w:val="0038387C"/>
    <w:rsid w:val="0038487E"/>
    <w:rsid w:val="00384905"/>
    <w:rsid w:val="003849E3"/>
    <w:rsid w:val="00385060"/>
    <w:rsid w:val="00385E2D"/>
    <w:rsid w:val="003864D5"/>
    <w:rsid w:val="00386743"/>
    <w:rsid w:val="00386D52"/>
    <w:rsid w:val="00386E06"/>
    <w:rsid w:val="00387141"/>
    <w:rsid w:val="00387D4A"/>
    <w:rsid w:val="00387DF4"/>
    <w:rsid w:val="003902A9"/>
    <w:rsid w:val="00390369"/>
    <w:rsid w:val="00390B62"/>
    <w:rsid w:val="00390E8C"/>
    <w:rsid w:val="0039103B"/>
    <w:rsid w:val="00391571"/>
    <w:rsid w:val="00391B6C"/>
    <w:rsid w:val="0039262E"/>
    <w:rsid w:val="0039355C"/>
    <w:rsid w:val="003937F3"/>
    <w:rsid w:val="00394255"/>
    <w:rsid w:val="00395190"/>
    <w:rsid w:val="00395E4C"/>
    <w:rsid w:val="003964FC"/>
    <w:rsid w:val="00396869"/>
    <w:rsid w:val="00397635"/>
    <w:rsid w:val="00397A53"/>
    <w:rsid w:val="003A125D"/>
    <w:rsid w:val="003A130A"/>
    <w:rsid w:val="003A154F"/>
    <w:rsid w:val="003A15D6"/>
    <w:rsid w:val="003A2332"/>
    <w:rsid w:val="003A3C79"/>
    <w:rsid w:val="003A3E08"/>
    <w:rsid w:val="003A3F2B"/>
    <w:rsid w:val="003A406B"/>
    <w:rsid w:val="003A4A4B"/>
    <w:rsid w:val="003A5145"/>
    <w:rsid w:val="003A649C"/>
    <w:rsid w:val="003A7611"/>
    <w:rsid w:val="003A78CE"/>
    <w:rsid w:val="003A7B9A"/>
    <w:rsid w:val="003B024F"/>
    <w:rsid w:val="003B0AF2"/>
    <w:rsid w:val="003B0C64"/>
    <w:rsid w:val="003B1AC5"/>
    <w:rsid w:val="003B1AFF"/>
    <w:rsid w:val="003B23E8"/>
    <w:rsid w:val="003B2445"/>
    <w:rsid w:val="003B2EAC"/>
    <w:rsid w:val="003B3F2B"/>
    <w:rsid w:val="003B48A7"/>
    <w:rsid w:val="003B4B2B"/>
    <w:rsid w:val="003B5257"/>
    <w:rsid w:val="003B562A"/>
    <w:rsid w:val="003B5F12"/>
    <w:rsid w:val="003B6A5F"/>
    <w:rsid w:val="003B7778"/>
    <w:rsid w:val="003B7E9A"/>
    <w:rsid w:val="003B7F05"/>
    <w:rsid w:val="003C0D4A"/>
    <w:rsid w:val="003C2AE4"/>
    <w:rsid w:val="003C39F1"/>
    <w:rsid w:val="003C3A1E"/>
    <w:rsid w:val="003C3BF0"/>
    <w:rsid w:val="003C4717"/>
    <w:rsid w:val="003C482D"/>
    <w:rsid w:val="003C505B"/>
    <w:rsid w:val="003C5B44"/>
    <w:rsid w:val="003C5DA8"/>
    <w:rsid w:val="003C659C"/>
    <w:rsid w:val="003C6954"/>
    <w:rsid w:val="003C6DFF"/>
    <w:rsid w:val="003C6EDF"/>
    <w:rsid w:val="003C6EE4"/>
    <w:rsid w:val="003C6F0F"/>
    <w:rsid w:val="003C71CF"/>
    <w:rsid w:val="003C75DB"/>
    <w:rsid w:val="003C789D"/>
    <w:rsid w:val="003D03BF"/>
    <w:rsid w:val="003D0711"/>
    <w:rsid w:val="003D179B"/>
    <w:rsid w:val="003D1BB3"/>
    <w:rsid w:val="003D23AF"/>
    <w:rsid w:val="003D2529"/>
    <w:rsid w:val="003D2CC0"/>
    <w:rsid w:val="003D31DA"/>
    <w:rsid w:val="003D42F3"/>
    <w:rsid w:val="003D4A56"/>
    <w:rsid w:val="003D55D1"/>
    <w:rsid w:val="003D5827"/>
    <w:rsid w:val="003D5EF0"/>
    <w:rsid w:val="003D6552"/>
    <w:rsid w:val="003D67D3"/>
    <w:rsid w:val="003D7220"/>
    <w:rsid w:val="003D7236"/>
    <w:rsid w:val="003D7988"/>
    <w:rsid w:val="003D7B2C"/>
    <w:rsid w:val="003D7B3D"/>
    <w:rsid w:val="003E0179"/>
    <w:rsid w:val="003E01D5"/>
    <w:rsid w:val="003E0E85"/>
    <w:rsid w:val="003E1917"/>
    <w:rsid w:val="003E1F95"/>
    <w:rsid w:val="003E252A"/>
    <w:rsid w:val="003E259A"/>
    <w:rsid w:val="003E25DE"/>
    <w:rsid w:val="003E276D"/>
    <w:rsid w:val="003E37E9"/>
    <w:rsid w:val="003E3897"/>
    <w:rsid w:val="003E38A1"/>
    <w:rsid w:val="003E40E6"/>
    <w:rsid w:val="003E5211"/>
    <w:rsid w:val="003E5743"/>
    <w:rsid w:val="003E58F8"/>
    <w:rsid w:val="003E5D98"/>
    <w:rsid w:val="003E5E58"/>
    <w:rsid w:val="003E782A"/>
    <w:rsid w:val="003F053A"/>
    <w:rsid w:val="003F0945"/>
    <w:rsid w:val="003F147B"/>
    <w:rsid w:val="003F2178"/>
    <w:rsid w:val="003F22B5"/>
    <w:rsid w:val="003F2AC9"/>
    <w:rsid w:val="003F31D2"/>
    <w:rsid w:val="003F3716"/>
    <w:rsid w:val="003F3DC0"/>
    <w:rsid w:val="003F3DFA"/>
    <w:rsid w:val="003F42A1"/>
    <w:rsid w:val="003F4845"/>
    <w:rsid w:val="003F4A6B"/>
    <w:rsid w:val="003F4AC0"/>
    <w:rsid w:val="003F4C24"/>
    <w:rsid w:val="003F4DBE"/>
    <w:rsid w:val="003F5133"/>
    <w:rsid w:val="003F557E"/>
    <w:rsid w:val="003F5788"/>
    <w:rsid w:val="003F5832"/>
    <w:rsid w:val="003F74CC"/>
    <w:rsid w:val="003F77F3"/>
    <w:rsid w:val="003F7CC5"/>
    <w:rsid w:val="003F7EAA"/>
    <w:rsid w:val="004001BC"/>
    <w:rsid w:val="0040046A"/>
    <w:rsid w:val="0040077D"/>
    <w:rsid w:val="00400D68"/>
    <w:rsid w:val="00400D73"/>
    <w:rsid w:val="00401A63"/>
    <w:rsid w:val="00402568"/>
    <w:rsid w:val="00402891"/>
    <w:rsid w:val="004029A3"/>
    <w:rsid w:val="00402AB4"/>
    <w:rsid w:val="00403829"/>
    <w:rsid w:val="00403A2C"/>
    <w:rsid w:val="00405411"/>
    <w:rsid w:val="00406422"/>
    <w:rsid w:val="004067AD"/>
    <w:rsid w:val="00406E95"/>
    <w:rsid w:val="00407EE0"/>
    <w:rsid w:val="00410E8F"/>
    <w:rsid w:val="004118AF"/>
    <w:rsid w:val="00411C1E"/>
    <w:rsid w:val="00412E66"/>
    <w:rsid w:val="0041303E"/>
    <w:rsid w:val="00414806"/>
    <w:rsid w:val="00414A5D"/>
    <w:rsid w:val="00415921"/>
    <w:rsid w:val="00416BAD"/>
    <w:rsid w:val="00417312"/>
    <w:rsid w:val="00417EA0"/>
    <w:rsid w:val="00420B44"/>
    <w:rsid w:val="00421425"/>
    <w:rsid w:val="00421703"/>
    <w:rsid w:val="004218C0"/>
    <w:rsid w:val="004223CE"/>
    <w:rsid w:val="00423B91"/>
    <w:rsid w:val="00423EA7"/>
    <w:rsid w:val="00424B54"/>
    <w:rsid w:val="00424B78"/>
    <w:rsid w:val="00424F3F"/>
    <w:rsid w:val="0042689D"/>
    <w:rsid w:val="00426BD0"/>
    <w:rsid w:val="004277D6"/>
    <w:rsid w:val="004277E6"/>
    <w:rsid w:val="00432085"/>
    <w:rsid w:val="00432630"/>
    <w:rsid w:val="00432961"/>
    <w:rsid w:val="00432C5A"/>
    <w:rsid w:val="00432D2C"/>
    <w:rsid w:val="004335E8"/>
    <w:rsid w:val="00434B07"/>
    <w:rsid w:val="00435015"/>
    <w:rsid w:val="00435E96"/>
    <w:rsid w:val="0043603A"/>
    <w:rsid w:val="0043665E"/>
    <w:rsid w:val="00436A3E"/>
    <w:rsid w:val="00436BA4"/>
    <w:rsid w:val="00436ED0"/>
    <w:rsid w:val="00436FDE"/>
    <w:rsid w:val="004376CA"/>
    <w:rsid w:val="00437DA8"/>
    <w:rsid w:val="00437E21"/>
    <w:rsid w:val="00437E56"/>
    <w:rsid w:val="00437F72"/>
    <w:rsid w:val="00440C23"/>
    <w:rsid w:val="00440D78"/>
    <w:rsid w:val="0044105C"/>
    <w:rsid w:val="00441A2A"/>
    <w:rsid w:val="00441E09"/>
    <w:rsid w:val="0044206F"/>
    <w:rsid w:val="004420F6"/>
    <w:rsid w:val="0044261E"/>
    <w:rsid w:val="004426FC"/>
    <w:rsid w:val="00443305"/>
    <w:rsid w:val="00443318"/>
    <w:rsid w:val="0044359A"/>
    <w:rsid w:val="00443BB4"/>
    <w:rsid w:val="00443BF8"/>
    <w:rsid w:val="00443D46"/>
    <w:rsid w:val="00444176"/>
    <w:rsid w:val="004441D1"/>
    <w:rsid w:val="00444876"/>
    <w:rsid w:val="00444F65"/>
    <w:rsid w:val="00446720"/>
    <w:rsid w:val="00446B5C"/>
    <w:rsid w:val="00446C1A"/>
    <w:rsid w:val="00446E0B"/>
    <w:rsid w:val="0044716D"/>
    <w:rsid w:val="0044720B"/>
    <w:rsid w:val="004472A9"/>
    <w:rsid w:val="004476C6"/>
    <w:rsid w:val="00447BF2"/>
    <w:rsid w:val="00447F23"/>
    <w:rsid w:val="00450BC7"/>
    <w:rsid w:val="0045130C"/>
    <w:rsid w:val="0045274D"/>
    <w:rsid w:val="00453578"/>
    <w:rsid w:val="00453BA0"/>
    <w:rsid w:val="0045447D"/>
    <w:rsid w:val="00454A58"/>
    <w:rsid w:val="00455214"/>
    <w:rsid w:val="004555A7"/>
    <w:rsid w:val="00456136"/>
    <w:rsid w:val="004563AD"/>
    <w:rsid w:val="004564A4"/>
    <w:rsid w:val="00456815"/>
    <w:rsid w:val="00456C87"/>
    <w:rsid w:val="00456D5A"/>
    <w:rsid w:val="00456E37"/>
    <w:rsid w:val="004570E0"/>
    <w:rsid w:val="00457AE6"/>
    <w:rsid w:val="00460178"/>
    <w:rsid w:val="00460C92"/>
    <w:rsid w:val="0046133D"/>
    <w:rsid w:val="00461649"/>
    <w:rsid w:val="00462293"/>
    <w:rsid w:val="00463AC1"/>
    <w:rsid w:val="00463EE4"/>
    <w:rsid w:val="00464328"/>
    <w:rsid w:val="0046446B"/>
    <w:rsid w:val="004646F5"/>
    <w:rsid w:val="004652CC"/>
    <w:rsid w:val="00465789"/>
    <w:rsid w:val="00466399"/>
    <w:rsid w:val="00466AA8"/>
    <w:rsid w:val="004674ED"/>
    <w:rsid w:val="00467C92"/>
    <w:rsid w:val="00467FD1"/>
    <w:rsid w:val="0047027E"/>
    <w:rsid w:val="004702E8"/>
    <w:rsid w:val="00472118"/>
    <w:rsid w:val="004722C7"/>
    <w:rsid w:val="00472365"/>
    <w:rsid w:val="00472C9B"/>
    <w:rsid w:val="00473A5E"/>
    <w:rsid w:val="00473F22"/>
    <w:rsid w:val="0047449D"/>
    <w:rsid w:val="004753C9"/>
    <w:rsid w:val="004757DC"/>
    <w:rsid w:val="004758A9"/>
    <w:rsid w:val="0047598A"/>
    <w:rsid w:val="00475FED"/>
    <w:rsid w:val="00476273"/>
    <w:rsid w:val="00477399"/>
    <w:rsid w:val="00477579"/>
    <w:rsid w:val="0048020B"/>
    <w:rsid w:val="0048046A"/>
    <w:rsid w:val="004817C9"/>
    <w:rsid w:val="004827B5"/>
    <w:rsid w:val="00483026"/>
    <w:rsid w:val="0048445C"/>
    <w:rsid w:val="00484611"/>
    <w:rsid w:val="004849F7"/>
    <w:rsid w:val="00484BDF"/>
    <w:rsid w:val="0048553C"/>
    <w:rsid w:val="0048591A"/>
    <w:rsid w:val="00485AD2"/>
    <w:rsid w:val="004864DA"/>
    <w:rsid w:val="00486551"/>
    <w:rsid w:val="0048669B"/>
    <w:rsid w:val="00486884"/>
    <w:rsid w:val="004869F3"/>
    <w:rsid w:val="00486ED4"/>
    <w:rsid w:val="004872BC"/>
    <w:rsid w:val="004872CF"/>
    <w:rsid w:val="004874A4"/>
    <w:rsid w:val="00487B91"/>
    <w:rsid w:val="00487E9D"/>
    <w:rsid w:val="00490B12"/>
    <w:rsid w:val="00491D58"/>
    <w:rsid w:val="00492769"/>
    <w:rsid w:val="00492FE3"/>
    <w:rsid w:val="00493061"/>
    <w:rsid w:val="0049335C"/>
    <w:rsid w:val="00493626"/>
    <w:rsid w:val="00493C7D"/>
    <w:rsid w:val="00494355"/>
    <w:rsid w:val="00494945"/>
    <w:rsid w:val="00494961"/>
    <w:rsid w:val="00494E83"/>
    <w:rsid w:val="00494EE8"/>
    <w:rsid w:val="0049529F"/>
    <w:rsid w:val="00495B89"/>
    <w:rsid w:val="00495C8C"/>
    <w:rsid w:val="00495E07"/>
    <w:rsid w:val="00495E69"/>
    <w:rsid w:val="004964C7"/>
    <w:rsid w:val="00497326"/>
    <w:rsid w:val="00497666"/>
    <w:rsid w:val="00497F70"/>
    <w:rsid w:val="004A005B"/>
    <w:rsid w:val="004A03E5"/>
    <w:rsid w:val="004A068E"/>
    <w:rsid w:val="004A070E"/>
    <w:rsid w:val="004A07C3"/>
    <w:rsid w:val="004A0B65"/>
    <w:rsid w:val="004A1968"/>
    <w:rsid w:val="004A1E42"/>
    <w:rsid w:val="004A209B"/>
    <w:rsid w:val="004A2759"/>
    <w:rsid w:val="004A2BC9"/>
    <w:rsid w:val="004A3010"/>
    <w:rsid w:val="004A314B"/>
    <w:rsid w:val="004A35C5"/>
    <w:rsid w:val="004A361C"/>
    <w:rsid w:val="004A37C6"/>
    <w:rsid w:val="004A3845"/>
    <w:rsid w:val="004A3A7D"/>
    <w:rsid w:val="004A44DB"/>
    <w:rsid w:val="004A45CE"/>
    <w:rsid w:val="004A4F9D"/>
    <w:rsid w:val="004A503D"/>
    <w:rsid w:val="004A5706"/>
    <w:rsid w:val="004A573F"/>
    <w:rsid w:val="004A7607"/>
    <w:rsid w:val="004A7687"/>
    <w:rsid w:val="004A7CEB"/>
    <w:rsid w:val="004B04E7"/>
    <w:rsid w:val="004B0D78"/>
    <w:rsid w:val="004B0F32"/>
    <w:rsid w:val="004B141F"/>
    <w:rsid w:val="004B1AD8"/>
    <w:rsid w:val="004B1DCF"/>
    <w:rsid w:val="004B343E"/>
    <w:rsid w:val="004B40BE"/>
    <w:rsid w:val="004B42F8"/>
    <w:rsid w:val="004B4404"/>
    <w:rsid w:val="004B44CE"/>
    <w:rsid w:val="004B4A8D"/>
    <w:rsid w:val="004B50C2"/>
    <w:rsid w:val="004B67E9"/>
    <w:rsid w:val="004B7C02"/>
    <w:rsid w:val="004C0A18"/>
    <w:rsid w:val="004C0E28"/>
    <w:rsid w:val="004C0F18"/>
    <w:rsid w:val="004C0FA8"/>
    <w:rsid w:val="004C187F"/>
    <w:rsid w:val="004C190E"/>
    <w:rsid w:val="004C23C3"/>
    <w:rsid w:val="004C248D"/>
    <w:rsid w:val="004C2D65"/>
    <w:rsid w:val="004C352A"/>
    <w:rsid w:val="004C4228"/>
    <w:rsid w:val="004C4557"/>
    <w:rsid w:val="004C456B"/>
    <w:rsid w:val="004C4A27"/>
    <w:rsid w:val="004C4B14"/>
    <w:rsid w:val="004C4D5F"/>
    <w:rsid w:val="004C56F1"/>
    <w:rsid w:val="004C6138"/>
    <w:rsid w:val="004C79CD"/>
    <w:rsid w:val="004D03C9"/>
    <w:rsid w:val="004D055A"/>
    <w:rsid w:val="004D0A1E"/>
    <w:rsid w:val="004D10D9"/>
    <w:rsid w:val="004D162B"/>
    <w:rsid w:val="004D1708"/>
    <w:rsid w:val="004D2A8C"/>
    <w:rsid w:val="004D2B53"/>
    <w:rsid w:val="004D2BCC"/>
    <w:rsid w:val="004D32B2"/>
    <w:rsid w:val="004D35E8"/>
    <w:rsid w:val="004D376F"/>
    <w:rsid w:val="004D384C"/>
    <w:rsid w:val="004D3BC5"/>
    <w:rsid w:val="004D43CF"/>
    <w:rsid w:val="004D4A45"/>
    <w:rsid w:val="004D4A89"/>
    <w:rsid w:val="004D614C"/>
    <w:rsid w:val="004D6311"/>
    <w:rsid w:val="004D74A1"/>
    <w:rsid w:val="004E0042"/>
    <w:rsid w:val="004E0BAC"/>
    <w:rsid w:val="004E0D59"/>
    <w:rsid w:val="004E14FF"/>
    <w:rsid w:val="004E1BCF"/>
    <w:rsid w:val="004E1DAE"/>
    <w:rsid w:val="004E2275"/>
    <w:rsid w:val="004E25A6"/>
    <w:rsid w:val="004E2704"/>
    <w:rsid w:val="004E2CE6"/>
    <w:rsid w:val="004E2FDE"/>
    <w:rsid w:val="004E348D"/>
    <w:rsid w:val="004E383A"/>
    <w:rsid w:val="004E4C56"/>
    <w:rsid w:val="004E57B1"/>
    <w:rsid w:val="004E5E67"/>
    <w:rsid w:val="004E762A"/>
    <w:rsid w:val="004E7D08"/>
    <w:rsid w:val="004E7E18"/>
    <w:rsid w:val="004F0C92"/>
    <w:rsid w:val="004F0CA1"/>
    <w:rsid w:val="004F13E8"/>
    <w:rsid w:val="004F172E"/>
    <w:rsid w:val="004F2207"/>
    <w:rsid w:val="004F2296"/>
    <w:rsid w:val="004F2537"/>
    <w:rsid w:val="004F3CBD"/>
    <w:rsid w:val="004F4532"/>
    <w:rsid w:val="004F4C30"/>
    <w:rsid w:val="004F5043"/>
    <w:rsid w:val="004F53A3"/>
    <w:rsid w:val="004F5759"/>
    <w:rsid w:val="004F596E"/>
    <w:rsid w:val="004F59E3"/>
    <w:rsid w:val="004F5B0A"/>
    <w:rsid w:val="004F6475"/>
    <w:rsid w:val="004F698C"/>
    <w:rsid w:val="004F713F"/>
    <w:rsid w:val="004F7405"/>
    <w:rsid w:val="004F7730"/>
    <w:rsid w:val="0050001C"/>
    <w:rsid w:val="0050043A"/>
    <w:rsid w:val="00500702"/>
    <w:rsid w:val="0050376F"/>
    <w:rsid w:val="005047DF"/>
    <w:rsid w:val="005048A5"/>
    <w:rsid w:val="00505830"/>
    <w:rsid w:val="00507E29"/>
    <w:rsid w:val="00510A6D"/>
    <w:rsid w:val="00510FF4"/>
    <w:rsid w:val="00511149"/>
    <w:rsid w:val="0051199B"/>
    <w:rsid w:val="00512ADF"/>
    <w:rsid w:val="00512CD4"/>
    <w:rsid w:val="005130E9"/>
    <w:rsid w:val="00513166"/>
    <w:rsid w:val="00513DF3"/>
    <w:rsid w:val="00513E14"/>
    <w:rsid w:val="005145B6"/>
    <w:rsid w:val="0051547D"/>
    <w:rsid w:val="005154C1"/>
    <w:rsid w:val="00515510"/>
    <w:rsid w:val="005159C0"/>
    <w:rsid w:val="00515FF9"/>
    <w:rsid w:val="005162AB"/>
    <w:rsid w:val="00516380"/>
    <w:rsid w:val="00516759"/>
    <w:rsid w:val="00517602"/>
    <w:rsid w:val="00517695"/>
    <w:rsid w:val="00520293"/>
    <w:rsid w:val="00520E43"/>
    <w:rsid w:val="00521122"/>
    <w:rsid w:val="00521449"/>
    <w:rsid w:val="00521DB6"/>
    <w:rsid w:val="00521DFB"/>
    <w:rsid w:val="00523063"/>
    <w:rsid w:val="005233A7"/>
    <w:rsid w:val="0052342F"/>
    <w:rsid w:val="0052351B"/>
    <w:rsid w:val="00523FAA"/>
    <w:rsid w:val="00524199"/>
    <w:rsid w:val="00524320"/>
    <w:rsid w:val="005244CB"/>
    <w:rsid w:val="005247C9"/>
    <w:rsid w:val="005248A4"/>
    <w:rsid w:val="005249D2"/>
    <w:rsid w:val="005250B3"/>
    <w:rsid w:val="00525E74"/>
    <w:rsid w:val="00525F2D"/>
    <w:rsid w:val="00526103"/>
    <w:rsid w:val="00526A39"/>
    <w:rsid w:val="00527001"/>
    <w:rsid w:val="00527184"/>
    <w:rsid w:val="005274EC"/>
    <w:rsid w:val="00527728"/>
    <w:rsid w:val="00527BE9"/>
    <w:rsid w:val="00530436"/>
    <w:rsid w:val="00530561"/>
    <w:rsid w:val="00530DB4"/>
    <w:rsid w:val="0053103B"/>
    <w:rsid w:val="0053183B"/>
    <w:rsid w:val="00533E03"/>
    <w:rsid w:val="005347CA"/>
    <w:rsid w:val="00535D20"/>
    <w:rsid w:val="005364B9"/>
    <w:rsid w:val="005373D5"/>
    <w:rsid w:val="00540FE0"/>
    <w:rsid w:val="00541146"/>
    <w:rsid w:val="0054178F"/>
    <w:rsid w:val="00542814"/>
    <w:rsid w:val="0054289F"/>
    <w:rsid w:val="00542EC3"/>
    <w:rsid w:val="00542FF9"/>
    <w:rsid w:val="005441F4"/>
    <w:rsid w:val="0054436A"/>
    <w:rsid w:val="005448DA"/>
    <w:rsid w:val="00545161"/>
    <w:rsid w:val="0054545D"/>
    <w:rsid w:val="00545839"/>
    <w:rsid w:val="00545CC2"/>
    <w:rsid w:val="00546234"/>
    <w:rsid w:val="00546238"/>
    <w:rsid w:val="00546402"/>
    <w:rsid w:val="0054641F"/>
    <w:rsid w:val="00546CAA"/>
    <w:rsid w:val="005474BB"/>
    <w:rsid w:val="00547D3F"/>
    <w:rsid w:val="00550F49"/>
    <w:rsid w:val="0055136D"/>
    <w:rsid w:val="005513A4"/>
    <w:rsid w:val="0055182F"/>
    <w:rsid w:val="00552271"/>
    <w:rsid w:val="005528BA"/>
    <w:rsid w:val="00552A11"/>
    <w:rsid w:val="00554535"/>
    <w:rsid w:val="00554754"/>
    <w:rsid w:val="00554DC2"/>
    <w:rsid w:val="0055541A"/>
    <w:rsid w:val="00555821"/>
    <w:rsid w:val="00555C44"/>
    <w:rsid w:val="00556F70"/>
    <w:rsid w:val="00557735"/>
    <w:rsid w:val="005577D9"/>
    <w:rsid w:val="00557855"/>
    <w:rsid w:val="005603CB"/>
    <w:rsid w:val="005611FE"/>
    <w:rsid w:val="00561705"/>
    <w:rsid w:val="00561DA8"/>
    <w:rsid w:val="00562A58"/>
    <w:rsid w:val="00562CB2"/>
    <w:rsid w:val="0056359F"/>
    <w:rsid w:val="00563C77"/>
    <w:rsid w:val="00564F93"/>
    <w:rsid w:val="00565557"/>
    <w:rsid w:val="005655C4"/>
    <w:rsid w:val="005658ED"/>
    <w:rsid w:val="00565A98"/>
    <w:rsid w:val="00567334"/>
    <w:rsid w:val="005677E3"/>
    <w:rsid w:val="00567D76"/>
    <w:rsid w:val="00567F9C"/>
    <w:rsid w:val="00570987"/>
    <w:rsid w:val="00571BDF"/>
    <w:rsid w:val="00571BF8"/>
    <w:rsid w:val="00571D6D"/>
    <w:rsid w:val="00572456"/>
    <w:rsid w:val="00572534"/>
    <w:rsid w:val="00572CF8"/>
    <w:rsid w:val="00572D67"/>
    <w:rsid w:val="00572F19"/>
    <w:rsid w:val="00572F46"/>
    <w:rsid w:val="005731ED"/>
    <w:rsid w:val="00573722"/>
    <w:rsid w:val="00573A26"/>
    <w:rsid w:val="005743DE"/>
    <w:rsid w:val="00574A02"/>
    <w:rsid w:val="005766C8"/>
    <w:rsid w:val="005767CE"/>
    <w:rsid w:val="00576A54"/>
    <w:rsid w:val="00576B0E"/>
    <w:rsid w:val="00577DC6"/>
    <w:rsid w:val="00580231"/>
    <w:rsid w:val="00580841"/>
    <w:rsid w:val="005813A6"/>
    <w:rsid w:val="005816F4"/>
    <w:rsid w:val="00581BDF"/>
    <w:rsid w:val="00582329"/>
    <w:rsid w:val="00582A82"/>
    <w:rsid w:val="00582E67"/>
    <w:rsid w:val="00583257"/>
    <w:rsid w:val="00583355"/>
    <w:rsid w:val="005840A1"/>
    <w:rsid w:val="00584220"/>
    <w:rsid w:val="005850D4"/>
    <w:rsid w:val="00585174"/>
    <w:rsid w:val="00585361"/>
    <w:rsid w:val="005853C9"/>
    <w:rsid w:val="005859E3"/>
    <w:rsid w:val="00586BD4"/>
    <w:rsid w:val="00586CC0"/>
    <w:rsid w:val="00587B48"/>
    <w:rsid w:val="00587C74"/>
    <w:rsid w:val="0059038C"/>
    <w:rsid w:val="005917F9"/>
    <w:rsid w:val="00591C09"/>
    <w:rsid w:val="005921E2"/>
    <w:rsid w:val="00592305"/>
    <w:rsid w:val="0059299B"/>
    <w:rsid w:val="005930B7"/>
    <w:rsid w:val="005935D1"/>
    <w:rsid w:val="005936F1"/>
    <w:rsid w:val="00593AF4"/>
    <w:rsid w:val="00594164"/>
    <w:rsid w:val="00594664"/>
    <w:rsid w:val="00594AE9"/>
    <w:rsid w:val="00594E87"/>
    <w:rsid w:val="005950E5"/>
    <w:rsid w:val="005957F5"/>
    <w:rsid w:val="00595F05"/>
    <w:rsid w:val="00597309"/>
    <w:rsid w:val="005A1772"/>
    <w:rsid w:val="005A1FC4"/>
    <w:rsid w:val="005A23D5"/>
    <w:rsid w:val="005A2734"/>
    <w:rsid w:val="005A34E5"/>
    <w:rsid w:val="005A3865"/>
    <w:rsid w:val="005A4CD3"/>
    <w:rsid w:val="005A4EB0"/>
    <w:rsid w:val="005A50AF"/>
    <w:rsid w:val="005A5156"/>
    <w:rsid w:val="005A643E"/>
    <w:rsid w:val="005A69C7"/>
    <w:rsid w:val="005A6F7C"/>
    <w:rsid w:val="005A774E"/>
    <w:rsid w:val="005A79F9"/>
    <w:rsid w:val="005A7D5D"/>
    <w:rsid w:val="005B0B35"/>
    <w:rsid w:val="005B132F"/>
    <w:rsid w:val="005B15EB"/>
    <w:rsid w:val="005B18B2"/>
    <w:rsid w:val="005B1CA2"/>
    <w:rsid w:val="005B2772"/>
    <w:rsid w:val="005B2817"/>
    <w:rsid w:val="005B38E7"/>
    <w:rsid w:val="005B39B8"/>
    <w:rsid w:val="005B40A6"/>
    <w:rsid w:val="005B4ECF"/>
    <w:rsid w:val="005B4F74"/>
    <w:rsid w:val="005B51AE"/>
    <w:rsid w:val="005B5596"/>
    <w:rsid w:val="005B5F65"/>
    <w:rsid w:val="005B675A"/>
    <w:rsid w:val="005B67AB"/>
    <w:rsid w:val="005B6F73"/>
    <w:rsid w:val="005B749F"/>
    <w:rsid w:val="005B75D4"/>
    <w:rsid w:val="005B77D1"/>
    <w:rsid w:val="005B7B18"/>
    <w:rsid w:val="005B7DAB"/>
    <w:rsid w:val="005C0180"/>
    <w:rsid w:val="005C01B7"/>
    <w:rsid w:val="005C0577"/>
    <w:rsid w:val="005C0BB2"/>
    <w:rsid w:val="005C11BC"/>
    <w:rsid w:val="005C1334"/>
    <w:rsid w:val="005C148F"/>
    <w:rsid w:val="005C3AA3"/>
    <w:rsid w:val="005C40EC"/>
    <w:rsid w:val="005C5081"/>
    <w:rsid w:val="005C5DA1"/>
    <w:rsid w:val="005C65A4"/>
    <w:rsid w:val="005C75E0"/>
    <w:rsid w:val="005D00A7"/>
    <w:rsid w:val="005D1EA6"/>
    <w:rsid w:val="005D26FF"/>
    <w:rsid w:val="005D2A79"/>
    <w:rsid w:val="005D2AEA"/>
    <w:rsid w:val="005D3004"/>
    <w:rsid w:val="005D337F"/>
    <w:rsid w:val="005D3D39"/>
    <w:rsid w:val="005D4C85"/>
    <w:rsid w:val="005D558C"/>
    <w:rsid w:val="005D5875"/>
    <w:rsid w:val="005D5CE0"/>
    <w:rsid w:val="005D6B32"/>
    <w:rsid w:val="005D7496"/>
    <w:rsid w:val="005D787E"/>
    <w:rsid w:val="005D7C39"/>
    <w:rsid w:val="005D7D38"/>
    <w:rsid w:val="005E029D"/>
    <w:rsid w:val="005E0D32"/>
    <w:rsid w:val="005E13DF"/>
    <w:rsid w:val="005E1817"/>
    <w:rsid w:val="005E20CF"/>
    <w:rsid w:val="005E387D"/>
    <w:rsid w:val="005E3B75"/>
    <w:rsid w:val="005E3D15"/>
    <w:rsid w:val="005E44E8"/>
    <w:rsid w:val="005E45C6"/>
    <w:rsid w:val="005E4C65"/>
    <w:rsid w:val="005E522F"/>
    <w:rsid w:val="005E573E"/>
    <w:rsid w:val="005E5905"/>
    <w:rsid w:val="005E5ABE"/>
    <w:rsid w:val="005E5C09"/>
    <w:rsid w:val="005E610E"/>
    <w:rsid w:val="005E648C"/>
    <w:rsid w:val="005E6588"/>
    <w:rsid w:val="005E70A4"/>
    <w:rsid w:val="005E7804"/>
    <w:rsid w:val="005F0A68"/>
    <w:rsid w:val="005F1B55"/>
    <w:rsid w:val="005F2202"/>
    <w:rsid w:val="005F2748"/>
    <w:rsid w:val="005F2946"/>
    <w:rsid w:val="005F2C76"/>
    <w:rsid w:val="005F3036"/>
    <w:rsid w:val="005F3100"/>
    <w:rsid w:val="005F34C6"/>
    <w:rsid w:val="005F36D9"/>
    <w:rsid w:val="005F3CBE"/>
    <w:rsid w:val="005F41D4"/>
    <w:rsid w:val="005F4318"/>
    <w:rsid w:val="005F49D2"/>
    <w:rsid w:val="005F4F8E"/>
    <w:rsid w:val="005F549B"/>
    <w:rsid w:val="005F54A4"/>
    <w:rsid w:val="005F59E3"/>
    <w:rsid w:val="005F5F9B"/>
    <w:rsid w:val="005F668F"/>
    <w:rsid w:val="005F6CD6"/>
    <w:rsid w:val="005F7088"/>
    <w:rsid w:val="005F70CC"/>
    <w:rsid w:val="005F71D1"/>
    <w:rsid w:val="005F7F4E"/>
    <w:rsid w:val="0060035F"/>
    <w:rsid w:val="00600FA5"/>
    <w:rsid w:val="00601191"/>
    <w:rsid w:val="00601F0D"/>
    <w:rsid w:val="00602667"/>
    <w:rsid w:val="0060396B"/>
    <w:rsid w:val="00603AA1"/>
    <w:rsid w:val="00603EA1"/>
    <w:rsid w:val="006042BD"/>
    <w:rsid w:val="0060483F"/>
    <w:rsid w:val="00605C42"/>
    <w:rsid w:val="00606E0C"/>
    <w:rsid w:val="00607205"/>
    <w:rsid w:val="00607472"/>
    <w:rsid w:val="006074E4"/>
    <w:rsid w:val="00610BF6"/>
    <w:rsid w:val="00610C59"/>
    <w:rsid w:val="0061102C"/>
    <w:rsid w:val="00611111"/>
    <w:rsid w:val="006112D1"/>
    <w:rsid w:val="006112FA"/>
    <w:rsid w:val="00611439"/>
    <w:rsid w:val="0061288C"/>
    <w:rsid w:val="00612C25"/>
    <w:rsid w:val="00612E62"/>
    <w:rsid w:val="00614288"/>
    <w:rsid w:val="00614310"/>
    <w:rsid w:val="006147D3"/>
    <w:rsid w:val="00615779"/>
    <w:rsid w:val="00615904"/>
    <w:rsid w:val="00615B97"/>
    <w:rsid w:val="00615D1D"/>
    <w:rsid w:val="00616640"/>
    <w:rsid w:val="006169E2"/>
    <w:rsid w:val="00616FCF"/>
    <w:rsid w:val="0061764D"/>
    <w:rsid w:val="00617694"/>
    <w:rsid w:val="006177F8"/>
    <w:rsid w:val="00617F14"/>
    <w:rsid w:val="00620205"/>
    <w:rsid w:val="00620D45"/>
    <w:rsid w:val="0062123E"/>
    <w:rsid w:val="006217A7"/>
    <w:rsid w:val="00621FA3"/>
    <w:rsid w:val="006221DC"/>
    <w:rsid w:val="00622A99"/>
    <w:rsid w:val="00622D42"/>
    <w:rsid w:val="00622F63"/>
    <w:rsid w:val="00623402"/>
    <w:rsid w:val="006234E7"/>
    <w:rsid w:val="00623646"/>
    <w:rsid w:val="00623ADD"/>
    <w:rsid w:val="0062493D"/>
    <w:rsid w:val="00624B1B"/>
    <w:rsid w:val="00624B34"/>
    <w:rsid w:val="00625B93"/>
    <w:rsid w:val="00625D23"/>
    <w:rsid w:val="006266B3"/>
    <w:rsid w:val="00626AD6"/>
    <w:rsid w:val="00627393"/>
    <w:rsid w:val="006273BD"/>
    <w:rsid w:val="006274CD"/>
    <w:rsid w:val="00627ECB"/>
    <w:rsid w:val="006308E9"/>
    <w:rsid w:val="00630C57"/>
    <w:rsid w:val="00630C98"/>
    <w:rsid w:val="00630D65"/>
    <w:rsid w:val="00630D97"/>
    <w:rsid w:val="00630F9D"/>
    <w:rsid w:val="0063304C"/>
    <w:rsid w:val="00633563"/>
    <w:rsid w:val="00633707"/>
    <w:rsid w:val="0063376F"/>
    <w:rsid w:val="00633B06"/>
    <w:rsid w:val="00633C8A"/>
    <w:rsid w:val="00634D05"/>
    <w:rsid w:val="0063588C"/>
    <w:rsid w:val="00635DD1"/>
    <w:rsid w:val="00635E6F"/>
    <w:rsid w:val="00635F75"/>
    <w:rsid w:val="00636271"/>
    <w:rsid w:val="0063633E"/>
    <w:rsid w:val="00636DED"/>
    <w:rsid w:val="00636FF6"/>
    <w:rsid w:val="006372F3"/>
    <w:rsid w:val="006378A9"/>
    <w:rsid w:val="0064012A"/>
    <w:rsid w:val="0064118F"/>
    <w:rsid w:val="00641377"/>
    <w:rsid w:val="00641519"/>
    <w:rsid w:val="006416BA"/>
    <w:rsid w:val="00641B94"/>
    <w:rsid w:val="00641CC1"/>
    <w:rsid w:val="00641CC8"/>
    <w:rsid w:val="00641EFB"/>
    <w:rsid w:val="00642E95"/>
    <w:rsid w:val="0064304D"/>
    <w:rsid w:val="006430D1"/>
    <w:rsid w:val="00643472"/>
    <w:rsid w:val="00643617"/>
    <w:rsid w:val="006436F5"/>
    <w:rsid w:val="00643C5A"/>
    <w:rsid w:val="00643C7A"/>
    <w:rsid w:val="00643FF2"/>
    <w:rsid w:val="0064425D"/>
    <w:rsid w:val="0064478B"/>
    <w:rsid w:val="0064522A"/>
    <w:rsid w:val="00646EB0"/>
    <w:rsid w:val="006474FC"/>
    <w:rsid w:val="006475DA"/>
    <w:rsid w:val="0065028A"/>
    <w:rsid w:val="006502FA"/>
    <w:rsid w:val="0065035F"/>
    <w:rsid w:val="006505E0"/>
    <w:rsid w:val="0065066C"/>
    <w:rsid w:val="0065093D"/>
    <w:rsid w:val="00650DA0"/>
    <w:rsid w:val="0065168B"/>
    <w:rsid w:val="00651745"/>
    <w:rsid w:val="00651BD3"/>
    <w:rsid w:val="00651D4D"/>
    <w:rsid w:val="00651FEE"/>
    <w:rsid w:val="00652C10"/>
    <w:rsid w:val="00652E50"/>
    <w:rsid w:val="00653CC7"/>
    <w:rsid w:val="00653D8D"/>
    <w:rsid w:val="0065428D"/>
    <w:rsid w:val="006544E8"/>
    <w:rsid w:val="0065561C"/>
    <w:rsid w:val="00655A79"/>
    <w:rsid w:val="00655C83"/>
    <w:rsid w:val="00655CFD"/>
    <w:rsid w:val="0065613F"/>
    <w:rsid w:val="006566C9"/>
    <w:rsid w:val="006573CD"/>
    <w:rsid w:val="00657D68"/>
    <w:rsid w:val="0066010A"/>
    <w:rsid w:val="00660936"/>
    <w:rsid w:val="00660E27"/>
    <w:rsid w:val="00661857"/>
    <w:rsid w:val="00661C65"/>
    <w:rsid w:val="00661E16"/>
    <w:rsid w:val="00662A65"/>
    <w:rsid w:val="00662BC9"/>
    <w:rsid w:val="00662EA5"/>
    <w:rsid w:val="006633F5"/>
    <w:rsid w:val="00663627"/>
    <w:rsid w:val="006636E9"/>
    <w:rsid w:val="00663A9C"/>
    <w:rsid w:val="00664A3C"/>
    <w:rsid w:val="00665332"/>
    <w:rsid w:val="006653DE"/>
    <w:rsid w:val="00665668"/>
    <w:rsid w:val="00665C78"/>
    <w:rsid w:val="00665D5E"/>
    <w:rsid w:val="00666779"/>
    <w:rsid w:val="00666FC2"/>
    <w:rsid w:val="00667B22"/>
    <w:rsid w:val="00670245"/>
    <w:rsid w:val="00670571"/>
    <w:rsid w:val="00670B21"/>
    <w:rsid w:val="00670F69"/>
    <w:rsid w:val="006710C1"/>
    <w:rsid w:val="00671562"/>
    <w:rsid w:val="00671AB6"/>
    <w:rsid w:val="00672191"/>
    <w:rsid w:val="0067286D"/>
    <w:rsid w:val="0067304E"/>
    <w:rsid w:val="00673AC2"/>
    <w:rsid w:val="00673D35"/>
    <w:rsid w:val="0067421F"/>
    <w:rsid w:val="006745E5"/>
    <w:rsid w:val="00674E69"/>
    <w:rsid w:val="006760DB"/>
    <w:rsid w:val="00676B84"/>
    <w:rsid w:val="00677324"/>
    <w:rsid w:val="00677A0E"/>
    <w:rsid w:val="00677CA5"/>
    <w:rsid w:val="00680344"/>
    <w:rsid w:val="00680903"/>
    <w:rsid w:val="00681181"/>
    <w:rsid w:val="006812E3"/>
    <w:rsid w:val="00682099"/>
    <w:rsid w:val="00682508"/>
    <w:rsid w:val="0068271D"/>
    <w:rsid w:val="006827D2"/>
    <w:rsid w:val="00683673"/>
    <w:rsid w:val="006844E4"/>
    <w:rsid w:val="006849ED"/>
    <w:rsid w:val="00684B03"/>
    <w:rsid w:val="00684C94"/>
    <w:rsid w:val="006854E0"/>
    <w:rsid w:val="00685A22"/>
    <w:rsid w:val="00686648"/>
    <w:rsid w:val="00686852"/>
    <w:rsid w:val="00687070"/>
    <w:rsid w:val="006877FE"/>
    <w:rsid w:val="00687D84"/>
    <w:rsid w:val="00690260"/>
    <w:rsid w:val="006903C5"/>
    <w:rsid w:val="006907D2"/>
    <w:rsid w:val="006920AF"/>
    <w:rsid w:val="00692182"/>
    <w:rsid w:val="00692731"/>
    <w:rsid w:val="0069376A"/>
    <w:rsid w:val="006942BF"/>
    <w:rsid w:val="00694548"/>
    <w:rsid w:val="00694BFE"/>
    <w:rsid w:val="00694F3D"/>
    <w:rsid w:val="006955F4"/>
    <w:rsid w:val="00696121"/>
    <w:rsid w:val="006978A0"/>
    <w:rsid w:val="00697DAF"/>
    <w:rsid w:val="006A064A"/>
    <w:rsid w:val="006A06A6"/>
    <w:rsid w:val="006A0758"/>
    <w:rsid w:val="006A1813"/>
    <w:rsid w:val="006A18B6"/>
    <w:rsid w:val="006A1EDC"/>
    <w:rsid w:val="006A2BFD"/>
    <w:rsid w:val="006A41AD"/>
    <w:rsid w:val="006A41FD"/>
    <w:rsid w:val="006A42E3"/>
    <w:rsid w:val="006A4342"/>
    <w:rsid w:val="006A538D"/>
    <w:rsid w:val="006A5B0F"/>
    <w:rsid w:val="006A5ED6"/>
    <w:rsid w:val="006A5FF3"/>
    <w:rsid w:val="006A63A0"/>
    <w:rsid w:val="006A7396"/>
    <w:rsid w:val="006B0249"/>
    <w:rsid w:val="006B0DC1"/>
    <w:rsid w:val="006B0F56"/>
    <w:rsid w:val="006B13F9"/>
    <w:rsid w:val="006B20EE"/>
    <w:rsid w:val="006B26F7"/>
    <w:rsid w:val="006B30BC"/>
    <w:rsid w:val="006B3514"/>
    <w:rsid w:val="006B366B"/>
    <w:rsid w:val="006B36F6"/>
    <w:rsid w:val="006B3EEB"/>
    <w:rsid w:val="006B4343"/>
    <w:rsid w:val="006B4826"/>
    <w:rsid w:val="006B4B2B"/>
    <w:rsid w:val="006B4F83"/>
    <w:rsid w:val="006B5B8D"/>
    <w:rsid w:val="006B5EA2"/>
    <w:rsid w:val="006B6F70"/>
    <w:rsid w:val="006B757E"/>
    <w:rsid w:val="006C01C9"/>
    <w:rsid w:val="006C04BB"/>
    <w:rsid w:val="006C0B5F"/>
    <w:rsid w:val="006C1447"/>
    <w:rsid w:val="006C1614"/>
    <w:rsid w:val="006C1D27"/>
    <w:rsid w:val="006C1D8C"/>
    <w:rsid w:val="006C27E9"/>
    <w:rsid w:val="006C2D6F"/>
    <w:rsid w:val="006C2FE7"/>
    <w:rsid w:val="006C4C2D"/>
    <w:rsid w:val="006C51D5"/>
    <w:rsid w:val="006C52F8"/>
    <w:rsid w:val="006C5369"/>
    <w:rsid w:val="006C583D"/>
    <w:rsid w:val="006C5DD7"/>
    <w:rsid w:val="006C5EBF"/>
    <w:rsid w:val="006C61C0"/>
    <w:rsid w:val="006C6DC6"/>
    <w:rsid w:val="006C6F69"/>
    <w:rsid w:val="006C7090"/>
    <w:rsid w:val="006C774B"/>
    <w:rsid w:val="006D0897"/>
    <w:rsid w:val="006D0C34"/>
    <w:rsid w:val="006D1E49"/>
    <w:rsid w:val="006D2553"/>
    <w:rsid w:val="006D26A0"/>
    <w:rsid w:val="006D29E9"/>
    <w:rsid w:val="006D4291"/>
    <w:rsid w:val="006D4295"/>
    <w:rsid w:val="006D432E"/>
    <w:rsid w:val="006D4FE7"/>
    <w:rsid w:val="006D5B0E"/>
    <w:rsid w:val="006D650C"/>
    <w:rsid w:val="006D6E6D"/>
    <w:rsid w:val="006D7458"/>
    <w:rsid w:val="006D7F6D"/>
    <w:rsid w:val="006E189D"/>
    <w:rsid w:val="006E1B74"/>
    <w:rsid w:val="006E1CF4"/>
    <w:rsid w:val="006E217C"/>
    <w:rsid w:val="006E2AC9"/>
    <w:rsid w:val="006E2D5F"/>
    <w:rsid w:val="006E2E2B"/>
    <w:rsid w:val="006E4331"/>
    <w:rsid w:val="006E4894"/>
    <w:rsid w:val="006E513E"/>
    <w:rsid w:val="006E5910"/>
    <w:rsid w:val="006E6044"/>
    <w:rsid w:val="006E620A"/>
    <w:rsid w:val="006E6D60"/>
    <w:rsid w:val="006E7C0A"/>
    <w:rsid w:val="006E7ED4"/>
    <w:rsid w:val="006F0AFA"/>
    <w:rsid w:val="006F0EA9"/>
    <w:rsid w:val="006F1196"/>
    <w:rsid w:val="006F1709"/>
    <w:rsid w:val="006F1729"/>
    <w:rsid w:val="006F186E"/>
    <w:rsid w:val="006F1B52"/>
    <w:rsid w:val="006F27A6"/>
    <w:rsid w:val="006F2805"/>
    <w:rsid w:val="006F2CBB"/>
    <w:rsid w:val="006F2E2C"/>
    <w:rsid w:val="006F38AE"/>
    <w:rsid w:val="006F39A4"/>
    <w:rsid w:val="006F42DE"/>
    <w:rsid w:val="006F45BA"/>
    <w:rsid w:val="006F5946"/>
    <w:rsid w:val="006F59FB"/>
    <w:rsid w:val="006F5E03"/>
    <w:rsid w:val="006F6383"/>
    <w:rsid w:val="006F7579"/>
    <w:rsid w:val="0070008A"/>
    <w:rsid w:val="00700575"/>
    <w:rsid w:val="00700683"/>
    <w:rsid w:val="00701C85"/>
    <w:rsid w:val="00701F7B"/>
    <w:rsid w:val="00702456"/>
    <w:rsid w:val="00702D45"/>
    <w:rsid w:val="0070313B"/>
    <w:rsid w:val="00703348"/>
    <w:rsid w:val="00703BDF"/>
    <w:rsid w:val="00704810"/>
    <w:rsid w:val="00704876"/>
    <w:rsid w:val="00704DDE"/>
    <w:rsid w:val="00705190"/>
    <w:rsid w:val="007053C4"/>
    <w:rsid w:val="00705B33"/>
    <w:rsid w:val="0070615E"/>
    <w:rsid w:val="007061D5"/>
    <w:rsid w:val="0070652E"/>
    <w:rsid w:val="0070653A"/>
    <w:rsid w:val="00706696"/>
    <w:rsid w:val="00706C4B"/>
    <w:rsid w:val="007072BD"/>
    <w:rsid w:val="007076B1"/>
    <w:rsid w:val="007103B7"/>
    <w:rsid w:val="0071085B"/>
    <w:rsid w:val="00710A58"/>
    <w:rsid w:val="00710E69"/>
    <w:rsid w:val="007116AC"/>
    <w:rsid w:val="0071245E"/>
    <w:rsid w:val="007124A2"/>
    <w:rsid w:val="00712753"/>
    <w:rsid w:val="00712B94"/>
    <w:rsid w:val="00712E54"/>
    <w:rsid w:val="007133ED"/>
    <w:rsid w:val="0071441F"/>
    <w:rsid w:val="00715020"/>
    <w:rsid w:val="0071520C"/>
    <w:rsid w:val="007152D0"/>
    <w:rsid w:val="00715DAA"/>
    <w:rsid w:val="0071732B"/>
    <w:rsid w:val="0072008D"/>
    <w:rsid w:val="00720ACC"/>
    <w:rsid w:val="00721E05"/>
    <w:rsid w:val="007230D6"/>
    <w:rsid w:val="0072349B"/>
    <w:rsid w:val="0072358C"/>
    <w:rsid w:val="00723E4B"/>
    <w:rsid w:val="007240AB"/>
    <w:rsid w:val="0072419A"/>
    <w:rsid w:val="00724553"/>
    <w:rsid w:val="007246F2"/>
    <w:rsid w:val="00724F49"/>
    <w:rsid w:val="0072563F"/>
    <w:rsid w:val="00727164"/>
    <w:rsid w:val="00727708"/>
    <w:rsid w:val="007302B0"/>
    <w:rsid w:val="0073047B"/>
    <w:rsid w:val="007304D8"/>
    <w:rsid w:val="00731C3F"/>
    <w:rsid w:val="007321A1"/>
    <w:rsid w:val="00732669"/>
    <w:rsid w:val="00732CFA"/>
    <w:rsid w:val="00732E2C"/>
    <w:rsid w:val="00733398"/>
    <w:rsid w:val="00733E4D"/>
    <w:rsid w:val="00734335"/>
    <w:rsid w:val="00734468"/>
    <w:rsid w:val="0073496D"/>
    <w:rsid w:val="00735186"/>
    <w:rsid w:val="00735ECF"/>
    <w:rsid w:val="007368A2"/>
    <w:rsid w:val="00736CF6"/>
    <w:rsid w:val="00736DE9"/>
    <w:rsid w:val="0073798E"/>
    <w:rsid w:val="00737AEA"/>
    <w:rsid w:val="00741522"/>
    <w:rsid w:val="0074226F"/>
    <w:rsid w:val="00742439"/>
    <w:rsid w:val="00742B17"/>
    <w:rsid w:val="00742FEB"/>
    <w:rsid w:val="00743A10"/>
    <w:rsid w:val="00744093"/>
    <w:rsid w:val="00744D48"/>
    <w:rsid w:val="00744F08"/>
    <w:rsid w:val="00744F26"/>
    <w:rsid w:val="007454D3"/>
    <w:rsid w:val="00745740"/>
    <w:rsid w:val="00745797"/>
    <w:rsid w:val="00745834"/>
    <w:rsid w:val="00745FC7"/>
    <w:rsid w:val="0074657B"/>
    <w:rsid w:val="007465A9"/>
    <w:rsid w:val="00746A39"/>
    <w:rsid w:val="00746B26"/>
    <w:rsid w:val="00746C4E"/>
    <w:rsid w:val="00747AB2"/>
    <w:rsid w:val="007513DC"/>
    <w:rsid w:val="007521F3"/>
    <w:rsid w:val="00752C20"/>
    <w:rsid w:val="00753F27"/>
    <w:rsid w:val="00754A0D"/>
    <w:rsid w:val="00755201"/>
    <w:rsid w:val="007552C1"/>
    <w:rsid w:val="007558A9"/>
    <w:rsid w:val="007562E2"/>
    <w:rsid w:val="0075725B"/>
    <w:rsid w:val="007577C2"/>
    <w:rsid w:val="007578A1"/>
    <w:rsid w:val="00757D9C"/>
    <w:rsid w:val="00760A15"/>
    <w:rsid w:val="00761075"/>
    <w:rsid w:val="007627CA"/>
    <w:rsid w:val="00762CD3"/>
    <w:rsid w:val="00762F2B"/>
    <w:rsid w:val="00762F9B"/>
    <w:rsid w:val="0076328E"/>
    <w:rsid w:val="00763D96"/>
    <w:rsid w:val="00764D26"/>
    <w:rsid w:val="0076561E"/>
    <w:rsid w:val="00765F3D"/>
    <w:rsid w:val="007661B0"/>
    <w:rsid w:val="007662E6"/>
    <w:rsid w:val="00767466"/>
    <w:rsid w:val="0077027E"/>
    <w:rsid w:val="00770CED"/>
    <w:rsid w:val="00770D03"/>
    <w:rsid w:val="0077105A"/>
    <w:rsid w:val="00771B6C"/>
    <w:rsid w:val="00773016"/>
    <w:rsid w:val="00773020"/>
    <w:rsid w:val="00773353"/>
    <w:rsid w:val="007739AF"/>
    <w:rsid w:val="007741C2"/>
    <w:rsid w:val="00774B7B"/>
    <w:rsid w:val="00774CCE"/>
    <w:rsid w:val="00774CD6"/>
    <w:rsid w:val="007756BE"/>
    <w:rsid w:val="007758D3"/>
    <w:rsid w:val="007762FC"/>
    <w:rsid w:val="00776623"/>
    <w:rsid w:val="00776691"/>
    <w:rsid w:val="0077726A"/>
    <w:rsid w:val="00777DD2"/>
    <w:rsid w:val="00777E12"/>
    <w:rsid w:val="00780707"/>
    <w:rsid w:val="00780A45"/>
    <w:rsid w:val="00780FA8"/>
    <w:rsid w:val="007810EE"/>
    <w:rsid w:val="00781627"/>
    <w:rsid w:val="0078190B"/>
    <w:rsid w:val="00781E70"/>
    <w:rsid w:val="0078209F"/>
    <w:rsid w:val="007823A2"/>
    <w:rsid w:val="00782C5E"/>
    <w:rsid w:val="0078375B"/>
    <w:rsid w:val="00783842"/>
    <w:rsid w:val="00783EC7"/>
    <w:rsid w:val="00784049"/>
    <w:rsid w:val="00784700"/>
    <w:rsid w:val="007849EE"/>
    <w:rsid w:val="00784E19"/>
    <w:rsid w:val="0078574E"/>
    <w:rsid w:val="00785762"/>
    <w:rsid w:val="00786007"/>
    <w:rsid w:val="00786588"/>
    <w:rsid w:val="00786D84"/>
    <w:rsid w:val="00787207"/>
    <w:rsid w:val="0078746D"/>
    <w:rsid w:val="007876E3"/>
    <w:rsid w:val="00787B22"/>
    <w:rsid w:val="00787BFA"/>
    <w:rsid w:val="0079089E"/>
    <w:rsid w:val="00790CF0"/>
    <w:rsid w:val="00790E08"/>
    <w:rsid w:val="007914BE"/>
    <w:rsid w:val="0079195F"/>
    <w:rsid w:val="00791F1F"/>
    <w:rsid w:val="00791F39"/>
    <w:rsid w:val="007925B9"/>
    <w:rsid w:val="007925EB"/>
    <w:rsid w:val="007928AD"/>
    <w:rsid w:val="00792ECB"/>
    <w:rsid w:val="00793263"/>
    <w:rsid w:val="0079334B"/>
    <w:rsid w:val="00793C37"/>
    <w:rsid w:val="00793FF7"/>
    <w:rsid w:val="00794724"/>
    <w:rsid w:val="00794A4F"/>
    <w:rsid w:val="00794ADC"/>
    <w:rsid w:val="00795CBC"/>
    <w:rsid w:val="00796C31"/>
    <w:rsid w:val="00796C80"/>
    <w:rsid w:val="007A0174"/>
    <w:rsid w:val="007A0275"/>
    <w:rsid w:val="007A06A0"/>
    <w:rsid w:val="007A079C"/>
    <w:rsid w:val="007A0BB2"/>
    <w:rsid w:val="007A0C31"/>
    <w:rsid w:val="007A0F8C"/>
    <w:rsid w:val="007A1310"/>
    <w:rsid w:val="007A1928"/>
    <w:rsid w:val="007A1C9D"/>
    <w:rsid w:val="007A25E1"/>
    <w:rsid w:val="007A266D"/>
    <w:rsid w:val="007A2E0F"/>
    <w:rsid w:val="007A3311"/>
    <w:rsid w:val="007A3BE9"/>
    <w:rsid w:val="007A3F1D"/>
    <w:rsid w:val="007A511E"/>
    <w:rsid w:val="007A5131"/>
    <w:rsid w:val="007A5D07"/>
    <w:rsid w:val="007A78AF"/>
    <w:rsid w:val="007A7C89"/>
    <w:rsid w:val="007B1FAE"/>
    <w:rsid w:val="007B2977"/>
    <w:rsid w:val="007B29AE"/>
    <w:rsid w:val="007B2C3B"/>
    <w:rsid w:val="007B2C8B"/>
    <w:rsid w:val="007B4019"/>
    <w:rsid w:val="007B4230"/>
    <w:rsid w:val="007B49D3"/>
    <w:rsid w:val="007B5115"/>
    <w:rsid w:val="007B66A0"/>
    <w:rsid w:val="007B6C25"/>
    <w:rsid w:val="007B6E4E"/>
    <w:rsid w:val="007B6E6C"/>
    <w:rsid w:val="007B6E72"/>
    <w:rsid w:val="007B71E9"/>
    <w:rsid w:val="007C0980"/>
    <w:rsid w:val="007C1702"/>
    <w:rsid w:val="007C1B97"/>
    <w:rsid w:val="007C1F3D"/>
    <w:rsid w:val="007C2659"/>
    <w:rsid w:val="007C32B4"/>
    <w:rsid w:val="007C3E39"/>
    <w:rsid w:val="007C4114"/>
    <w:rsid w:val="007C41D1"/>
    <w:rsid w:val="007C453A"/>
    <w:rsid w:val="007C4547"/>
    <w:rsid w:val="007C47CF"/>
    <w:rsid w:val="007C48C7"/>
    <w:rsid w:val="007C587C"/>
    <w:rsid w:val="007C6737"/>
    <w:rsid w:val="007C69D6"/>
    <w:rsid w:val="007C6D4F"/>
    <w:rsid w:val="007C7603"/>
    <w:rsid w:val="007D1358"/>
    <w:rsid w:val="007D1F6A"/>
    <w:rsid w:val="007D2B4A"/>
    <w:rsid w:val="007D2C96"/>
    <w:rsid w:val="007D2CEB"/>
    <w:rsid w:val="007D3591"/>
    <w:rsid w:val="007D3B20"/>
    <w:rsid w:val="007D50B9"/>
    <w:rsid w:val="007D5869"/>
    <w:rsid w:val="007D6683"/>
    <w:rsid w:val="007D6854"/>
    <w:rsid w:val="007D7594"/>
    <w:rsid w:val="007D78FD"/>
    <w:rsid w:val="007D7ACA"/>
    <w:rsid w:val="007E0378"/>
    <w:rsid w:val="007E0462"/>
    <w:rsid w:val="007E055C"/>
    <w:rsid w:val="007E0D32"/>
    <w:rsid w:val="007E1280"/>
    <w:rsid w:val="007E13C1"/>
    <w:rsid w:val="007E185B"/>
    <w:rsid w:val="007E1D48"/>
    <w:rsid w:val="007E2044"/>
    <w:rsid w:val="007E449D"/>
    <w:rsid w:val="007E482E"/>
    <w:rsid w:val="007E483D"/>
    <w:rsid w:val="007E494E"/>
    <w:rsid w:val="007E4BF6"/>
    <w:rsid w:val="007E5AA8"/>
    <w:rsid w:val="007E6167"/>
    <w:rsid w:val="007E62EB"/>
    <w:rsid w:val="007E63CE"/>
    <w:rsid w:val="007E64E6"/>
    <w:rsid w:val="007E67FC"/>
    <w:rsid w:val="007E6E50"/>
    <w:rsid w:val="007E6FC1"/>
    <w:rsid w:val="007E72CF"/>
    <w:rsid w:val="007E74C5"/>
    <w:rsid w:val="007E77A3"/>
    <w:rsid w:val="007E7B8F"/>
    <w:rsid w:val="007F0397"/>
    <w:rsid w:val="007F0692"/>
    <w:rsid w:val="007F08F6"/>
    <w:rsid w:val="007F0E34"/>
    <w:rsid w:val="007F15A7"/>
    <w:rsid w:val="007F17EA"/>
    <w:rsid w:val="007F1B98"/>
    <w:rsid w:val="007F2C04"/>
    <w:rsid w:val="007F2E1A"/>
    <w:rsid w:val="007F30CB"/>
    <w:rsid w:val="007F320C"/>
    <w:rsid w:val="007F32C6"/>
    <w:rsid w:val="007F3953"/>
    <w:rsid w:val="007F3A32"/>
    <w:rsid w:val="007F5294"/>
    <w:rsid w:val="007F5491"/>
    <w:rsid w:val="007F55DC"/>
    <w:rsid w:val="007F56D0"/>
    <w:rsid w:val="007F5B41"/>
    <w:rsid w:val="007F6368"/>
    <w:rsid w:val="007F69EC"/>
    <w:rsid w:val="007F70F8"/>
    <w:rsid w:val="007F7B7F"/>
    <w:rsid w:val="007F7E15"/>
    <w:rsid w:val="00800164"/>
    <w:rsid w:val="0080063F"/>
    <w:rsid w:val="00800716"/>
    <w:rsid w:val="0080090A"/>
    <w:rsid w:val="00801451"/>
    <w:rsid w:val="008015EF"/>
    <w:rsid w:val="00801903"/>
    <w:rsid w:val="00801CF0"/>
    <w:rsid w:val="00801FB6"/>
    <w:rsid w:val="00802129"/>
    <w:rsid w:val="00802A32"/>
    <w:rsid w:val="00802E03"/>
    <w:rsid w:val="008034B3"/>
    <w:rsid w:val="008043DE"/>
    <w:rsid w:val="0080498D"/>
    <w:rsid w:val="00804B08"/>
    <w:rsid w:val="00804B6A"/>
    <w:rsid w:val="008050DD"/>
    <w:rsid w:val="00805C81"/>
    <w:rsid w:val="0080606A"/>
    <w:rsid w:val="008065F0"/>
    <w:rsid w:val="00806A4A"/>
    <w:rsid w:val="0080719E"/>
    <w:rsid w:val="0080741B"/>
    <w:rsid w:val="008074A3"/>
    <w:rsid w:val="0080795C"/>
    <w:rsid w:val="00807C2F"/>
    <w:rsid w:val="00807D9E"/>
    <w:rsid w:val="008109E4"/>
    <w:rsid w:val="00810B67"/>
    <w:rsid w:val="00810CCA"/>
    <w:rsid w:val="00810D4B"/>
    <w:rsid w:val="00811B53"/>
    <w:rsid w:val="008129C6"/>
    <w:rsid w:val="00812E0A"/>
    <w:rsid w:val="00812FFE"/>
    <w:rsid w:val="0081352B"/>
    <w:rsid w:val="00813AE6"/>
    <w:rsid w:val="00813CC3"/>
    <w:rsid w:val="00813F31"/>
    <w:rsid w:val="008140C1"/>
    <w:rsid w:val="00814514"/>
    <w:rsid w:val="008150EE"/>
    <w:rsid w:val="008152A4"/>
    <w:rsid w:val="0081687E"/>
    <w:rsid w:val="008206B1"/>
    <w:rsid w:val="00820923"/>
    <w:rsid w:val="00820A8A"/>
    <w:rsid w:val="00820C6D"/>
    <w:rsid w:val="008211DE"/>
    <w:rsid w:val="008237E2"/>
    <w:rsid w:val="00824345"/>
    <w:rsid w:val="00824A5C"/>
    <w:rsid w:val="00824E46"/>
    <w:rsid w:val="00824FDC"/>
    <w:rsid w:val="008250A2"/>
    <w:rsid w:val="008255E4"/>
    <w:rsid w:val="008269FB"/>
    <w:rsid w:val="008273EF"/>
    <w:rsid w:val="0082743D"/>
    <w:rsid w:val="00827865"/>
    <w:rsid w:val="008279AB"/>
    <w:rsid w:val="00827A0C"/>
    <w:rsid w:val="00827BAD"/>
    <w:rsid w:val="00827CEF"/>
    <w:rsid w:val="00827EEB"/>
    <w:rsid w:val="00830639"/>
    <w:rsid w:val="008309C9"/>
    <w:rsid w:val="00830BC7"/>
    <w:rsid w:val="008315D0"/>
    <w:rsid w:val="00831B1E"/>
    <w:rsid w:val="0083238C"/>
    <w:rsid w:val="00832CFF"/>
    <w:rsid w:val="00832D3B"/>
    <w:rsid w:val="008335E3"/>
    <w:rsid w:val="0083381C"/>
    <w:rsid w:val="00833C0C"/>
    <w:rsid w:val="00834DBA"/>
    <w:rsid w:val="00834DCB"/>
    <w:rsid w:val="008360FE"/>
    <w:rsid w:val="00836673"/>
    <w:rsid w:val="00836AE6"/>
    <w:rsid w:val="008370FB"/>
    <w:rsid w:val="008378F1"/>
    <w:rsid w:val="00837B92"/>
    <w:rsid w:val="00837E50"/>
    <w:rsid w:val="00837FB3"/>
    <w:rsid w:val="008401AC"/>
    <w:rsid w:val="008404DF"/>
    <w:rsid w:val="00840C01"/>
    <w:rsid w:val="00840C42"/>
    <w:rsid w:val="0084167C"/>
    <w:rsid w:val="008416F7"/>
    <w:rsid w:val="0084256F"/>
    <w:rsid w:val="00842BD2"/>
    <w:rsid w:val="008436EC"/>
    <w:rsid w:val="00843FA7"/>
    <w:rsid w:val="00844442"/>
    <w:rsid w:val="00844479"/>
    <w:rsid w:val="00844F10"/>
    <w:rsid w:val="00844F3F"/>
    <w:rsid w:val="00845186"/>
    <w:rsid w:val="00845343"/>
    <w:rsid w:val="00845BBC"/>
    <w:rsid w:val="00846407"/>
    <w:rsid w:val="00846B0C"/>
    <w:rsid w:val="0084754E"/>
    <w:rsid w:val="00847F2B"/>
    <w:rsid w:val="00850048"/>
    <w:rsid w:val="0085049E"/>
    <w:rsid w:val="0085052F"/>
    <w:rsid w:val="008513D8"/>
    <w:rsid w:val="00851F27"/>
    <w:rsid w:val="00852C25"/>
    <w:rsid w:val="00853FF4"/>
    <w:rsid w:val="00854382"/>
    <w:rsid w:val="008545C8"/>
    <w:rsid w:val="00854733"/>
    <w:rsid w:val="00854DC5"/>
    <w:rsid w:val="00855D43"/>
    <w:rsid w:val="008561D7"/>
    <w:rsid w:val="00856A89"/>
    <w:rsid w:val="00856AB0"/>
    <w:rsid w:val="00856D5F"/>
    <w:rsid w:val="008601BD"/>
    <w:rsid w:val="008607B4"/>
    <w:rsid w:val="0086092C"/>
    <w:rsid w:val="00860B22"/>
    <w:rsid w:val="00860F24"/>
    <w:rsid w:val="00861074"/>
    <w:rsid w:val="00861B25"/>
    <w:rsid w:val="00862676"/>
    <w:rsid w:val="00862967"/>
    <w:rsid w:val="00862A88"/>
    <w:rsid w:val="00862D02"/>
    <w:rsid w:val="008635D4"/>
    <w:rsid w:val="008636FC"/>
    <w:rsid w:val="00863DB6"/>
    <w:rsid w:val="00864252"/>
    <w:rsid w:val="0086456A"/>
    <w:rsid w:val="00864B1B"/>
    <w:rsid w:val="00864CAE"/>
    <w:rsid w:val="008652EF"/>
    <w:rsid w:val="008657E3"/>
    <w:rsid w:val="00865B86"/>
    <w:rsid w:val="00866401"/>
    <w:rsid w:val="0086767D"/>
    <w:rsid w:val="00870368"/>
    <w:rsid w:val="00870A93"/>
    <w:rsid w:val="00870E26"/>
    <w:rsid w:val="00871026"/>
    <w:rsid w:val="00871164"/>
    <w:rsid w:val="008724C4"/>
    <w:rsid w:val="00873023"/>
    <w:rsid w:val="0087330B"/>
    <w:rsid w:val="008733CC"/>
    <w:rsid w:val="00873BC6"/>
    <w:rsid w:val="00874A24"/>
    <w:rsid w:val="00874BF4"/>
    <w:rsid w:val="00874FB1"/>
    <w:rsid w:val="008752FE"/>
    <w:rsid w:val="00875C08"/>
    <w:rsid w:val="00876264"/>
    <w:rsid w:val="008771F4"/>
    <w:rsid w:val="00877519"/>
    <w:rsid w:val="00877765"/>
    <w:rsid w:val="0087784C"/>
    <w:rsid w:val="00877ABF"/>
    <w:rsid w:val="00880902"/>
    <w:rsid w:val="00880C7F"/>
    <w:rsid w:val="00881323"/>
    <w:rsid w:val="00881A53"/>
    <w:rsid w:val="00881E3C"/>
    <w:rsid w:val="0088276C"/>
    <w:rsid w:val="00883177"/>
    <w:rsid w:val="008836BD"/>
    <w:rsid w:val="008837EA"/>
    <w:rsid w:val="008845A9"/>
    <w:rsid w:val="008851D2"/>
    <w:rsid w:val="00885A66"/>
    <w:rsid w:val="0088729E"/>
    <w:rsid w:val="0088740E"/>
    <w:rsid w:val="00887D1F"/>
    <w:rsid w:val="00887E11"/>
    <w:rsid w:val="008907EC"/>
    <w:rsid w:val="0089096D"/>
    <w:rsid w:val="00891642"/>
    <w:rsid w:val="00891A9E"/>
    <w:rsid w:val="00892242"/>
    <w:rsid w:val="0089291A"/>
    <w:rsid w:val="00892A4E"/>
    <w:rsid w:val="008931CE"/>
    <w:rsid w:val="0089437C"/>
    <w:rsid w:val="0089447E"/>
    <w:rsid w:val="00894A27"/>
    <w:rsid w:val="00894AE5"/>
    <w:rsid w:val="00894F05"/>
    <w:rsid w:val="00894F3E"/>
    <w:rsid w:val="00895433"/>
    <w:rsid w:val="00895AE6"/>
    <w:rsid w:val="00895B7B"/>
    <w:rsid w:val="00895D53"/>
    <w:rsid w:val="0089640D"/>
    <w:rsid w:val="00896517"/>
    <w:rsid w:val="00896A4C"/>
    <w:rsid w:val="00896EBA"/>
    <w:rsid w:val="00897481"/>
    <w:rsid w:val="0089797F"/>
    <w:rsid w:val="00897C3A"/>
    <w:rsid w:val="008A0D3D"/>
    <w:rsid w:val="008A1C46"/>
    <w:rsid w:val="008A1E32"/>
    <w:rsid w:val="008A23C9"/>
    <w:rsid w:val="008A30AD"/>
    <w:rsid w:val="008A331F"/>
    <w:rsid w:val="008A39F8"/>
    <w:rsid w:val="008A4A77"/>
    <w:rsid w:val="008A4B7C"/>
    <w:rsid w:val="008A4ED4"/>
    <w:rsid w:val="008A570D"/>
    <w:rsid w:val="008A5D3A"/>
    <w:rsid w:val="008A68D1"/>
    <w:rsid w:val="008A6E7C"/>
    <w:rsid w:val="008A70AD"/>
    <w:rsid w:val="008A7297"/>
    <w:rsid w:val="008B0B3A"/>
    <w:rsid w:val="008B2B2A"/>
    <w:rsid w:val="008B2CE9"/>
    <w:rsid w:val="008B2DE5"/>
    <w:rsid w:val="008B32A9"/>
    <w:rsid w:val="008B44D0"/>
    <w:rsid w:val="008B53D6"/>
    <w:rsid w:val="008B5AF7"/>
    <w:rsid w:val="008B5B03"/>
    <w:rsid w:val="008B7067"/>
    <w:rsid w:val="008B7446"/>
    <w:rsid w:val="008B74A8"/>
    <w:rsid w:val="008C0083"/>
    <w:rsid w:val="008C08C0"/>
    <w:rsid w:val="008C0EB7"/>
    <w:rsid w:val="008C24D8"/>
    <w:rsid w:val="008C2EDB"/>
    <w:rsid w:val="008C4C35"/>
    <w:rsid w:val="008C4C79"/>
    <w:rsid w:val="008C4D7F"/>
    <w:rsid w:val="008C5237"/>
    <w:rsid w:val="008C53E5"/>
    <w:rsid w:val="008C5ACA"/>
    <w:rsid w:val="008C5B70"/>
    <w:rsid w:val="008C5DF9"/>
    <w:rsid w:val="008C6C9A"/>
    <w:rsid w:val="008C701E"/>
    <w:rsid w:val="008C78F3"/>
    <w:rsid w:val="008D0160"/>
    <w:rsid w:val="008D0714"/>
    <w:rsid w:val="008D0B83"/>
    <w:rsid w:val="008D0F2B"/>
    <w:rsid w:val="008D10A2"/>
    <w:rsid w:val="008D14C2"/>
    <w:rsid w:val="008D18BB"/>
    <w:rsid w:val="008D1B64"/>
    <w:rsid w:val="008D23C7"/>
    <w:rsid w:val="008D2ED4"/>
    <w:rsid w:val="008D3072"/>
    <w:rsid w:val="008D33CE"/>
    <w:rsid w:val="008D3C45"/>
    <w:rsid w:val="008D4162"/>
    <w:rsid w:val="008D42AC"/>
    <w:rsid w:val="008D4E1A"/>
    <w:rsid w:val="008D4E54"/>
    <w:rsid w:val="008D4F50"/>
    <w:rsid w:val="008D579E"/>
    <w:rsid w:val="008D6463"/>
    <w:rsid w:val="008D68D9"/>
    <w:rsid w:val="008D78DF"/>
    <w:rsid w:val="008D78FA"/>
    <w:rsid w:val="008D7C39"/>
    <w:rsid w:val="008D7CB2"/>
    <w:rsid w:val="008E04FD"/>
    <w:rsid w:val="008E0AD7"/>
    <w:rsid w:val="008E14AC"/>
    <w:rsid w:val="008E219F"/>
    <w:rsid w:val="008E21EE"/>
    <w:rsid w:val="008E2D67"/>
    <w:rsid w:val="008E342C"/>
    <w:rsid w:val="008E34E5"/>
    <w:rsid w:val="008E3D9A"/>
    <w:rsid w:val="008E44D3"/>
    <w:rsid w:val="008E4C89"/>
    <w:rsid w:val="008E4FB6"/>
    <w:rsid w:val="008E51AF"/>
    <w:rsid w:val="008E548A"/>
    <w:rsid w:val="008E555A"/>
    <w:rsid w:val="008E6473"/>
    <w:rsid w:val="008E6844"/>
    <w:rsid w:val="008E687D"/>
    <w:rsid w:val="008E71FC"/>
    <w:rsid w:val="008E744C"/>
    <w:rsid w:val="008E74A2"/>
    <w:rsid w:val="008F004F"/>
    <w:rsid w:val="008F0408"/>
    <w:rsid w:val="008F0967"/>
    <w:rsid w:val="008F0AB3"/>
    <w:rsid w:val="008F1940"/>
    <w:rsid w:val="008F198B"/>
    <w:rsid w:val="008F1E81"/>
    <w:rsid w:val="008F22AC"/>
    <w:rsid w:val="008F2546"/>
    <w:rsid w:val="008F29BA"/>
    <w:rsid w:val="008F2B5F"/>
    <w:rsid w:val="008F3042"/>
    <w:rsid w:val="008F3114"/>
    <w:rsid w:val="008F4851"/>
    <w:rsid w:val="008F4B82"/>
    <w:rsid w:val="008F513C"/>
    <w:rsid w:val="008F592A"/>
    <w:rsid w:val="008F6505"/>
    <w:rsid w:val="008F6D5D"/>
    <w:rsid w:val="008F6E33"/>
    <w:rsid w:val="008F76DB"/>
    <w:rsid w:val="008F7C9A"/>
    <w:rsid w:val="008F7D4C"/>
    <w:rsid w:val="009002B2"/>
    <w:rsid w:val="009006A6"/>
    <w:rsid w:val="009006ED"/>
    <w:rsid w:val="00900995"/>
    <w:rsid w:val="00900D69"/>
    <w:rsid w:val="00900DE1"/>
    <w:rsid w:val="00900ECA"/>
    <w:rsid w:val="009012BC"/>
    <w:rsid w:val="009016D7"/>
    <w:rsid w:val="0090350B"/>
    <w:rsid w:val="00903AC3"/>
    <w:rsid w:val="0090412E"/>
    <w:rsid w:val="00904264"/>
    <w:rsid w:val="00904536"/>
    <w:rsid w:val="0090478A"/>
    <w:rsid w:val="0090554A"/>
    <w:rsid w:val="00905888"/>
    <w:rsid w:val="0090592A"/>
    <w:rsid w:val="00905CFC"/>
    <w:rsid w:val="009066D9"/>
    <w:rsid w:val="009068FD"/>
    <w:rsid w:val="00907150"/>
    <w:rsid w:val="009073EB"/>
    <w:rsid w:val="00907832"/>
    <w:rsid w:val="00907878"/>
    <w:rsid w:val="0091029B"/>
    <w:rsid w:val="009102A7"/>
    <w:rsid w:val="0091032C"/>
    <w:rsid w:val="00910B6D"/>
    <w:rsid w:val="0091119E"/>
    <w:rsid w:val="009118B2"/>
    <w:rsid w:val="00911957"/>
    <w:rsid w:val="00911D86"/>
    <w:rsid w:val="00913338"/>
    <w:rsid w:val="009138AE"/>
    <w:rsid w:val="00913AF9"/>
    <w:rsid w:val="00913F6A"/>
    <w:rsid w:val="0091435D"/>
    <w:rsid w:val="009143E6"/>
    <w:rsid w:val="009144B5"/>
    <w:rsid w:val="009146F6"/>
    <w:rsid w:val="009149EC"/>
    <w:rsid w:val="00914C74"/>
    <w:rsid w:val="00915863"/>
    <w:rsid w:val="0091588E"/>
    <w:rsid w:val="00915F14"/>
    <w:rsid w:val="0091636A"/>
    <w:rsid w:val="009169B1"/>
    <w:rsid w:val="00916E73"/>
    <w:rsid w:val="00916ED7"/>
    <w:rsid w:val="00916F53"/>
    <w:rsid w:val="0091748C"/>
    <w:rsid w:val="00920434"/>
    <w:rsid w:val="00921840"/>
    <w:rsid w:val="00921907"/>
    <w:rsid w:val="0092208F"/>
    <w:rsid w:val="00922681"/>
    <w:rsid w:val="00922E70"/>
    <w:rsid w:val="009238D1"/>
    <w:rsid w:val="00924539"/>
    <w:rsid w:val="009248C6"/>
    <w:rsid w:val="009257D6"/>
    <w:rsid w:val="0092643E"/>
    <w:rsid w:val="00926E69"/>
    <w:rsid w:val="00926E91"/>
    <w:rsid w:val="009273E3"/>
    <w:rsid w:val="00927510"/>
    <w:rsid w:val="009276E6"/>
    <w:rsid w:val="00927ACC"/>
    <w:rsid w:val="0093001D"/>
    <w:rsid w:val="009301B1"/>
    <w:rsid w:val="00930371"/>
    <w:rsid w:val="00930C6B"/>
    <w:rsid w:val="00930DA1"/>
    <w:rsid w:val="00930EF7"/>
    <w:rsid w:val="0093125C"/>
    <w:rsid w:val="009317B8"/>
    <w:rsid w:val="00931AF9"/>
    <w:rsid w:val="009329AF"/>
    <w:rsid w:val="00932A1F"/>
    <w:rsid w:val="00932F8C"/>
    <w:rsid w:val="00933A04"/>
    <w:rsid w:val="00933DE6"/>
    <w:rsid w:val="00934D47"/>
    <w:rsid w:val="00935280"/>
    <w:rsid w:val="0093577D"/>
    <w:rsid w:val="00935CCF"/>
    <w:rsid w:val="00935CEE"/>
    <w:rsid w:val="00935D6B"/>
    <w:rsid w:val="009360D6"/>
    <w:rsid w:val="00936282"/>
    <w:rsid w:val="00936510"/>
    <w:rsid w:val="00936D1C"/>
    <w:rsid w:val="00936D78"/>
    <w:rsid w:val="009372C5"/>
    <w:rsid w:val="009373A5"/>
    <w:rsid w:val="00941336"/>
    <w:rsid w:val="00941CA1"/>
    <w:rsid w:val="00941DEE"/>
    <w:rsid w:val="00942CB1"/>
    <w:rsid w:val="00943D66"/>
    <w:rsid w:val="009440B8"/>
    <w:rsid w:val="009440ED"/>
    <w:rsid w:val="0094451B"/>
    <w:rsid w:val="00944BF0"/>
    <w:rsid w:val="009451C7"/>
    <w:rsid w:val="00945476"/>
    <w:rsid w:val="009457B2"/>
    <w:rsid w:val="00945835"/>
    <w:rsid w:val="00945E92"/>
    <w:rsid w:val="009461FC"/>
    <w:rsid w:val="009466EE"/>
    <w:rsid w:val="00946841"/>
    <w:rsid w:val="0094698E"/>
    <w:rsid w:val="00947419"/>
    <w:rsid w:val="009505BF"/>
    <w:rsid w:val="009514A8"/>
    <w:rsid w:val="00952205"/>
    <w:rsid w:val="009529A8"/>
    <w:rsid w:val="00953095"/>
    <w:rsid w:val="0095367C"/>
    <w:rsid w:val="0095388F"/>
    <w:rsid w:val="00953E0F"/>
    <w:rsid w:val="009547B2"/>
    <w:rsid w:val="0095506D"/>
    <w:rsid w:val="0095580D"/>
    <w:rsid w:val="00955C34"/>
    <w:rsid w:val="009569B7"/>
    <w:rsid w:val="009569F9"/>
    <w:rsid w:val="00956AD3"/>
    <w:rsid w:val="009575E1"/>
    <w:rsid w:val="00960838"/>
    <w:rsid w:val="00960BC7"/>
    <w:rsid w:val="00961CEE"/>
    <w:rsid w:val="00962129"/>
    <w:rsid w:val="00962531"/>
    <w:rsid w:val="00963112"/>
    <w:rsid w:val="009631CB"/>
    <w:rsid w:val="009632C9"/>
    <w:rsid w:val="009636AE"/>
    <w:rsid w:val="00963810"/>
    <w:rsid w:val="0096389C"/>
    <w:rsid w:val="0096450B"/>
    <w:rsid w:val="00964625"/>
    <w:rsid w:val="00964706"/>
    <w:rsid w:val="009651DA"/>
    <w:rsid w:val="00965D0E"/>
    <w:rsid w:val="00966103"/>
    <w:rsid w:val="009667EE"/>
    <w:rsid w:val="009668C0"/>
    <w:rsid w:val="009668C4"/>
    <w:rsid w:val="0096695E"/>
    <w:rsid w:val="00966DA3"/>
    <w:rsid w:val="00967852"/>
    <w:rsid w:val="00967DE9"/>
    <w:rsid w:val="00967E53"/>
    <w:rsid w:val="00970266"/>
    <w:rsid w:val="00970998"/>
    <w:rsid w:val="00970A64"/>
    <w:rsid w:val="00970EEB"/>
    <w:rsid w:val="00971489"/>
    <w:rsid w:val="0097182E"/>
    <w:rsid w:val="0097200B"/>
    <w:rsid w:val="009720B6"/>
    <w:rsid w:val="009722CC"/>
    <w:rsid w:val="00972CC0"/>
    <w:rsid w:val="009730D6"/>
    <w:rsid w:val="0097316B"/>
    <w:rsid w:val="0097354A"/>
    <w:rsid w:val="009739F4"/>
    <w:rsid w:val="009748CA"/>
    <w:rsid w:val="00974DC0"/>
    <w:rsid w:val="00974FAA"/>
    <w:rsid w:val="0097623C"/>
    <w:rsid w:val="00977184"/>
    <w:rsid w:val="0097718F"/>
    <w:rsid w:val="009776FB"/>
    <w:rsid w:val="00977E43"/>
    <w:rsid w:val="009802C9"/>
    <w:rsid w:val="009813DB"/>
    <w:rsid w:val="00982877"/>
    <w:rsid w:val="009833BA"/>
    <w:rsid w:val="00983D89"/>
    <w:rsid w:val="00983F5D"/>
    <w:rsid w:val="0098402E"/>
    <w:rsid w:val="00985ABF"/>
    <w:rsid w:val="00985E74"/>
    <w:rsid w:val="00985FAB"/>
    <w:rsid w:val="009879EB"/>
    <w:rsid w:val="00987C40"/>
    <w:rsid w:val="0099006B"/>
    <w:rsid w:val="00990D99"/>
    <w:rsid w:val="00990DD8"/>
    <w:rsid w:val="00991163"/>
    <w:rsid w:val="00991310"/>
    <w:rsid w:val="0099132B"/>
    <w:rsid w:val="00991685"/>
    <w:rsid w:val="00991D42"/>
    <w:rsid w:val="00991EA8"/>
    <w:rsid w:val="009923E4"/>
    <w:rsid w:val="009927FA"/>
    <w:rsid w:val="00993174"/>
    <w:rsid w:val="0099350E"/>
    <w:rsid w:val="0099395D"/>
    <w:rsid w:val="009940DF"/>
    <w:rsid w:val="0099428D"/>
    <w:rsid w:val="00994AA7"/>
    <w:rsid w:val="00995106"/>
    <w:rsid w:val="009958B7"/>
    <w:rsid w:val="00995CEB"/>
    <w:rsid w:val="00996076"/>
    <w:rsid w:val="009967F2"/>
    <w:rsid w:val="00996D0B"/>
    <w:rsid w:val="0099718D"/>
    <w:rsid w:val="00997790"/>
    <w:rsid w:val="00997FF4"/>
    <w:rsid w:val="009A047C"/>
    <w:rsid w:val="009A0AD8"/>
    <w:rsid w:val="009A131E"/>
    <w:rsid w:val="009A1772"/>
    <w:rsid w:val="009A1DF3"/>
    <w:rsid w:val="009A2169"/>
    <w:rsid w:val="009A217C"/>
    <w:rsid w:val="009A2243"/>
    <w:rsid w:val="009A257C"/>
    <w:rsid w:val="009A353F"/>
    <w:rsid w:val="009A3C28"/>
    <w:rsid w:val="009A3C9A"/>
    <w:rsid w:val="009A4417"/>
    <w:rsid w:val="009A4915"/>
    <w:rsid w:val="009A51DA"/>
    <w:rsid w:val="009A5800"/>
    <w:rsid w:val="009A66B1"/>
    <w:rsid w:val="009A66D0"/>
    <w:rsid w:val="009A6BD3"/>
    <w:rsid w:val="009A6C34"/>
    <w:rsid w:val="009A6E15"/>
    <w:rsid w:val="009B01FC"/>
    <w:rsid w:val="009B07A1"/>
    <w:rsid w:val="009B1105"/>
    <w:rsid w:val="009B1BFE"/>
    <w:rsid w:val="009B1EDB"/>
    <w:rsid w:val="009B1F77"/>
    <w:rsid w:val="009B2F1D"/>
    <w:rsid w:val="009B3569"/>
    <w:rsid w:val="009B3574"/>
    <w:rsid w:val="009B3E80"/>
    <w:rsid w:val="009B4ADA"/>
    <w:rsid w:val="009B4D54"/>
    <w:rsid w:val="009B5265"/>
    <w:rsid w:val="009B5273"/>
    <w:rsid w:val="009B5F13"/>
    <w:rsid w:val="009B60E7"/>
    <w:rsid w:val="009B626C"/>
    <w:rsid w:val="009B66D5"/>
    <w:rsid w:val="009B6AEA"/>
    <w:rsid w:val="009B7367"/>
    <w:rsid w:val="009B7B19"/>
    <w:rsid w:val="009C0BFC"/>
    <w:rsid w:val="009C0DE0"/>
    <w:rsid w:val="009C28AB"/>
    <w:rsid w:val="009C2C1D"/>
    <w:rsid w:val="009C32B0"/>
    <w:rsid w:val="009C33DB"/>
    <w:rsid w:val="009C3B26"/>
    <w:rsid w:val="009C40B2"/>
    <w:rsid w:val="009C5153"/>
    <w:rsid w:val="009C59CD"/>
    <w:rsid w:val="009C6B6E"/>
    <w:rsid w:val="009C6E43"/>
    <w:rsid w:val="009C7182"/>
    <w:rsid w:val="009D14B4"/>
    <w:rsid w:val="009D1719"/>
    <w:rsid w:val="009D1739"/>
    <w:rsid w:val="009D2621"/>
    <w:rsid w:val="009D27BA"/>
    <w:rsid w:val="009D28E7"/>
    <w:rsid w:val="009D3219"/>
    <w:rsid w:val="009D3365"/>
    <w:rsid w:val="009D3E6F"/>
    <w:rsid w:val="009D3E87"/>
    <w:rsid w:val="009D3F76"/>
    <w:rsid w:val="009D4092"/>
    <w:rsid w:val="009D42B2"/>
    <w:rsid w:val="009D4BA2"/>
    <w:rsid w:val="009D5373"/>
    <w:rsid w:val="009D547C"/>
    <w:rsid w:val="009D5C76"/>
    <w:rsid w:val="009D6C80"/>
    <w:rsid w:val="009D78B2"/>
    <w:rsid w:val="009E019F"/>
    <w:rsid w:val="009E0EA2"/>
    <w:rsid w:val="009E214D"/>
    <w:rsid w:val="009E28EC"/>
    <w:rsid w:val="009E315A"/>
    <w:rsid w:val="009E3DE8"/>
    <w:rsid w:val="009E3F5E"/>
    <w:rsid w:val="009E4460"/>
    <w:rsid w:val="009E4841"/>
    <w:rsid w:val="009E662C"/>
    <w:rsid w:val="009E72F2"/>
    <w:rsid w:val="009E7419"/>
    <w:rsid w:val="009E78E7"/>
    <w:rsid w:val="009E7983"/>
    <w:rsid w:val="009F0065"/>
    <w:rsid w:val="009F033B"/>
    <w:rsid w:val="009F0BFF"/>
    <w:rsid w:val="009F0CCE"/>
    <w:rsid w:val="009F14F9"/>
    <w:rsid w:val="009F2117"/>
    <w:rsid w:val="009F24FC"/>
    <w:rsid w:val="009F2E31"/>
    <w:rsid w:val="009F2FA6"/>
    <w:rsid w:val="009F32EF"/>
    <w:rsid w:val="009F338F"/>
    <w:rsid w:val="009F36BC"/>
    <w:rsid w:val="009F3F1F"/>
    <w:rsid w:val="009F4FB3"/>
    <w:rsid w:val="009F5967"/>
    <w:rsid w:val="009F6028"/>
    <w:rsid w:val="009F607D"/>
    <w:rsid w:val="009F71D1"/>
    <w:rsid w:val="009F724B"/>
    <w:rsid w:val="009F727D"/>
    <w:rsid w:val="009F7D1D"/>
    <w:rsid w:val="00A0080F"/>
    <w:rsid w:val="00A00DD6"/>
    <w:rsid w:val="00A00DDB"/>
    <w:rsid w:val="00A017BA"/>
    <w:rsid w:val="00A01A61"/>
    <w:rsid w:val="00A01C46"/>
    <w:rsid w:val="00A01EFD"/>
    <w:rsid w:val="00A026DF"/>
    <w:rsid w:val="00A03214"/>
    <w:rsid w:val="00A035FC"/>
    <w:rsid w:val="00A03A5F"/>
    <w:rsid w:val="00A04100"/>
    <w:rsid w:val="00A0414A"/>
    <w:rsid w:val="00A04468"/>
    <w:rsid w:val="00A044CD"/>
    <w:rsid w:val="00A04A88"/>
    <w:rsid w:val="00A058BA"/>
    <w:rsid w:val="00A05C17"/>
    <w:rsid w:val="00A0611D"/>
    <w:rsid w:val="00A066DE"/>
    <w:rsid w:val="00A072DA"/>
    <w:rsid w:val="00A073B8"/>
    <w:rsid w:val="00A074AE"/>
    <w:rsid w:val="00A075C8"/>
    <w:rsid w:val="00A07F89"/>
    <w:rsid w:val="00A1014A"/>
    <w:rsid w:val="00A109A5"/>
    <w:rsid w:val="00A10AB0"/>
    <w:rsid w:val="00A10B65"/>
    <w:rsid w:val="00A11B40"/>
    <w:rsid w:val="00A13F9F"/>
    <w:rsid w:val="00A13FE4"/>
    <w:rsid w:val="00A141E5"/>
    <w:rsid w:val="00A148FB"/>
    <w:rsid w:val="00A15192"/>
    <w:rsid w:val="00A151A5"/>
    <w:rsid w:val="00A15581"/>
    <w:rsid w:val="00A1593F"/>
    <w:rsid w:val="00A15B57"/>
    <w:rsid w:val="00A16387"/>
    <w:rsid w:val="00A165B6"/>
    <w:rsid w:val="00A1786A"/>
    <w:rsid w:val="00A17EC9"/>
    <w:rsid w:val="00A203EC"/>
    <w:rsid w:val="00A209B9"/>
    <w:rsid w:val="00A20D50"/>
    <w:rsid w:val="00A214C8"/>
    <w:rsid w:val="00A21798"/>
    <w:rsid w:val="00A21F92"/>
    <w:rsid w:val="00A22264"/>
    <w:rsid w:val="00A22791"/>
    <w:rsid w:val="00A22ED9"/>
    <w:rsid w:val="00A23DDE"/>
    <w:rsid w:val="00A24330"/>
    <w:rsid w:val="00A2536F"/>
    <w:rsid w:val="00A2553A"/>
    <w:rsid w:val="00A257C3"/>
    <w:rsid w:val="00A263F4"/>
    <w:rsid w:val="00A26509"/>
    <w:rsid w:val="00A26581"/>
    <w:rsid w:val="00A268BC"/>
    <w:rsid w:val="00A26A24"/>
    <w:rsid w:val="00A26AF6"/>
    <w:rsid w:val="00A26F87"/>
    <w:rsid w:val="00A2704E"/>
    <w:rsid w:val="00A271CE"/>
    <w:rsid w:val="00A27213"/>
    <w:rsid w:val="00A301E4"/>
    <w:rsid w:val="00A30AF9"/>
    <w:rsid w:val="00A30DB3"/>
    <w:rsid w:val="00A314B0"/>
    <w:rsid w:val="00A31A4F"/>
    <w:rsid w:val="00A330A0"/>
    <w:rsid w:val="00A33EB0"/>
    <w:rsid w:val="00A344A6"/>
    <w:rsid w:val="00A35145"/>
    <w:rsid w:val="00A3524F"/>
    <w:rsid w:val="00A35389"/>
    <w:rsid w:val="00A35FE0"/>
    <w:rsid w:val="00A364BA"/>
    <w:rsid w:val="00A36CCC"/>
    <w:rsid w:val="00A370DC"/>
    <w:rsid w:val="00A370FA"/>
    <w:rsid w:val="00A37228"/>
    <w:rsid w:val="00A37CF7"/>
    <w:rsid w:val="00A403E9"/>
    <w:rsid w:val="00A406DC"/>
    <w:rsid w:val="00A40D2C"/>
    <w:rsid w:val="00A41119"/>
    <w:rsid w:val="00A417C6"/>
    <w:rsid w:val="00A426F0"/>
    <w:rsid w:val="00A42B08"/>
    <w:rsid w:val="00A4347E"/>
    <w:rsid w:val="00A434FA"/>
    <w:rsid w:val="00A4381E"/>
    <w:rsid w:val="00A44517"/>
    <w:rsid w:val="00A447CE"/>
    <w:rsid w:val="00A44955"/>
    <w:rsid w:val="00A44E10"/>
    <w:rsid w:val="00A4630E"/>
    <w:rsid w:val="00A46769"/>
    <w:rsid w:val="00A467A4"/>
    <w:rsid w:val="00A46D72"/>
    <w:rsid w:val="00A46D8B"/>
    <w:rsid w:val="00A471C1"/>
    <w:rsid w:val="00A47DE3"/>
    <w:rsid w:val="00A47FF2"/>
    <w:rsid w:val="00A500B9"/>
    <w:rsid w:val="00A507AF"/>
    <w:rsid w:val="00A50A70"/>
    <w:rsid w:val="00A50AAC"/>
    <w:rsid w:val="00A50AB5"/>
    <w:rsid w:val="00A50C32"/>
    <w:rsid w:val="00A51B54"/>
    <w:rsid w:val="00A51F27"/>
    <w:rsid w:val="00A5227A"/>
    <w:rsid w:val="00A52F01"/>
    <w:rsid w:val="00A53023"/>
    <w:rsid w:val="00A541E7"/>
    <w:rsid w:val="00A54B47"/>
    <w:rsid w:val="00A550BF"/>
    <w:rsid w:val="00A556D0"/>
    <w:rsid w:val="00A55A52"/>
    <w:rsid w:val="00A55DE0"/>
    <w:rsid w:val="00A56340"/>
    <w:rsid w:val="00A56B7C"/>
    <w:rsid w:val="00A56BC2"/>
    <w:rsid w:val="00A57382"/>
    <w:rsid w:val="00A573C7"/>
    <w:rsid w:val="00A57441"/>
    <w:rsid w:val="00A57D42"/>
    <w:rsid w:val="00A6032F"/>
    <w:rsid w:val="00A60BBB"/>
    <w:rsid w:val="00A60C83"/>
    <w:rsid w:val="00A61490"/>
    <w:rsid w:val="00A6191D"/>
    <w:rsid w:val="00A61A06"/>
    <w:rsid w:val="00A61A98"/>
    <w:rsid w:val="00A61B7C"/>
    <w:rsid w:val="00A6254E"/>
    <w:rsid w:val="00A62CC2"/>
    <w:rsid w:val="00A62D0F"/>
    <w:rsid w:val="00A62ECB"/>
    <w:rsid w:val="00A6301A"/>
    <w:rsid w:val="00A634F4"/>
    <w:rsid w:val="00A63767"/>
    <w:rsid w:val="00A63A0A"/>
    <w:rsid w:val="00A63A99"/>
    <w:rsid w:val="00A63B0B"/>
    <w:rsid w:val="00A63E4F"/>
    <w:rsid w:val="00A64188"/>
    <w:rsid w:val="00A643B9"/>
    <w:rsid w:val="00A64EC9"/>
    <w:rsid w:val="00A65D08"/>
    <w:rsid w:val="00A65F1E"/>
    <w:rsid w:val="00A669F4"/>
    <w:rsid w:val="00A66B8A"/>
    <w:rsid w:val="00A67492"/>
    <w:rsid w:val="00A67746"/>
    <w:rsid w:val="00A67ECF"/>
    <w:rsid w:val="00A703BE"/>
    <w:rsid w:val="00A71961"/>
    <w:rsid w:val="00A71E95"/>
    <w:rsid w:val="00A739AD"/>
    <w:rsid w:val="00A73E15"/>
    <w:rsid w:val="00A74C80"/>
    <w:rsid w:val="00A74CC6"/>
    <w:rsid w:val="00A7512F"/>
    <w:rsid w:val="00A7590E"/>
    <w:rsid w:val="00A75A22"/>
    <w:rsid w:val="00A75B24"/>
    <w:rsid w:val="00A75D1F"/>
    <w:rsid w:val="00A75E14"/>
    <w:rsid w:val="00A764F1"/>
    <w:rsid w:val="00A77D53"/>
    <w:rsid w:val="00A77F69"/>
    <w:rsid w:val="00A80964"/>
    <w:rsid w:val="00A81242"/>
    <w:rsid w:val="00A812E0"/>
    <w:rsid w:val="00A81E15"/>
    <w:rsid w:val="00A81E53"/>
    <w:rsid w:val="00A82C05"/>
    <w:rsid w:val="00A83111"/>
    <w:rsid w:val="00A835FD"/>
    <w:rsid w:val="00A83880"/>
    <w:rsid w:val="00A84047"/>
    <w:rsid w:val="00A84050"/>
    <w:rsid w:val="00A84AFF"/>
    <w:rsid w:val="00A84D26"/>
    <w:rsid w:val="00A84EAF"/>
    <w:rsid w:val="00A8510E"/>
    <w:rsid w:val="00A855AA"/>
    <w:rsid w:val="00A85833"/>
    <w:rsid w:val="00A85982"/>
    <w:rsid w:val="00A87336"/>
    <w:rsid w:val="00A8736B"/>
    <w:rsid w:val="00A87402"/>
    <w:rsid w:val="00A8744F"/>
    <w:rsid w:val="00A8782B"/>
    <w:rsid w:val="00A87E9E"/>
    <w:rsid w:val="00A90123"/>
    <w:rsid w:val="00A901A2"/>
    <w:rsid w:val="00A9027A"/>
    <w:rsid w:val="00A902B6"/>
    <w:rsid w:val="00A903D8"/>
    <w:rsid w:val="00A90683"/>
    <w:rsid w:val="00A90BC2"/>
    <w:rsid w:val="00A9121C"/>
    <w:rsid w:val="00A91484"/>
    <w:rsid w:val="00A92D6D"/>
    <w:rsid w:val="00A934C1"/>
    <w:rsid w:val="00A93C82"/>
    <w:rsid w:val="00A94979"/>
    <w:rsid w:val="00A94C6E"/>
    <w:rsid w:val="00A9665C"/>
    <w:rsid w:val="00A970AD"/>
    <w:rsid w:val="00A9714B"/>
    <w:rsid w:val="00A972FF"/>
    <w:rsid w:val="00A97474"/>
    <w:rsid w:val="00A975D1"/>
    <w:rsid w:val="00AA00E7"/>
    <w:rsid w:val="00AA0809"/>
    <w:rsid w:val="00AA0EFB"/>
    <w:rsid w:val="00AA1291"/>
    <w:rsid w:val="00AA143A"/>
    <w:rsid w:val="00AA22FC"/>
    <w:rsid w:val="00AA2565"/>
    <w:rsid w:val="00AA2A8D"/>
    <w:rsid w:val="00AA322B"/>
    <w:rsid w:val="00AA324A"/>
    <w:rsid w:val="00AA41EC"/>
    <w:rsid w:val="00AA48AE"/>
    <w:rsid w:val="00AA4C50"/>
    <w:rsid w:val="00AA5DA1"/>
    <w:rsid w:val="00AA6DE3"/>
    <w:rsid w:val="00AA7AFD"/>
    <w:rsid w:val="00AA7B0F"/>
    <w:rsid w:val="00AB0683"/>
    <w:rsid w:val="00AB0D0C"/>
    <w:rsid w:val="00AB179B"/>
    <w:rsid w:val="00AB17B5"/>
    <w:rsid w:val="00AB197C"/>
    <w:rsid w:val="00AB199E"/>
    <w:rsid w:val="00AB1AF7"/>
    <w:rsid w:val="00AB2B56"/>
    <w:rsid w:val="00AB2D61"/>
    <w:rsid w:val="00AB2DA9"/>
    <w:rsid w:val="00AB3196"/>
    <w:rsid w:val="00AB33AA"/>
    <w:rsid w:val="00AB3C50"/>
    <w:rsid w:val="00AB4BE5"/>
    <w:rsid w:val="00AB4DDF"/>
    <w:rsid w:val="00AB5052"/>
    <w:rsid w:val="00AB5560"/>
    <w:rsid w:val="00AB63F6"/>
    <w:rsid w:val="00AB6847"/>
    <w:rsid w:val="00AB711E"/>
    <w:rsid w:val="00AB7712"/>
    <w:rsid w:val="00AC0323"/>
    <w:rsid w:val="00AC0FE8"/>
    <w:rsid w:val="00AC1016"/>
    <w:rsid w:val="00AC1718"/>
    <w:rsid w:val="00AC1794"/>
    <w:rsid w:val="00AC2360"/>
    <w:rsid w:val="00AC2C65"/>
    <w:rsid w:val="00AC2D75"/>
    <w:rsid w:val="00AC2F1A"/>
    <w:rsid w:val="00AC33D4"/>
    <w:rsid w:val="00AC33FD"/>
    <w:rsid w:val="00AC3DA9"/>
    <w:rsid w:val="00AC42D3"/>
    <w:rsid w:val="00AC4B05"/>
    <w:rsid w:val="00AC4BBB"/>
    <w:rsid w:val="00AC535E"/>
    <w:rsid w:val="00AC58FC"/>
    <w:rsid w:val="00AC5FAF"/>
    <w:rsid w:val="00AC68DE"/>
    <w:rsid w:val="00AC72C5"/>
    <w:rsid w:val="00AC7D76"/>
    <w:rsid w:val="00AD06B8"/>
    <w:rsid w:val="00AD07D9"/>
    <w:rsid w:val="00AD124F"/>
    <w:rsid w:val="00AD1C22"/>
    <w:rsid w:val="00AD1FDA"/>
    <w:rsid w:val="00AD21B1"/>
    <w:rsid w:val="00AD37CF"/>
    <w:rsid w:val="00AD3F7E"/>
    <w:rsid w:val="00AD404E"/>
    <w:rsid w:val="00AD4749"/>
    <w:rsid w:val="00AD48BE"/>
    <w:rsid w:val="00AD4C0A"/>
    <w:rsid w:val="00AD5AA1"/>
    <w:rsid w:val="00AD5B8C"/>
    <w:rsid w:val="00AD5E69"/>
    <w:rsid w:val="00AD6517"/>
    <w:rsid w:val="00AD6674"/>
    <w:rsid w:val="00AD6B0F"/>
    <w:rsid w:val="00AD6BB6"/>
    <w:rsid w:val="00AD70FC"/>
    <w:rsid w:val="00AD7AA1"/>
    <w:rsid w:val="00AE0BB8"/>
    <w:rsid w:val="00AE0F07"/>
    <w:rsid w:val="00AE1089"/>
    <w:rsid w:val="00AE144B"/>
    <w:rsid w:val="00AE16EC"/>
    <w:rsid w:val="00AE1D55"/>
    <w:rsid w:val="00AE2651"/>
    <w:rsid w:val="00AE2A5A"/>
    <w:rsid w:val="00AE305B"/>
    <w:rsid w:val="00AE316F"/>
    <w:rsid w:val="00AE33B7"/>
    <w:rsid w:val="00AE39C6"/>
    <w:rsid w:val="00AE3C62"/>
    <w:rsid w:val="00AE4441"/>
    <w:rsid w:val="00AE4E41"/>
    <w:rsid w:val="00AE54D6"/>
    <w:rsid w:val="00AE577D"/>
    <w:rsid w:val="00AE6681"/>
    <w:rsid w:val="00AE7B86"/>
    <w:rsid w:val="00AE7BF1"/>
    <w:rsid w:val="00AE7D68"/>
    <w:rsid w:val="00AF0B20"/>
    <w:rsid w:val="00AF197B"/>
    <w:rsid w:val="00AF2305"/>
    <w:rsid w:val="00AF23A1"/>
    <w:rsid w:val="00AF2A77"/>
    <w:rsid w:val="00AF2A93"/>
    <w:rsid w:val="00AF2D66"/>
    <w:rsid w:val="00AF3017"/>
    <w:rsid w:val="00AF3062"/>
    <w:rsid w:val="00AF3E26"/>
    <w:rsid w:val="00AF44F7"/>
    <w:rsid w:val="00AF46AA"/>
    <w:rsid w:val="00AF4DA4"/>
    <w:rsid w:val="00AF4DA9"/>
    <w:rsid w:val="00AF5941"/>
    <w:rsid w:val="00AF5962"/>
    <w:rsid w:val="00AF5D98"/>
    <w:rsid w:val="00AF5E48"/>
    <w:rsid w:val="00AF60EB"/>
    <w:rsid w:val="00AF6359"/>
    <w:rsid w:val="00AF641B"/>
    <w:rsid w:val="00AF661B"/>
    <w:rsid w:val="00AF7307"/>
    <w:rsid w:val="00AF7E78"/>
    <w:rsid w:val="00B017AD"/>
    <w:rsid w:val="00B018A4"/>
    <w:rsid w:val="00B01C68"/>
    <w:rsid w:val="00B02639"/>
    <w:rsid w:val="00B02AB1"/>
    <w:rsid w:val="00B03536"/>
    <w:rsid w:val="00B03A57"/>
    <w:rsid w:val="00B04090"/>
    <w:rsid w:val="00B0418F"/>
    <w:rsid w:val="00B044BA"/>
    <w:rsid w:val="00B044C6"/>
    <w:rsid w:val="00B04723"/>
    <w:rsid w:val="00B04BEC"/>
    <w:rsid w:val="00B05898"/>
    <w:rsid w:val="00B064EC"/>
    <w:rsid w:val="00B0680B"/>
    <w:rsid w:val="00B06984"/>
    <w:rsid w:val="00B072FA"/>
    <w:rsid w:val="00B07C06"/>
    <w:rsid w:val="00B10833"/>
    <w:rsid w:val="00B11878"/>
    <w:rsid w:val="00B11AEE"/>
    <w:rsid w:val="00B11DC5"/>
    <w:rsid w:val="00B11FF2"/>
    <w:rsid w:val="00B1415C"/>
    <w:rsid w:val="00B1427B"/>
    <w:rsid w:val="00B144C1"/>
    <w:rsid w:val="00B14B87"/>
    <w:rsid w:val="00B15164"/>
    <w:rsid w:val="00B15A58"/>
    <w:rsid w:val="00B15FEF"/>
    <w:rsid w:val="00B172DF"/>
    <w:rsid w:val="00B17A98"/>
    <w:rsid w:val="00B2051C"/>
    <w:rsid w:val="00B213C9"/>
    <w:rsid w:val="00B21D8D"/>
    <w:rsid w:val="00B2222C"/>
    <w:rsid w:val="00B225E7"/>
    <w:rsid w:val="00B22D00"/>
    <w:rsid w:val="00B24103"/>
    <w:rsid w:val="00B24368"/>
    <w:rsid w:val="00B252C0"/>
    <w:rsid w:val="00B25306"/>
    <w:rsid w:val="00B254EF"/>
    <w:rsid w:val="00B26221"/>
    <w:rsid w:val="00B267F1"/>
    <w:rsid w:val="00B27206"/>
    <w:rsid w:val="00B2721D"/>
    <w:rsid w:val="00B27A00"/>
    <w:rsid w:val="00B27A34"/>
    <w:rsid w:val="00B30154"/>
    <w:rsid w:val="00B30797"/>
    <w:rsid w:val="00B3126A"/>
    <w:rsid w:val="00B316DE"/>
    <w:rsid w:val="00B32143"/>
    <w:rsid w:val="00B322DA"/>
    <w:rsid w:val="00B32622"/>
    <w:rsid w:val="00B33DB9"/>
    <w:rsid w:val="00B33F4B"/>
    <w:rsid w:val="00B33FBB"/>
    <w:rsid w:val="00B34821"/>
    <w:rsid w:val="00B34F63"/>
    <w:rsid w:val="00B35670"/>
    <w:rsid w:val="00B35704"/>
    <w:rsid w:val="00B3585A"/>
    <w:rsid w:val="00B36AC1"/>
    <w:rsid w:val="00B37CC9"/>
    <w:rsid w:val="00B4012B"/>
    <w:rsid w:val="00B40EDB"/>
    <w:rsid w:val="00B4129E"/>
    <w:rsid w:val="00B41BB4"/>
    <w:rsid w:val="00B42809"/>
    <w:rsid w:val="00B42C1C"/>
    <w:rsid w:val="00B43126"/>
    <w:rsid w:val="00B4325F"/>
    <w:rsid w:val="00B447CB"/>
    <w:rsid w:val="00B45311"/>
    <w:rsid w:val="00B454A9"/>
    <w:rsid w:val="00B460BA"/>
    <w:rsid w:val="00B462BA"/>
    <w:rsid w:val="00B462EA"/>
    <w:rsid w:val="00B464B2"/>
    <w:rsid w:val="00B465BA"/>
    <w:rsid w:val="00B46636"/>
    <w:rsid w:val="00B47034"/>
    <w:rsid w:val="00B47038"/>
    <w:rsid w:val="00B47AD8"/>
    <w:rsid w:val="00B50161"/>
    <w:rsid w:val="00B51383"/>
    <w:rsid w:val="00B5140C"/>
    <w:rsid w:val="00B51CA1"/>
    <w:rsid w:val="00B52237"/>
    <w:rsid w:val="00B5242F"/>
    <w:rsid w:val="00B5275C"/>
    <w:rsid w:val="00B53A21"/>
    <w:rsid w:val="00B53B49"/>
    <w:rsid w:val="00B548FA"/>
    <w:rsid w:val="00B54A0A"/>
    <w:rsid w:val="00B5596B"/>
    <w:rsid w:val="00B55E62"/>
    <w:rsid w:val="00B56BB5"/>
    <w:rsid w:val="00B56FF3"/>
    <w:rsid w:val="00B5734F"/>
    <w:rsid w:val="00B573EC"/>
    <w:rsid w:val="00B57424"/>
    <w:rsid w:val="00B57658"/>
    <w:rsid w:val="00B57AFD"/>
    <w:rsid w:val="00B57EA9"/>
    <w:rsid w:val="00B6008B"/>
    <w:rsid w:val="00B60C11"/>
    <w:rsid w:val="00B61500"/>
    <w:rsid w:val="00B615E1"/>
    <w:rsid w:val="00B61818"/>
    <w:rsid w:val="00B61C00"/>
    <w:rsid w:val="00B620E8"/>
    <w:rsid w:val="00B622E6"/>
    <w:rsid w:val="00B62F25"/>
    <w:rsid w:val="00B62F36"/>
    <w:rsid w:val="00B63400"/>
    <w:rsid w:val="00B63B3E"/>
    <w:rsid w:val="00B641F8"/>
    <w:rsid w:val="00B64399"/>
    <w:rsid w:val="00B6465B"/>
    <w:rsid w:val="00B649D8"/>
    <w:rsid w:val="00B65015"/>
    <w:rsid w:val="00B6517E"/>
    <w:rsid w:val="00B658E4"/>
    <w:rsid w:val="00B65F21"/>
    <w:rsid w:val="00B678FB"/>
    <w:rsid w:val="00B705C3"/>
    <w:rsid w:val="00B70898"/>
    <w:rsid w:val="00B70B77"/>
    <w:rsid w:val="00B71134"/>
    <w:rsid w:val="00B71EE9"/>
    <w:rsid w:val="00B71F3B"/>
    <w:rsid w:val="00B721B3"/>
    <w:rsid w:val="00B7228A"/>
    <w:rsid w:val="00B72693"/>
    <w:rsid w:val="00B729EC"/>
    <w:rsid w:val="00B72DDF"/>
    <w:rsid w:val="00B72E12"/>
    <w:rsid w:val="00B73D44"/>
    <w:rsid w:val="00B73D4A"/>
    <w:rsid w:val="00B74869"/>
    <w:rsid w:val="00B74E68"/>
    <w:rsid w:val="00B75CDF"/>
    <w:rsid w:val="00B75DCB"/>
    <w:rsid w:val="00B76430"/>
    <w:rsid w:val="00B7662E"/>
    <w:rsid w:val="00B76EAC"/>
    <w:rsid w:val="00B80894"/>
    <w:rsid w:val="00B80A07"/>
    <w:rsid w:val="00B80DA4"/>
    <w:rsid w:val="00B82086"/>
    <w:rsid w:val="00B82DB5"/>
    <w:rsid w:val="00B82DDF"/>
    <w:rsid w:val="00B83DE4"/>
    <w:rsid w:val="00B84844"/>
    <w:rsid w:val="00B849BE"/>
    <w:rsid w:val="00B85198"/>
    <w:rsid w:val="00B85386"/>
    <w:rsid w:val="00B8541E"/>
    <w:rsid w:val="00B8549D"/>
    <w:rsid w:val="00B85B1E"/>
    <w:rsid w:val="00B8615A"/>
    <w:rsid w:val="00B86658"/>
    <w:rsid w:val="00B869B0"/>
    <w:rsid w:val="00B87FAF"/>
    <w:rsid w:val="00B903A0"/>
    <w:rsid w:val="00B906BA"/>
    <w:rsid w:val="00B91263"/>
    <w:rsid w:val="00B914D5"/>
    <w:rsid w:val="00B91862"/>
    <w:rsid w:val="00B92288"/>
    <w:rsid w:val="00B927E5"/>
    <w:rsid w:val="00B92999"/>
    <w:rsid w:val="00B956C9"/>
    <w:rsid w:val="00B95805"/>
    <w:rsid w:val="00B970B8"/>
    <w:rsid w:val="00B9722A"/>
    <w:rsid w:val="00B975F3"/>
    <w:rsid w:val="00B97612"/>
    <w:rsid w:val="00B979C8"/>
    <w:rsid w:val="00BA04A1"/>
    <w:rsid w:val="00BA0622"/>
    <w:rsid w:val="00BA133E"/>
    <w:rsid w:val="00BA1E11"/>
    <w:rsid w:val="00BA2002"/>
    <w:rsid w:val="00BA22DD"/>
    <w:rsid w:val="00BA2D72"/>
    <w:rsid w:val="00BA372E"/>
    <w:rsid w:val="00BA4075"/>
    <w:rsid w:val="00BA56EC"/>
    <w:rsid w:val="00BA6661"/>
    <w:rsid w:val="00BA6BBB"/>
    <w:rsid w:val="00BB0EDA"/>
    <w:rsid w:val="00BB16AC"/>
    <w:rsid w:val="00BB2764"/>
    <w:rsid w:val="00BB2DDC"/>
    <w:rsid w:val="00BB2E5D"/>
    <w:rsid w:val="00BB3205"/>
    <w:rsid w:val="00BB3A13"/>
    <w:rsid w:val="00BB3B42"/>
    <w:rsid w:val="00BB461A"/>
    <w:rsid w:val="00BB4939"/>
    <w:rsid w:val="00BB5DBF"/>
    <w:rsid w:val="00BB69A5"/>
    <w:rsid w:val="00BB70EF"/>
    <w:rsid w:val="00BC0A41"/>
    <w:rsid w:val="00BC0E37"/>
    <w:rsid w:val="00BC0EFB"/>
    <w:rsid w:val="00BC159C"/>
    <w:rsid w:val="00BC1B3E"/>
    <w:rsid w:val="00BC21EE"/>
    <w:rsid w:val="00BC22A8"/>
    <w:rsid w:val="00BC2E81"/>
    <w:rsid w:val="00BC3ED3"/>
    <w:rsid w:val="00BC448D"/>
    <w:rsid w:val="00BC5699"/>
    <w:rsid w:val="00BC5BCC"/>
    <w:rsid w:val="00BC5BF5"/>
    <w:rsid w:val="00BC65D8"/>
    <w:rsid w:val="00BC690F"/>
    <w:rsid w:val="00BC6FD1"/>
    <w:rsid w:val="00BC7618"/>
    <w:rsid w:val="00BC78F9"/>
    <w:rsid w:val="00BC7DC6"/>
    <w:rsid w:val="00BD0D24"/>
    <w:rsid w:val="00BD12FA"/>
    <w:rsid w:val="00BD1415"/>
    <w:rsid w:val="00BD1C8E"/>
    <w:rsid w:val="00BD2246"/>
    <w:rsid w:val="00BD28FA"/>
    <w:rsid w:val="00BD2A5D"/>
    <w:rsid w:val="00BD2C21"/>
    <w:rsid w:val="00BD316B"/>
    <w:rsid w:val="00BD3A97"/>
    <w:rsid w:val="00BD4322"/>
    <w:rsid w:val="00BD4653"/>
    <w:rsid w:val="00BD560B"/>
    <w:rsid w:val="00BD5809"/>
    <w:rsid w:val="00BD5FC9"/>
    <w:rsid w:val="00BD6475"/>
    <w:rsid w:val="00BD6DB2"/>
    <w:rsid w:val="00BD7653"/>
    <w:rsid w:val="00BD7AEF"/>
    <w:rsid w:val="00BE0287"/>
    <w:rsid w:val="00BE1013"/>
    <w:rsid w:val="00BE2499"/>
    <w:rsid w:val="00BE29D2"/>
    <w:rsid w:val="00BE3070"/>
    <w:rsid w:val="00BE3DF2"/>
    <w:rsid w:val="00BE4BBD"/>
    <w:rsid w:val="00BE4D8B"/>
    <w:rsid w:val="00BE5091"/>
    <w:rsid w:val="00BE54A0"/>
    <w:rsid w:val="00BE591B"/>
    <w:rsid w:val="00BE5C95"/>
    <w:rsid w:val="00BE6376"/>
    <w:rsid w:val="00BE63D4"/>
    <w:rsid w:val="00BE6721"/>
    <w:rsid w:val="00BE74B3"/>
    <w:rsid w:val="00BE770B"/>
    <w:rsid w:val="00BE7BC7"/>
    <w:rsid w:val="00BE7D7E"/>
    <w:rsid w:val="00BE7ED4"/>
    <w:rsid w:val="00BF0271"/>
    <w:rsid w:val="00BF06DD"/>
    <w:rsid w:val="00BF0F33"/>
    <w:rsid w:val="00BF12C4"/>
    <w:rsid w:val="00BF1592"/>
    <w:rsid w:val="00BF2579"/>
    <w:rsid w:val="00BF2C0E"/>
    <w:rsid w:val="00BF3E85"/>
    <w:rsid w:val="00BF3F7E"/>
    <w:rsid w:val="00BF558E"/>
    <w:rsid w:val="00BF5E81"/>
    <w:rsid w:val="00BF60FB"/>
    <w:rsid w:val="00BF63DB"/>
    <w:rsid w:val="00BF65CA"/>
    <w:rsid w:val="00BF6C82"/>
    <w:rsid w:val="00BF74CA"/>
    <w:rsid w:val="00BF7BD3"/>
    <w:rsid w:val="00C01123"/>
    <w:rsid w:val="00C01741"/>
    <w:rsid w:val="00C0398B"/>
    <w:rsid w:val="00C03A44"/>
    <w:rsid w:val="00C04139"/>
    <w:rsid w:val="00C04BBC"/>
    <w:rsid w:val="00C05CB6"/>
    <w:rsid w:val="00C05D4E"/>
    <w:rsid w:val="00C0603D"/>
    <w:rsid w:val="00C07470"/>
    <w:rsid w:val="00C079A4"/>
    <w:rsid w:val="00C07D9A"/>
    <w:rsid w:val="00C106E0"/>
    <w:rsid w:val="00C10986"/>
    <w:rsid w:val="00C1110D"/>
    <w:rsid w:val="00C11620"/>
    <w:rsid w:val="00C11A50"/>
    <w:rsid w:val="00C1215B"/>
    <w:rsid w:val="00C127B1"/>
    <w:rsid w:val="00C131F2"/>
    <w:rsid w:val="00C134B7"/>
    <w:rsid w:val="00C13514"/>
    <w:rsid w:val="00C14502"/>
    <w:rsid w:val="00C14C38"/>
    <w:rsid w:val="00C150F9"/>
    <w:rsid w:val="00C15E87"/>
    <w:rsid w:val="00C16736"/>
    <w:rsid w:val="00C1679B"/>
    <w:rsid w:val="00C16CBE"/>
    <w:rsid w:val="00C175D0"/>
    <w:rsid w:val="00C17704"/>
    <w:rsid w:val="00C17AE5"/>
    <w:rsid w:val="00C17DF9"/>
    <w:rsid w:val="00C205A3"/>
    <w:rsid w:val="00C20721"/>
    <w:rsid w:val="00C2096B"/>
    <w:rsid w:val="00C209A4"/>
    <w:rsid w:val="00C21597"/>
    <w:rsid w:val="00C21A8D"/>
    <w:rsid w:val="00C21E2C"/>
    <w:rsid w:val="00C2239F"/>
    <w:rsid w:val="00C227E9"/>
    <w:rsid w:val="00C22D8B"/>
    <w:rsid w:val="00C23D8E"/>
    <w:rsid w:val="00C24095"/>
    <w:rsid w:val="00C240D8"/>
    <w:rsid w:val="00C24271"/>
    <w:rsid w:val="00C242BE"/>
    <w:rsid w:val="00C246D7"/>
    <w:rsid w:val="00C24B8C"/>
    <w:rsid w:val="00C24DB0"/>
    <w:rsid w:val="00C24FAE"/>
    <w:rsid w:val="00C25304"/>
    <w:rsid w:val="00C2568A"/>
    <w:rsid w:val="00C258D7"/>
    <w:rsid w:val="00C25F13"/>
    <w:rsid w:val="00C260FD"/>
    <w:rsid w:val="00C265D5"/>
    <w:rsid w:val="00C267F3"/>
    <w:rsid w:val="00C26B1C"/>
    <w:rsid w:val="00C274AA"/>
    <w:rsid w:val="00C27FF9"/>
    <w:rsid w:val="00C30BBB"/>
    <w:rsid w:val="00C30F2C"/>
    <w:rsid w:val="00C31838"/>
    <w:rsid w:val="00C31AC7"/>
    <w:rsid w:val="00C32965"/>
    <w:rsid w:val="00C32D3A"/>
    <w:rsid w:val="00C3304D"/>
    <w:rsid w:val="00C334DC"/>
    <w:rsid w:val="00C33BB0"/>
    <w:rsid w:val="00C33BE4"/>
    <w:rsid w:val="00C3426D"/>
    <w:rsid w:val="00C35029"/>
    <w:rsid w:val="00C351DE"/>
    <w:rsid w:val="00C35913"/>
    <w:rsid w:val="00C35AD8"/>
    <w:rsid w:val="00C3631B"/>
    <w:rsid w:val="00C36953"/>
    <w:rsid w:val="00C36E2B"/>
    <w:rsid w:val="00C36E90"/>
    <w:rsid w:val="00C37982"/>
    <w:rsid w:val="00C37DE4"/>
    <w:rsid w:val="00C403F2"/>
    <w:rsid w:val="00C40435"/>
    <w:rsid w:val="00C42890"/>
    <w:rsid w:val="00C42B45"/>
    <w:rsid w:val="00C42D06"/>
    <w:rsid w:val="00C433EE"/>
    <w:rsid w:val="00C4349B"/>
    <w:rsid w:val="00C44ADA"/>
    <w:rsid w:val="00C45216"/>
    <w:rsid w:val="00C45C2C"/>
    <w:rsid w:val="00C46060"/>
    <w:rsid w:val="00C46827"/>
    <w:rsid w:val="00C46C88"/>
    <w:rsid w:val="00C4708C"/>
    <w:rsid w:val="00C4755F"/>
    <w:rsid w:val="00C47F8C"/>
    <w:rsid w:val="00C50022"/>
    <w:rsid w:val="00C500C4"/>
    <w:rsid w:val="00C50711"/>
    <w:rsid w:val="00C50795"/>
    <w:rsid w:val="00C51200"/>
    <w:rsid w:val="00C520CE"/>
    <w:rsid w:val="00C523C6"/>
    <w:rsid w:val="00C525BA"/>
    <w:rsid w:val="00C53065"/>
    <w:rsid w:val="00C5398B"/>
    <w:rsid w:val="00C53A6C"/>
    <w:rsid w:val="00C54178"/>
    <w:rsid w:val="00C54204"/>
    <w:rsid w:val="00C547C0"/>
    <w:rsid w:val="00C54A79"/>
    <w:rsid w:val="00C55320"/>
    <w:rsid w:val="00C55403"/>
    <w:rsid w:val="00C555F7"/>
    <w:rsid w:val="00C55EF8"/>
    <w:rsid w:val="00C5604C"/>
    <w:rsid w:val="00C56446"/>
    <w:rsid w:val="00C565B5"/>
    <w:rsid w:val="00C57FB5"/>
    <w:rsid w:val="00C60283"/>
    <w:rsid w:val="00C6028D"/>
    <w:rsid w:val="00C60863"/>
    <w:rsid w:val="00C625F8"/>
    <w:rsid w:val="00C6285D"/>
    <w:rsid w:val="00C6292C"/>
    <w:rsid w:val="00C62B42"/>
    <w:rsid w:val="00C630BC"/>
    <w:rsid w:val="00C6314D"/>
    <w:rsid w:val="00C632EC"/>
    <w:rsid w:val="00C635C5"/>
    <w:rsid w:val="00C639E3"/>
    <w:rsid w:val="00C640E3"/>
    <w:rsid w:val="00C6435A"/>
    <w:rsid w:val="00C645DB"/>
    <w:rsid w:val="00C65FD6"/>
    <w:rsid w:val="00C675D6"/>
    <w:rsid w:val="00C70300"/>
    <w:rsid w:val="00C703C9"/>
    <w:rsid w:val="00C70563"/>
    <w:rsid w:val="00C7121E"/>
    <w:rsid w:val="00C71292"/>
    <w:rsid w:val="00C71484"/>
    <w:rsid w:val="00C716CA"/>
    <w:rsid w:val="00C71C43"/>
    <w:rsid w:val="00C72305"/>
    <w:rsid w:val="00C73520"/>
    <w:rsid w:val="00C735A7"/>
    <w:rsid w:val="00C737AA"/>
    <w:rsid w:val="00C75062"/>
    <w:rsid w:val="00C76184"/>
    <w:rsid w:val="00C762D4"/>
    <w:rsid w:val="00C76ED6"/>
    <w:rsid w:val="00C76FAC"/>
    <w:rsid w:val="00C770D8"/>
    <w:rsid w:val="00C77567"/>
    <w:rsid w:val="00C77B5C"/>
    <w:rsid w:val="00C80143"/>
    <w:rsid w:val="00C814D7"/>
    <w:rsid w:val="00C8172E"/>
    <w:rsid w:val="00C81BD6"/>
    <w:rsid w:val="00C82A46"/>
    <w:rsid w:val="00C838A5"/>
    <w:rsid w:val="00C83E06"/>
    <w:rsid w:val="00C83E37"/>
    <w:rsid w:val="00C8438C"/>
    <w:rsid w:val="00C84A07"/>
    <w:rsid w:val="00C84A18"/>
    <w:rsid w:val="00C84B59"/>
    <w:rsid w:val="00C84C94"/>
    <w:rsid w:val="00C8566F"/>
    <w:rsid w:val="00C859AE"/>
    <w:rsid w:val="00C85F0E"/>
    <w:rsid w:val="00C85FAF"/>
    <w:rsid w:val="00C863A7"/>
    <w:rsid w:val="00C86AA8"/>
    <w:rsid w:val="00C87476"/>
    <w:rsid w:val="00C874D3"/>
    <w:rsid w:val="00C876BF"/>
    <w:rsid w:val="00C877B0"/>
    <w:rsid w:val="00C87C43"/>
    <w:rsid w:val="00C87F9E"/>
    <w:rsid w:val="00C901FC"/>
    <w:rsid w:val="00C90541"/>
    <w:rsid w:val="00C90BA0"/>
    <w:rsid w:val="00C91015"/>
    <w:rsid w:val="00C9146C"/>
    <w:rsid w:val="00C92BC5"/>
    <w:rsid w:val="00C93409"/>
    <w:rsid w:val="00C93648"/>
    <w:rsid w:val="00C93872"/>
    <w:rsid w:val="00C93B0E"/>
    <w:rsid w:val="00C93E6C"/>
    <w:rsid w:val="00C94137"/>
    <w:rsid w:val="00C9503C"/>
    <w:rsid w:val="00C953AF"/>
    <w:rsid w:val="00C95471"/>
    <w:rsid w:val="00C96882"/>
    <w:rsid w:val="00C97017"/>
    <w:rsid w:val="00C97532"/>
    <w:rsid w:val="00C979D0"/>
    <w:rsid w:val="00C97A68"/>
    <w:rsid w:val="00C97AA3"/>
    <w:rsid w:val="00CA0228"/>
    <w:rsid w:val="00CA047C"/>
    <w:rsid w:val="00CA0CF4"/>
    <w:rsid w:val="00CA17FC"/>
    <w:rsid w:val="00CA1A62"/>
    <w:rsid w:val="00CA2A83"/>
    <w:rsid w:val="00CA2C87"/>
    <w:rsid w:val="00CA2D6F"/>
    <w:rsid w:val="00CA3583"/>
    <w:rsid w:val="00CA3708"/>
    <w:rsid w:val="00CA3A19"/>
    <w:rsid w:val="00CA3CCB"/>
    <w:rsid w:val="00CA3E05"/>
    <w:rsid w:val="00CA410E"/>
    <w:rsid w:val="00CA447E"/>
    <w:rsid w:val="00CA449C"/>
    <w:rsid w:val="00CA5C8E"/>
    <w:rsid w:val="00CA628C"/>
    <w:rsid w:val="00CA6841"/>
    <w:rsid w:val="00CA7CC8"/>
    <w:rsid w:val="00CA7FCA"/>
    <w:rsid w:val="00CB07C5"/>
    <w:rsid w:val="00CB0CDF"/>
    <w:rsid w:val="00CB0FE7"/>
    <w:rsid w:val="00CB135C"/>
    <w:rsid w:val="00CB163B"/>
    <w:rsid w:val="00CB1DDE"/>
    <w:rsid w:val="00CB2795"/>
    <w:rsid w:val="00CB27FD"/>
    <w:rsid w:val="00CB2D92"/>
    <w:rsid w:val="00CB2FB5"/>
    <w:rsid w:val="00CB30F8"/>
    <w:rsid w:val="00CB3225"/>
    <w:rsid w:val="00CB3397"/>
    <w:rsid w:val="00CB3CF3"/>
    <w:rsid w:val="00CB402B"/>
    <w:rsid w:val="00CB4E70"/>
    <w:rsid w:val="00CB5110"/>
    <w:rsid w:val="00CB528D"/>
    <w:rsid w:val="00CB551F"/>
    <w:rsid w:val="00CB57F1"/>
    <w:rsid w:val="00CB635C"/>
    <w:rsid w:val="00CB6607"/>
    <w:rsid w:val="00CB6BB7"/>
    <w:rsid w:val="00CB706A"/>
    <w:rsid w:val="00CB7195"/>
    <w:rsid w:val="00CB7321"/>
    <w:rsid w:val="00CB75F3"/>
    <w:rsid w:val="00CB7E0A"/>
    <w:rsid w:val="00CB7EF2"/>
    <w:rsid w:val="00CB7F44"/>
    <w:rsid w:val="00CB7F93"/>
    <w:rsid w:val="00CC01DA"/>
    <w:rsid w:val="00CC0253"/>
    <w:rsid w:val="00CC07E2"/>
    <w:rsid w:val="00CC0B04"/>
    <w:rsid w:val="00CC0C08"/>
    <w:rsid w:val="00CC25EE"/>
    <w:rsid w:val="00CC3027"/>
    <w:rsid w:val="00CC381B"/>
    <w:rsid w:val="00CC3FA7"/>
    <w:rsid w:val="00CC421B"/>
    <w:rsid w:val="00CC435C"/>
    <w:rsid w:val="00CC4361"/>
    <w:rsid w:val="00CC55B3"/>
    <w:rsid w:val="00CC5EA0"/>
    <w:rsid w:val="00CC66CA"/>
    <w:rsid w:val="00CC67A9"/>
    <w:rsid w:val="00CC6C27"/>
    <w:rsid w:val="00CC7B61"/>
    <w:rsid w:val="00CD0B38"/>
    <w:rsid w:val="00CD1711"/>
    <w:rsid w:val="00CD1AFC"/>
    <w:rsid w:val="00CD1B5E"/>
    <w:rsid w:val="00CD1BC6"/>
    <w:rsid w:val="00CD1DC3"/>
    <w:rsid w:val="00CD27EE"/>
    <w:rsid w:val="00CD326C"/>
    <w:rsid w:val="00CD378E"/>
    <w:rsid w:val="00CD3A49"/>
    <w:rsid w:val="00CD3A4B"/>
    <w:rsid w:val="00CD3F65"/>
    <w:rsid w:val="00CD4169"/>
    <w:rsid w:val="00CD43BA"/>
    <w:rsid w:val="00CD4FD9"/>
    <w:rsid w:val="00CD5273"/>
    <w:rsid w:val="00CD5A0B"/>
    <w:rsid w:val="00CD5D9E"/>
    <w:rsid w:val="00CD73A7"/>
    <w:rsid w:val="00CD7817"/>
    <w:rsid w:val="00CD79F6"/>
    <w:rsid w:val="00CE03E4"/>
    <w:rsid w:val="00CE0A49"/>
    <w:rsid w:val="00CE0B17"/>
    <w:rsid w:val="00CE10BD"/>
    <w:rsid w:val="00CE1F17"/>
    <w:rsid w:val="00CE23F0"/>
    <w:rsid w:val="00CE317A"/>
    <w:rsid w:val="00CE37E3"/>
    <w:rsid w:val="00CE3C6B"/>
    <w:rsid w:val="00CE3CA0"/>
    <w:rsid w:val="00CE3E12"/>
    <w:rsid w:val="00CE49B5"/>
    <w:rsid w:val="00CE568B"/>
    <w:rsid w:val="00CE65DB"/>
    <w:rsid w:val="00CE729C"/>
    <w:rsid w:val="00CE745C"/>
    <w:rsid w:val="00CE75CF"/>
    <w:rsid w:val="00CE7726"/>
    <w:rsid w:val="00CE7B6C"/>
    <w:rsid w:val="00CE7F13"/>
    <w:rsid w:val="00CF15C6"/>
    <w:rsid w:val="00CF1984"/>
    <w:rsid w:val="00CF1A12"/>
    <w:rsid w:val="00CF1A43"/>
    <w:rsid w:val="00CF1DA9"/>
    <w:rsid w:val="00CF1E08"/>
    <w:rsid w:val="00CF26BF"/>
    <w:rsid w:val="00CF3053"/>
    <w:rsid w:val="00CF34BC"/>
    <w:rsid w:val="00CF384A"/>
    <w:rsid w:val="00CF3EB4"/>
    <w:rsid w:val="00CF3FB2"/>
    <w:rsid w:val="00CF418B"/>
    <w:rsid w:val="00CF4618"/>
    <w:rsid w:val="00CF4AA3"/>
    <w:rsid w:val="00CF4E23"/>
    <w:rsid w:val="00CF510B"/>
    <w:rsid w:val="00CF51DB"/>
    <w:rsid w:val="00CF5A19"/>
    <w:rsid w:val="00CF5A2A"/>
    <w:rsid w:val="00CF6661"/>
    <w:rsid w:val="00CF66A7"/>
    <w:rsid w:val="00CF6C16"/>
    <w:rsid w:val="00D004BE"/>
    <w:rsid w:val="00D00898"/>
    <w:rsid w:val="00D0094A"/>
    <w:rsid w:val="00D00DBC"/>
    <w:rsid w:val="00D01D9E"/>
    <w:rsid w:val="00D02006"/>
    <w:rsid w:val="00D021BB"/>
    <w:rsid w:val="00D032BE"/>
    <w:rsid w:val="00D03586"/>
    <w:rsid w:val="00D03B28"/>
    <w:rsid w:val="00D03EC8"/>
    <w:rsid w:val="00D03F60"/>
    <w:rsid w:val="00D0503B"/>
    <w:rsid w:val="00D05653"/>
    <w:rsid w:val="00D05726"/>
    <w:rsid w:val="00D05C2B"/>
    <w:rsid w:val="00D05ECC"/>
    <w:rsid w:val="00D0610F"/>
    <w:rsid w:val="00D06384"/>
    <w:rsid w:val="00D070AB"/>
    <w:rsid w:val="00D07282"/>
    <w:rsid w:val="00D075C6"/>
    <w:rsid w:val="00D07925"/>
    <w:rsid w:val="00D10F71"/>
    <w:rsid w:val="00D114AE"/>
    <w:rsid w:val="00D1200C"/>
    <w:rsid w:val="00D1232A"/>
    <w:rsid w:val="00D12C0B"/>
    <w:rsid w:val="00D1344F"/>
    <w:rsid w:val="00D149D8"/>
    <w:rsid w:val="00D149E9"/>
    <w:rsid w:val="00D14FB9"/>
    <w:rsid w:val="00D1576B"/>
    <w:rsid w:val="00D16502"/>
    <w:rsid w:val="00D16AE6"/>
    <w:rsid w:val="00D17683"/>
    <w:rsid w:val="00D17CE3"/>
    <w:rsid w:val="00D20036"/>
    <w:rsid w:val="00D20106"/>
    <w:rsid w:val="00D2064F"/>
    <w:rsid w:val="00D20711"/>
    <w:rsid w:val="00D213E9"/>
    <w:rsid w:val="00D2181B"/>
    <w:rsid w:val="00D22EB2"/>
    <w:rsid w:val="00D22EFC"/>
    <w:rsid w:val="00D22FC8"/>
    <w:rsid w:val="00D2305B"/>
    <w:rsid w:val="00D24609"/>
    <w:rsid w:val="00D24E57"/>
    <w:rsid w:val="00D24ECB"/>
    <w:rsid w:val="00D250E0"/>
    <w:rsid w:val="00D2548E"/>
    <w:rsid w:val="00D265CD"/>
    <w:rsid w:val="00D269F3"/>
    <w:rsid w:val="00D26A52"/>
    <w:rsid w:val="00D2747D"/>
    <w:rsid w:val="00D30A8E"/>
    <w:rsid w:val="00D30B9B"/>
    <w:rsid w:val="00D30E72"/>
    <w:rsid w:val="00D3292C"/>
    <w:rsid w:val="00D329D6"/>
    <w:rsid w:val="00D32F82"/>
    <w:rsid w:val="00D33B6C"/>
    <w:rsid w:val="00D33DED"/>
    <w:rsid w:val="00D3417E"/>
    <w:rsid w:val="00D3446E"/>
    <w:rsid w:val="00D3454C"/>
    <w:rsid w:val="00D34782"/>
    <w:rsid w:val="00D35057"/>
    <w:rsid w:val="00D35437"/>
    <w:rsid w:val="00D35862"/>
    <w:rsid w:val="00D3684F"/>
    <w:rsid w:val="00D36C8F"/>
    <w:rsid w:val="00D36F97"/>
    <w:rsid w:val="00D37831"/>
    <w:rsid w:val="00D37F45"/>
    <w:rsid w:val="00D401C3"/>
    <w:rsid w:val="00D40EBA"/>
    <w:rsid w:val="00D4105E"/>
    <w:rsid w:val="00D41E8A"/>
    <w:rsid w:val="00D42A26"/>
    <w:rsid w:val="00D42B7F"/>
    <w:rsid w:val="00D42C3A"/>
    <w:rsid w:val="00D42E24"/>
    <w:rsid w:val="00D43D37"/>
    <w:rsid w:val="00D44767"/>
    <w:rsid w:val="00D44AB6"/>
    <w:rsid w:val="00D46107"/>
    <w:rsid w:val="00D461CA"/>
    <w:rsid w:val="00D473DD"/>
    <w:rsid w:val="00D50453"/>
    <w:rsid w:val="00D50854"/>
    <w:rsid w:val="00D50899"/>
    <w:rsid w:val="00D51E3A"/>
    <w:rsid w:val="00D520DC"/>
    <w:rsid w:val="00D52643"/>
    <w:rsid w:val="00D52927"/>
    <w:rsid w:val="00D530CF"/>
    <w:rsid w:val="00D5323E"/>
    <w:rsid w:val="00D534C9"/>
    <w:rsid w:val="00D538DF"/>
    <w:rsid w:val="00D53AA7"/>
    <w:rsid w:val="00D53C79"/>
    <w:rsid w:val="00D53E8C"/>
    <w:rsid w:val="00D540D1"/>
    <w:rsid w:val="00D54158"/>
    <w:rsid w:val="00D5482B"/>
    <w:rsid w:val="00D549C6"/>
    <w:rsid w:val="00D54AFA"/>
    <w:rsid w:val="00D5574C"/>
    <w:rsid w:val="00D56007"/>
    <w:rsid w:val="00D56466"/>
    <w:rsid w:val="00D5688B"/>
    <w:rsid w:val="00D57B33"/>
    <w:rsid w:val="00D600B1"/>
    <w:rsid w:val="00D6084C"/>
    <w:rsid w:val="00D608D8"/>
    <w:rsid w:val="00D60C8B"/>
    <w:rsid w:val="00D60DAA"/>
    <w:rsid w:val="00D62FD2"/>
    <w:rsid w:val="00D6315F"/>
    <w:rsid w:val="00D63162"/>
    <w:rsid w:val="00D6357F"/>
    <w:rsid w:val="00D6370B"/>
    <w:rsid w:val="00D6399C"/>
    <w:rsid w:val="00D63D53"/>
    <w:rsid w:val="00D6480F"/>
    <w:rsid w:val="00D64F54"/>
    <w:rsid w:val="00D658B2"/>
    <w:rsid w:val="00D658E3"/>
    <w:rsid w:val="00D65DE2"/>
    <w:rsid w:val="00D661B2"/>
    <w:rsid w:val="00D66911"/>
    <w:rsid w:val="00D66F3E"/>
    <w:rsid w:val="00D66FFE"/>
    <w:rsid w:val="00D67A96"/>
    <w:rsid w:val="00D72181"/>
    <w:rsid w:val="00D73437"/>
    <w:rsid w:val="00D73583"/>
    <w:rsid w:val="00D7396F"/>
    <w:rsid w:val="00D73EFD"/>
    <w:rsid w:val="00D74296"/>
    <w:rsid w:val="00D74472"/>
    <w:rsid w:val="00D74A0A"/>
    <w:rsid w:val="00D7523E"/>
    <w:rsid w:val="00D7580C"/>
    <w:rsid w:val="00D7661B"/>
    <w:rsid w:val="00D76A33"/>
    <w:rsid w:val="00D77404"/>
    <w:rsid w:val="00D77B80"/>
    <w:rsid w:val="00D8032D"/>
    <w:rsid w:val="00D8060A"/>
    <w:rsid w:val="00D809F4"/>
    <w:rsid w:val="00D80A74"/>
    <w:rsid w:val="00D80AD2"/>
    <w:rsid w:val="00D81352"/>
    <w:rsid w:val="00D81AF1"/>
    <w:rsid w:val="00D8287D"/>
    <w:rsid w:val="00D82C96"/>
    <w:rsid w:val="00D843D7"/>
    <w:rsid w:val="00D84441"/>
    <w:rsid w:val="00D84823"/>
    <w:rsid w:val="00D84E4B"/>
    <w:rsid w:val="00D84FE7"/>
    <w:rsid w:val="00D8546A"/>
    <w:rsid w:val="00D8628E"/>
    <w:rsid w:val="00D87A39"/>
    <w:rsid w:val="00D90208"/>
    <w:rsid w:val="00D90345"/>
    <w:rsid w:val="00D906AD"/>
    <w:rsid w:val="00D90B53"/>
    <w:rsid w:val="00D90ED9"/>
    <w:rsid w:val="00D91738"/>
    <w:rsid w:val="00D91881"/>
    <w:rsid w:val="00D91B4C"/>
    <w:rsid w:val="00D91E12"/>
    <w:rsid w:val="00D91EED"/>
    <w:rsid w:val="00D92A4E"/>
    <w:rsid w:val="00D934B6"/>
    <w:rsid w:val="00D9367E"/>
    <w:rsid w:val="00D9386E"/>
    <w:rsid w:val="00D95443"/>
    <w:rsid w:val="00D95BB2"/>
    <w:rsid w:val="00D963AF"/>
    <w:rsid w:val="00D968FC"/>
    <w:rsid w:val="00D97B06"/>
    <w:rsid w:val="00D97D5E"/>
    <w:rsid w:val="00DA0412"/>
    <w:rsid w:val="00DA07F7"/>
    <w:rsid w:val="00DA1624"/>
    <w:rsid w:val="00DA1702"/>
    <w:rsid w:val="00DA1F4A"/>
    <w:rsid w:val="00DA238A"/>
    <w:rsid w:val="00DA2AAA"/>
    <w:rsid w:val="00DA3A7B"/>
    <w:rsid w:val="00DA3BEF"/>
    <w:rsid w:val="00DA3EC4"/>
    <w:rsid w:val="00DA3EE1"/>
    <w:rsid w:val="00DA4017"/>
    <w:rsid w:val="00DA55A1"/>
    <w:rsid w:val="00DA5B94"/>
    <w:rsid w:val="00DA7187"/>
    <w:rsid w:val="00DA72DC"/>
    <w:rsid w:val="00DA7EC0"/>
    <w:rsid w:val="00DB00F7"/>
    <w:rsid w:val="00DB01A0"/>
    <w:rsid w:val="00DB0F58"/>
    <w:rsid w:val="00DB1144"/>
    <w:rsid w:val="00DB16ED"/>
    <w:rsid w:val="00DB1E51"/>
    <w:rsid w:val="00DB2649"/>
    <w:rsid w:val="00DB34FB"/>
    <w:rsid w:val="00DB354B"/>
    <w:rsid w:val="00DB373A"/>
    <w:rsid w:val="00DB3A31"/>
    <w:rsid w:val="00DB3DAB"/>
    <w:rsid w:val="00DB4300"/>
    <w:rsid w:val="00DB43CF"/>
    <w:rsid w:val="00DB5982"/>
    <w:rsid w:val="00DB5C76"/>
    <w:rsid w:val="00DB6159"/>
    <w:rsid w:val="00DB6464"/>
    <w:rsid w:val="00DB6C6B"/>
    <w:rsid w:val="00DB6D63"/>
    <w:rsid w:val="00DB7F54"/>
    <w:rsid w:val="00DC0159"/>
    <w:rsid w:val="00DC04CB"/>
    <w:rsid w:val="00DC0500"/>
    <w:rsid w:val="00DC0C52"/>
    <w:rsid w:val="00DC0FAD"/>
    <w:rsid w:val="00DC1985"/>
    <w:rsid w:val="00DC1D3F"/>
    <w:rsid w:val="00DC1F93"/>
    <w:rsid w:val="00DC247E"/>
    <w:rsid w:val="00DC247F"/>
    <w:rsid w:val="00DC34D7"/>
    <w:rsid w:val="00DC3A33"/>
    <w:rsid w:val="00DC3CA3"/>
    <w:rsid w:val="00DC40D1"/>
    <w:rsid w:val="00DC5090"/>
    <w:rsid w:val="00DC56F5"/>
    <w:rsid w:val="00DC6507"/>
    <w:rsid w:val="00DC6613"/>
    <w:rsid w:val="00DC7A26"/>
    <w:rsid w:val="00DC7BEC"/>
    <w:rsid w:val="00DC7EAA"/>
    <w:rsid w:val="00DD0716"/>
    <w:rsid w:val="00DD09E2"/>
    <w:rsid w:val="00DD0A97"/>
    <w:rsid w:val="00DD0F4E"/>
    <w:rsid w:val="00DD151C"/>
    <w:rsid w:val="00DD15D3"/>
    <w:rsid w:val="00DD1675"/>
    <w:rsid w:val="00DD1854"/>
    <w:rsid w:val="00DD18FD"/>
    <w:rsid w:val="00DD26BF"/>
    <w:rsid w:val="00DD2919"/>
    <w:rsid w:val="00DD2B27"/>
    <w:rsid w:val="00DD2F32"/>
    <w:rsid w:val="00DD3403"/>
    <w:rsid w:val="00DD35E4"/>
    <w:rsid w:val="00DD3A98"/>
    <w:rsid w:val="00DD3D41"/>
    <w:rsid w:val="00DD46EB"/>
    <w:rsid w:val="00DD4895"/>
    <w:rsid w:val="00DD52A2"/>
    <w:rsid w:val="00DD65CD"/>
    <w:rsid w:val="00DD69DD"/>
    <w:rsid w:val="00DD6B3B"/>
    <w:rsid w:val="00DD6D90"/>
    <w:rsid w:val="00DD6E3B"/>
    <w:rsid w:val="00DD70D5"/>
    <w:rsid w:val="00DD729C"/>
    <w:rsid w:val="00DD776A"/>
    <w:rsid w:val="00DE05E5"/>
    <w:rsid w:val="00DE0DA8"/>
    <w:rsid w:val="00DE141F"/>
    <w:rsid w:val="00DE1747"/>
    <w:rsid w:val="00DE1C3E"/>
    <w:rsid w:val="00DE261E"/>
    <w:rsid w:val="00DE264F"/>
    <w:rsid w:val="00DE32E6"/>
    <w:rsid w:val="00DE35DB"/>
    <w:rsid w:val="00DE40CB"/>
    <w:rsid w:val="00DE426E"/>
    <w:rsid w:val="00DE4A94"/>
    <w:rsid w:val="00DE50B1"/>
    <w:rsid w:val="00DE51ED"/>
    <w:rsid w:val="00DE56DA"/>
    <w:rsid w:val="00DE5853"/>
    <w:rsid w:val="00DE5B01"/>
    <w:rsid w:val="00DE7144"/>
    <w:rsid w:val="00DE7279"/>
    <w:rsid w:val="00DE7AC7"/>
    <w:rsid w:val="00DF042D"/>
    <w:rsid w:val="00DF0B07"/>
    <w:rsid w:val="00DF146C"/>
    <w:rsid w:val="00DF19F5"/>
    <w:rsid w:val="00DF2A58"/>
    <w:rsid w:val="00DF3569"/>
    <w:rsid w:val="00DF3797"/>
    <w:rsid w:val="00DF3F59"/>
    <w:rsid w:val="00DF4482"/>
    <w:rsid w:val="00DF4506"/>
    <w:rsid w:val="00DF4A82"/>
    <w:rsid w:val="00DF4B12"/>
    <w:rsid w:val="00DF4C31"/>
    <w:rsid w:val="00DF4D13"/>
    <w:rsid w:val="00DF50D1"/>
    <w:rsid w:val="00DF57C0"/>
    <w:rsid w:val="00DF61C3"/>
    <w:rsid w:val="00DF6D47"/>
    <w:rsid w:val="00DF7DB8"/>
    <w:rsid w:val="00E0045B"/>
    <w:rsid w:val="00E008ED"/>
    <w:rsid w:val="00E00C4F"/>
    <w:rsid w:val="00E01D81"/>
    <w:rsid w:val="00E02161"/>
    <w:rsid w:val="00E02E7B"/>
    <w:rsid w:val="00E02F02"/>
    <w:rsid w:val="00E03343"/>
    <w:rsid w:val="00E035D7"/>
    <w:rsid w:val="00E0379E"/>
    <w:rsid w:val="00E03E60"/>
    <w:rsid w:val="00E04586"/>
    <w:rsid w:val="00E045B4"/>
    <w:rsid w:val="00E04B7D"/>
    <w:rsid w:val="00E05A4E"/>
    <w:rsid w:val="00E05D06"/>
    <w:rsid w:val="00E06197"/>
    <w:rsid w:val="00E06839"/>
    <w:rsid w:val="00E07829"/>
    <w:rsid w:val="00E07F27"/>
    <w:rsid w:val="00E104A9"/>
    <w:rsid w:val="00E10C6F"/>
    <w:rsid w:val="00E10E18"/>
    <w:rsid w:val="00E10FBA"/>
    <w:rsid w:val="00E1126D"/>
    <w:rsid w:val="00E1144C"/>
    <w:rsid w:val="00E13A00"/>
    <w:rsid w:val="00E13B48"/>
    <w:rsid w:val="00E14284"/>
    <w:rsid w:val="00E1444B"/>
    <w:rsid w:val="00E14A5E"/>
    <w:rsid w:val="00E154B6"/>
    <w:rsid w:val="00E156D2"/>
    <w:rsid w:val="00E1655A"/>
    <w:rsid w:val="00E16E19"/>
    <w:rsid w:val="00E175FD"/>
    <w:rsid w:val="00E17AD0"/>
    <w:rsid w:val="00E17BBC"/>
    <w:rsid w:val="00E204AE"/>
    <w:rsid w:val="00E208A4"/>
    <w:rsid w:val="00E20A0F"/>
    <w:rsid w:val="00E216A6"/>
    <w:rsid w:val="00E226DF"/>
    <w:rsid w:val="00E229C6"/>
    <w:rsid w:val="00E235C1"/>
    <w:rsid w:val="00E23E35"/>
    <w:rsid w:val="00E24B6C"/>
    <w:rsid w:val="00E24C5A"/>
    <w:rsid w:val="00E2507D"/>
    <w:rsid w:val="00E25217"/>
    <w:rsid w:val="00E25C69"/>
    <w:rsid w:val="00E261AE"/>
    <w:rsid w:val="00E26B94"/>
    <w:rsid w:val="00E2749E"/>
    <w:rsid w:val="00E27C29"/>
    <w:rsid w:val="00E27F9B"/>
    <w:rsid w:val="00E300E4"/>
    <w:rsid w:val="00E3062F"/>
    <w:rsid w:val="00E30BFD"/>
    <w:rsid w:val="00E30DE2"/>
    <w:rsid w:val="00E31854"/>
    <w:rsid w:val="00E32166"/>
    <w:rsid w:val="00E32D9E"/>
    <w:rsid w:val="00E332F7"/>
    <w:rsid w:val="00E33809"/>
    <w:rsid w:val="00E35477"/>
    <w:rsid w:val="00E35B18"/>
    <w:rsid w:val="00E36C1A"/>
    <w:rsid w:val="00E36C39"/>
    <w:rsid w:val="00E36E27"/>
    <w:rsid w:val="00E36F79"/>
    <w:rsid w:val="00E374E0"/>
    <w:rsid w:val="00E37CBC"/>
    <w:rsid w:val="00E4060A"/>
    <w:rsid w:val="00E41453"/>
    <w:rsid w:val="00E419C1"/>
    <w:rsid w:val="00E41A0B"/>
    <w:rsid w:val="00E41B81"/>
    <w:rsid w:val="00E41F8C"/>
    <w:rsid w:val="00E42A62"/>
    <w:rsid w:val="00E42F43"/>
    <w:rsid w:val="00E43357"/>
    <w:rsid w:val="00E43B85"/>
    <w:rsid w:val="00E43BA0"/>
    <w:rsid w:val="00E4522D"/>
    <w:rsid w:val="00E46479"/>
    <w:rsid w:val="00E467D1"/>
    <w:rsid w:val="00E46980"/>
    <w:rsid w:val="00E47430"/>
    <w:rsid w:val="00E47680"/>
    <w:rsid w:val="00E4772F"/>
    <w:rsid w:val="00E4775F"/>
    <w:rsid w:val="00E477A0"/>
    <w:rsid w:val="00E477CD"/>
    <w:rsid w:val="00E50484"/>
    <w:rsid w:val="00E5179B"/>
    <w:rsid w:val="00E51F8C"/>
    <w:rsid w:val="00E52009"/>
    <w:rsid w:val="00E523CA"/>
    <w:rsid w:val="00E523F8"/>
    <w:rsid w:val="00E52669"/>
    <w:rsid w:val="00E52696"/>
    <w:rsid w:val="00E52963"/>
    <w:rsid w:val="00E52FB8"/>
    <w:rsid w:val="00E5469D"/>
    <w:rsid w:val="00E55075"/>
    <w:rsid w:val="00E55383"/>
    <w:rsid w:val="00E55810"/>
    <w:rsid w:val="00E5589B"/>
    <w:rsid w:val="00E562F9"/>
    <w:rsid w:val="00E57C6C"/>
    <w:rsid w:val="00E610F4"/>
    <w:rsid w:val="00E61151"/>
    <w:rsid w:val="00E61161"/>
    <w:rsid w:val="00E6196E"/>
    <w:rsid w:val="00E61AA3"/>
    <w:rsid w:val="00E6233B"/>
    <w:rsid w:val="00E623E5"/>
    <w:rsid w:val="00E62BD1"/>
    <w:rsid w:val="00E62F9D"/>
    <w:rsid w:val="00E65A01"/>
    <w:rsid w:val="00E65C67"/>
    <w:rsid w:val="00E660EA"/>
    <w:rsid w:val="00E664D4"/>
    <w:rsid w:val="00E66B3F"/>
    <w:rsid w:val="00E6725D"/>
    <w:rsid w:val="00E672DE"/>
    <w:rsid w:val="00E676EB"/>
    <w:rsid w:val="00E71F53"/>
    <w:rsid w:val="00E72799"/>
    <w:rsid w:val="00E72949"/>
    <w:rsid w:val="00E73344"/>
    <w:rsid w:val="00E73789"/>
    <w:rsid w:val="00E73F06"/>
    <w:rsid w:val="00E74CFE"/>
    <w:rsid w:val="00E751CC"/>
    <w:rsid w:val="00E75BAC"/>
    <w:rsid w:val="00E75C88"/>
    <w:rsid w:val="00E76D16"/>
    <w:rsid w:val="00E77153"/>
    <w:rsid w:val="00E7773E"/>
    <w:rsid w:val="00E77AD8"/>
    <w:rsid w:val="00E80386"/>
    <w:rsid w:val="00E8045D"/>
    <w:rsid w:val="00E808E8"/>
    <w:rsid w:val="00E8104F"/>
    <w:rsid w:val="00E814AC"/>
    <w:rsid w:val="00E81C52"/>
    <w:rsid w:val="00E8228D"/>
    <w:rsid w:val="00E82A7A"/>
    <w:rsid w:val="00E82B88"/>
    <w:rsid w:val="00E82EC2"/>
    <w:rsid w:val="00E831F6"/>
    <w:rsid w:val="00E8400C"/>
    <w:rsid w:val="00E84C4E"/>
    <w:rsid w:val="00E85839"/>
    <w:rsid w:val="00E8594E"/>
    <w:rsid w:val="00E86105"/>
    <w:rsid w:val="00E867B4"/>
    <w:rsid w:val="00E86C48"/>
    <w:rsid w:val="00E8702E"/>
    <w:rsid w:val="00E878DE"/>
    <w:rsid w:val="00E87904"/>
    <w:rsid w:val="00E87E57"/>
    <w:rsid w:val="00E87F29"/>
    <w:rsid w:val="00E90572"/>
    <w:rsid w:val="00E90888"/>
    <w:rsid w:val="00E917E1"/>
    <w:rsid w:val="00E91E7C"/>
    <w:rsid w:val="00E92023"/>
    <w:rsid w:val="00E9253B"/>
    <w:rsid w:val="00E925B5"/>
    <w:rsid w:val="00E92C22"/>
    <w:rsid w:val="00E92F00"/>
    <w:rsid w:val="00E93418"/>
    <w:rsid w:val="00E93618"/>
    <w:rsid w:val="00E937AE"/>
    <w:rsid w:val="00E94221"/>
    <w:rsid w:val="00E94D34"/>
    <w:rsid w:val="00E94F1E"/>
    <w:rsid w:val="00E94FFA"/>
    <w:rsid w:val="00E950E7"/>
    <w:rsid w:val="00E95C0D"/>
    <w:rsid w:val="00E9612E"/>
    <w:rsid w:val="00E96177"/>
    <w:rsid w:val="00E968A0"/>
    <w:rsid w:val="00E968F8"/>
    <w:rsid w:val="00E9758C"/>
    <w:rsid w:val="00E97592"/>
    <w:rsid w:val="00E978A4"/>
    <w:rsid w:val="00E97C5B"/>
    <w:rsid w:val="00E97F4A"/>
    <w:rsid w:val="00EA000E"/>
    <w:rsid w:val="00EA0AF7"/>
    <w:rsid w:val="00EA0B22"/>
    <w:rsid w:val="00EA0FC9"/>
    <w:rsid w:val="00EA1D0F"/>
    <w:rsid w:val="00EA2A81"/>
    <w:rsid w:val="00EA2B27"/>
    <w:rsid w:val="00EA2D9B"/>
    <w:rsid w:val="00EA34DA"/>
    <w:rsid w:val="00EA35D6"/>
    <w:rsid w:val="00EA3AAB"/>
    <w:rsid w:val="00EA4364"/>
    <w:rsid w:val="00EA46BB"/>
    <w:rsid w:val="00EA4D8B"/>
    <w:rsid w:val="00EA5A33"/>
    <w:rsid w:val="00EA5B28"/>
    <w:rsid w:val="00EA6573"/>
    <w:rsid w:val="00EA6DB4"/>
    <w:rsid w:val="00EA723D"/>
    <w:rsid w:val="00EA7477"/>
    <w:rsid w:val="00EA77F3"/>
    <w:rsid w:val="00EB055F"/>
    <w:rsid w:val="00EB115B"/>
    <w:rsid w:val="00EB11B2"/>
    <w:rsid w:val="00EB1CA3"/>
    <w:rsid w:val="00EB1CCF"/>
    <w:rsid w:val="00EB26DD"/>
    <w:rsid w:val="00EB2AA5"/>
    <w:rsid w:val="00EB35EC"/>
    <w:rsid w:val="00EB4408"/>
    <w:rsid w:val="00EB524E"/>
    <w:rsid w:val="00EB5D34"/>
    <w:rsid w:val="00EB5D6A"/>
    <w:rsid w:val="00EB6C01"/>
    <w:rsid w:val="00EB6DF4"/>
    <w:rsid w:val="00EB776E"/>
    <w:rsid w:val="00EC0C71"/>
    <w:rsid w:val="00EC0C72"/>
    <w:rsid w:val="00EC152F"/>
    <w:rsid w:val="00EC16D9"/>
    <w:rsid w:val="00EC211D"/>
    <w:rsid w:val="00EC2EF6"/>
    <w:rsid w:val="00EC2F46"/>
    <w:rsid w:val="00EC3A25"/>
    <w:rsid w:val="00EC3B62"/>
    <w:rsid w:val="00EC3CB5"/>
    <w:rsid w:val="00EC3F55"/>
    <w:rsid w:val="00EC401E"/>
    <w:rsid w:val="00EC53C5"/>
    <w:rsid w:val="00EC5D2E"/>
    <w:rsid w:val="00EC5D8C"/>
    <w:rsid w:val="00EC657A"/>
    <w:rsid w:val="00EC6B45"/>
    <w:rsid w:val="00EC6D5A"/>
    <w:rsid w:val="00EC7FAA"/>
    <w:rsid w:val="00ED0125"/>
    <w:rsid w:val="00ED0F4F"/>
    <w:rsid w:val="00ED10C5"/>
    <w:rsid w:val="00ED286C"/>
    <w:rsid w:val="00ED3157"/>
    <w:rsid w:val="00ED3A2D"/>
    <w:rsid w:val="00ED4462"/>
    <w:rsid w:val="00ED488F"/>
    <w:rsid w:val="00ED4D9F"/>
    <w:rsid w:val="00ED4E07"/>
    <w:rsid w:val="00ED4FA8"/>
    <w:rsid w:val="00ED5064"/>
    <w:rsid w:val="00ED544F"/>
    <w:rsid w:val="00ED594D"/>
    <w:rsid w:val="00ED65B6"/>
    <w:rsid w:val="00ED68AF"/>
    <w:rsid w:val="00ED6EA3"/>
    <w:rsid w:val="00ED6FFD"/>
    <w:rsid w:val="00ED7F2F"/>
    <w:rsid w:val="00EE00AB"/>
    <w:rsid w:val="00EE0CB2"/>
    <w:rsid w:val="00EE1506"/>
    <w:rsid w:val="00EE1753"/>
    <w:rsid w:val="00EE18C8"/>
    <w:rsid w:val="00EE1CAF"/>
    <w:rsid w:val="00EE2522"/>
    <w:rsid w:val="00EE34D2"/>
    <w:rsid w:val="00EE3D57"/>
    <w:rsid w:val="00EE4351"/>
    <w:rsid w:val="00EE4417"/>
    <w:rsid w:val="00EE5051"/>
    <w:rsid w:val="00EE6C80"/>
    <w:rsid w:val="00EE7038"/>
    <w:rsid w:val="00EE70D4"/>
    <w:rsid w:val="00EE7186"/>
    <w:rsid w:val="00EE768E"/>
    <w:rsid w:val="00EE79C9"/>
    <w:rsid w:val="00EE7C9B"/>
    <w:rsid w:val="00EE7F74"/>
    <w:rsid w:val="00EF0768"/>
    <w:rsid w:val="00EF1A96"/>
    <w:rsid w:val="00EF1D0D"/>
    <w:rsid w:val="00EF26A5"/>
    <w:rsid w:val="00EF38D5"/>
    <w:rsid w:val="00EF43D5"/>
    <w:rsid w:val="00EF493C"/>
    <w:rsid w:val="00EF4E3F"/>
    <w:rsid w:val="00EF4F07"/>
    <w:rsid w:val="00EF5068"/>
    <w:rsid w:val="00EF528F"/>
    <w:rsid w:val="00EF613E"/>
    <w:rsid w:val="00EF6947"/>
    <w:rsid w:val="00EF6E86"/>
    <w:rsid w:val="00EF6FF9"/>
    <w:rsid w:val="00EF7C1B"/>
    <w:rsid w:val="00EF7EE7"/>
    <w:rsid w:val="00F0000F"/>
    <w:rsid w:val="00F00071"/>
    <w:rsid w:val="00F00295"/>
    <w:rsid w:val="00F00524"/>
    <w:rsid w:val="00F00AB3"/>
    <w:rsid w:val="00F00AF7"/>
    <w:rsid w:val="00F01066"/>
    <w:rsid w:val="00F01B2B"/>
    <w:rsid w:val="00F02491"/>
    <w:rsid w:val="00F033E6"/>
    <w:rsid w:val="00F040A7"/>
    <w:rsid w:val="00F047FD"/>
    <w:rsid w:val="00F0556A"/>
    <w:rsid w:val="00F05F9A"/>
    <w:rsid w:val="00F06566"/>
    <w:rsid w:val="00F06615"/>
    <w:rsid w:val="00F07694"/>
    <w:rsid w:val="00F079D1"/>
    <w:rsid w:val="00F07BDD"/>
    <w:rsid w:val="00F104AF"/>
    <w:rsid w:val="00F10525"/>
    <w:rsid w:val="00F107F3"/>
    <w:rsid w:val="00F10F87"/>
    <w:rsid w:val="00F1120A"/>
    <w:rsid w:val="00F11958"/>
    <w:rsid w:val="00F11B04"/>
    <w:rsid w:val="00F11F8D"/>
    <w:rsid w:val="00F11FDA"/>
    <w:rsid w:val="00F12D19"/>
    <w:rsid w:val="00F13739"/>
    <w:rsid w:val="00F13B71"/>
    <w:rsid w:val="00F13D4C"/>
    <w:rsid w:val="00F1412A"/>
    <w:rsid w:val="00F154CD"/>
    <w:rsid w:val="00F156CA"/>
    <w:rsid w:val="00F1588F"/>
    <w:rsid w:val="00F158D0"/>
    <w:rsid w:val="00F15AEF"/>
    <w:rsid w:val="00F15C71"/>
    <w:rsid w:val="00F16814"/>
    <w:rsid w:val="00F16877"/>
    <w:rsid w:val="00F16C76"/>
    <w:rsid w:val="00F171DD"/>
    <w:rsid w:val="00F171EE"/>
    <w:rsid w:val="00F174F3"/>
    <w:rsid w:val="00F17B0C"/>
    <w:rsid w:val="00F17DF6"/>
    <w:rsid w:val="00F2059C"/>
    <w:rsid w:val="00F21116"/>
    <w:rsid w:val="00F22747"/>
    <w:rsid w:val="00F23FA8"/>
    <w:rsid w:val="00F23FE1"/>
    <w:rsid w:val="00F24F39"/>
    <w:rsid w:val="00F24F9D"/>
    <w:rsid w:val="00F2598A"/>
    <w:rsid w:val="00F27A5C"/>
    <w:rsid w:val="00F27FA7"/>
    <w:rsid w:val="00F305CA"/>
    <w:rsid w:val="00F30E8C"/>
    <w:rsid w:val="00F30F24"/>
    <w:rsid w:val="00F31B96"/>
    <w:rsid w:val="00F323CC"/>
    <w:rsid w:val="00F32EA5"/>
    <w:rsid w:val="00F32ED6"/>
    <w:rsid w:val="00F32EF9"/>
    <w:rsid w:val="00F3385A"/>
    <w:rsid w:val="00F33D83"/>
    <w:rsid w:val="00F34A96"/>
    <w:rsid w:val="00F3599D"/>
    <w:rsid w:val="00F35E37"/>
    <w:rsid w:val="00F36DFD"/>
    <w:rsid w:val="00F36E4A"/>
    <w:rsid w:val="00F372F6"/>
    <w:rsid w:val="00F37549"/>
    <w:rsid w:val="00F37A47"/>
    <w:rsid w:val="00F37B7D"/>
    <w:rsid w:val="00F41EF0"/>
    <w:rsid w:val="00F42328"/>
    <w:rsid w:val="00F42449"/>
    <w:rsid w:val="00F42671"/>
    <w:rsid w:val="00F42FEB"/>
    <w:rsid w:val="00F43411"/>
    <w:rsid w:val="00F4358A"/>
    <w:rsid w:val="00F43A09"/>
    <w:rsid w:val="00F44311"/>
    <w:rsid w:val="00F444A8"/>
    <w:rsid w:val="00F44EB2"/>
    <w:rsid w:val="00F45149"/>
    <w:rsid w:val="00F451F7"/>
    <w:rsid w:val="00F45783"/>
    <w:rsid w:val="00F45F9A"/>
    <w:rsid w:val="00F474F8"/>
    <w:rsid w:val="00F47638"/>
    <w:rsid w:val="00F50517"/>
    <w:rsid w:val="00F50CB0"/>
    <w:rsid w:val="00F50F3C"/>
    <w:rsid w:val="00F512B7"/>
    <w:rsid w:val="00F51736"/>
    <w:rsid w:val="00F51804"/>
    <w:rsid w:val="00F5183A"/>
    <w:rsid w:val="00F52D7E"/>
    <w:rsid w:val="00F53027"/>
    <w:rsid w:val="00F530B6"/>
    <w:rsid w:val="00F53355"/>
    <w:rsid w:val="00F53B4E"/>
    <w:rsid w:val="00F53D0E"/>
    <w:rsid w:val="00F54008"/>
    <w:rsid w:val="00F54657"/>
    <w:rsid w:val="00F546CD"/>
    <w:rsid w:val="00F54C29"/>
    <w:rsid w:val="00F558B2"/>
    <w:rsid w:val="00F55AA8"/>
    <w:rsid w:val="00F56054"/>
    <w:rsid w:val="00F568FA"/>
    <w:rsid w:val="00F56A6D"/>
    <w:rsid w:val="00F56BC2"/>
    <w:rsid w:val="00F56DC0"/>
    <w:rsid w:val="00F570F0"/>
    <w:rsid w:val="00F57989"/>
    <w:rsid w:val="00F60452"/>
    <w:rsid w:val="00F60B2D"/>
    <w:rsid w:val="00F60D01"/>
    <w:rsid w:val="00F612C8"/>
    <w:rsid w:val="00F612CA"/>
    <w:rsid w:val="00F618E5"/>
    <w:rsid w:val="00F61B7D"/>
    <w:rsid w:val="00F61BB5"/>
    <w:rsid w:val="00F61DE6"/>
    <w:rsid w:val="00F62B73"/>
    <w:rsid w:val="00F62D6A"/>
    <w:rsid w:val="00F6323C"/>
    <w:rsid w:val="00F64481"/>
    <w:rsid w:val="00F65548"/>
    <w:rsid w:val="00F65742"/>
    <w:rsid w:val="00F6652F"/>
    <w:rsid w:val="00F6698D"/>
    <w:rsid w:val="00F66FE7"/>
    <w:rsid w:val="00F6709D"/>
    <w:rsid w:val="00F67394"/>
    <w:rsid w:val="00F677B7"/>
    <w:rsid w:val="00F67AC8"/>
    <w:rsid w:val="00F7000C"/>
    <w:rsid w:val="00F71008"/>
    <w:rsid w:val="00F71928"/>
    <w:rsid w:val="00F71EF1"/>
    <w:rsid w:val="00F7291D"/>
    <w:rsid w:val="00F7327E"/>
    <w:rsid w:val="00F7379B"/>
    <w:rsid w:val="00F737BE"/>
    <w:rsid w:val="00F743BC"/>
    <w:rsid w:val="00F744B0"/>
    <w:rsid w:val="00F7483A"/>
    <w:rsid w:val="00F749D3"/>
    <w:rsid w:val="00F74D0D"/>
    <w:rsid w:val="00F74E81"/>
    <w:rsid w:val="00F7518B"/>
    <w:rsid w:val="00F75490"/>
    <w:rsid w:val="00F75741"/>
    <w:rsid w:val="00F75823"/>
    <w:rsid w:val="00F75B1E"/>
    <w:rsid w:val="00F75FED"/>
    <w:rsid w:val="00F77DC4"/>
    <w:rsid w:val="00F8085D"/>
    <w:rsid w:val="00F80F0C"/>
    <w:rsid w:val="00F81059"/>
    <w:rsid w:val="00F81978"/>
    <w:rsid w:val="00F82B03"/>
    <w:rsid w:val="00F82E3A"/>
    <w:rsid w:val="00F834AA"/>
    <w:rsid w:val="00F8392A"/>
    <w:rsid w:val="00F84A29"/>
    <w:rsid w:val="00F84BB3"/>
    <w:rsid w:val="00F84CA2"/>
    <w:rsid w:val="00F84D8E"/>
    <w:rsid w:val="00F851A4"/>
    <w:rsid w:val="00F85724"/>
    <w:rsid w:val="00F85EC4"/>
    <w:rsid w:val="00F8612F"/>
    <w:rsid w:val="00F86229"/>
    <w:rsid w:val="00F900CE"/>
    <w:rsid w:val="00F90453"/>
    <w:rsid w:val="00F90D26"/>
    <w:rsid w:val="00F90FEF"/>
    <w:rsid w:val="00F911A4"/>
    <w:rsid w:val="00F913C1"/>
    <w:rsid w:val="00F91475"/>
    <w:rsid w:val="00F918CA"/>
    <w:rsid w:val="00F919FD"/>
    <w:rsid w:val="00F92684"/>
    <w:rsid w:val="00F92A85"/>
    <w:rsid w:val="00F93825"/>
    <w:rsid w:val="00F9389A"/>
    <w:rsid w:val="00F93A9B"/>
    <w:rsid w:val="00F945B2"/>
    <w:rsid w:val="00F9559F"/>
    <w:rsid w:val="00F96073"/>
    <w:rsid w:val="00F962C8"/>
    <w:rsid w:val="00F974C6"/>
    <w:rsid w:val="00F9788E"/>
    <w:rsid w:val="00F97E06"/>
    <w:rsid w:val="00FA05D8"/>
    <w:rsid w:val="00FA0D2A"/>
    <w:rsid w:val="00FA0F5B"/>
    <w:rsid w:val="00FA1C0A"/>
    <w:rsid w:val="00FA219B"/>
    <w:rsid w:val="00FA282A"/>
    <w:rsid w:val="00FA2960"/>
    <w:rsid w:val="00FA3A6E"/>
    <w:rsid w:val="00FA3DD8"/>
    <w:rsid w:val="00FA45A7"/>
    <w:rsid w:val="00FA4614"/>
    <w:rsid w:val="00FA4B5B"/>
    <w:rsid w:val="00FA5090"/>
    <w:rsid w:val="00FA57C8"/>
    <w:rsid w:val="00FA5A84"/>
    <w:rsid w:val="00FA5E14"/>
    <w:rsid w:val="00FA5E83"/>
    <w:rsid w:val="00FA66FE"/>
    <w:rsid w:val="00FA6D4C"/>
    <w:rsid w:val="00FA72A2"/>
    <w:rsid w:val="00FA73E3"/>
    <w:rsid w:val="00FA7725"/>
    <w:rsid w:val="00FA7D99"/>
    <w:rsid w:val="00FA7DFB"/>
    <w:rsid w:val="00FB0108"/>
    <w:rsid w:val="00FB0841"/>
    <w:rsid w:val="00FB13D2"/>
    <w:rsid w:val="00FB14DB"/>
    <w:rsid w:val="00FB15B1"/>
    <w:rsid w:val="00FB3044"/>
    <w:rsid w:val="00FB4107"/>
    <w:rsid w:val="00FB475D"/>
    <w:rsid w:val="00FB48D4"/>
    <w:rsid w:val="00FB558D"/>
    <w:rsid w:val="00FB5868"/>
    <w:rsid w:val="00FB607F"/>
    <w:rsid w:val="00FB63A6"/>
    <w:rsid w:val="00FB65C9"/>
    <w:rsid w:val="00FB799B"/>
    <w:rsid w:val="00FC0486"/>
    <w:rsid w:val="00FC0871"/>
    <w:rsid w:val="00FC094D"/>
    <w:rsid w:val="00FC0C89"/>
    <w:rsid w:val="00FC0E4C"/>
    <w:rsid w:val="00FC0EAE"/>
    <w:rsid w:val="00FC13CF"/>
    <w:rsid w:val="00FC1BA9"/>
    <w:rsid w:val="00FC2012"/>
    <w:rsid w:val="00FC27B2"/>
    <w:rsid w:val="00FC315F"/>
    <w:rsid w:val="00FC351C"/>
    <w:rsid w:val="00FC383B"/>
    <w:rsid w:val="00FC3BC0"/>
    <w:rsid w:val="00FC3C4C"/>
    <w:rsid w:val="00FC4245"/>
    <w:rsid w:val="00FC43BA"/>
    <w:rsid w:val="00FC4DD2"/>
    <w:rsid w:val="00FC5186"/>
    <w:rsid w:val="00FC5373"/>
    <w:rsid w:val="00FC5ACB"/>
    <w:rsid w:val="00FC6007"/>
    <w:rsid w:val="00FC63AB"/>
    <w:rsid w:val="00FC72E5"/>
    <w:rsid w:val="00FC76BF"/>
    <w:rsid w:val="00FC7879"/>
    <w:rsid w:val="00FD041C"/>
    <w:rsid w:val="00FD0A87"/>
    <w:rsid w:val="00FD0B7F"/>
    <w:rsid w:val="00FD15B6"/>
    <w:rsid w:val="00FD1CDD"/>
    <w:rsid w:val="00FD1D0C"/>
    <w:rsid w:val="00FD2E2C"/>
    <w:rsid w:val="00FD323D"/>
    <w:rsid w:val="00FD3D3B"/>
    <w:rsid w:val="00FD4046"/>
    <w:rsid w:val="00FD4049"/>
    <w:rsid w:val="00FD44AA"/>
    <w:rsid w:val="00FD4549"/>
    <w:rsid w:val="00FD4FAC"/>
    <w:rsid w:val="00FD608B"/>
    <w:rsid w:val="00FD6B62"/>
    <w:rsid w:val="00FD6BAE"/>
    <w:rsid w:val="00FD766C"/>
    <w:rsid w:val="00FE0014"/>
    <w:rsid w:val="00FE0474"/>
    <w:rsid w:val="00FE04C3"/>
    <w:rsid w:val="00FE0ABB"/>
    <w:rsid w:val="00FE0AF5"/>
    <w:rsid w:val="00FE0D11"/>
    <w:rsid w:val="00FE185D"/>
    <w:rsid w:val="00FE1CC6"/>
    <w:rsid w:val="00FE1FCF"/>
    <w:rsid w:val="00FE20C2"/>
    <w:rsid w:val="00FE29D1"/>
    <w:rsid w:val="00FE2DA7"/>
    <w:rsid w:val="00FE2DEC"/>
    <w:rsid w:val="00FE2E23"/>
    <w:rsid w:val="00FE2EBD"/>
    <w:rsid w:val="00FE37E7"/>
    <w:rsid w:val="00FE3B49"/>
    <w:rsid w:val="00FE3BCE"/>
    <w:rsid w:val="00FE4619"/>
    <w:rsid w:val="00FE519C"/>
    <w:rsid w:val="00FE539F"/>
    <w:rsid w:val="00FE54AB"/>
    <w:rsid w:val="00FE57C2"/>
    <w:rsid w:val="00FE5A4A"/>
    <w:rsid w:val="00FE64A0"/>
    <w:rsid w:val="00FE652A"/>
    <w:rsid w:val="00FE67DB"/>
    <w:rsid w:val="00FE6D9A"/>
    <w:rsid w:val="00FE7F48"/>
    <w:rsid w:val="00FF00BE"/>
    <w:rsid w:val="00FF011C"/>
    <w:rsid w:val="00FF019F"/>
    <w:rsid w:val="00FF2288"/>
    <w:rsid w:val="00FF2612"/>
    <w:rsid w:val="00FF2A6B"/>
    <w:rsid w:val="00FF2C24"/>
    <w:rsid w:val="00FF2C7D"/>
    <w:rsid w:val="00FF32A1"/>
    <w:rsid w:val="00FF3532"/>
    <w:rsid w:val="00FF41BA"/>
    <w:rsid w:val="00FF4E89"/>
    <w:rsid w:val="00FF5171"/>
    <w:rsid w:val="00FF5784"/>
    <w:rsid w:val="00FF6047"/>
    <w:rsid w:val="00FF60E9"/>
    <w:rsid w:val="00FF64FF"/>
    <w:rsid w:val="00FF6701"/>
    <w:rsid w:val="00FF69C9"/>
    <w:rsid w:val="00FF6CD8"/>
    <w:rsid w:val="00FF70A9"/>
    <w:rsid w:val="00FF7C5B"/>
    <w:rsid w:val="08949D73"/>
    <w:rsid w:val="13880174"/>
    <w:rsid w:val="18FE4C02"/>
    <w:rsid w:val="1AE5DFB5"/>
    <w:rsid w:val="1C33AB2E"/>
    <w:rsid w:val="247D1ABB"/>
    <w:rsid w:val="2503AB89"/>
    <w:rsid w:val="257A2BFA"/>
    <w:rsid w:val="26C093E3"/>
    <w:rsid w:val="2AA8C711"/>
    <w:rsid w:val="2D92B44E"/>
    <w:rsid w:val="33806866"/>
    <w:rsid w:val="412317AB"/>
    <w:rsid w:val="4615ADFB"/>
    <w:rsid w:val="4A6BC575"/>
    <w:rsid w:val="4C72C06E"/>
    <w:rsid w:val="51D98F29"/>
    <w:rsid w:val="56D94202"/>
    <w:rsid w:val="57B6C373"/>
    <w:rsid w:val="59C62382"/>
    <w:rsid w:val="5B0EAFCF"/>
    <w:rsid w:val="61EB2226"/>
    <w:rsid w:val="694E2F4A"/>
    <w:rsid w:val="7792D70C"/>
    <w:rsid w:val="7832156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pPr>
    <w:rPr>
      <w:rFonts w:ascii="Times New Roman" w:hAnsi="Times New Roman" w:cs="Times New Roman"/>
      <w:sz w:val="26"/>
      <w:szCs w:val="22"/>
      <w:lang w:val="en-US" w:eastAsia="en-US" w:bidi="ar-SA"/>
    </w:rPr>
  </w:style>
  <w:style w:type="paragraph" w:styleId="Heading1">
    <w:name w:val="heading 1"/>
    <w:basedOn w:val="Normal"/>
    <w:next w:val="FERCparanumber"/>
    <w:link w:val="Heading1Char"/>
    <w:uiPriority w:val="9"/>
    <w:qFormat/>
    <w:rsid w:val="002E6525"/>
    <w:pPr>
      <w:keepNext/>
      <w:keepLines/>
      <w:widowControl/>
      <w:numPr>
        <w:numId w:val="15"/>
      </w:numPr>
      <w:spacing w:after="260"/>
      <w:outlineLvl w:val="0"/>
    </w:pPr>
    <w:rPr>
      <w:rFonts w:eastAsia="MS Gothic"/>
      <w:b/>
      <w:kern w:val="32"/>
      <w:szCs w:val="32"/>
      <w:u w:val="single"/>
    </w:rPr>
  </w:style>
  <w:style w:type="paragraph" w:styleId="Heading2">
    <w:name w:val="heading 2"/>
    <w:basedOn w:val="Normal"/>
    <w:next w:val="FERCparanumber"/>
    <w:link w:val="Heading2Char"/>
    <w:uiPriority w:val="9"/>
    <w:unhideWhenUsed/>
    <w:qFormat/>
    <w:rsid w:val="002E6525"/>
    <w:pPr>
      <w:keepNext/>
      <w:keepLines/>
      <w:widowControl/>
      <w:numPr>
        <w:ilvl w:val="1"/>
        <w:numId w:val="15"/>
      </w:numPr>
      <w:spacing w:after="260"/>
      <w:outlineLvl w:val="1"/>
    </w:pPr>
    <w:rPr>
      <w:rFonts w:eastAsia="MS Gothic"/>
      <w:b/>
      <w:kern w:val="32"/>
      <w:szCs w:val="26"/>
      <w:u w:val="single"/>
    </w:rPr>
  </w:style>
  <w:style w:type="paragraph" w:styleId="Heading3">
    <w:name w:val="heading 3"/>
    <w:basedOn w:val="Normal"/>
    <w:next w:val="FERCparanumber"/>
    <w:uiPriority w:val="9"/>
    <w:unhideWhenUsed/>
    <w:qFormat/>
    <w:rsid w:val="002E6525"/>
    <w:pPr>
      <w:keepNext/>
      <w:keepLines/>
      <w:widowControl/>
      <w:numPr>
        <w:ilvl w:val="2"/>
        <w:numId w:val="15"/>
      </w:numPr>
      <w:spacing w:after="260"/>
      <w:outlineLvl w:val="2"/>
    </w:pPr>
    <w:rPr>
      <w:rFonts w:eastAsia="MS Gothic"/>
      <w:b/>
      <w:kern w:val="32"/>
      <w:szCs w:val="24"/>
      <w:u w:val="single"/>
    </w:rPr>
  </w:style>
  <w:style w:type="paragraph" w:styleId="Heading4">
    <w:name w:val="heading 4"/>
    <w:basedOn w:val="Normal"/>
    <w:next w:val="FERCparanumber"/>
    <w:uiPriority w:val="9"/>
    <w:unhideWhenUsed/>
    <w:qFormat/>
    <w:rsid w:val="002E6525"/>
    <w:pPr>
      <w:keepNext/>
      <w:keepLines/>
      <w:widowControl/>
      <w:numPr>
        <w:ilvl w:val="3"/>
        <w:numId w:val="15"/>
      </w:numPr>
      <w:spacing w:after="260"/>
      <w:outlineLvl w:val="3"/>
    </w:pPr>
    <w:rPr>
      <w:rFonts w:eastAsia="MS Gothic"/>
      <w:b/>
      <w:iCs/>
      <w:kern w:val="32"/>
      <w:u w:val="single"/>
    </w:rPr>
  </w:style>
  <w:style w:type="paragraph" w:styleId="Heading5">
    <w:name w:val="heading 5"/>
    <w:basedOn w:val="Normal"/>
    <w:next w:val="FERCparanumber"/>
    <w:uiPriority w:val="9"/>
    <w:unhideWhenUsed/>
    <w:qFormat/>
    <w:rsid w:val="002E6525"/>
    <w:pPr>
      <w:keepNext/>
      <w:keepLines/>
      <w:widowControl/>
      <w:numPr>
        <w:ilvl w:val="4"/>
        <w:numId w:val="15"/>
      </w:numPr>
      <w:spacing w:after="260"/>
      <w:outlineLvl w:val="4"/>
    </w:pPr>
    <w:rPr>
      <w:rFonts w:eastAsia="MS Gothic"/>
      <w:b/>
      <w:kern w:val="32"/>
      <w:u w:val="single"/>
    </w:rPr>
  </w:style>
  <w:style w:type="paragraph" w:styleId="Heading6">
    <w:name w:val="heading 6"/>
    <w:basedOn w:val="Normal"/>
    <w:next w:val="FERCparanumber"/>
    <w:uiPriority w:val="9"/>
    <w:unhideWhenUsed/>
    <w:qFormat/>
    <w:rsid w:val="002E6525"/>
    <w:pPr>
      <w:keepNext/>
      <w:keepLines/>
      <w:widowControl/>
      <w:numPr>
        <w:ilvl w:val="5"/>
        <w:numId w:val="15"/>
      </w:numPr>
      <w:spacing w:after="260"/>
      <w:outlineLvl w:val="5"/>
    </w:pPr>
    <w:rPr>
      <w:rFonts w:eastAsia="MS Gothic"/>
      <w:b/>
      <w:kern w:val="32"/>
      <w:u w:val="single"/>
    </w:rPr>
  </w:style>
  <w:style w:type="paragraph" w:styleId="Heading7">
    <w:name w:val="heading 7"/>
    <w:basedOn w:val="Normal"/>
    <w:next w:val="FERCparanumber"/>
    <w:uiPriority w:val="9"/>
    <w:semiHidden/>
    <w:unhideWhenUsed/>
    <w:qFormat/>
    <w:rsid w:val="002E6525"/>
    <w:pPr>
      <w:keepNext/>
      <w:keepLines/>
      <w:widowControl/>
      <w:numPr>
        <w:ilvl w:val="6"/>
        <w:numId w:val="15"/>
      </w:numPr>
      <w:spacing w:after="260"/>
      <w:outlineLvl w:val="6"/>
    </w:pPr>
    <w:rPr>
      <w:rFonts w:eastAsia="MS Gothic"/>
      <w:b/>
      <w:iCs/>
      <w:kern w:val="32"/>
      <w:u w:val="single"/>
    </w:rPr>
  </w:style>
  <w:style w:type="paragraph" w:styleId="Heading8">
    <w:name w:val="heading 8"/>
    <w:basedOn w:val="Normal"/>
    <w:next w:val="FERCparanumber"/>
    <w:uiPriority w:val="9"/>
    <w:semiHidden/>
    <w:unhideWhenUsed/>
    <w:qFormat/>
    <w:rsid w:val="002E6525"/>
    <w:pPr>
      <w:keepNext/>
      <w:keepLines/>
      <w:widowControl/>
      <w:numPr>
        <w:ilvl w:val="7"/>
        <w:numId w:val="15"/>
      </w:numPr>
      <w:spacing w:after="260"/>
      <w:outlineLvl w:val="7"/>
    </w:pPr>
    <w:rPr>
      <w:rFonts w:eastAsia="MS Gothic"/>
      <w:b/>
      <w:kern w:val="32"/>
      <w:szCs w:val="21"/>
      <w:u w:val="single"/>
    </w:rPr>
  </w:style>
  <w:style w:type="paragraph" w:styleId="Heading9">
    <w:name w:val="heading 9"/>
    <w:basedOn w:val="Normal"/>
    <w:next w:val="FERCparanumber"/>
    <w:uiPriority w:val="9"/>
    <w:semiHidden/>
    <w:unhideWhenUsed/>
    <w:qFormat/>
    <w:rsid w:val="002E6525"/>
    <w:pPr>
      <w:keepNext/>
      <w:keepLines/>
      <w:widowControl/>
      <w:numPr>
        <w:ilvl w:val="8"/>
        <w:numId w:val="15"/>
      </w:numPr>
      <w:spacing w:after="260"/>
      <w:outlineLvl w:val="8"/>
    </w:pPr>
    <w:rPr>
      <w:rFonts w:eastAsia="MS Gothic"/>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MS Mincho"/>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MS Gothic" w:hAnsi="Calibri Light" w:cs="Times New Roman"/>
      <w:sz w:val="24"/>
      <w:szCs w:val="24"/>
    </w:rPr>
  </w:style>
  <w:style w:type="paragraph" w:styleId="EnvelopeReturn">
    <w:name w:val="envelope return"/>
    <w:basedOn w:val="Normal"/>
    <w:uiPriority w:val="99"/>
    <w:semiHidden/>
    <w:unhideWhenUsed/>
    <w:rsid w:val="00CE7F13"/>
    <w:rPr>
      <w:rFonts w:ascii="Calibri Light" w:eastAsia="MS Gothic"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MS Gothic"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s="Consolas"/>
      <w:lang w:val="en-US" w:eastAsia="en-US" w:bidi="ar-SA"/>
    </w:rPr>
  </w:style>
  <w:style w:type="character" w:customStyle="1" w:styleId="MacroTextChar">
    <w:name w:val="Macro Text Char"/>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MS Gothic" w:hAnsi="Calibri Light" w:cs="Times New Roman"/>
      <w:sz w:val="24"/>
      <w:szCs w:val="24"/>
    </w:rPr>
  </w:style>
  <w:style w:type="character" w:customStyle="1" w:styleId="MessageHeaderChar">
    <w:name w:val="Message Header Char"/>
    <w:link w:val="MessageHeader"/>
    <w:uiPriority w:val="99"/>
    <w:semiHidden/>
    <w:rsid w:val="00CE7F13"/>
    <w:rPr>
      <w:rFonts w:ascii="Calibri Light" w:eastAsia="MS Gothic" w:hAnsi="Calibri Light" w:cs="Times New Roman"/>
      <w:sz w:val="24"/>
      <w:szCs w:val="24"/>
      <w:shd w:val="pct20" w:color="auto" w:fill="auto"/>
    </w:rPr>
  </w:style>
  <w:style w:type="paragraph" w:styleId="NoSpacing">
    <w:name w:val="No Spacing"/>
    <w:uiPriority w:val="3"/>
    <w:qFormat/>
    <w:rsid w:val="00CE7F13"/>
    <w:rPr>
      <w:sz w:val="22"/>
      <w:szCs w:val="22"/>
      <w:lang w:val="en-US" w:eastAsia="en-US" w:bidi="ar-SA"/>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MS Mincho"/>
      <w:color w:val="5A5A5A"/>
      <w:spacing w:val="15"/>
    </w:rPr>
  </w:style>
  <w:style w:type="character" w:customStyle="1" w:styleId="SubtitleChar">
    <w:name w:val="Subtitle Char"/>
    <w:link w:val="Subtitle"/>
    <w:uiPriority w:val="11"/>
    <w:rsid w:val="00CE7F13"/>
    <w:rPr>
      <w:rFonts w:eastAsia="MS Mincho"/>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MS Gothic" w:hAnsi="Calibri Light" w:cs="Times New Roman"/>
      <w:spacing w:val="-10"/>
      <w:kern w:val="28"/>
      <w:sz w:val="56"/>
      <w:szCs w:val="56"/>
    </w:rPr>
  </w:style>
  <w:style w:type="character" w:customStyle="1" w:styleId="TitleChar">
    <w:name w:val="Title Char"/>
    <w:link w:val="Title"/>
    <w:uiPriority w:val="10"/>
    <w:rsid w:val="00CE7F13"/>
    <w:rPr>
      <w:rFonts w:ascii="Calibri Light" w:eastAsia="MS Gothic"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MS Gothic"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8020B"/>
    <w:rPr>
      <w:color w:val="0563C1"/>
      <w:u w:val="single"/>
    </w:rPr>
  </w:style>
  <w:style w:type="character" w:customStyle="1" w:styleId="Heading1Char">
    <w:name w:val="Heading 1 Char"/>
    <w:link w:val="Heading1"/>
    <w:uiPriority w:val="9"/>
    <w:rsid w:val="00EB5D6A"/>
    <w:rPr>
      <w:rFonts w:ascii="Times New Roman" w:eastAsia="MS Gothic" w:hAnsi="Times New Roman" w:cs="Times New Roman"/>
      <w:b/>
      <w:kern w:val="32"/>
      <w:sz w:val="26"/>
      <w:szCs w:val="32"/>
      <w:u w:val="single"/>
    </w:rPr>
  </w:style>
  <w:style w:type="character" w:customStyle="1" w:styleId="Heading2Char">
    <w:name w:val="Heading 2 Char"/>
    <w:link w:val="Heading2"/>
    <w:uiPriority w:val="9"/>
    <w:rsid w:val="00EB5D6A"/>
    <w:rPr>
      <w:rFonts w:ascii="Times New Roman" w:eastAsia="MS Gothic"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ft,f,Char Char2,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uiPriority w:val="99"/>
    <w:semiHidden/>
    <w:unhideWhenUsed/>
    <w:rsid w:val="00407EE0"/>
    <w:rPr>
      <w:sz w:val="16"/>
      <w:szCs w:val="16"/>
    </w:rPr>
  </w:style>
  <w:style w:type="character" w:customStyle="1" w:styleId="UnresolvedMention">
    <w:name w:val="Unresolved Mention"/>
    <w:uiPriority w:val="99"/>
    <w:semiHidden/>
    <w:unhideWhenUsed/>
    <w:rsid w:val="00C32965"/>
    <w:rPr>
      <w:color w:val="605E5C"/>
      <w:shd w:val="clear" w:color="auto" w:fill="E1DFDD"/>
    </w:rPr>
  </w:style>
  <w:style w:type="paragraph" w:styleId="Revision">
    <w:name w:val="Revision"/>
    <w:hidden/>
    <w:uiPriority w:val="99"/>
    <w:semiHidden/>
    <w:rsid w:val="00CE7726"/>
    <w:rPr>
      <w:rFonts w:ascii="Times New Roman" w:hAnsi="Times New Roman" w:cs="Times New Roman"/>
      <w:sz w:val="26"/>
      <w:szCs w:val="22"/>
      <w:lang w:val="en-US" w:eastAsia="en-US" w:bidi="ar-SA"/>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ft Char"/>
    <w:link w:val="FootnoteText"/>
    <w:uiPriority w:val="99"/>
    <w:rsid w:val="00CA628C"/>
    <w:rPr>
      <w:rFonts w:ascii="Times New Roman" w:hAnsi="Times New Roman" w:cs="Times New Roman"/>
      <w:sz w:val="26"/>
      <w:szCs w:val="20"/>
    </w:rPr>
  </w:style>
  <w:style w:type="character" w:styleId="FollowedHyperlink">
    <w:name w:val="FollowedHyperlink"/>
    <w:uiPriority w:val="99"/>
    <w:semiHidden/>
    <w:unhideWhenUsed/>
    <w:rsid w:val="000D4A78"/>
    <w:rPr>
      <w:color w:val="954F72"/>
      <w:u w:val="single"/>
    </w:rPr>
  </w:style>
  <w:style w:type="character" w:customStyle="1" w:styleId="Mention">
    <w:name w:val="Mention"/>
    <w:uiPriority w:val="99"/>
    <w:unhideWhenUsed/>
    <w:rsid w:val="00294E08"/>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news-events/news/commissioner-christies-concurrence-concerning-nytos-cost-sharing-er22-2152-e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A8779-0880-4481-B30C-6C50AF6CE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7E939-F44A-412C-99E3-965EB8CA9BD6}">
  <ds:schemaRefs>
    <ds:schemaRef ds:uri="http://schemas.openxmlformats.org/officeDocument/2006/bibliography"/>
  </ds:schemaRefs>
</ds:datastoreItem>
</file>

<file path=customXml/itemProps3.xml><?xml version="1.0" encoding="utf-8"?>
<ds:datastoreItem xmlns:ds="http://schemas.openxmlformats.org/officeDocument/2006/customXml" ds:itemID="{A5D72764-3434-4D26-86F6-B1BDE544675C}">
  <ds:schemaRefs>
    <ds:schemaRef ds:uri="Microsoft.SharePoint.Taxonomy.ContentTypeSync"/>
  </ds:schemaRefs>
</ds:datastoreItem>
</file>

<file path=customXml/itemProps4.xml><?xml version="1.0" encoding="utf-8"?>
<ds:datastoreItem xmlns:ds="http://schemas.openxmlformats.org/officeDocument/2006/customXml" ds:itemID="{ACF6D088-0417-4FF0-A3AD-812327B6A855}">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CCE18CBE-ED41-4B4A-8C36-6FD7D1127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6635</Words>
  <Characters>37822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2024-07-08T14:00:00Z</dcterms:created>
  <dcterms:modified xsi:type="dcterms:W3CDTF">2024-07-08T14:00:00Z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161a4aaa-e40e-4039-82e1-ee09118026c8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2024-07-08T12:55:42Z</vt:lpwstr>
  </property>
  <property fmtid="{D5CDD505-2E9C-101B-9397-08002B2CF9AE}" pid="8" name="MSIP_Label_5bf193d9-c1cf-45e0-8fa7-a9bc86b7f5dd_SiteId">
    <vt:lpwstr>7658602a-f7b9-4209-bc62-d2bfc30dea0d</vt:lpwstr>
  </property>
</Properties>
</file>